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摩根鑫睿优选一年持有期混合型证券投资基金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报告送出日期：二〇二三年四月二十一日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摩根鑫睿优选一年持有期混合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184,960,842.75</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rPr>
              <w:t>A</w:t>
            </w:r>
            <w:r>
              <w:rPr>
                <w:rFonts w:eastAsiaTheme="minorEastAsia"/>
                <w:color w:val="000000" w:themeColor="text1"/>
                <w:kern w:val="0"/>
              </w:rPr>
              <w:t>股形成互补。</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E3539E" w:rsidRDefault="002B6E2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w:t>
            </w:r>
            <w:r>
              <w:rPr>
                <w:rFonts w:eastAsiaTheme="minorEastAsia"/>
                <w:color w:val="000000" w:themeColor="text1"/>
                <w:kern w:val="0"/>
              </w:rPr>
              <w:lastRenderedPageBreak/>
              <w:t>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B6E28" w:rsidRPr="00FF6B9A" w:rsidTr="002B6E28">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2B6E28" w:rsidRPr="00FF6B9A" w:rsidTr="002B6E2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-2,773,306.33</w:t>
            </w:r>
          </w:p>
        </w:tc>
      </w:tr>
      <w:tr w:rsidR="002B6E28" w:rsidRPr="00FF6B9A" w:rsidTr="002B6E2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5,331,796.90</w:t>
            </w:r>
          </w:p>
        </w:tc>
      </w:tr>
      <w:tr w:rsidR="002B6E28" w:rsidRPr="00FF6B9A" w:rsidTr="002B6E2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0.0256</w:t>
            </w:r>
          </w:p>
        </w:tc>
      </w:tr>
      <w:tr w:rsidR="002B6E28" w:rsidRPr="00FF6B9A" w:rsidTr="002B6E2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159,616,058.94</w:t>
            </w:r>
          </w:p>
        </w:tc>
      </w:tr>
      <w:tr w:rsidR="002B6E28" w:rsidRPr="00FF6B9A" w:rsidTr="002B6E28">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0.8630</w:t>
            </w:r>
          </w:p>
        </w:tc>
      </w:tr>
    </w:tbl>
    <w:p w:rsidR="00E3539E" w:rsidRDefault="002B6E2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w:t>
      </w:r>
      <w:r w:rsidRPr="00FF6B9A">
        <w:rPr>
          <w:rFonts w:eastAsiaTheme="minorEastAsia"/>
          <w:color w:val="000000" w:themeColor="text1"/>
        </w:rPr>
        <w:lastRenderedPageBreak/>
        <w:t>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E3539E">
        <w:tc>
          <w:tcPr>
            <w:tcW w:w="1395" w:type="dxa"/>
            <w:vAlign w:val="center"/>
          </w:tcPr>
          <w:p w:rsidR="00E3539E" w:rsidRDefault="002B6E28">
            <w:pPr>
              <w:jc w:val="left"/>
            </w:pPr>
            <w:r>
              <w:rPr>
                <w:rFonts w:eastAsiaTheme="minorEastAsia"/>
                <w:color w:val="000000" w:themeColor="text1"/>
                <w:kern w:val="0"/>
              </w:rPr>
              <w:t>过去三个月</w:t>
            </w:r>
          </w:p>
        </w:tc>
        <w:tc>
          <w:tcPr>
            <w:tcW w:w="1092" w:type="dxa"/>
            <w:vAlign w:val="center"/>
          </w:tcPr>
          <w:p w:rsidR="00E3539E" w:rsidRDefault="002B6E28">
            <w:pPr>
              <w:jc w:val="center"/>
            </w:pPr>
            <w:r>
              <w:rPr>
                <w:rFonts w:eastAsiaTheme="minorEastAsia"/>
                <w:color w:val="000000" w:themeColor="text1"/>
                <w:kern w:val="0"/>
              </w:rPr>
              <w:t>2.58%</w:t>
            </w:r>
          </w:p>
        </w:tc>
        <w:tc>
          <w:tcPr>
            <w:tcW w:w="1161" w:type="dxa"/>
            <w:vAlign w:val="center"/>
          </w:tcPr>
          <w:p w:rsidR="00E3539E" w:rsidRDefault="002B6E28">
            <w:pPr>
              <w:jc w:val="center"/>
            </w:pPr>
            <w:r>
              <w:rPr>
                <w:rFonts w:eastAsiaTheme="minorEastAsia"/>
                <w:color w:val="000000" w:themeColor="text1"/>
                <w:kern w:val="0"/>
              </w:rPr>
              <w:t>0.98%</w:t>
            </w:r>
          </w:p>
        </w:tc>
        <w:tc>
          <w:tcPr>
            <w:tcW w:w="1181" w:type="dxa"/>
            <w:vAlign w:val="center"/>
          </w:tcPr>
          <w:p w:rsidR="00E3539E" w:rsidRDefault="002B6E28">
            <w:pPr>
              <w:jc w:val="center"/>
            </w:pPr>
            <w:r>
              <w:rPr>
                <w:rFonts w:eastAsiaTheme="minorEastAsia"/>
                <w:color w:val="000000" w:themeColor="text1"/>
                <w:kern w:val="0"/>
              </w:rPr>
              <w:t>3.67%</w:t>
            </w:r>
          </w:p>
        </w:tc>
        <w:tc>
          <w:tcPr>
            <w:tcW w:w="1188" w:type="dxa"/>
            <w:vAlign w:val="center"/>
          </w:tcPr>
          <w:p w:rsidR="00E3539E" w:rsidRDefault="002B6E28">
            <w:pPr>
              <w:jc w:val="center"/>
            </w:pPr>
            <w:r>
              <w:rPr>
                <w:rFonts w:eastAsiaTheme="minorEastAsia"/>
                <w:color w:val="000000" w:themeColor="text1"/>
                <w:kern w:val="0"/>
              </w:rPr>
              <w:t>0.70%</w:t>
            </w:r>
          </w:p>
        </w:tc>
        <w:tc>
          <w:tcPr>
            <w:tcW w:w="1199" w:type="dxa"/>
            <w:vAlign w:val="center"/>
          </w:tcPr>
          <w:p w:rsidR="00E3539E" w:rsidRDefault="002B6E28">
            <w:pPr>
              <w:jc w:val="center"/>
            </w:pPr>
            <w:r>
              <w:rPr>
                <w:rFonts w:eastAsiaTheme="minorEastAsia"/>
                <w:color w:val="000000" w:themeColor="text1"/>
                <w:kern w:val="0"/>
              </w:rPr>
              <w:t>-1.09%</w:t>
            </w:r>
          </w:p>
        </w:tc>
        <w:tc>
          <w:tcPr>
            <w:tcW w:w="1204" w:type="dxa"/>
            <w:vAlign w:val="center"/>
          </w:tcPr>
          <w:p w:rsidR="00E3539E" w:rsidRDefault="002B6E28">
            <w:pPr>
              <w:jc w:val="center"/>
            </w:pPr>
            <w:r>
              <w:rPr>
                <w:rFonts w:eastAsiaTheme="minorEastAsia"/>
                <w:color w:val="000000" w:themeColor="text1"/>
                <w:kern w:val="0"/>
              </w:rPr>
              <w:t>0.28%</w:t>
            </w:r>
          </w:p>
        </w:tc>
      </w:tr>
      <w:tr w:rsidR="00E3539E">
        <w:tc>
          <w:tcPr>
            <w:tcW w:w="1395" w:type="dxa"/>
            <w:vAlign w:val="center"/>
          </w:tcPr>
          <w:p w:rsidR="00E3539E" w:rsidRDefault="002B6E28">
            <w:pPr>
              <w:jc w:val="left"/>
            </w:pPr>
            <w:r>
              <w:rPr>
                <w:rFonts w:eastAsiaTheme="minorEastAsia"/>
                <w:color w:val="000000" w:themeColor="text1"/>
                <w:kern w:val="0"/>
              </w:rPr>
              <w:t>过去六个月</w:t>
            </w:r>
          </w:p>
        </w:tc>
        <w:tc>
          <w:tcPr>
            <w:tcW w:w="1092" w:type="dxa"/>
            <w:vAlign w:val="center"/>
          </w:tcPr>
          <w:p w:rsidR="00E3539E" w:rsidRDefault="002B6E28">
            <w:pPr>
              <w:jc w:val="center"/>
            </w:pPr>
            <w:r>
              <w:rPr>
                <w:rFonts w:eastAsiaTheme="minorEastAsia"/>
                <w:color w:val="000000" w:themeColor="text1"/>
                <w:kern w:val="0"/>
              </w:rPr>
              <w:t>-3.89%</w:t>
            </w:r>
          </w:p>
        </w:tc>
        <w:tc>
          <w:tcPr>
            <w:tcW w:w="1161" w:type="dxa"/>
            <w:vAlign w:val="center"/>
          </w:tcPr>
          <w:p w:rsidR="00E3539E" w:rsidRDefault="002B6E28">
            <w:pPr>
              <w:jc w:val="center"/>
            </w:pPr>
            <w:r>
              <w:rPr>
                <w:rFonts w:eastAsiaTheme="minorEastAsia"/>
                <w:color w:val="000000" w:themeColor="text1"/>
                <w:kern w:val="0"/>
              </w:rPr>
              <w:t>1.07%</w:t>
            </w:r>
          </w:p>
        </w:tc>
        <w:tc>
          <w:tcPr>
            <w:tcW w:w="1181" w:type="dxa"/>
            <w:vAlign w:val="center"/>
          </w:tcPr>
          <w:p w:rsidR="00E3539E" w:rsidRDefault="002B6E28">
            <w:pPr>
              <w:jc w:val="center"/>
            </w:pPr>
            <w:r>
              <w:rPr>
                <w:rFonts w:eastAsiaTheme="minorEastAsia"/>
                <w:color w:val="000000" w:themeColor="text1"/>
                <w:kern w:val="0"/>
              </w:rPr>
              <w:t>8.14%</w:t>
            </w:r>
          </w:p>
        </w:tc>
        <w:tc>
          <w:tcPr>
            <w:tcW w:w="1188" w:type="dxa"/>
            <w:vAlign w:val="center"/>
          </w:tcPr>
          <w:p w:rsidR="00E3539E" w:rsidRDefault="002B6E28">
            <w:pPr>
              <w:jc w:val="center"/>
            </w:pPr>
            <w:r>
              <w:rPr>
                <w:rFonts w:eastAsiaTheme="minorEastAsia"/>
                <w:color w:val="000000" w:themeColor="text1"/>
                <w:kern w:val="0"/>
              </w:rPr>
              <w:t>0.92%</w:t>
            </w:r>
          </w:p>
        </w:tc>
        <w:tc>
          <w:tcPr>
            <w:tcW w:w="1199" w:type="dxa"/>
            <w:vAlign w:val="center"/>
          </w:tcPr>
          <w:p w:rsidR="00E3539E" w:rsidRDefault="002B6E28">
            <w:pPr>
              <w:jc w:val="center"/>
            </w:pPr>
            <w:r>
              <w:rPr>
                <w:rFonts w:eastAsiaTheme="minorEastAsia"/>
                <w:color w:val="000000" w:themeColor="text1"/>
                <w:kern w:val="0"/>
              </w:rPr>
              <w:t>-12.03%</w:t>
            </w:r>
          </w:p>
        </w:tc>
        <w:tc>
          <w:tcPr>
            <w:tcW w:w="1204" w:type="dxa"/>
            <w:vAlign w:val="center"/>
          </w:tcPr>
          <w:p w:rsidR="00E3539E" w:rsidRDefault="002B6E28">
            <w:pPr>
              <w:jc w:val="center"/>
            </w:pPr>
            <w:r>
              <w:rPr>
                <w:rFonts w:eastAsiaTheme="minorEastAsia"/>
                <w:color w:val="000000" w:themeColor="text1"/>
                <w:kern w:val="0"/>
              </w:rPr>
              <w:t>0.15%</w:t>
            </w:r>
          </w:p>
        </w:tc>
      </w:tr>
      <w:tr w:rsidR="00E3539E">
        <w:tc>
          <w:tcPr>
            <w:tcW w:w="1395" w:type="dxa"/>
            <w:vAlign w:val="center"/>
          </w:tcPr>
          <w:p w:rsidR="00E3539E" w:rsidRDefault="002B6E28">
            <w:pPr>
              <w:jc w:val="left"/>
            </w:pPr>
            <w:r>
              <w:rPr>
                <w:rFonts w:eastAsiaTheme="minorEastAsia"/>
                <w:color w:val="000000" w:themeColor="text1"/>
                <w:kern w:val="0"/>
              </w:rPr>
              <w:t>过去一年</w:t>
            </w:r>
          </w:p>
        </w:tc>
        <w:tc>
          <w:tcPr>
            <w:tcW w:w="1092" w:type="dxa"/>
            <w:vAlign w:val="center"/>
          </w:tcPr>
          <w:p w:rsidR="00E3539E" w:rsidRDefault="002B6E28">
            <w:pPr>
              <w:jc w:val="center"/>
            </w:pPr>
            <w:r>
              <w:rPr>
                <w:rFonts w:eastAsiaTheme="minorEastAsia"/>
                <w:color w:val="000000" w:themeColor="text1"/>
                <w:kern w:val="0"/>
              </w:rPr>
              <w:t>-13.52%</w:t>
            </w:r>
          </w:p>
        </w:tc>
        <w:tc>
          <w:tcPr>
            <w:tcW w:w="1161" w:type="dxa"/>
            <w:vAlign w:val="center"/>
          </w:tcPr>
          <w:p w:rsidR="00E3539E" w:rsidRDefault="002B6E28">
            <w:pPr>
              <w:jc w:val="center"/>
            </w:pPr>
            <w:r>
              <w:rPr>
                <w:rFonts w:eastAsiaTheme="minorEastAsia"/>
                <w:color w:val="000000" w:themeColor="text1"/>
                <w:kern w:val="0"/>
              </w:rPr>
              <w:t>1.07%</w:t>
            </w:r>
          </w:p>
        </w:tc>
        <w:tc>
          <w:tcPr>
            <w:tcW w:w="1181" w:type="dxa"/>
            <w:vAlign w:val="center"/>
          </w:tcPr>
          <w:p w:rsidR="00E3539E" w:rsidRDefault="002B6E28">
            <w:pPr>
              <w:jc w:val="center"/>
            </w:pPr>
            <w:r>
              <w:rPr>
                <w:rFonts w:eastAsiaTheme="minorEastAsia"/>
                <w:color w:val="000000" w:themeColor="text1"/>
                <w:kern w:val="0"/>
              </w:rPr>
              <w:t>-1.46%</w:t>
            </w:r>
          </w:p>
        </w:tc>
        <w:tc>
          <w:tcPr>
            <w:tcW w:w="1188" w:type="dxa"/>
            <w:vAlign w:val="center"/>
          </w:tcPr>
          <w:p w:rsidR="00E3539E" w:rsidRDefault="002B6E28">
            <w:pPr>
              <w:jc w:val="center"/>
            </w:pPr>
            <w:r>
              <w:rPr>
                <w:rFonts w:eastAsiaTheme="minorEastAsia"/>
                <w:color w:val="000000" w:themeColor="text1"/>
                <w:kern w:val="0"/>
              </w:rPr>
              <w:t>0.96%</w:t>
            </w:r>
          </w:p>
        </w:tc>
        <w:tc>
          <w:tcPr>
            <w:tcW w:w="1199" w:type="dxa"/>
            <w:vAlign w:val="center"/>
          </w:tcPr>
          <w:p w:rsidR="00E3539E" w:rsidRDefault="002B6E28">
            <w:pPr>
              <w:jc w:val="center"/>
            </w:pPr>
            <w:r>
              <w:rPr>
                <w:rFonts w:eastAsiaTheme="minorEastAsia"/>
                <w:color w:val="000000" w:themeColor="text1"/>
                <w:kern w:val="0"/>
              </w:rPr>
              <w:t>-12.06%</w:t>
            </w:r>
          </w:p>
        </w:tc>
        <w:tc>
          <w:tcPr>
            <w:tcW w:w="1204" w:type="dxa"/>
            <w:vAlign w:val="center"/>
          </w:tcPr>
          <w:p w:rsidR="00E3539E" w:rsidRDefault="002B6E28">
            <w:pPr>
              <w:jc w:val="center"/>
            </w:pPr>
            <w:r>
              <w:rPr>
                <w:rFonts w:eastAsiaTheme="minorEastAsia"/>
                <w:color w:val="000000" w:themeColor="text1"/>
                <w:kern w:val="0"/>
              </w:rPr>
              <w:t>0.11%</w:t>
            </w:r>
          </w:p>
        </w:tc>
      </w:tr>
      <w:tr w:rsidR="00E3539E">
        <w:tc>
          <w:tcPr>
            <w:tcW w:w="1395" w:type="dxa"/>
            <w:vAlign w:val="center"/>
          </w:tcPr>
          <w:p w:rsidR="00E3539E" w:rsidRDefault="002B6E28">
            <w:pPr>
              <w:jc w:val="left"/>
            </w:pPr>
            <w:r>
              <w:rPr>
                <w:rFonts w:eastAsiaTheme="minorEastAsia"/>
                <w:color w:val="000000" w:themeColor="text1"/>
                <w:kern w:val="0"/>
              </w:rPr>
              <w:t>过去三年</w:t>
            </w:r>
          </w:p>
        </w:tc>
        <w:tc>
          <w:tcPr>
            <w:tcW w:w="1092" w:type="dxa"/>
            <w:vAlign w:val="center"/>
          </w:tcPr>
          <w:p w:rsidR="00E3539E" w:rsidRDefault="002B6E28">
            <w:pPr>
              <w:jc w:val="center"/>
            </w:pPr>
            <w:r>
              <w:rPr>
                <w:rFonts w:eastAsiaTheme="minorEastAsia"/>
                <w:color w:val="000000" w:themeColor="text1"/>
                <w:kern w:val="0"/>
              </w:rPr>
              <w:t>-</w:t>
            </w:r>
          </w:p>
        </w:tc>
        <w:tc>
          <w:tcPr>
            <w:tcW w:w="1161" w:type="dxa"/>
            <w:vAlign w:val="center"/>
          </w:tcPr>
          <w:p w:rsidR="00E3539E" w:rsidRDefault="002B6E28">
            <w:pPr>
              <w:jc w:val="center"/>
            </w:pPr>
            <w:r>
              <w:rPr>
                <w:rFonts w:eastAsiaTheme="minorEastAsia"/>
                <w:color w:val="000000" w:themeColor="text1"/>
                <w:kern w:val="0"/>
              </w:rPr>
              <w:t>-</w:t>
            </w:r>
          </w:p>
        </w:tc>
        <w:tc>
          <w:tcPr>
            <w:tcW w:w="1181" w:type="dxa"/>
            <w:vAlign w:val="center"/>
          </w:tcPr>
          <w:p w:rsidR="00E3539E" w:rsidRDefault="002B6E28">
            <w:pPr>
              <w:jc w:val="center"/>
            </w:pPr>
            <w:r>
              <w:rPr>
                <w:rFonts w:eastAsiaTheme="minorEastAsia"/>
                <w:color w:val="000000" w:themeColor="text1"/>
                <w:kern w:val="0"/>
              </w:rPr>
              <w:t>-</w:t>
            </w:r>
          </w:p>
        </w:tc>
        <w:tc>
          <w:tcPr>
            <w:tcW w:w="1188" w:type="dxa"/>
            <w:vAlign w:val="center"/>
          </w:tcPr>
          <w:p w:rsidR="00E3539E" w:rsidRDefault="002B6E28">
            <w:pPr>
              <w:jc w:val="center"/>
            </w:pPr>
            <w:r>
              <w:rPr>
                <w:rFonts w:eastAsiaTheme="minorEastAsia"/>
                <w:color w:val="000000" w:themeColor="text1"/>
                <w:kern w:val="0"/>
              </w:rPr>
              <w:t>-</w:t>
            </w:r>
          </w:p>
        </w:tc>
        <w:tc>
          <w:tcPr>
            <w:tcW w:w="1199" w:type="dxa"/>
            <w:vAlign w:val="center"/>
          </w:tcPr>
          <w:p w:rsidR="00E3539E" w:rsidRDefault="002B6E28">
            <w:pPr>
              <w:jc w:val="center"/>
            </w:pPr>
            <w:r>
              <w:rPr>
                <w:rFonts w:eastAsiaTheme="minorEastAsia"/>
                <w:color w:val="000000" w:themeColor="text1"/>
                <w:kern w:val="0"/>
              </w:rPr>
              <w:t>-</w:t>
            </w:r>
          </w:p>
        </w:tc>
        <w:tc>
          <w:tcPr>
            <w:tcW w:w="1204" w:type="dxa"/>
            <w:vAlign w:val="center"/>
          </w:tcPr>
          <w:p w:rsidR="00E3539E" w:rsidRDefault="002B6E28">
            <w:pPr>
              <w:jc w:val="center"/>
            </w:pPr>
            <w:r>
              <w:rPr>
                <w:rFonts w:eastAsiaTheme="minorEastAsia"/>
                <w:color w:val="000000" w:themeColor="text1"/>
                <w:kern w:val="0"/>
              </w:rPr>
              <w:t>-</w:t>
            </w:r>
          </w:p>
        </w:tc>
      </w:tr>
      <w:tr w:rsidR="00E3539E">
        <w:tc>
          <w:tcPr>
            <w:tcW w:w="1395" w:type="dxa"/>
            <w:vAlign w:val="center"/>
          </w:tcPr>
          <w:p w:rsidR="00E3539E" w:rsidRDefault="002B6E28">
            <w:pPr>
              <w:jc w:val="left"/>
            </w:pPr>
            <w:r>
              <w:rPr>
                <w:rFonts w:eastAsiaTheme="minorEastAsia"/>
                <w:color w:val="000000" w:themeColor="text1"/>
                <w:kern w:val="0"/>
              </w:rPr>
              <w:t>过去五年</w:t>
            </w:r>
          </w:p>
        </w:tc>
        <w:tc>
          <w:tcPr>
            <w:tcW w:w="1092" w:type="dxa"/>
            <w:vAlign w:val="center"/>
          </w:tcPr>
          <w:p w:rsidR="00E3539E" w:rsidRDefault="002B6E28">
            <w:pPr>
              <w:jc w:val="center"/>
            </w:pPr>
            <w:r>
              <w:rPr>
                <w:rFonts w:eastAsiaTheme="minorEastAsia"/>
                <w:color w:val="000000" w:themeColor="text1"/>
                <w:kern w:val="0"/>
              </w:rPr>
              <w:t>-</w:t>
            </w:r>
          </w:p>
        </w:tc>
        <w:tc>
          <w:tcPr>
            <w:tcW w:w="1161" w:type="dxa"/>
            <w:vAlign w:val="center"/>
          </w:tcPr>
          <w:p w:rsidR="00E3539E" w:rsidRDefault="002B6E28">
            <w:pPr>
              <w:jc w:val="center"/>
            </w:pPr>
            <w:r>
              <w:rPr>
                <w:rFonts w:eastAsiaTheme="minorEastAsia"/>
                <w:color w:val="000000" w:themeColor="text1"/>
                <w:kern w:val="0"/>
              </w:rPr>
              <w:t>-</w:t>
            </w:r>
          </w:p>
        </w:tc>
        <w:tc>
          <w:tcPr>
            <w:tcW w:w="1181" w:type="dxa"/>
            <w:vAlign w:val="center"/>
          </w:tcPr>
          <w:p w:rsidR="00E3539E" w:rsidRDefault="002B6E28">
            <w:pPr>
              <w:jc w:val="center"/>
            </w:pPr>
            <w:r>
              <w:rPr>
                <w:rFonts w:eastAsiaTheme="minorEastAsia"/>
                <w:color w:val="000000" w:themeColor="text1"/>
                <w:kern w:val="0"/>
              </w:rPr>
              <w:t>-</w:t>
            </w:r>
          </w:p>
        </w:tc>
        <w:tc>
          <w:tcPr>
            <w:tcW w:w="1188" w:type="dxa"/>
            <w:vAlign w:val="center"/>
          </w:tcPr>
          <w:p w:rsidR="00E3539E" w:rsidRDefault="002B6E28">
            <w:pPr>
              <w:jc w:val="center"/>
            </w:pPr>
            <w:r>
              <w:rPr>
                <w:rFonts w:eastAsiaTheme="minorEastAsia"/>
                <w:color w:val="000000" w:themeColor="text1"/>
                <w:kern w:val="0"/>
              </w:rPr>
              <w:t>-</w:t>
            </w:r>
          </w:p>
        </w:tc>
        <w:tc>
          <w:tcPr>
            <w:tcW w:w="1199" w:type="dxa"/>
            <w:vAlign w:val="center"/>
          </w:tcPr>
          <w:p w:rsidR="00E3539E" w:rsidRDefault="002B6E28">
            <w:pPr>
              <w:jc w:val="center"/>
            </w:pPr>
            <w:r>
              <w:rPr>
                <w:rFonts w:eastAsiaTheme="minorEastAsia"/>
                <w:color w:val="000000" w:themeColor="text1"/>
                <w:kern w:val="0"/>
              </w:rPr>
              <w:t>-</w:t>
            </w:r>
          </w:p>
        </w:tc>
        <w:tc>
          <w:tcPr>
            <w:tcW w:w="1204" w:type="dxa"/>
            <w:vAlign w:val="center"/>
          </w:tcPr>
          <w:p w:rsidR="00E3539E" w:rsidRDefault="002B6E28">
            <w:pPr>
              <w:jc w:val="center"/>
            </w:pPr>
            <w:r>
              <w:rPr>
                <w:rFonts w:eastAsiaTheme="minorEastAsia"/>
                <w:color w:val="000000" w:themeColor="text1"/>
                <w:kern w:val="0"/>
              </w:rPr>
              <w:t>-</w:t>
            </w:r>
          </w:p>
        </w:tc>
      </w:tr>
      <w:tr w:rsidR="00E3539E">
        <w:tc>
          <w:tcPr>
            <w:tcW w:w="1395" w:type="dxa"/>
            <w:vAlign w:val="center"/>
          </w:tcPr>
          <w:p w:rsidR="00E3539E" w:rsidRDefault="002B6E28">
            <w:pPr>
              <w:jc w:val="left"/>
            </w:pPr>
            <w:r>
              <w:rPr>
                <w:rFonts w:eastAsiaTheme="minorEastAsia"/>
                <w:color w:val="000000" w:themeColor="text1"/>
                <w:kern w:val="0"/>
              </w:rPr>
              <w:t>自基金合同生效起至今</w:t>
            </w:r>
          </w:p>
        </w:tc>
        <w:tc>
          <w:tcPr>
            <w:tcW w:w="1092" w:type="dxa"/>
            <w:vAlign w:val="center"/>
          </w:tcPr>
          <w:p w:rsidR="00E3539E" w:rsidRDefault="002B6E28">
            <w:pPr>
              <w:jc w:val="center"/>
            </w:pPr>
            <w:r>
              <w:rPr>
                <w:rFonts w:eastAsiaTheme="minorEastAsia"/>
                <w:color w:val="000000" w:themeColor="text1"/>
                <w:kern w:val="0"/>
              </w:rPr>
              <w:t>-13.70%</w:t>
            </w:r>
          </w:p>
        </w:tc>
        <w:tc>
          <w:tcPr>
            <w:tcW w:w="1161" w:type="dxa"/>
            <w:vAlign w:val="center"/>
          </w:tcPr>
          <w:p w:rsidR="00E3539E" w:rsidRDefault="002B6E28">
            <w:pPr>
              <w:jc w:val="center"/>
            </w:pPr>
            <w:r>
              <w:rPr>
                <w:rFonts w:eastAsiaTheme="minorEastAsia"/>
                <w:color w:val="000000" w:themeColor="text1"/>
                <w:kern w:val="0"/>
              </w:rPr>
              <w:t>1.03%</w:t>
            </w:r>
          </w:p>
        </w:tc>
        <w:tc>
          <w:tcPr>
            <w:tcW w:w="1181" w:type="dxa"/>
            <w:vAlign w:val="center"/>
          </w:tcPr>
          <w:p w:rsidR="00E3539E" w:rsidRDefault="002B6E28">
            <w:pPr>
              <w:jc w:val="center"/>
            </w:pPr>
            <w:r>
              <w:rPr>
                <w:rFonts w:eastAsiaTheme="minorEastAsia"/>
                <w:color w:val="000000" w:themeColor="text1"/>
                <w:kern w:val="0"/>
              </w:rPr>
              <w:t>-7.47%</w:t>
            </w:r>
          </w:p>
        </w:tc>
        <w:tc>
          <w:tcPr>
            <w:tcW w:w="1188" w:type="dxa"/>
            <w:vAlign w:val="center"/>
          </w:tcPr>
          <w:p w:rsidR="00E3539E" w:rsidRDefault="002B6E28">
            <w:pPr>
              <w:jc w:val="center"/>
            </w:pPr>
            <w:r>
              <w:rPr>
                <w:rFonts w:eastAsiaTheme="minorEastAsia"/>
                <w:color w:val="000000" w:themeColor="text1"/>
                <w:kern w:val="0"/>
              </w:rPr>
              <w:t>1.06%</w:t>
            </w:r>
          </w:p>
        </w:tc>
        <w:tc>
          <w:tcPr>
            <w:tcW w:w="1199" w:type="dxa"/>
            <w:vAlign w:val="center"/>
          </w:tcPr>
          <w:p w:rsidR="00E3539E" w:rsidRDefault="002B6E28">
            <w:pPr>
              <w:jc w:val="center"/>
            </w:pPr>
            <w:r>
              <w:rPr>
                <w:rFonts w:eastAsiaTheme="minorEastAsia"/>
                <w:color w:val="000000" w:themeColor="text1"/>
                <w:kern w:val="0"/>
              </w:rPr>
              <w:t>-6.23%</w:t>
            </w:r>
          </w:p>
        </w:tc>
        <w:tc>
          <w:tcPr>
            <w:tcW w:w="1204" w:type="dxa"/>
            <w:vAlign w:val="center"/>
          </w:tcPr>
          <w:p w:rsidR="00E3539E" w:rsidRDefault="002B6E28">
            <w:pPr>
              <w:jc w:val="center"/>
            </w:pPr>
            <w:r>
              <w:rPr>
                <w:rFonts w:eastAsiaTheme="minorEastAsia"/>
                <w:color w:val="000000" w:themeColor="text1"/>
                <w:kern w:val="0"/>
              </w:rPr>
              <w:t>-0.03%</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摩根鑫睿优选一年持有期混合型证券投资基金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2B6E28" w:rsidRDefault="002B6E2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w:t>
      </w:r>
      <w:r w:rsidRPr="002B6E28">
        <w:rPr>
          <w:rFonts w:eastAsiaTheme="minorEastAsia" w:hint="eastAsia"/>
          <w:color w:val="000000" w:themeColor="text1"/>
        </w:rPr>
        <w:t>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E3539E">
        <w:tc>
          <w:tcPr>
            <w:tcW w:w="851" w:type="dxa"/>
            <w:vAlign w:val="center"/>
          </w:tcPr>
          <w:p w:rsidR="00E3539E" w:rsidRDefault="002B6E28">
            <w:pPr>
              <w:jc w:val="center"/>
            </w:pPr>
            <w:r>
              <w:rPr>
                <w:rFonts w:eastAsiaTheme="minorEastAsia"/>
                <w:color w:val="000000" w:themeColor="text1"/>
              </w:rPr>
              <w:t>倪权生</w:t>
            </w:r>
          </w:p>
        </w:tc>
        <w:tc>
          <w:tcPr>
            <w:tcW w:w="850" w:type="dxa"/>
            <w:vAlign w:val="center"/>
          </w:tcPr>
          <w:p w:rsidR="00E3539E" w:rsidRDefault="002B6E28">
            <w:pPr>
              <w:jc w:val="center"/>
            </w:pPr>
            <w:r>
              <w:rPr>
                <w:rFonts w:eastAsiaTheme="minorEastAsia"/>
                <w:color w:val="000000" w:themeColor="text1"/>
              </w:rPr>
              <w:t>本基金基金经理</w:t>
            </w:r>
          </w:p>
        </w:tc>
        <w:tc>
          <w:tcPr>
            <w:tcW w:w="1560" w:type="dxa"/>
            <w:vAlign w:val="center"/>
          </w:tcPr>
          <w:p w:rsidR="00E3539E" w:rsidRDefault="002B6E28">
            <w:pPr>
              <w:jc w:val="center"/>
            </w:pPr>
            <w:r>
              <w:rPr>
                <w:rFonts w:eastAsiaTheme="minorEastAsia"/>
                <w:color w:val="000000" w:themeColor="text1"/>
              </w:rPr>
              <w:t>2022-03-01</w:t>
            </w:r>
          </w:p>
        </w:tc>
        <w:tc>
          <w:tcPr>
            <w:tcW w:w="1559" w:type="dxa"/>
            <w:vAlign w:val="center"/>
          </w:tcPr>
          <w:p w:rsidR="00E3539E" w:rsidRDefault="002B6E28">
            <w:pPr>
              <w:jc w:val="center"/>
            </w:pPr>
            <w:r>
              <w:rPr>
                <w:rFonts w:eastAsiaTheme="minorEastAsia"/>
                <w:color w:val="000000" w:themeColor="text1"/>
              </w:rPr>
              <w:t>-</w:t>
            </w:r>
          </w:p>
        </w:tc>
        <w:tc>
          <w:tcPr>
            <w:tcW w:w="1417" w:type="dxa"/>
            <w:vAlign w:val="center"/>
          </w:tcPr>
          <w:p w:rsidR="00E3539E" w:rsidRDefault="002B6E28">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E3539E" w:rsidRDefault="002B6E28">
            <w:r>
              <w:rPr>
                <w:rFonts w:eastAsiaTheme="minorEastAsia"/>
                <w:color w:val="000000" w:themeColor="text1"/>
              </w:rPr>
              <w:t>倪权生先生曾任博时基金管理有限公司高级研究员，浙商基金管理有限公司投资经理助理、基金经理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月起加入摩根基金管理（中国）有限公司（原上投摩根基金管理有限公司），历任领先组副组长兼资深基金经理，现任国内权益投资部均衡组组长兼资深基金经理。</w:t>
            </w:r>
          </w:p>
        </w:tc>
      </w:tr>
    </w:tbl>
    <w:p w:rsidR="00E3539E" w:rsidRDefault="002B6E2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E3539E" w:rsidRDefault="002B6E2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倪权生</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5</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2,763,088,423.98</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2015-03-30</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54,027,950.96</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2021-04-12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2,817,116,374.94</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w:t>
      </w:r>
      <w:r w:rsidRPr="00FF6B9A">
        <w:rPr>
          <w:rFonts w:eastAsiaTheme="minorEastAsia"/>
          <w:color w:val="000000" w:themeColor="text1"/>
        </w:rPr>
        <w:lastRenderedPageBreak/>
        <w:t>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随着疫情影响的消退，市场对经济复苏的预期在今年一季度早期有所提升，但在当前内外部经济环境形势下，较为强劲的复苏存在难度，市场预期也逐步由强复苏向弱复苏调整。从实际跟踪情况看，经济活动从呈现一定复苏态势，但在海外需求偏弱、库存偏高的背景下，外需仍然偏疲软。内需方面，居民出行活动有着较为明显的恢复，地产销售在</w:t>
      </w:r>
      <w:r>
        <w:rPr>
          <w:rFonts w:eastAsiaTheme="minorEastAsia"/>
          <w:color w:val="000000" w:themeColor="text1"/>
        </w:rPr>
        <w:t>3</w:t>
      </w:r>
      <w:r>
        <w:rPr>
          <w:rFonts w:eastAsiaTheme="minorEastAsia"/>
          <w:color w:val="000000" w:themeColor="text1"/>
        </w:rPr>
        <w:t>月份看到起色，但投资的提升仍有待观察。</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lastRenderedPageBreak/>
        <w:t>从股票市场的表现来看，一季度前期对经济复苏有着较高预期，顺周期方向表现较好，但随着市场对经济增速预期的下修，顺周期板块表现开始回落。而一季度后半期，随着新技术或新应用场景带来的投资机会快速吸引市场关注，其中以人工智能驱动的行业板块表现尤为突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尽管经济处于恢复通道中，但市场对经济增长的预期已经处于较弱的位置，顺周期相关板块下行空间有限，我们将进一步跟踪宏观经济的修正速度，并重点关注其中供需格局较好的行业板块。而在新技术应用方面，我们持续看好数字经济大背景下，数字相关产业在经济结构中变化带来的投资机会，信息化、安全性、数字基建等多重因素叠加的软硬件需求有望在未来几年持续增长，尽管短期市场情绪较高，但相关板块的积极变化仍有望在未来持续提升估值。大消费方面，我们重点关注需求复苏、政策支持的医药细分领域，如中药等，这些领域受宏观经济影响较小，需求恢复刚性较强，且受到政策支持，板块整体估值仍然不高。对于市场关注度较高的国企改革和估值，我们认为结合行业景气度和公司治理的改善可以寻找到较好的投资机会，这类公司治理变化带来的经营效率和财报质量的改善值得关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本报告期本基金份额净值增长率为</w:t>
      </w:r>
      <w:r w:rsidRPr="00FF6B9A">
        <w:rPr>
          <w:rFonts w:eastAsiaTheme="minorEastAsia"/>
          <w:color w:val="000000" w:themeColor="text1"/>
        </w:rPr>
        <w:t>:2.58%</w:t>
      </w:r>
      <w:r w:rsidRPr="00FF6B9A">
        <w:rPr>
          <w:rFonts w:eastAsiaTheme="minorEastAsia"/>
          <w:color w:val="000000" w:themeColor="text1"/>
        </w:rPr>
        <w:t>，同期业绩比较基准收益率为</w:t>
      </w:r>
      <w:r w:rsidRPr="00FF6B9A">
        <w:rPr>
          <w:rFonts w:eastAsiaTheme="minorEastAsia"/>
          <w:color w:val="000000" w:themeColor="text1"/>
        </w:rPr>
        <w:t>:3.67%</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138,377,050.11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84.28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138,377,050.11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84.28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25,690,196.13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15.65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123,690.76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164,190,937.00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10295241.80</w:t>
      </w:r>
      <w:r w:rsidRPr="00FF6B9A">
        <w:rPr>
          <w:rFonts w:eastAsiaTheme="minorEastAsia"/>
          <w:color w:val="000000" w:themeColor="text1"/>
        </w:rPr>
        <w:t>元，占期末净值比例为</w:t>
      </w:r>
      <w:r w:rsidRPr="00FF6B9A">
        <w:rPr>
          <w:rFonts w:eastAsiaTheme="minorEastAsia"/>
          <w:color w:val="000000" w:themeColor="text1"/>
        </w:rPr>
        <w:t>6.45%</w:t>
      </w:r>
      <w:r w:rsidRPr="00FF6B9A">
        <w:rPr>
          <w:rFonts w:eastAsiaTheme="minorEastAsia"/>
          <w:color w:val="000000" w:themeColor="text1"/>
        </w:rPr>
        <w:t>。</w:t>
      </w:r>
      <w:r w:rsidRPr="00FF6B9A">
        <w:rPr>
          <w:rFonts w:eastAsiaTheme="minorEastAsia"/>
          <w:color w:val="000000" w:themeColor="text1"/>
        </w:rPr>
        <w:t xml:space="preserve">  </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467,096.00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0.29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3,540,372.35</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2.22</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85,634,802.63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53.65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9,719,733.96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6.09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775,304.40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27,325,458.97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619,040.00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128,081,808.31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80.24</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E3539E" w:rsidRDefault="002B6E28">
            <w:pPr>
              <w:jc w:val="center"/>
            </w:pPr>
            <w:r>
              <w:rPr>
                <w:rFonts w:eastAsiaTheme="minorEastAsia"/>
                <w:color w:val="000000" w:themeColor="text1"/>
                <w:kern w:val="0"/>
              </w:rPr>
              <w:t>3,413,328.64</w:t>
            </w:r>
          </w:p>
        </w:tc>
        <w:tc>
          <w:tcPr>
            <w:tcW w:w="3118" w:type="dxa"/>
            <w:vAlign w:val="center"/>
          </w:tcPr>
          <w:p w:rsidR="00E3539E" w:rsidRDefault="002B6E28">
            <w:pPr>
              <w:jc w:val="center"/>
            </w:pPr>
            <w:r>
              <w:rPr>
                <w:rFonts w:eastAsiaTheme="minorEastAsia"/>
                <w:color w:val="000000" w:themeColor="text1"/>
                <w:kern w:val="0"/>
              </w:rPr>
              <w:t>2.14</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E3539E" w:rsidRDefault="002B6E28">
            <w:pPr>
              <w:jc w:val="center"/>
            </w:pPr>
            <w:r>
              <w:rPr>
                <w:rFonts w:eastAsiaTheme="minorEastAsia"/>
                <w:color w:val="000000" w:themeColor="text1"/>
                <w:kern w:val="0"/>
              </w:rPr>
              <w:t>2,594,925.34</w:t>
            </w:r>
          </w:p>
        </w:tc>
        <w:tc>
          <w:tcPr>
            <w:tcW w:w="3118" w:type="dxa"/>
            <w:vAlign w:val="center"/>
          </w:tcPr>
          <w:p w:rsidR="00E3539E" w:rsidRDefault="002B6E28">
            <w:pPr>
              <w:jc w:val="center"/>
            </w:pPr>
            <w:r>
              <w:rPr>
                <w:rFonts w:eastAsiaTheme="minorEastAsia"/>
                <w:color w:val="000000" w:themeColor="text1"/>
                <w:kern w:val="0"/>
              </w:rPr>
              <w:t>1.63</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E3539E" w:rsidRDefault="002B6E28">
            <w:pPr>
              <w:jc w:val="center"/>
            </w:pPr>
            <w:r>
              <w:rPr>
                <w:rFonts w:eastAsiaTheme="minorEastAsia"/>
                <w:color w:val="000000" w:themeColor="text1"/>
                <w:kern w:val="0"/>
              </w:rPr>
              <w:t>-</w:t>
            </w:r>
          </w:p>
        </w:tc>
        <w:tc>
          <w:tcPr>
            <w:tcW w:w="3118" w:type="dxa"/>
            <w:vAlign w:val="center"/>
          </w:tcPr>
          <w:p w:rsidR="00E3539E" w:rsidRDefault="002B6E28">
            <w:pPr>
              <w:jc w:val="center"/>
            </w:pPr>
            <w:r>
              <w:rPr>
                <w:rFonts w:eastAsiaTheme="minorEastAsia"/>
                <w:color w:val="000000" w:themeColor="text1"/>
                <w:kern w:val="0"/>
              </w:rPr>
              <w:t>-</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E3539E" w:rsidRDefault="002B6E28">
            <w:pPr>
              <w:jc w:val="center"/>
            </w:pPr>
            <w:r>
              <w:rPr>
                <w:rFonts w:eastAsiaTheme="minorEastAsia"/>
                <w:color w:val="000000" w:themeColor="text1"/>
                <w:kern w:val="0"/>
              </w:rPr>
              <w:t>-</w:t>
            </w:r>
          </w:p>
        </w:tc>
        <w:tc>
          <w:tcPr>
            <w:tcW w:w="3118" w:type="dxa"/>
            <w:vAlign w:val="center"/>
          </w:tcPr>
          <w:p w:rsidR="00E3539E" w:rsidRDefault="002B6E28">
            <w:pPr>
              <w:jc w:val="center"/>
            </w:pPr>
            <w:r>
              <w:rPr>
                <w:rFonts w:eastAsiaTheme="minorEastAsia"/>
                <w:color w:val="000000" w:themeColor="text1"/>
                <w:kern w:val="0"/>
              </w:rPr>
              <w:t>-</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E3539E" w:rsidRDefault="002B6E28">
            <w:pPr>
              <w:jc w:val="center"/>
            </w:pPr>
            <w:r>
              <w:rPr>
                <w:rFonts w:eastAsiaTheme="minorEastAsia"/>
                <w:color w:val="000000" w:themeColor="text1"/>
                <w:kern w:val="0"/>
              </w:rPr>
              <w:t>-</w:t>
            </w:r>
          </w:p>
        </w:tc>
        <w:tc>
          <w:tcPr>
            <w:tcW w:w="3118" w:type="dxa"/>
            <w:vAlign w:val="center"/>
          </w:tcPr>
          <w:p w:rsidR="00E3539E" w:rsidRDefault="002B6E28">
            <w:pPr>
              <w:jc w:val="center"/>
            </w:pPr>
            <w:r>
              <w:rPr>
                <w:rFonts w:eastAsiaTheme="minorEastAsia"/>
                <w:color w:val="000000" w:themeColor="text1"/>
                <w:kern w:val="0"/>
              </w:rPr>
              <w:t>-</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E3539E" w:rsidRDefault="002B6E28">
            <w:pPr>
              <w:jc w:val="center"/>
            </w:pPr>
            <w:r>
              <w:rPr>
                <w:rFonts w:eastAsiaTheme="minorEastAsia"/>
                <w:color w:val="000000" w:themeColor="text1"/>
                <w:kern w:val="0"/>
              </w:rPr>
              <w:t>-</w:t>
            </w:r>
          </w:p>
        </w:tc>
        <w:tc>
          <w:tcPr>
            <w:tcW w:w="3118" w:type="dxa"/>
            <w:vAlign w:val="center"/>
          </w:tcPr>
          <w:p w:rsidR="00E3539E" w:rsidRDefault="002B6E28">
            <w:pPr>
              <w:jc w:val="center"/>
            </w:pPr>
            <w:r>
              <w:rPr>
                <w:rFonts w:eastAsiaTheme="minorEastAsia"/>
                <w:color w:val="000000" w:themeColor="text1"/>
                <w:kern w:val="0"/>
              </w:rPr>
              <w:t>-</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E3539E" w:rsidRDefault="002B6E28">
            <w:pPr>
              <w:jc w:val="center"/>
            </w:pPr>
            <w:r>
              <w:rPr>
                <w:rFonts w:eastAsiaTheme="minorEastAsia"/>
                <w:color w:val="000000" w:themeColor="text1"/>
                <w:kern w:val="0"/>
              </w:rPr>
              <w:t>-</w:t>
            </w:r>
          </w:p>
        </w:tc>
        <w:tc>
          <w:tcPr>
            <w:tcW w:w="3118" w:type="dxa"/>
            <w:vAlign w:val="center"/>
          </w:tcPr>
          <w:p w:rsidR="00E3539E" w:rsidRDefault="002B6E28">
            <w:pPr>
              <w:jc w:val="center"/>
            </w:pPr>
            <w:r>
              <w:rPr>
                <w:rFonts w:eastAsiaTheme="minorEastAsia"/>
                <w:color w:val="000000" w:themeColor="text1"/>
                <w:kern w:val="0"/>
              </w:rPr>
              <w:t>-</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E3539E" w:rsidRDefault="002B6E28">
            <w:pPr>
              <w:jc w:val="center"/>
            </w:pPr>
            <w:r>
              <w:rPr>
                <w:rFonts w:eastAsiaTheme="minorEastAsia"/>
                <w:color w:val="000000" w:themeColor="text1"/>
                <w:kern w:val="0"/>
              </w:rPr>
              <w:t>1,450,029.12</w:t>
            </w:r>
          </w:p>
        </w:tc>
        <w:tc>
          <w:tcPr>
            <w:tcW w:w="3118" w:type="dxa"/>
            <w:vAlign w:val="center"/>
          </w:tcPr>
          <w:p w:rsidR="00E3539E" w:rsidRDefault="002B6E28">
            <w:pPr>
              <w:jc w:val="center"/>
            </w:pPr>
            <w:r>
              <w:rPr>
                <w:rFonts w:eastAsiaTheme="minorEastAsia"/>
                <w:color w:val="000000" w:themeColor="text1"/>
                <w:kern w:val="0"/>
              </w:rPr>
              <w:t>0.91</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E3539E" w:rsidRDefault="002B6E28">
            <w:pPr>
              <w:jc w:val="center"/>
            </w:pPr>
            <w:r>
              <w:rPr>
                <w:rFonts w:eastAsiaTheme="minorEastAsia"/>
                <w:color w:val="000000" w:themeColor="text1"/>
                <w:kern w:val="0"/>
              </w:rPr>
              <w:t>2,836,958.70</w:t>
            </w:r>
          </w:p>
        </w:tc>
        <w:tc>
          <w:tcPr>
            <w:tcW w:w="3118" w:type="dxa"/>
            <w:vAlign w:val="center"/>
          </w:tcPr>
          <w:p w:rsidR="00E3539E" w:rsidRDefault="002B6E28">
            <w:pPr>
              <w:jc w:val="center"/>
            </w:pPr>
            <w:r>
              <w:rPr>
                <w:rFonts w:eastAsiaTheme="minorEastAsia"/>
                <w:color w:val="000000" w:themeColor="text1"/>
                <w:kern w:val="0"/>
              </w:rPr>
              <w:t>1.78</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E3539E" w:rsidRDefault="002B6E28">
            <w:pPr>
              <w:jc w:val="center"/>
            </w:pPr>
            <w:r>
              <w:rPr>
                <w:rFonts w:eastAsiaTheme="minorEastAsia"/>
                <w:color w:val="000000" w:themeColor="text1"/>
                <w:kern w:val="0"/>
              </w:rPr>
              <w:t>-</w:t>
            </w:r>
          </w:p>
        </w:tc>
        <w:tc>
          <w:tcPr>
            <w:tcW w:w="3118" w:type="dxa"/>
            <w:vAlign w:val="center"/>
          </w:tcPr>
          <w:p w:rsidR="00E3539E" w:rsidRDefault="002B6E28">
            <w:pPr>
              <w:jc w:val="center"/>
            </w:pPr>
            <w:r>
              <w:rPr>
                <w:rFonts w:eastAsiaTheme="minorEastAsia"/>
                <w:color w:val="000000" w:themeColor="text1"/>
                <w:kern w:val="0"/>
              </w:rPr>
              <w:t>-</w:t>
            </w:r>
          </w:p>
        </w:tc>
      </w:tr>
      <w:tr w:rsidR="00E3539E">
        <w:trPr>
          <w:jc w:val="center"/>
        </w:trPr>
        <w:tc>
          <w:tcPr>
            <w:tcW w:w="2397" w:type="dxa"/>
            <w:vAlign w:val="center"/>
          </w:tcPr>
          <w:p w:rsidR="00E3539E" w:rsidRDefault="002B6E28">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E3539E" w:rsidRDefault="002B6E28">
            <w:pPr>
              <w:jc w:val="center"/>
            </w:pPr>
            <w:r>
              <w:rPr>
                <w:rFonts w:eastAsiaTheme="minorEastAsia"/>
                <w:color w:val="000000" w:themeColor="text1"/>
                <w:kern w:val="0"/>
              </w:rPr>
              <w:t>-</w:t>
            </w:r>
          </w:p>
        </w:tc>
        <w:tc>
          <w:tcPr>
            <w:tcW w:w="3118" w:type="dxa"/>
            <w:vAlign w:val="center"/>
          </w:tcPr>
          <w:p w:rsidR="00E3539E" w:rsidRDefault="002B6E28">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10,295,241.80</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6.45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E3539E">
        <w:tc>
          <w:tcPr>
            <w:tcW w:w="817" w:type="dxa"/>
            <w:vAlign w:val="center"/>
          </w:tcPr>
          <w:p w:rsidR="00E3539E" w:rsidRDefault="002B6E28">
            <w:pPr>
              <w:jc w:val="center"/>
            </w:pPr>
            <w:r>
              <w:rPr>
                <w:rFonts w:eastAsiaTheme="minorEastAsia"/>
                <w:kern w:val="0"/>
                <w:sz w:val="24"/>
                <w:szCs w:val="24"/>
              </w:rPr>
              <w:t>1</w:t>
            </w:r>
          </w:p>
        </w:tc>
        <w:tc>
          <w:tcPr>
            <w:tcW w:w="1276" w:type="dxa"/>
            <w:vAlign w:val="center"/>
          </w:tcPr>
          <w:p w:rsidR="00E3539E" w:rsidRDefault="002B6E28">
            <w:pPr>
              <w:jc w:val="center"/>
            </w:pPr>
            <w:r>
              <w:rPr>
                <w:rFonts w:eastAsiaTheme="minorEastAsia"/>
                <w:kern w:val="0"/>
                <w:sz w:val="24"/>
                <w:szCs w:val="24"/>
              </w:rPr>
              <w:t>002236</w:t>
            </w:r>
          </w:p>
        </w:tc>
        <w:tc>
          <w:tcPr>
            <w:tcW w:w="1701" w:type="dxa"/>
            <w:vAlign w:val="center"/>
          </w:tcPr>
          <w:p w:rsidR="00E3539E" w:rsidRDefault="002B6E28">
            <w:pPr>
              <w:jc w:val="center"/>
            </w:pPr>
            <w:r>
              <w:rPr>
                <w:rFonts w:eastAsiaTheme="minorEastAsia"/>
                <w:kern w:val="0"/>
                <w:sz w:val="24"/>
                <w:szCs w:val="24"/>
              </w:rPr>
              <w:t>大华股份</w:t>
            </w:r>
          </w:p>
        </w:tc>
        <w:tc>
          <w:tcPr>
            <w:tcW w:w="1276" w:type="dxa"/>
            <w:vAlign w:val="center"/>
          </w:tcPr>
          <w:p w:rsidR="00E3539E" w:rsidRDefault="002B6E28">
            <w:pPr>
              <w:jc w:val="right"/>
            </w:pPr>
            <w:r>
              <w:rPr>
                <w:rFonts w:eastAsiaTheme="minorEastAsia"/>
                <w:kern w:val="0"/>
                <w:sz w:val="24"/>
                <w:szCs w:val="24"/>
              </w:rPr>
              <w:t>284,200.00</w:t>
            </w:r>
          </w:p>
        </w:tc>
        <w:tc>
          <w:tcPr>
            <w:tcW w:w="1842" w:type="dxa"/>
            <w:vAlign w:val="center"/>
          </w:tcPr>
          <w:p w:rsidR="00E3539E" w:rsidRDefault="002B6E28">
            <w:pPr>
              <w:jc w:val="right"/>
            </w:pPr>
            <w:r>
              <w:rPr>
                <w:rFonts w:eastAsiaTheme="minorEastAsia"/>
                <w:kern w:val="0"/>
                <w:sz w:val="24"/>
                <w:szCs w:val="24"/>
              </w:rPr>
              <w:t>6,425,762.00</w:t>
            </w:r>
          </w:p>
        </w:tc>
        <w:tc>
          <w:tcPr>
            <w:tcW w:w="1616" w:type="dxa"/>
            <w:vAlign w:val="center"/>
          </w:tcPr>
          <w:p w:rsidR="00E3539E" w:rsidRDefault="002B6E28">
            <w:pPr>
              <w:jc w:val="right"/>
            </w:pPr>
            <w:r>
              <w:rPr>
                <w:rFonts w:eastAsiaTheme="minorEastAsia"/>
                <w:kern w:val="0"/>
                <w:sz w:val="24"/>
                <w:szCs w:val="24"/>
              </w:rPr>
              <w:t>4.03</w:t>
            </w:r>
          </w:p>
        </w:tc>
      </w:tr>
      <w:tr w:rsidR="00E3539E">
        <w:tc>
          <w:tcPr>
            <w:tcW w:w="817" w:type="dxa"/>
            <w:vAlign w:val="center"/>
          </w:tcPr>
          <w:p w:rsidR="00E3539E" w:rsidRDefault="002B6E28">
            <w:pPr>
              <w:jc w:val="center"/>
            </w:pPr>
            <w:r>
              <w:rPr>
                <w:rFonts w:eastAsiaTheme="minorEastAsia"/>
                <w:kern w:val="0"/>
                <w:sz w:val="24"/>
                <w:szCs w:val="24"/>
              </w:rPr>
              <w:t>2</w:t>
            </w:r>
          </w:p>
        </w:tc>
        <w:tc>
          <w:tcPr>
            <w:tcW w:w="1276" w:type="dxa"/>
            <w:vAlign w:val="center"/>
          </w:tcPr>
          <w:p w:rsidR="00E3539E" w:rsidRDefault="002B6E28">
            <w:pPr>
              <w:jc w:val="center"/>
            </w:pPr>
            <w:r>
              <w:rPr>
                <w:rFonts w:eastAsiaTheme="minorEastAsia"/>
                <w:kern w:val="0"/>
                <w:sz w:val="24"/>
                <w:szCs w:val="24"/>
              </w:rPr>
              <w:t>600079</w:t>
            </w:r>
          </w:p>
        </w:tc>
        <w:tc>
          <w:tcPr>
            <w:tcW w:w="1701" w:type="dxa"/>
            <w:vAlign w:val="center"/>
          </w:tcPr>
          <w:p w:rsidR="00E3539E" w:rsidRDefault="002B6E28">
            <w:pPr>
              <w:jc w:val="center"/>
            </w:pPr>
            <w:r>
              <w:rPr>
                <w:rFonts w:eastAsiaTheme="minorEastAsia"/>
                <w:kern w:val="0"/>
                <w:sz w:val="24"/>
                <w:szCs w:val="24"/>
              </w:rPr>
              <w:t>人福医药</w:t>
            </w:r>
          </w:p>
        </w:tc>
        <w:tc>
          <w:tcPr>
            <w:tcW w:w="1276" w:type="dxa"/>
            <w:vAlign w:val="center"/>
          </w:tcPr>
          <w:p w:rsidR="00E3539E" w:rsidRDefault="002B6E28">
            <w:pPr>
              <w:jc w:val="right"/>
            </w:pPr>
            <w:r>
              <w:rPr>
                <w:rFonts w:eastAsiaTheme="minorEastAsia"/>
                <w:kern w:val="0"/>
                <w:sz w:val="24"/>
                <w:szCs w:val="24"/>
              </w:rPr>
              <w:t>220,368.00</w:t>
            </w:r>
          </w:p>
        </w:tc>
        <w:tc>
          <w:tcPr>
            <w:tcW w:w="1842" w:type="dxa"/>
            <w:vAlign w:val="center"/>
          </w:tcPr>
          <w:p w:rsidR="00E3539E" w:rsidRDefault="002B6E28">
            <w:pPr>
              <w:jc w:val="right"/>
            </w:pPr>
            <w:r>
              <w:rPr>
                <w:rFonts w:eastAsiaTheme="minorEastAsia"/>
                <w:kern w:val="0"/>
                <w:sz w:val="24"/>
                <w:szCs w:val="24"/>
              </w:rPr>
              <w:t>5,901,455.04</w:t>
            </w:r>
          </w:p>
        </w:tc>
        <w:tc>
          <w:tcPr>
            <w:tcW w:w="1616" w:type="dxa"/>
            <w:vAlign w:val="center"/>
          </w:tcPr>
          <w:p w:rsidR="00E3539E" w:rsidRDefault="002B6E28">
            <w:pPr>
              <w:jc w:val="right"/>
            </w:pPr>
            <w:r>
              <w:rPr>
                <w:rFonts w:eastAsiaTheme="minorEastAsia"/>
                <w:kern w:val="0"/>
                <w:sz w:val="24"/>
                <w:szCs w:val="24"/>
              </w:rPr>
              <w:t>3.70</w:t>
            </w:r>
          </w:p>
        </w:tc>
      </w:tr>
      <w:tr w:rsidR="00E3539E">
        <w:tc>
          <w:tcPr>
            <w:tcW w:w="817" w:type="dxa"/>
            <w:vAlign w:val="center"/>
          </w:tcPr>
          <w:p w:rsidR="00E3539E" w:rsidRDefault="002B6E28">
            <w:pPr>
              <w:jc w:val="center"/>
            </w:pPr>
            <w:r>
              <w:rPr>
                <w:rFonts w:eastAsiaTheme="minorEastAsia"/>
                <w:kern w:val="0"/>
                <w:sz w:val="24"/>
                <w:szCs w:val="24"/>
              </w:rPr>
              <w:t>3</w:t>
            </w:r>
          </w:p>
        </w:tc>
        <w:tc>
          <w:tcPr>
            <w:tcW w:w="1276" w:type="dxa"/>
            <w:vAlign w:val="center"/>
          </w:tcPr>
          <w:p w:rsidR="00E3539E" w:rsidRDefault="002B6E28">
            <w:pPr>
              <w:jc w:val="center"/>
            </w:pPr>
            <w:r>
              <w:rPr>
                <w:rFonts w:eastAsiaTheme="minorEastAsia"/>
                <w:kern w:val="0"/>
                <w:sz w:val="24"/>
                <w:szCs w:val="24"/>
              </w:rPr>
              <w:t>600557</w:t>
            </w:r>
          </w:p>
        </w:tc>
        <w:tc>
          <w:tcPr>
            <w:tcW w:w="1701" w:type="dxa"/>
            <w:vAlign w:val="center"/>
          </w:tcPr>
          <w:p w:rsidR="00E3539E" w:rsidRDefault="002B6E28">
            <w:pPr>
              <w:jc w:val="center"/>
            </w:pPr>
            <w:r>
              <w:rPr>
                <w:rFonts w:eastAsiaTheme="minorEastAsia"/>
                <w:kern w:val="0"/>
                <w:sz w:val="24"/>
                <w:szCs w:val="24"/>
              </w:rPr>
              <w:t>康缘药业</w:t>
            </w:r>
          </w:p>
        </w:tc>
        <w:tc>
          <w:tcPr>
            <w:tcW w:w="1276" w:type="dxa"/>
            <w:vAlign w:val="center"/>
          </w:tcPr>
          <w:p w:rsidR="00E3539E" w:rsidRDefault="002B6E28">
            <w:pPr>
              <w:jc w:val="right"/>
            </w:pPr>
            <w:r>
              <w:rPr>
                <w:rFonts w:eastAsiaTheme="minorEastAsia"/>
                <w:kern w:val="0"/>
                <w:sz w:val="24"/>
                <w:szCs w:val="24"/>
              </w:rPr>
              <w:t>175,152.00</w:t>
            </w:r>
          </w:p>
        </w:tc>
        <w:tc>
          <w:tcPr>
            <w:tcW w:w="1842" w:type="dxa"/>
            <w:vAlign w:val="center"/>
          </w:tcPr>
          <w:p w:rsidR="00E3539E" w:rsidRDefault="002B6E28">
            <w:pPr>
              <w:jc w:val="right"/>
            </w:pPr>
            <w:r>
              <w:rPr>
                <w:rFonts w:eastAsiaTheme="minorEastAsia"/>
                <w:kern w:val="0"/>
                <w:sz w:val="24"/>
                <w:szCs w:val="24"/>
              </w:rPr>
              <w:t>5,610,118.56</w:t>
            </w:r>
          </w:p>
        </w:tc>
        <w:tc>
          <w:tcPr>
            <w:tcW w:w="1616" w:type="dxa"/>
            <w:vAlign w:val="center"/>
          </w:tcPr>
          <w:p w:rsidR="00E3539E" w:rsidRDefault="002B6E28">
            <w:pPr>
              <w:jc w:val="right"/>
            </w:pPr>
            <w:r>
              <w:rPr>
                <w:rFonts w:eastAsiaTheme="minorEastAsia"/>
                <w:kern w:val="0"/>
                <w:sz w:val="24"/>
                <w:szCs w:val="24"/>
              </w:rPr>
              <w:t>3.51</w:t>
            </w:r>
          </w:p>
        </w:tc>
      </w:tr>
      <w:tr w:rsidR="00E3539E">
        <w:tc>
          <w:tcPr>
            <w:tcW w:w="817" w:type="dxa"/>
            <w:vAlign w:val="center"/>
          </w:tcPr>
          <w:p w:rsidR="00E3539E" w:rsidRDefault="002B6E28">
            <w:pPr>
              <w:jc w:val="center"/>
            </w:pPr>
            <w:r>
              <w:rPr>
                <w:rFonts w:eastAsiaTheme="minorEastAsia"/>
                <w:kern w:val="0"/>
                <w:sz w:val="24"/>
                <w:szCs w:val="24"/>
              </w:rPr>
              <w:t>4</w:t>
            </w:r>
          </w:p>
        </w:tc>
        <w:tc>
          <w:tcPr>
            <w:tcW w:w="1276" w:type="dxa"/>
            <w:vAlign w:val="center"/>
          </w:tcPr>
          <w:p w:rsidR="00E3539E" w:rsidRDefault="002B6E28">
            <w:pPr>
              <w:jc w:val="center"/>
            </w:pPr>
            <w:r>
              <w:rPr>
                <w:rFonts w:eastAsiaTheme="minorEastAsia"/>
                <w:kern w:val="0"/>
                <w:sz w:val="24"/>
                <w:szCs w:val="24"/>
              </w:rPr>
              <w:t>000032</w:t>
            </w:r>
          </w:p>
        </w:tc>
        <w:tc>
          <w:tcPr>
            <w:tcW w:w="1701" w:type="dxa"/>
            <w:vAlign w:val="center"/>
          </w:tcPr>
          <w:p w:rsidR="00E3539E" w:rsidRDefault="002B6E28">
            <w:pPr>
              <w:jc w:val="center"/>
            </w:pPr>
            <w:r>
              <w:rPr>
                <w:rFonts w:eastAsiaTheme="minorEastAsia"/>
                <w:kern w:val="0"/>
                <w:sz w:val="24"/>
                <w:szCs w:val="24"/>
              </w:rPr>
              <w:t>深桑达</w:t>
            </w:r>
            <w:r>
              <w:rPr>
                <w:rFonts w:eastAsiaTheme="minorEastAsia"/>
                <w:kern w:val="0"/>
                <w:sz w:val="24"/>
                <w:szCs w:val="24"/>
              </w:rPr>
              <w:t>A</w:t>
            </w:r>
          </w:p>
        </w:tc>
        <w:tc>
          <w:tcPr>
            <w:tcW w:w="1276" w:type="dxa"/>
            <w:vAlign w:val="center"/>
          </w:tcPr>
          <w:p w:rsidR="00E3539E" w:rsidRDefault="002B6E28">
            <w:pPr>
              <w:jc w:val="right"/>
            </w:pPr>
            <w:r>
              <w:rPr>
                <w:rFonts w:eastAsiaTheme="minorEastAsia"/>
                <w:kern w:val="0"/>
                <w:sz w:val="24"/>
                <w:szCs w:val="24"/>
              </w:rPr>
              <w:t>164,066.00</w:t>
            </w:r>
          </w:p>
        </w:tc>
        <w:tc>
          <w:tcPr>
            <w:tcW w:w="1842" w:type="dxa"/>
            <w:vAlign w:val="center"/>
          </w:tcPr>
          <w:p w:rsidR="00E3539E" w:rsidRDefault="002B6E28">
            <w:pPr>
              <w:jc w:val="right"/>
            </w:pPr>
            <w:r>
              <w:rPr>
                <w:rFonts w:eastAsiaTheme="minorEastAsia"/>
                <w:kern w:val="0"/>
                <w:sz w:val="24"/>
                <w:szCs w:val="24"/>
              </w:rPr>
              <w:t>5,424,021.96</w:t>
            </w:r>
          </w:p>
        </w:tc>
        <w:tc>
          <w:tcPr>
            <w:tcW w:w="1616" w:type="dxa"/>
            <w:vAlign w:val="center"/>
          </w:tcPr>
          <w:p w:rsidR="00E3539E" w:rsidRDefault="002B6E28">
            <w:pPr>
              <w:jc w:val="right"/>
            </w:pPr>
            <w:r>
              <w:rPr>
                <w:rFonts w:eastAsiaTheme="minorEastAsia"/>
                <w:kern w:val="0"/>
                <w:sz w:val="24"/>
                <w:szCs w:val="24"/>
              </w:rPr>
              <w:t>3.40</w:t>
            </w:r>
          </w:p>
        </w:tc>
      </w:tr>
      <w:tr w:rsidR="00E3539E">
        <w:tc>
          <w:tcPr>
            <w:tcW w:w="817" w:type="dxa"/>
            <w:vAlign w:val="center"/>
          </w:tcPr>
          <w:p w:rsidR="00E3539E" w:rsidRDefault="002B6E28">
            <w:pPr>
              <w:jc w:val="center"/>
            </w:pPr>
            <w:r>
              <w:rPr>
                <w:rFonts w:eastAsiaTheme="minorEastAsia"/>
                <w:kern w:val="0"/>
                <w:sz w:val="24"/>
                <w:szCs w:val="24"/>
              </w:rPr>
              <w:t>5</w:t>
            </w:r>
          </w:p>
        </w:tc>
        <w:tc>
          <w:tcPr>
            <w:tcW w:w="1276" w:type="dxa"/>
            <w:vAlign w:val="center"/>
          </w:tcPr>
          <w:p w:rsidR="00E3539E" w:rsidRDefault="002B6E28">
            <w:pPr>
              <w:jc w:val="center"/>
            </w:pPr>
            <w:r>
              <w:rPr>
                <w:rFonts w:eastAsiaTheme="minorEastAsia"/>
                <w:kern w:val="0"/>
                <w:sz w:val="24"/>
                <w:szCs w:val="24"/>
              </w:rPr>
              <w:t>002063</w:t>
            </w:r>
          </w:p>
        </w:tc>
        <w:tc>
          <w:tcPr>
            <w:tcW w:w="1701" w:type="dxa"/>
            <w:vAlign w:val="center"/>
          </w:tcPr>
          <w:p w:rsidR="00E3539E" w:rsidRDefault="002B6E28">
            <w:pPr>
              <w:jc w:val="center"/>
            </w:pPr>
            <w:r>
              <w:rPr>
                <w:rFonts w:eastAsiaTheme="minorEastAsia"/>
                <w:kern w:val="0"/>
                <w:sz w:val="24"/>
                <w:szCs w:val="24"/>
              </w:rPr>
              <w:t>远光软件</w:t>
            </w:r>
          </w:p>
        </w:tc>
        <w:tc>
          <w:tcPr>
            <w:tcW w:w="1276" w:type="dxa"/>
            <w:vAlign w:val="center"/>
          </w:tcPr>
          <w:p w:rsidR="00E3539E" w:rsidRDefault="002B6E28">
            <w:pPr>
              <w:jc w:val="right"/>
            </w:pPr>
            <w:r>
              <w:rPr>
                <w:rFonts w:eastAsiaTheme="minorEastAsia"/>
                <w:kern w:val="0"/>
                <w:sz w:val="24"/>
                <w:szCs w:val="24"/>
              </w:rPr>
              <w:t>577,890.00</w:t>
            </w:r>
          </w:p>
        </w:tc>
        <w:tc>
          <w:tcPr>
            <w:tcW w:w="1842" w:type="dxa"/>
            <w:vAlign w:val="center"/>
          </w:tcPr>
          <w:p w:rsidR="00E3539E" w:rsidRDefault="002B6E28">
            <w:pPr>
              <w:jc w:val="right"/>
            </w:pPr>
            <w:r>
              <w:rPr>
                <w:rFonts w:eastAsiaTheme="minorEastAsia"/>
                <w:kern w:val="0"/>
                <w:sz w:val="24"/>
                <w:szCs w:val="24"/>
              </w:rPr>
              <w:t>5,403,271.50</w:t>
            </w:r>
          </w:p>
        </w:tc>
        <w:tc>
          <w:tcPr>
            <w:tcW w:w="1616" w:type="dxa"/>
            <w:vAlign w:val="center"/>
          </w:tcPr>
          <w:p w:rsidR="00E3539E" w:rsidRDefault="002B6E28">
            <w:pPr>
              <w:jc w:val="right"/>
            </w:pPr>
            <w:r>
              <w:rPr>
                <w:rFonts w:eastAsiaTheme="minorEastAsia"/>
                <w:kern w:val="0"/>
                <w:sz w:val="24"/>
                <w:szCs w:val="24"/>
              </w:rPr>
              <w:t>3.39</w:t>
            </w:r>
          </w:p>
        </w:tc>
      </w:tr>
      <w:tr w:rsidR="00E3539E">
        <w:tc>
          <w:tcPr>
            <w:tcW w:w="817" w:type="dxa"/>
            <w:vAlign w:val="center"/>
          </w:tcPr>
          <w:p w:rsidR="00E3539E" w:rsidRDefault="002B6E28">
            <w:pPr>
              <w:jc w:val="center"/>
            </w:pPr>
            <w:r>
              <w:rPr>
                <w:rFonts w:eastAsiaTheme="minorEastAsia"/>
                <w:kern w:val="0"/>
                <w:sz w:val="24"/>
                <w:szCs w:val="24"/>
              </w:rPr>
              <w:t>6</w:t>
            </w:r>
          </w:p>
        </w:tc>
        <w:tc>
          <w:tcPr>
            <w:tcW w:w="1276" w:type="dxa"/>
            <w:vAlign w:val="center"/>
          </w:tcPr>
          <w:p w:rsidR="00E3539E" w:rsidRDefault="002B6E28">
            <w:pPr>
              <w:jc w:val="center"/>
            </w:pPr>
            <w:r>
              <w:rPr>
                <w:rFonts w:eastAsiaTheme="minorEastAsia"/>
                <w:kern w:val="0"/>
                <w:sz w:val="24"/>
                <w:szCs w:val="24"/>
              </w:rPr>
              <w:t>688100</w:t>
            </w:r>
          </w:p>
        </w:tc>
        <w:tc>
          <w:tcPr>
            <w:tcW w:w="1701" w:type="dxa"/>
            <w:vAlign w:val="center"/>
          </w:tcPr>
          <w:p w:rsidR="00E3539E" w:rsidRDefault="002B6E28">
            <w:pPr>
              <w:jc w:val="center"/>
            </w:pPr>
            <w:r>
              <w:rPr>
                <w:rFonts w:eastAsiaTheme="minorEastAsia"/>
                <w:kern w:val="0"/>
                <w:sz w:val="24"/>
                <w:szCs w:val="24"/>
              </w:rPr>
              <w:t>威胜信息</w:t>
            </w:r>
          </w:p>
        </w:tc>
        <w:tc>
          <w:tcPr>
            <w:tcW w:w="1276" w:type="dxa"/>
            <w:vAlign w:val="center"/>
          </w:tcPr>
          <w:p w:rsidR="00E3539E" w:rsidRDefault="002B6E28">
            <w:pPr>
              <w:jc w:val="right"/>
            </w:pPr>
            <w:r>
              <w:rPr>
                <w:rFonts w:eastAsiaTheme="minorEastAsia"/>
                <w:kern w:val="0"/>
                <w:sz w:val="24"/>
                <w:szCs w:val="24"/>
              </w:rPr>
              <w:t>171,153.00</w:t>
            </w:r>
          </w:p>
        </w:tc>
        <w:tc>
          <w:tcPr>
            <w:tcW w:w="1842" w:type="dxa"/>
            <w:vAlign w:val="center"/>
          </w:tcPr>
          <w:p w:rsidR="00E3539E" w:rsidRDefault="002B6E28">
            <w:pPr>
              <w:jc w:val="right"/>
            </w:pPr>
            <w:r>
              <w:rPr>
                <w:rFonts w:eastAsiaTheme="minorEastAsia"/>
                <w:kern w:val="0"/>
                <w:sz w:val="24"/>
                <w:szCs w:val="24"/>
              </w:rPr>
              <w:t>5,199,628.14</w:t>
            </w:r>
          </w:p>
        </w:tc>
        <w:tc>
          <w:tcPr>
            <w:tcW w:w="1616" w:type="dxa"/>
            <w:vAlign w:val="center"/>
          </w:tcPr>
          <w:p w:rsidR="00E3539E" w:rsidRDefault="002B6E28">
            <w:pPr>
              <w:jc w:val="right"/>
            </w:pPr>
            <w:r>
              <w:rPr>
                <w:rFonts w:eastAsiaTheme="minorEastAsia"/>
                <w:kern w:val="0"/>
                <w:sz w:val="24"/>
                <w:szCs w:val="24"/>
              </w:rPr>
              <w:t>3.26</w:t>
            </w:r>
          </w:p>
        </w:tc>
      </w:tr>
      <w:tr w:rsidR="00E3539E">
        <w:tc>
          <w:tcPr>
            <w:tcW w:w="817" w:type="dxa"/>
            <w:vAlign w:val="center"/>
          </w:tcPr>
          <w:p w:rsidR="00E3539E" w:rsidRDefault="002B6E28">
            <w:pPr>
              <w:jc w:val="center"/>
            </w:pPr>
            <w:r>
              <w:rPr>
                <w:rFonts w:eastAsiaTheme="minorEastAsia"/>
                <w:kern w:val="0"/>
                <w:sz w:val="24"/>
                <w:szCs w:val="24"/>
              </w:rPr>
              <w:t>7</w:t>
            </w:r>
          </w:p>
        </w:tc>
        <w:tc>
          <w:tcPr>
            <w:tcW w:w="1276" w:type="dxa"/>
            <w:vAlign w:val="center"/>
          </w:tcPr>
          <w:p w:rsidR="00E3539E" w:rsidRDefault="002B6E28">
            <w:pPr>
              <w:jc w:val="center"/>
            </w:pPr>
            <w:r>
              <w:rPr>
                <w:rFonts w:eastAsiaTheme="minorEastAsia"/>
                <w:kern w:val="0"/>
                <w:sz w:val="24"/>
                <w:szCs w:val="24"/>
              </w:rPr>
              <w:t>002459</w:t>
            </w:r>
          </w:p>
        </w:tc>
        <w:tc>
          <w:tcPr>
            <w:tcW w:w="1701" w:type="dxa"/>
            <w:vAlign w:val="center"/>
          </w:tcPr>
          <w:p w:rsidR="00E3539E" w:rsidRDefault="002B6E28">
            <w:pPr>
              <w:jc w:val="center"/>
            </w:pPr>
            <w:r>
              <w:rPr>
                <w:rFonts w:eastAsiaTheme="minorEastAsia"/>
                <w:kern w:val="0"/>
                <w:sz w:val="24"/>
                <w:szCs w:val="24"/>
              </w:rPr>
              <w:t>晶澳科技</w:t>
            </w:r>
          </w:p>
        </w:tc>
        <w:tc>
          <w:tcPr>
            <w:tcW w:w="1276" w:type="dxa"/>
            <w:vAlign w:val="center"/>
          </w:tcPr>
          <w:p w:rsidR="00E3539E" w:rsidRDefault="002B6E28">
            <w:pPr>
              <w:jc w:val="right"/>
            </w:pPr>
            <w:r>
              <w:rPr>
                <w:rFonts w:eastAsiaTheme="minorEastAsia"/>
                <w:kern w:val="0"/>
                <w:sz w:val="24"/>
                <w:szCs w:val="24"/>
              </w:rPr>
              <w:t>82,700.00</w:t>
            </w:r>
          </w:p>
        </w:tc>
        <w:tc>
          <w:tcPr>
            <w:tcW w:w="1842" w:type="dxa"/>
            <w:vAlign w:val="center"/>
          </w:tcPr>
          <w:p w:rsidR="00E3539E" w:rsidRDefault="002B6E28">
            <w:pPr>
              <w:jc w:val="right"/>
            </w:pPr>
            <w:r>
              <w:rPr>
                <w:rFonts w:eastAsiaTheme="minorEastAsia"/>
                <w:kern w:val="0"/>
                <w:sz w:val="24"/>
                <w:szCs w:val="24"/>
              </w:rPr>
              <w:t>4,742,018.00</w:t>
            </w:r>
          </w:p>
        </w:tc>
        <w:tc>
          <w:tcPr>
            <w:tcW w:w="1616" w:type="dxa"/>
            <w:vAlign w:val="center"/>
          </w:tcPr>
          <w:p w:rsidR="00E3539E" w:rsidRDefault="002B6E28">
            <w:pPr>
              <w:jc w:val="right"/>
            </w:pPr>
            <w:r>
              <w:rPr>
                <w:rFonts w:eastAsiaTheme="minorEastAsia"/>
                <w:kern w:val="0"/>
                <w:sz w:val="24"/>
                <w:szCs w:val="24"/>
              </w:rPr>
              <w:t>2.97</w:t>
            </w:r>
          </w:p>
        </w:tc>
      </w:tr>
      <w:tr w:rsidR="00E3539E">
        <w:tc>
          <w:tcPr>
            <w:tcW w:w="817" w:type="dxa"/>
            <w:vAlign w:val="center"/>
          </w:tcPr>
          <w:p w:rsidR="00E3539E" w:rsidRDefault="002B6E28">
            <w:pPr>
              <w:jc w:val="center"/>
            </w:pPr>
            <w:r>
              <w:rPr>
                <w:rFonts w:eastAsiaTheme="minorEastAsia"/>
                <w:kern w:val="0"/>
                <w:sz w:val="24"/>
                <w:szCs w:val="24"/>
              </w:rPr>
              <w:t>8</w:t>
            </w:r>
          </w:p>
        </w:tc>
        <w:tc>
          <w:tcPr>
            <w:tcW w:w="1276" w:type="dxa"/>
            <w:vAlign w:val="center"/>
          </w:tcPr>
          <w:p w:rsidR="00E3539E" w:rsidRDefault="002B6E28">
            <w:pPr>
              <w:jc w:val="center"/>
            </w:pPr>
            <w:r>
              <w:rPr>
                <w:rFonts w:eastAsiaTheme="minorEastAsia"/>
                <w:kern w:val="0"/>
                <w:sz w:val="24"/>
                <w:szCs w:val="24"/>
              </w:rPr>
              <w:t>601117</w:t>
            </w:r>
          </w:p>
        </w:tc>
        <w:tc>
          <w:tcPr>
            <w:tcW w:w="1701" w:type="dxa"/>
            <w:vAlign w:val="center"/>
          </w:tcPr>
          <w:p w:rsidR="00E3539E" w:rsidRDefault="002B6E28">
            <w:pPr>
              <w:jc w:val="center"/>
            </w:pPr>
            <w:r>
              <w:rPr>
                <w:rFonts w:eastAsiaTheme="minorEastAsia"/>
                <w:kern w:val="0"/>
                <w:sz w:val="24"/>
                <w:szCs w:val="24"/>
              </w:rPr>
              <w:t>中国化学</w:t>
            </w:r>
          </w:p>
        </w:tc>
        <w:tc>
          <w:tcPr>
            <w:tcW w:w="1276" w:type="dxa"/>
            <w:vAlign w:val="center"/>
          </w:tcPr>
          <w:p w:rsidR="00E3539E" w:rsidRDefault="002B6E28">
            <w:pPr>
              <w:jc w:val="right"/>
            </w:pPr>
            <w:r>
              <w:rPr>
                <w:rFonts w:eastAsiaTheme="minorEastAsia"/>
                <w:kern w:val="0"/>
                <w:sz w:val="24"/>
                <w:szCs w:val="24"/>
              </w:rPr>
              <w:t>462,900.00</w:t>
            </w:r>
          </w:p>
        </w:tc>
        <w:tc>
          <w:tcPr>
            <w:tcW w:w="1842" w:type="dxa"/>
            <w:vAlign w:val="center"/>
          </w:tcPr>
          <w:p w:rsidR="00E3539E" w:rsidRDefault="002B6E28">
            <w:pPr>
              <w:jc w:val="right"/>
            </w:pPr>
            <w:r>
              <w:rPr>
                <w:rFonts w:eastAsiaTheme="minorEastAsia"/>
                <w:kern w:val="0"/>
                <w:sz w:val="24"/>
                <w:szCs w:val="24"/>
              </w:rPr>
              <w:t>4,295,712.00</w:t>
            </w:r>
          </w:p>
        </w:tc>
        <w:tc>
          <w:tcPr>
            <w:tcW w:w="1616" w:type="dxa"/>
            <w:vAlign w:val="center"/>
          </w:tcPr>
          <w:p w:rsidR="00E3539E" w:rsidRDefault="002B6E28">
            <w:pPr>
              <w:jc w:val="right"/>
            </w:pPr>
            <w:r>
              <w:rPr>
                <w:rFonts w:eastAsiaTheme="minorEastAsia"/>
                <w:kern w:val="0"/>
                <w:sz w:val="24"/>
                <w:szCs w:val="24"/>
              </w:rPr>
              <w:t>2.69</w:t>
            </w:r>
          </w:p>
        </w:tc>
      </w:tr>
      <w:tr w:rsidR="00E3539E">
        <w:tc>
          <w:tcPr>
            <w:tcW w:w="817" w:type="dxa"/>
            <w:vAlign w:val="center"/>
          </w:tcPr>
          <w:p w:rsidR="00E3539E" w:rsidRDefault="002B6E28">
            <w:pPr>
              <w:jc w:val="center"/>
            </w:pPr>
            <w:r>
              <w:rPr>
                <w:rFonts w:eastAsiaTheme="minorEastAsia"/>
                <w:kern w:val="0"/>
                <w:sz w:val="24"/>
                <w:szCs w:val="24"/>
              </w:rPr>
              <w:lastRenderedPageBreak/>
              <w:t>9</w:t>
            </w:r>
          </w:p>
        </w:tc>
        <w:tc>
          <w:tcPr>
            <w:tcW w:w="1276" w:type="dxa"/>
            <w:vAlign w:val="center"/>
          </w:tcPr>
          <w:p w:rsidR="00E3539E" w:rsidRDefault="002B6E28">
            <w:pPr>
              <w:jc w:val="center"/>
            </w:pPr>
            <w:r>
              <w:rPr>
                <w:rFonts w:eastAsiaTheme="minorEastAsia"/>
                <w:kern w:val="0"/>
                <w:sz w:val="24"/>
                <w:szCs w:val="24"/>
              </w:rPr>
              <w:t>603345</w:t>
            </w:r>
          </w:p>
        </w:tc>
        <w:tc>
          <w:tcPr>
            <w:tcW w:w="1701" w:type="dxa"/>
            <w:vAlign w:val="center"/>
          </w:tcPr>
          <w:p w:rsidR="00E3539E" w:rsidRDefault="002B6E28">
            <w:pPr>
              <w:jc w:val="center"/>
            </w:pPr>
            <w:r>
              <w:rPr>
                <w:rFonts w:eastAsiaTheme="minorEastAsia"/>
                <w:kern w:val="0"/>
                <w:sz w:val="24"/>
                <w:szCs w:val="24"/>
              </w:rPr>
              <w:t>安井食品</w:t>
            </w:r>
          </w:p>
        </w:tc>
        <w:tc>
          <w:tcPr>
            <w:tcW w:w="1276" w:type="dxa"/>
            <w:vAlign w:val="center"/>
          </w:tcPr>
          <w:p w:rsidR="00E3539E" w:rsidRDefault="002B6E28">
            <w:pPr>
              <w:jc w:val="right"/>
            </w:pPr>
            <w:r>
              <w:rPr>
                <w:rFonts w:eastAsiaTheme="minorEastAsia"/>
                <w:kern w:val="0"/>
                <w:sz w:val="24"/>
                <w:szCs w:val="24"/>
              </w:rPr>
              <w:t>22,707.00</w:t>
            </w:r>
          </w:p>
        </w:tc>
        <w:tc>
          <w:tcPr>
            <w:tcW w:w="1842" w:type="dxa"/>
            <w:vAlign w:val="center"/>
          </w:tcPr>
          <w:p w:rsidR="00E3539E" w:rsidRDefault="002B6E28">
            <w:pPr>
              <w:jc w:val="right"/>
            </w:pPr>
            <w:r>
              <w:rPr>
                <w:rFonts w:eastAsiaTheme="minorEastAsia"/>
                <w:kern w:val="0"/>
                <w:sz w:val="24"/>
                <w:szCs w:val="24"/>
              </w:rPr>
              <w:t>3,715,546.41</w:t>
            </w:r>
          </w:p>
        </w:tc>
        <w:tc>
          <w:tcPr>
            <w:tcW w:w="1616" w:type="dxa"/>
            <w:vAlign w:val="center"/>
          </w:tcPr>
          <w:p w:rsidR="00E3539E" w:rsidRDefault="002B6E28">
            <w:pPr>
              <w:jc w:val="right"/>
            </w:pPr>
            <w:r>
              <w:rPr>
                <w:rFonts w:eastAsiaTheme="minorEastAsia"/>
                <w:kern w:val="0"/>
                <w:sz w:val="24"/>
                <w:szCs w:val="24"/>
              </w:rPr>
              <w:t>2.33</w:t>
            </w:r>
          </w:p>
        </w:tc>
      </w:tr>
      <w:tr w:rsidR="00E3539E">
        <w:tc>
          <w:tcPr>
            <w:tcW w:w="817" w:type="dxa"/>
            <w:vAlign w:val="center"/>
          </w:tcPr>
          <w:p w:rsidR="00E3539E" w:rsidRDefault="002B6E28">
            <w:pPr>
              <w:jc w:val="center"/>
            </w:pPr>
            <w:r>
              <w:rPr>
                <w:rFonts w:eastAsiaTheme="minorEastAsia"/>
                <w:kern w:val="0"/>
                <w:sz w:val="24"/>
                <w:szCs w:val="24"/>
              </w:rPr>
              <w:t>10</w:t>
            </w:r>
          </w:p>
        </w:tc>
        <w:tc>
          <w:tcPr>
            <w:tcW w:w="1276" w:type="dxa"/>
            <w:vAlign w:val="center"/>
          </w:tcPr>
          <w:p w:rsidR="00E3539E" w:rsidRDefault="002B6E28">
            <w:pPr>
              <w:jc w:val="center"/>
            </w:pPr>
            <w:r>
              <w:rPr>
                <w:rFonts w:eastAsiaTheme="minorEastAsia"/>
                <w:kern w:val="0"/>
                <w:sz w:val="24"/>
                <w:szCs w:val="24"/>
              </w:rPr>
              <w:t>002180</w:t>
            </w:r>
          </w:p>
        </w:tc>
        <w:tc>
          <w:tcPr>
            <w:tcW w:w="1701" w:type="dxa"/>
            <w:vAlign w:val="center"/>
          </w:tcPr>
          <w:p w:rsidR="00E3539E" w:rsidRDefault="002B6E28">
            <w:pPr>
              <w:jc w:val="center"/>
            </w:pPr>
            <w:r>
              <w:rPr>
                <w:rFonts w:eastAsiaTheme="minorEastAsia"/>
                <w:kern w:val="0"/>
                <w:sz w:val="24"/>
                <w:szCs w:val="24"/>
              </w:rPr>
              <w:t>纳思达</w:t>
            </w:r>
          </w:p>
        </w:tc>
        <w:tc>
          <w:tcPr>
            <w:tcW w:w="1276" w:type="dxa"/>
            <w:vAlign w:val="center"/>
          </w:tcPr>
          <w:p w:rsidR="00E3539E" w:rsidRDefault="002B6E28">
            <w:pPr>
              <w:jc w:val="right"/>
            </w:pPr>
            <w:r>
              <w:rPr>
                <w:rFonts w:eastAsiaTheme="minorEastAsia"/>
                <w:kern w:val="0"/>
                <w:sz w:val="24"/>
                <w:szCs w:val="24"/>
              </w:rPr>
              <w:t>80,604.00</w:t>
            </w:r>
          </w:p>
        </w:tc>
        <w:tc>
          <w:tcPr>
            <w:tcW w:w="1842" w:type="dxa"/>
            <w:vAlign w:val="center"/>
          </w:tcPr>
          <w:p w:rsidR="00E3539E" w:rsidRDefault="002B6E28">
            <w:pPr>
              <w:jc w:val="right"/>
            </w:pPr>
            <w:r>
              <w:rPr>
                <w:rFonts w:eastAsiaTheme="minorEastAsia"/>
                <w:kern w:val="0"/>
                <w:sz w:val="24"/>
                <w:szCs w:val="24"/>
              </w:rPr>
              <w:t>3,612,671.28</w:t>
            </w:r>
          </w:p>
        </w:tc>
        <w:tc>
          <w:tcPr>
            <w:tcW w:w="1616" w:type="dxa"/>
            <w:vAlign w:val="center"/>
          </w:tcPr>
          <w:p w:rsidR="00E3539E" w:rsidRDefault="002B6E28">
            <w:pPr>
              <w:jc w:val="right"/>
            </w:pPr>
            <w:r>
              <w:rPr>
                <w:rFonts w:eastAsiaTheme="minorEastAsia"/>
                <w:kern w:val="0"/>
                <w:sz w:val="24"/>
                <w:szCs w:val="24"/>
              </w:rPr>
              <w:t>2.26</w:t>
            </w:r>
          </w:p>
        </w:tc>
      </w:tr>
      <w:bookmarkEnd w:id="2"/>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本基金投资的前十名证券的发行主体中，人福医药集团股份公司（股票代码</w:t>
      </w:r>
      <w:r w:rsidRPr="00FF6B9A">
        <w:rPr>
          <w:rFonts w:eastAsiaTheme="minorEastAsia"/>
          <w:color w:val="000000" w:themeColor="text1"/>
          <w:sz w:val="24"/>
          <w:szCs w:val="24"/>
        </w:rPr>
        <w:t>600079</w:t>
      </w:r>
      <w:r w:rsidRPr="00FF6B9A">
        <w:rPr>
          <w:rFonts w:eastAsiaTheme="minorEastAsia"/>
          <w:color w:val="000000" w:themeColor="text1"/>
          <w:sz w:val="24"/>
          <w:szCs w:val="24"/>
        </w:rPr>
        <w:t>）在报告编制日前一年内曾受到上海证券交易所的处罚。</w:t>
      </w:r>
    </w:p>
    <w:p w:rsidR="00E3539E" w:rsidRDefault="002B6E28">
      <w:pPr>
        <w:spacing w:line="360" w:lineRule="auto"/>
        <w:rPr>
          <w:rFonts w:eastAsiaTheme="minorEastAsia"/>
          <w:color w:val="000000" w:themeColor="text1"/>
          <w:sz w:val="24"/>
          <w:szCs w:val="24"/>
        </w:rPr>
      </w:pPr>
      <w:r>
        <w:rPr>
          <w:rFonts w:eastAsiaTheme="minorEastAsia"/>
          <w:color w:val="000000" w:themeColor="text1"/>
          <w:sz w:val="24"/>
          <w:szCs w:val="24"/>
        </w:rPr>
        <w:t>本基金对上述主体所发行证券的投资决策程序符合相关法律法规、基金合同及公司投资制度的要求。</w:t>
      </w:r>
    </w:p>
    <w:p w:rsidR="00E3539E" w:rsidRDefault="002B6E28">
      <w:pPr>
        <w:spacing w:line="360" w:lineRule="auto"/>
        <w:rPr>
          <w:rFonts w:eastAsiaTheme="minorEastAsia"/>
          <w:color w:val="000000" w:themeColor="text1"/>
          <w:sz w:val="24"/>
          <w:szCs w:val="24"/>
        </w:rPr>
      </w:pPr>
      <w:r>
        <w:rPr>
          <w:rFonts w:eastAsiaTheme="minorEastAsia"/>
          <w:color w:val="000000" w:themeColor="text1"/>
          <w:sz w:val="24"/>
          <w:szCs w:val="24"/>
        </w:rPr>
        <w:lastRenderedPageBreak/>
        <w:t>除上述股票外，本基金投资的其余前十名证券的发行主体本期未出现被监管部门立案调查，或在报告编制日前一年内受到公开谴责、处罚的情形。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82,606.06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41,008.81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75.89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123,690.76</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217,237,973.53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184,241.24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32,461,372.02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184,960,842.75</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10.81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E3539E">
        <w:tc>
          <w:tcPr>
            <w:tcW w:w="993" w:type="dxa"/>
            <w:vMerge w:val="restart"/>
            <w:vAlign w:val="center"/>
          </w:tcPr>
          <w:p w:rsidR="00E3539E" w:rsidRDefault="002B6E28">
            <w:r>
              <w:rPr>
                <w:bCs/>
                <w:color w:val="000000"/>
                <w:kern w:val="0"/>
              </w:rPr>
              <w:t>机构</w:t>
            </w:r>
          </w:p>
        </w:tc>
        <w:tc>
          <w:tcPr>
            <w:tcW w:w="992" w:type="dxa"/>
            <w:vAlign w:val="center"/>
          </w:tcPr>
          <w:p w:rsidR="00E3539E" w:rsidRDefault="002B6E28">
            <w:pPr>
              <w:jc w:val="center"/>
            </w:pPr>
            <w:r>
              <w:rPr>
                <w:color w:val="000000"/>
                <w:kern w:val="0"/>
              </w:rPr>
              <w:t>1</w:t>
            </w:r>
          </w:p>
        </w:tc>
        <w:tc>
          <w:tcPr>
            <w:tcW w:w="1843" w:type="dxa"/>
            <w:vAlign w:val="center"/>
          </w:tcPr>
          <w:p w:rsidR="00E3539E" w:rsidRDefault="002B6E28">
            <w:pPr>
              <w:jc w:val="center"/>
            </w:pPr>
            <w:r>
              <w:rPr>
                <w:color w:val="000000"/>
                <w:kern w:val="0"/>
              </w:rPr>
              <w:t>20230101-20230331</w:t>
            </w:r>
          </w:p>
        </w:tc>
        <w:tc>
          <w:tcPr>
            <w:tcW w:w="851" w:type="dxa"/>
            <w:vAlign w:val="center"/>
          </w:tcPr>
          <w:p w:rsidR="00E3539E" w:rsidRDefault="002B6E28">
            <w:pPr>
              <w:jc w:val="center"/>
            </w:pPr>
            <w:r>
              <w:rPr>
                <w:color w:val="000000"/>
                <w:kern w:val="0"/>
              </w:rPr>
              <w:t>60,010,500.00</w:t>
            </w:r>
          </w:p>
        </w:tc>
        <w:tc>
          <w:tcPr>
            <w:tcW w:w="850" w:type="dxa"/>
            <w:vAlign w:val="center"/>
          </w:tcPr>
          <w:p w:rsidR="00E3539E" w:rsidRDefault="002B6E28">
            <w:pPr>
              <w:jc w:val="center"/>
            </w:pPr>
            <w:r>
              <w:rPr>
                <w:color w:val="000000"/>
                <w:kern w:val="0"/>
              </w:rPr>
              <w:t>0.00</w:t>
            </w:r>
          </w:p>
        </w:tc>
        <w:tc>
          <w:tcPr>
            <w:tcW w:w="1134" w:type="dxa"/>
            <w:vAlign w:val="center"/>
          </w:tcPr>
          <w:p w:rsidR="00E3539E" w:rsidRDefault="002B6E28">
            <w:pPr>
              <w:jc w:val="center"/>
            </w:pPr>
            <w:r>
              <w:rPr>
                <w:color w:val="000000"/>
                <w:kern w:val="0"/>
              </w:rPr>
              <w:t>0.00</w:t>
            </w:r>
          </w:p>
        </w:tc>
        <w:tc>
          <w:tcPr>
            <w:tcW w:w="1419" w:type="dxa"/>
            <w:vAlign w:val="center"/>
          </w:tcPr>
          <w:p w:rsidR="00E3539E" w:rsidRDefault="002B6E28">
            <w:pPr>
              <w:jc w:val="center"/>
            </w:pPr>
            <w:r>
              <w:rPr>
                <w:color w:val="000000"/>
                <w:kern w:val="0"/>
              </w:rPr>
              <w:t>60,010,500.00</w:t>
            </w:r>
          </w:p>
        </w:tc>
        <w:tc>
          <w:tcPr>
            <w:tcW w:w="1130" w:type="dxa"/>
            <w:vAlign w:val="center"/>
          </w:tcPr>
          <w:p w:rsidR="00E3539E" w:rsidRDefault="002B6E28">
            <w:pPr>
              <w:jc w:val="center"/>
            </w:pPr>
            <w:r>
              <w:rPr>
                <w:color w:val="000000"/>
                <w:kern w:val="0"/>
              </w:rPr>
              <w:t>32.44%</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lastRenderedPageBreak/>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摩根鑫睿优选一年持有期混合型证券投资基金基金合同</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摩根鑫睿优选一年持有期混合型证券投资基金托管协议</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E3539E" w:rsidRDefault="002B6E2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二〇二三年四月二十一日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137C83" w:rsidRPr="00137C83">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137C83">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摩根鑫睿优选一年持有期混合型证券投资基金</w:t>
    </w:r>
    <w:r>
      <w:rPr>
        <w:rFonts w:hint="eastAsia"/>
      </w:rPr>
      <w:t>2023</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37C83"/>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B6E28"/>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3539E"/>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A6F-9125-4955-A580-87A7F1A8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270</cp:revision>
  <dcterms:created xsi:type="dcterms:W3CDTF">2012-10-16T06:07:00Z</dcterms:created>
  <dcterms:modified xsi:type="dcterms:W3CDTF">2023-04-20T05:40:00Z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