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摩根鑫睿优选一年持有期混合型证券投资基金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年第</w:t>
      </w:r>
      <w:r w:rsidRPr="00FF6B9A">
        <w:rPr>
          <w:rFonts w:eastAsiaTheme="minorEastAsia"/>
          <w:b/>
          <w:color w:val="000000" w:themeColor="text1"/>
          <w:sz w:val="36"/>
          <w:szCs w:val="36"/>
        </w:rPr>
        <w:t>4</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w:t>
      </w:r>
      <w:r w:rsidRPr="00FF6B9A">
        <w:rPr>
          <w:rFonts w:eastAsiaTheme="minorEastAsia"/>
          <w:b/>
          <w:color w:val="000000" w:themeColor="text1"/>
          <w:sz w:val="36"/>
          <w:szCs w:val="36"/>
        </w:rPr>
        <w:t>12</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基金托管人：兴业银行股份有限公司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报告送出日期：二〇二四年一月二十二日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FC7E07" w:rsidRDefault="00D200C0">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FC7E07" w:rsidRDefault="00D200C0">
      <w:pPr>
        <w:spacing w:line="360" w:lineRule="auto"/>
        <w:ind w:firstLineChars="200" w:firstLine="420"/>
        <w:rPr>
          <w:rFonts w:eastAsiaTheme="minorEastAsia"/>
          <w:color w:val="000000" w:themeColor="text1"/>
        </w:rPr>
      </w:pPr>
      <w:r>
        <w:rPr>
          <w:rFonts w:eastAsiaTheme="minorEastAsia"/>
          <w:color w:val="000000" w:themeColor="text1"/>
        </w:rPr>
        <w:t>基金托管人兴业银行股份有限公司根据本基金合同规定，于</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FC7E07" w:rsidRDefault="00D200C0">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FC7E07" w:rsidRDefault="00D200C0">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FC7E07" w:rsidRDefault="00D200C0">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摩根鑫睿优选一年持有期混合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012904</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012904</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2022</w:t>
            </w:r>
            <w:r w:rsidRPr="00FF6B9A">
              <w:rPr>
                <w:rFonts w:eastAsiaTheme="minorEastAsia"/>
                <w:color w:val="000000" w:themeColor="text1"/>
                <w:kern w:val="0"/>
              </w:rPr>
              <w:t>年</w:t>
            </w:r>
            <w:r w:rsidRPr="00FF6B9A">
              <w:rPr>
                <w:rFonts w:eastAsiaTheme="minorEastAsia"/>
                <w:color w:val="000000" w:themeColor="text1"/>
                <w:kern w:val="0"/>
              </w:rPr>
              <w:t>3</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157,636,421.35</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在严格的风险控制的前提下，采用定性与定量的分析，自上而下进行宏观分析和行业配置，自下而上精选个股，力争实现基金资产的长期增值。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FC7E07" w:rsidRDefault="00D200C0">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FC7E07" w:rsidRDefault="00D200C0">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FC7E07" w:rsidRDefault="00D200C0">
            <w:pPr>
              <w:adjustRightInd w:val="0"/>
              <w:spacing w:before="29" w:line="360" w:lineRule="auto"/>
              <w:ind w:left="17"/>
              <w:rPr>
                <w:rFonts w:eastAsiaTheme="minorEastAsia"/>
                <w:color w:val="000000" w:themeColor="text1"/>
              </w:rPr>
            </w:pPr>
            <w:r>
              <w:rPr>
                <w:rFonts w:eastAsiaTheme="minorEastAsia"/>
                <w:color w:val="000000" w:themeColor="text1"/>
                <w:kern w:val="0"/>
              </w:rPr>
              <w:t>在控制风险的前提下，本基金将优先配置股票资产，本基金股票资产占基金资产的投资比例为</w:t>
            </w:r>
            <w:r>
              <w:rPr>
                <w:rFonts w:eastAsiaTheme="minorEastAsia"/>
                <w:color w:val="000000" w:themeColor="text1"/>
                <w:kern w:val="0"/>
              </w:rPr>
              <w:t>60%-95%</w:t>
            </w:r>
            <w:r>
              <w:rPr>
                <w:rFonts w:eastAsiaTheme="minorEastAsia"/>
                <w:color w:val="000000" w:themeColor="text1"/>
                <w:kern w:val="0"/>
              </w:rPr>
              <w:t>，其中港股通标的股票的投资比例不超过股票资产的</w:t>
            </w:r>
            <w:r>
              <w:rPr>
                <w:rFonts w:eastAsiaTheme="minorEastAsia"/>
                <w:color w:val="000000" w:themeColor="text1"/>
                <w:kern w:val="0"/>
              </w:rPr>
              <w:t>50%</w:t>
            </w:r>
            <w:r>
              <w:rPr>
                <w:rFonts w:eastAsiaTheme="minorEastAsia"/>
                <w:color w:val="000000" w:themeColor="text1"/>
                <w:kern w:val="0"/>
              </w:rPr>
              <w:t>。</w:t>
            </w:r>
          </w:p>
          <w:p w:rsidR="00FC7E07" w:rsidRDefault="00D200C0">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FC7E07" w:rsidRDefault="00D200C0">
            <w:pPr>
              <w:adjustRightInd w:val="0"/>
              <w:spacing w:before="29" w:line="360" w:lineRule="auto"/>
              <w:ind w:left="17"/>
              <w:rPr>
                <w:rFonts w:eastAsiaTheme="minorEastAsia"/>
                <w:color w:val="000000" w:themeColor="text1"/>
              </w:rPr>
            </w:pPr>
            <w:r>
              <w:rPr>
                <w:rFonts w:eastAsiaTheme="minorEastAsia"/>
                <w:color w:val="000000" w:themeColor="text1"/>
                <w:kern w:val="0"/>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rsidR="00FC7E07" w:rsidRDefault="00D200C0">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FC7E07" w:rsidRDefault="00D200C0">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color w:val="000000" w:themeColor="text1"/>
                <w:kern w:val="0"/>
              </w:rPr>
              <w:t>A</w:t>
            </w:r>
            <w:r>
              <w:rPr>
                <w:rFonts w:eastAsiaTheme="minorEastAsia"/>
                <w:color w:val="000000" w:themeColor="text1"/>
                <w:kern w:val="0"/>
              </w:rPr>
              <w:t>股形成互补。</w:t>
            </w:r>
          </w:p>
          <w:p w:rsidR="00FC7E07" w:rsidRDefault="00D200C0">
            <w:pPr>
              <w:adjustRightInd w:val="0"/>
              <w:spacing w:before="29" w:line="360" w:lineRule="auto"/>
              <w:ind w:left="17"/>
              <w:rPr>
                <w:rFonts w:eastAsiaTheme="minorEastAsia"/>
                <w:color w:val="000000" w:themeColor="text1"/>
              </w:rPr>
            </w:pPr>
            <w:r>
              <w:rPr>
                <w:rFonts w:eastAsiaTheme="minorEastAsia"/>
                <w:color w:val="000000" w:themeColor="text1"/>
                <w:kern w:val="0"/>
              </w:rPr>
              <w:t>本基金将通过自下而上方法挖掘优质个股，结合各项定量和定性指标挑选出最具上涨潜力的标的。</w:t>
            </w:r>
          </w:p>
          <w:p w:rsidR="00FC7E07" w:rsidRDefault="00D200C0">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FC7E07" w:rsidRDefault="00D200C0">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w:t>
            </w:r>
            <w:r>
              <w:rPr>
                <w:rFonts w:eastAsiaTheme="minorEastAsia"/>
                <w:color w:val="000000" w:themeColor="text1"/>
                <w:kern w:val="0"/>
              </w:rPr>
              <w:lastRenderedPageBreak/>
              <w:t>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、其他投资策略：包括股指期货投资策略、资产支持证券投资策略、股票期权投资策略、证券公司短期公司债券投资策略、存托凭证投资策略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*65%+</w:t>
            </w:r>
            <w:r w:rsidRPr="00FF6B9A">
              <w:rPr>
                <w:rFonts w:eastAsiaTheme="minorEastAsia"/>
                <w:color w:val="000000" w:themeColor="text1"/>
                <w:kern w:val="0"/>
              </w:rPr>
              <w:t>中证港股通指数收益率</w:t>
            </w:r>
            <w:r w:rsidRPr="00FF6B9A">
              <w:rPr>
                <w:rFonts w:eastAsiaTheme="minorEastAsia"/>
                <w:color w:val="000000" w:themeColor="text1"/>
                <w:kern w:val="0"/>
              </w:rPr>
              <w:t>*20%+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兴业银行股份有限公司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D200C0" w:rsidRPr="00FF6B9A" w:rsidTr="00D200C0">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D200C0" w:rsidRPr="00FF6B9A" w:rsidTr="00D200C0">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-7,373,643.12</w:t>
            </w:r>
          </w:p>
        </w:tc>
      </w:tr>
      <w:tr w:rsidR="00D200C0" w:rsidRPr="00FF6B9A" w:rsidTr="00D200C0">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-3,767,311.85</w:t>
            </w:r>
          </w:p>
        </w:tc>
      </w:tr>
      <w:tr w:rsidR="00D200C0" w:rsidRPr="00FF6B9A" w:rsidTr="00D200C0">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-0.0235</w:t>
            </w:r>
          </w:p>
        </w:tc>
      </w:tr>
      <w:tr w:rsidR="00D200C0" w:rsidRPr="00FF6B9A" w:rsidTr="00D200C0">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112,155,941.20</w:t>
            </w:r>
          </w:p>
        </w:tc>
      </w:tr>
      <w:tr w:rsidR="00D200C0" w:rsidRPr="00FF6B9A" w:rsidTr="00D200C0">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0.7115</w:t>
            </w:r>
          </w:p>
        </w:tc>
      </w:tr>
    </w:tbl>
    <w:p w:rsidR="00FC7E07" w:rsidRDefault="00D200C0">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w:t>
      </w:r>
      <w:r w:rsidRPr="00FF6B9A">
        <w:rPr>
          <w:rFonts w:eastAsiaTheme="minorEastAsia"/>
          <w:color w:val="000000" w:themeColor="text1"/>
        </w:rPr>
        <w:lastRenderedPageBreak/>
        <w:t>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FC7E07">
        <w:tc>
          <w:tcPr>
            <w:tcW w:w="1395" w:type="dxa"/>
            <w:vAlign w:val="center"/>
          </w:tcPr>
          <w:p w:rsidR="00FC7E07" w:rsidRDefault="00D200C0">
            <w:pPr>
              <w:jc w:val="left"/>
            </w:pPr>
            <w:r>
              <w:rPr>
                <w:rFonts w:eastAsiaTheme="minorEastAsia"/>
                <w:color w:val="000000" w:themeColor="text1"/>
                <w:kern w:val="0"/>
              </w:rPr>
              <w:t>过去三个月</w:t>
            </w:r>
          </w:p>
        </w:tc>
        <w:tc>
          <w:tcPr>
            <w:tcW w:w="1092" w:type="dxa"/>
            <w:vAlign w:val="center"/>
          </w:tcPr>
          <w:p w:rsidR="00FC7E07" w:rsidRDefault="00D200C0">
            <w:pPr>
              <w:jc w:val="center"/>
            </w:pPr>
            <w:r>
              <w:rPr>
                <w:rFonts w:eastAsiaTheme="minorEastAsia"/>
                <w:color w:val="000000" w:themeColor="text1"/>
                <w:kern w:val="0"/>
              </w:rPr>
              <w:t>-3.03%</w:t>
            </w:r>
          </w:p>
        </w:tc>
        <w:tc>
          <w:tcPr>
            <w:tcW w:w="1161" w:type="dxa"/>
            <w:vAlign w:val="center"/>
          </w:tcPr>
          <w:p w:rsidR="00FC7E07" w:rsidRDefault="00D200C0">
            <w:pPr>
              <w:jc w:val="center"/>
            </w:pPr>
            <w:r>
              <w:rPr>
                <w:rFonts w:eastAsiaTheme="minorEastAsia"/>
                <w:color w:val="000000" w:themeColor="text1"/>
                <w:kern w:val="0"/>
              </w:rPr>
              <w:t>0.81%</w:t>
            </w:r>
          </w:p>
        </w:tc>
        <w:tc>
          <w:tcPr>
            <w:tcW w:w="1181" w:type="dxa"/>
            <w:vAlign w:val="center"/>
          </w:tcPr>
          <w:p w:rsidR="00FC7E07" w:rsidRDefault="00D200C0">
            <w:pPr>
              <w:jc w:val="center"/>
            </w:pPr>
            <w:r>
              <w:rPr>
                <w:rFonts w:eastAsiaTheme="minorEastAsia"/>
                <w:color w:val="000000" w:themeColor="text1"/>
                <w:kern w:val="0"/>
              </w:rPr>
              <w:t>-5.37%</w:t>
            </w:r>
          </w:p>
        </w:tc>
        <w:tc>
          <w:tcPr>
            <w:tcW w:w="1188" w:type="dxa"/>
            <w:vAlign w:val="center"/>
          </w:tcPr>
          <w:p w:rsidR="00FC7E07" w:rsidRDefault="00D200C0">
            <w:pPr>
              <w:jc w:val="center"/>
            </w:pPr>
            <w:r>
              <w:rPr>
                <w:rFonts w:eastAsiaTheme="minorEastAsia"/>
                <w:color w:val="000000" w:themeColor="text1"/>
                <w:kern w:val="0"/>
              </w:rPr>
              <w:t>0.68%</w:t>
            </w:r>
          </w:p>
        </w:tc>
        <w:tc>
          <w:tcPr>
            <w:tcW w:w="1199" w:type="dxa"/>
            <w:vAlign w:val="center"/>
          </w:tcPr>
          <w:p w:rsidR="00FC7E07" w:rsidRDefault="00D200C0">
            <w:pPr>
              <w:jc w:val="center"/>
            </w:pPr>
            <w:r>
              <w:rPr>
                <w:rFonts w:eastAsiaTheme="minorEastAsia"/>
                <w:color w:val="000000" w:themeColor="text1"/>
                <w:kern w:val="0"/>
              </w:rPr>
              <w:t>2.34%</w:t>
            </w:r>
          </w:p>
        </w:tc>
        <w:tc>
          <w:tcPr>
            <w:tcW w:w="1204" w:type="dxa"/>
            <w:vAlign w:val="center"/>
          </w:tcPr>
          <w:p w:rsidR="00FC7E07" w:rsidRDefault="00D200C0">
            <w:pPr>
              <w:jc w:val="center"/>
            </w:pPr>
            <w:r>
              <w:rPr>
                <w:rFonts w:eastAsiaTheme="minorEastAsia"/>
                <w:color w:val="000000" w:themeColor="text1"/>
                <w:kern w:val="0"/>
              </w:rPr>
              <w:t>0.13%</w:t>
            </w:r>
          </w:p>
        </w:tc>
      </w:tr>
      <w:tr w:rsidR="00FC7E07">
        <w:tc>
          <w:tcPr>
            <w:tcW w:w="1395" w:type="dxa"/>
            <w:vAlign w:val="center"/>
          </w:tcPr>
          <w:p w:rsidR="00FC7E07" w:rsidRDefault="00D200C0">
            <w:pPr>
              <w:jc w:val="left"/>
            </w:pPr>
            <w:r>
              <w:rPr>
                <w:rFonts w:eastAsiaTheme="minorEastAsia"/>
                <w:color w:val="000000" w:themeColor="text1"/>
                <w:kern w:val="0"/>
              </w:rPr>
              <w:t>过去六个月</w:t>
            </w:r>
          </w:p>
        </w:tc>
        <w:tc>
          <w:tcPr>
            <w:tcW w:w="1092" w:type="dxa"/>
            <w:vAlign w:val="center"/>
          </w:tcPr>
          <w:p w:rsidR="00FC7E07" w:rsidRDefault="00D200C0">
            <w:pPr>
              <w:jc w:val="center"/>
            </w:pPr>
            <w:r>
              <w:rPr>
                <w:rFonts w:eastAsiaTheme="minorEastAsia"/>
                <w:color w:val="000000" w:themeColor="text1"/>
                <w:kern w:val="0"/>
              </w:rPr>
              <w:t>-14.46%</w:t>
            </w:r>
          </w:p>
        </w:tc>
        <w:tc>
          <w:tcPr>
            <w:tcW w:w="1161" w:type="dxa"/>
            <w:vAlign w:val="center"/>
          </w:tcPr>
          <w:p w:rsidR="00FC7E07" w:rsidRDefault="00D200C0">
            <w:pPr>
              <w:jc w:val="center"/>
            </w:pPr>
            <w:r>
              <w:rPr>
                <w:rFonts w:eastAsiaTheme="minorEastAsia"/>
                <w:color w:val="000000" w:themeColor="text1"/>
                <w:kern w:val="0"/>
              </w:rPr>
              <w:t>0.89%</w:t>
            </w:r>
          </w:p>
        </w:tc>
        <w:tc>
          <w:tcPr>
            <w:tcW w:w="1181" w:type="dxa"/>
            <w:vAlign w:val="center"/>
          </w:tcPr>
          <w:p w:rsidR="00FC7E07" w:rsidRDefault="00D200C0">
            <w:pPr>
              <w:jc w:val="center"/>
            </w:pPr>
            <w:r>
              <w:rPr>
                <w:rFonts w:eastAsiaTheme="minorEastAsia"/>
                <w:color w:val="000000" w:themeColor="text1"/>
                <w:kern w:val="0"/>
              </w:rPr>
              <w:t>-8.85%</w:t>
            </w:r>
          </w:p>
        </w:tc>
        <w:tc>
          <w:tcPr>
            <w:tcW w:w="1188" w:type="dxa"/>
            <w:vAlign w:val="center"/>
          </w:tcPr>
          <w:p w:rsidR="00FC7E07" w:rsidRDefault="00D200C0">
            <w:pPr>
              <w:jc w:val="center"/>
            </w:pPr>
            <w:r>
              <w:rPr>
                <w:rFonts w:eastAsiaTheme="minorEastAsia"/>
                <w:color w:val="000000" w:themeColor="text1"/>
                <w:kern w:val="0"/>
              </w:rPr>
              <w:t>0.72%</w:t>
            </w:r>
          </w:p>
        </w:tc>
        <w:tc>
          <w:tcPr>
            <w:tcW w:w="1199" w:type="dxa"/>
            <w:vAlign w:val="center"/>
          </w:tcPr>
          <w:p w:rsidR="00FC7E07" w:rsidRDefault="00D200C0">
            <w:pPr>
              <w:jc w:val="center"/>
            </w:pPr>
            <w:r>
              <w:rPr>
                <w:rFonts w:eastAsiaTheme="minorEastAsia"/>
                <w:color w:val="000000" w:themeColor="text1"/>
                <w:kern w:val="0"/>
              </w:rPr>
              <w:t>-5.61%</w:t>
            </w:r>
          </w:p>
        </w:tc>
        <w:tc>
          <w:tcPr>
            <w:tcW w:w="1204" w:type="dxa"/>
            <w:vAlign w:val="center"/>
          </w:tcPr>
          <w:p w:rsidR="00FC7E07" w:rsidRDefault="00D200C0">
            <w:pPr>
              <w:jc w:val="center"/>
            </w:pPr>
            <w:r>
              <w:rPr>
                <w:rFonts w:eastAsiaTheme="minorEastAsia"/>
                <w:color w:val="000000" w:themeColor="text1"/>
                <w:kern w:val="0"/>
              </w:rPr>
              <w:t>0.17%</w:t>
            </w:r>
          </w:p>
        </w:tc>
      </w:tr>
      <w:tr w:rsidR="00FC7E07">
        <w:tc>
          <w:tcPr>
            <w:tcW w:w="1395" w:type="dxa"/>
            <w:vAlign w:val="center"/>
          </w:tcPr>
          <w:p w:rsidR="00FC7E07" w:rsidRDefault="00D200C0">
            <w:pPr>
              <w:jc w:val="left"/>
            </w:pPr>
            <w:r>
              <w:rPr>
                <w:rFonts w:eastAsiaTheme="minorEastAsia"/>
                <w:color w:val="000000" w:themeColor="text1"/>
                <w:kern w:val="0"/>
              </w:rPr>
              <w:t>过去一年</w:t>
            </w:r>
          </w:p>
        </w:tc>
        <w:tc>
          <w:tcPr>
            <w:tcW w:w="1092" w:type="dxa"/>
            <w:vAlign w:val="center"/>
          </w:tcPr>
          <w:p w:rsidR="00FC7E07" w:rsidRDefault="00D200C0">
            <w:pPr>
              <w:jc w:val="center"/>
            </w:pPr>
            <w:r>
              <w:rPr>
                <w:rFonts w:eastAsiaTheme="minorEastAsia"/>
                <w:color w:val="000000" w:themeColor="text1"/>
                <w:kern w:val="0"/>
              </w:rPr>
              <w:t>-15.43%</w:t>
            </w:r>
          </w:p>
        </w:tc>
        <w:tc>
          <w:tcPr>
            <w:tcW w:w="1161" w:type="dxa"/>
            <w:vAlign w:val="center"/>
          </w:tcPr>
          <w:p w:rsidR="00FC7E07" w:rsidRDefault="00D200C0">
            <w:pPr>
              <w:jc w:val="center"/>
            </w:pPr>
            <w:r>
              <w:rPr>
                <w:rFonts w:eastAsiaTheme="minorEastAsia"/>
                <w:color w:val="000000" w:themeColor="text1"/>
                <w:kern w:val="0"/>
              </w:rPr>
              <w:t>0.95%</w:t>
            </w:r>
          </w:p>
        </w:tc>
        <w:tc>
          <w:tcPr>
            <w:tcW w:w="1181" w:type="dxa"/>
            <w:vAlign w:val="center"/>
          </w:tcPr>
          <w:p w:rsidR="00FC7E07" w:rsidRDefault="00D200C0">
            <w:pPr>
              <w:jc w:val="center"/>
            </w:pPr>
            <w:r>
              <w:rPr>
                <w:rFonts w:eastAsiaTheme="minorEastAsia"/>
                <w:color w:val="000000" w:themeColor="text1"/>
                <w:kern w:val="0"/>
              </w:rPr>
              <w:t>-8.76%</w:t>
            </w:r>
          </w:p>
        </w:tc>
        <w:tc>
          <w:tcPr>
            <w:tcW w:w="1188" w:type="dxa"/>
            <w:vAlign w:val="center"/>
          </w:tcPr>
          <w:p w:rsidR="00FC7E07" w:rsidRDefault="00D200C0">
            <w:pPr>
              <w:jc w:val="center"/>
            </w:pPr>
            <w:r>
              <w:rPr>
                <w:rFonts w:eastAsiaTheme="minorEastAsia"/>
                <w:color w:val="000000" w:themeColor="text1"/>
                <w:kern w:val="0"/>
              </w:rPr>
              <w:t>0.71%</w:t>
            </w:r>
          </w:p>
        </w:tc>
        <w:tc>
          <w:tcPr>
            <w:tcW w:w="1199" w:type="dxa"/>
            <w:vAlign w:val="center"/>
          </w:tcPr>
          <w:p w:rsidR="00FC7E07" w:rsidRDefault="00D200C0">
            <w:pPr>
              <w:jc w:val="center"/>
            </w:pPr>
            <w:r>
              <w:rPr>
                <w:rFonts w:eastAsiaTheme="minorEastAsia"/>
                <w:color w:val="000000" w:themeColor="text1"/>
                <w:kern w:val="0"/>
              </w:rPr>
              <w:t>-6.67%</w:t>
            </w:r>
          </w:p>
        </w:tc>
        <w:tc>
          <w:tcPr>
            <w:tcW w:w="1204" w:type="dxa"/>
            <w:vAlign w:val="center"/>
          </w:tcPr>
          <w:p w:rsidR="00FC7E07" w:rsidRDefault="00D200C0">
            <w:pPr>
              <w:jc w:val="center"/>
            </w:pPr>
            <w:r>
              <w:rPr>
                <w:rFonts w:eastAsiaTheme="minorEastAsia"/>
                <w:color w:val="000000" w:themeColor="text1"/>
                <w:kern w:val="0"/>
              </w:rPr>
              <w:t>0.24%</w:t>
            </w:r>
          </w:p>
        </w:tc>
      </w:tr>
      <w:tr w:rsidR="00FC7E07">
        <w:tc>
          <w:tcPr>
            <w:tcW w:w="1395" w:type="dxa"/>
            <w:vAlign w:val="center"/>
          </w:tcPr>
          <w:p w:rsidR="00FC7E07" w:rsidRDefault="00D200C0">
            <w:pPr>
              <w:jc w:val="left"/>
            </w:pPr>
            <w:r>
              <w:rPr>
                <w:rFonts w:eastAsiaTheme="minorEastAsia"/>
                <w:color w:val="000000" w:themeColor="text1"/>
                <w:kern w:val="0"/>
              </w:rPr>
              <w:t>过去三年</w:t>
            </w:r>
          </w:p>
        </w:tc>
        <w:tc>
          <w:tcPr>
            <w:tcW w:w="1092" w:type="dxa"/>
            <w:vAlign w:val="center"/>
          </w:tcPr>
          <w:p w:rsidR="00FC7E07" w:rsidRDefault="00D200C0">
            <w:pPr>
              <w:jc w:val="center"/>
            </w:pPr>
            <w:r>
              <w:rPr>
                <w:rFonts w:eastAsiaTheme="minorEastAsia"/>
                <w:color w:val="000000" w:themeColor="text1"/>
                <w:kern w:val="0"/>
              </w:rPr>
              <w:t>-</w:t>
            </w:r>
          </w:p>
        </w:tc>
        <w:tc>
          <w:tcPr>
            <w:tcW w:w="1161" w:type="dxa"/>
            <w:vAlign w:val="center"/>
          </w:tcPr>
          <w:p w:rsidR="00FC7E07" w:rsidRDefault="00D200C0">
            <w:pPr>
              <w:jc w:val="center"/>
            </w:pPr>
            <w:r>
              <w:rPr>
                <w:rFonts w:eastAsiaTheme="minorEastAsia"/>
                <w:color w:val="000000" w:themeColor="text1"/>
                <w:kern w:val="0"/>
              </w:rPr>
              <w:t>-</w:t>
            </w:r>
          </w:p>
        </w:tc>
        <w:tc>
          <w:tcPr>
            <w:tcW w:w="1181" w:type="dxa"/>
            <w:vAlign w:val="center"/>
          </w:tcPr>
          <w:p w:rsidR="00FC7E07" w:rsidRDefault="00D200C0">
            <w:pPr>
              <w:jc w:val="center"/>
            </w:pPr>
            <w:r>
              <w:rPr>
                <w:rFonts w:eastAsiaTheme="minorEastAsia"/>
                <w:color w:val="000000" w:themeColor="text1"/>
                <w:kern w:val="0"/>
              </w:rPr>
              <w:t>-</w:t>
            </w:r>
          </w:p>
        </w:tc>
        <w:tc>
          <w:tcPr>
            <w:tcW w:w="1188" w:type="dxa"/>
            <w:vAlign w:val="center"/>
          </w:tcPr>
          <w:p w:rsidR="00FC7E07" w:rsidRDefault="00D200C0">
            <w:pPr>
              <w:jc w:val="center"/>
            </w:pPr>
            <w:r>
              <w:rPr>
                <w:rFonts w:eastAsiaTheme="minorEastAsia"/>
                <w:color w:val="000000" w:themeColor="text1"/>
                <w:kern w:val="0"/>
              </w:rPr>
              <w:t>-</w:t>
            </w:r>
          </w:p>
        </w:tc>
        <w:tc>
          <w:tcPr>
            <w:tcW w:w="1199" w:type="dxa"/>
            <w:vAlign w:val="center"/>
          </w:tcPr>
          <w:p w:rsidR="00FC7E07" w:rsidRDefault="00D200C0">
            <w:pPr>
              <w:jc w:val="center"/>
            </w:pPr>
            <w:r>
              <w:rPr>
                <w:rFonts w:eastAsiaTheme="minorEastAsia"/>
                <w:color w:val="000000" w:themeColor="text1"/>
                <w:kern w:val="0"/>
              </w:rPr>
              <w:t>-</w:t>
            </w:r>
          </w:p>
        </w:tc>
        <w:tc>
          <w:tcPr>
            <w:tcW w:w="1204" w:type="dxa"/>
            <w:vAlign w:val="center"/>
          </w:tcPr>
          <w:p w:rsidR="00FC7E07" w:rsidRDefault="00D200C0">
            <w:pPr>
              <w:jc w:val="center"/>
            </w:pPr>
            <w:r>
              <w:rPr>
                <w:rFonts w:eastAsiaTheme="minorEastAsia"/>
                <w:color w:val="000000" w:themeColor="text1"/>
                <w:kern w:val="0"/>
              </w:rPr>
              <w:t>-</w:t>
            </w:r>
          </w:p>
        </w:tc>
      </w:tr>
      <w:tr w:rsidR="00FC7E07">
        <w:tc>
          <w:tcPr>
            <w:tcW w:w="1395" w:type="dxa"/>
            <w:vAlign w:val="center"/>
          </w:tcPr>
          <w:p w:rsidR="00FC7E07" w:rsidRDefault="00D200C0">
            <w:pPr>
              <w:jc w:val="left"/>
            </w:pPr>
            <w:r>
              <w:rPr>
                <w:rFonts w:eastAsiaTheme="minorEastAsia"/>
                <w:color w:val="000000" w:themeColor="text1"/>
                <w:kern w:val="0"/>
              </w:rPr>
              <w:t>过去五年</w:t>
            </w:r>
          </w:p>
        </w:tc>
        <w:tc>
          <w:tcPr>
            <w:tcW w:w="1092" w:type="dxa"/>
            <w:vAlign w:val="center"/>
          </w:tcPr>
          <w:p w:rsidR="00FC7E07" w:rsidRDefault="00D200C0">
            <w:pPr>
              <w:jc w:val="center"/>
            </w:pPr>
            <w:r>
              <w:rPr>
                <w:rFonts w:eastAsiaTheme="minorEastAsia"/>
                <w:color w:val="000000" w:themeColor="text1"/>
                <w:kern w:val="0"/>
              </w:rPr>
              <w:t>-</w:t>
            </w:r>
          </w:p>
        </w:tc>
        <w:tc>
          <w:tcPr>
            <w:tcW w:w="1161" w:type="dxa"/>
            <w:vAlign w:val="center"/>
          </w:tcPr>
          <w:p w:rsidR="00FC7E07" w:rsidRDefault="00D200C0">
            <w:pPr>
              <w:jc w:val="center"/>
            </w:pPr>
            <w:r>
              <w:rPr>
                <w:rFonts w:eastAsiaTheme="minorEastAsia"/>
                <w:color w:val="000000" w:themeColor="text1"/>
                <w:kern w:val="0"/>
              </w:rPr>
              <w:t>-</w:t>
            </w:r>
          </w:p>
        </w:tc>
        <w:tc>
          <w:tcPr>
            <w:tcW w:w="1181" w:type="dxa"/>
            <w:vAlign w:val="center"/>
          </w:tcPr>
          <w:p w:rsidR="00FC7E07" w:rsidRDefault="00D200C0">
            <w:pPr>
              <w:jc w:val="center"/>
            </w:pPr>
            <w:r>
              <w:rPr>
                <w:rFonts w:eastAsiaTheme="minorEastAsia"/>
                <w:color w:val="000000" w:themeColor="text1"/>
                <w:kern w:val="0"/>
              </w:rPr>
              <w:t>-</w:t>
            </w:r>
          </w:p>
        </w:tc>
        <w:tc>
          <w:tcPr>
            <w:tcW w:w="1188" w:type="dxa"/>
            <w:vAlign w:val="center"/>
          </w:tcPr>
          <w:p w:rsidR="00FC7E07" w:rsidRDefault="00D200C0">
            <w:pPr>
              <w:jc w:val="center"/>
            </w:pPr>
            <w:r>
              <w:rPr>
                <w:rFonts w:eastAsiaTheme="minorEastAsia"/>
                <w:color w:val="000000" w:themeColor="text1"/>
                <w:kern w:val="0"/>
              </w:rPr>
              <w:t>-</w:t>
            </w:r>
          </w:p>
        </w:tc>
        <w:tc>
          <w:tcPr>
            <w:tcW w:w="1199" w:type="dxa"/>
            <w:vAlign w:val="center"/>
          </w:tcPr>
          <w:p w:rsidR="00FC7E07" w:rsidRDefault="00D200C0">
            <w:pPr>
              <w:jc w:val="center"/>
            </w:pPr>
            <w:r>
              <w:rPr>
                <w:rFonts w:eastAsiaTheme="minorEastAsia"/>
                <w:color w:val="000000" w:themeColor="text1"/>
                <w:kern w:val="0"/>
              </w:rPr>
              <w:t>-</w:t>
            </w:r>
          </w:p>
        </w:tc>
        <w:tc>
          <w:tcPr>
            <w:tcW w:w="1204" w:type="dxa"/>
            <w:vAlign w:val="center"/>
          </w:tcPr>
          <w:p w:rsidR="00FC7E07" w:rsidRDefault="00D200C0">
            <w:pPr>
              <w:jc w:val="center"/>
            </w:pPr>
            <w:r>
              <w:rPr>
                <w:rFonts w:eastAsiaTheme="minorEastAsia"/>
                <w:color w:val="000000" w:themeColor="text1"/>
                <w:kern w:val="0"/>
              </w:rPr>
              <w:t>-</w:t>
            </w:r>
          </w:p>
        </w:tc>
      </w:tr>
      <w:tr w:rsidR="00FC7E07">
        <w:tc>
          <w:tcPr>
            <w:tcW w:w="1395" w:type="dxa"/>
            <w:vAlign w:val="center"/>
          </w:tcPr>
          <w:p w:rsidR="00FC7E07" w:rsidRDefault="00D200C0">
            <w:pPr>
              <w:jc w:val="left"/>
            </w:pPr>
            <w:r>
              <w:rPr>
                <w:rFonts w:eastAsiaTheme="minorEastAsia"/>
                <w:color w:val="000000" w:themeColor="text1"/>
                <w:kern w:val="0"/>
              </w:rPr>
              <w:t>自基金合同生效起至今</w:t>
            </w:r>
          </w:p>
        </w:tc>
        <w:tc>
          <w:tcPr>
            <w:tcW w:w="1092" w:type="dxa"/>
            <w:vAlign w:val="center"/>
          </w:tcPr>
          <w:p w:rsidR="00FC7E07" w:rsidRDefault="00D200C0">
            <w:pPr>
              <w:jc w:val="center"/>
            </w:pPr>
            <w:r>
              <w:rPr>
                <w:rFonts w:eastAsiaTheme="minorEastAsia"/>
                <w:color w:val="000000" w:themeColor="text1"/>
                <w:kern w:val="0"/>
              </w:rPr>
              <w:t>-28.85%</w:t>
            </w:r>
          </w:p>
        </w:tc>
        <w:tc>
          <w:tcPr>
            <w:tcW w:w="1161" w:type="dxa"/>
            <w:vAlign w:val="center"/>
          </w:tcPr>
          <w:p w:rsidR="00FC7E07" w:rsidRDefault="00D200C0">
            <w:pPr>
              <w:jc w:val="center"/>
            </w:pPr>
            <w:r>
              <w:rPr>
                <w:rFonts w:eastAsiaTheme="minorEastAsia"/>
                <w:color w:val="000000" w:themeColor="text1"/>
                <w:kern w:val="0"/>
              </w:rPr>
              <w:t>0.99%</w:t>
            </w:r>
          </w:p>
        </w:tc>
        <w:tc>
          <w:tcPr>
            <w:tcW w:w="1181" w:type="dxa"/>
            <w:vAlign w:val="center"/>
          </w:tcPr>
          <w:p w:rsidR="00FC7E07" w:rsidRDefault="00D200C0">
            <w:pPr>
              <w:jc w:val="center"/>
            </w:pPr>
            <w:r>
              <w:rPr>
                <w:rFonts w:eastAsiaTheme="minorEastAsia"/>
                <w:color w:val="000000" w:themeColor="text1"/>
                <w:kern w:val="0"/>
              </w:rPr>
              <w:t>-18.17%</w:t>
            </w:r>
          </w:p>
        </w:tc>
        <w:tc>
          <w:tcPr>
            <w:tcW w:w="1188" w:type="dxa"/>
            <w:vAlign w:val="center"/>
          </w:tcPr>
          <w:p w:rsidR="00FC7E07" w:rsidRDefault="00D200C0">
            <w:pPr>
              <w:jc w:val="center"/>
            </w:pPr>
            <w:r>
              <w:rPr>
                <w:rFonts w:eastAsiaTheme="minorEastAsia"/>
                <w:color w:val="000000" w:themeColor="text1"/>
                <w:kern w:val="0"/>
              </w:rPr>
              <w:t>0.93%</w:t>
            </w:r>
          </w:p>
        </w:tc>
        <w:tc>
          <w:tcPr>
            <w:tcW w:w="1199" w:type="dxa"/>
            <w:vAlign w:val="center"/>
          </w:tcPr>
          <w:p w:rsidR="00FC7E07" w:rsidRDefault="00D200C0">
            <w:pPr>
              <w:jc w:val="center"/>
            </w:pPr>
            <w:r>
              <w:rPr>
                <w:rFonts w:eastAsiaTheme="minorEastAsia"/>
                <w:color w:val="000000" w:themeColor="text1"/>
                <w:kern w:val="0"/>
              </w:rPr>
              <w:t>-10.68%</w:t>
            </w:r>
          </w:p>
        </w:tc>
        <w:tc>
          <w:tcPr>
            <w:tcW w:w="1204" w:type="dxa"/>
            <w:vAlign w:val="center"/>
          </w:tcPr>
          <w:p w:rsidR="00FC7E07" w:rsidRDefault="00D200C0">
            <w:pPr>
              <w:jc w:val="center"/>
            </w:pPr>
            <w:r>
              <w:rPr>
                <w:rFonts w:eastAsiaTheme="minorEastAsia"/>
                <w:color w:val="000000" w:themeColor="text1"/>
                <w:kern w:val="0"/>
              </w:rPr>
              <w:t>0.06%</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摩根鑫睿优选一年持有期混合型证券投资基金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(2022</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2023</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FC7E07" w:rsidRDefault="00D200C0">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注：本基金合同生效日为</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w:t>
      </w:r>
      <w:r>
        <w:rPr>
          <w:rFonts w:eastAsiaTheme="minorEastAsia"/>
          <w:color w:val="000000" w:themeColor="text1"/>
        </w:rPr>
        <w:t>1</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FC7E07">
        <w:tc>
          <w:tcPr>
            <w:tcW w:w="851" w:type="dxa"/>
            <w:vAlign w:val="center"/>
          </w:tcPr>
          <w:p w:rsidR="00FC7E07" w:rsidRDefault="00D200C0">
            <w:pPr>
              <w:jc w:val="center"/>
            </w:pPr>
            <w:r>
              <w:rPr>
                <w:rFonts w:eastAsiaTheme="minorEastAsia"/>
                <w:color w:val="000000" w:themeColor="text1"/>
              </w:rPr>
              <w:t>倪权生</w:t>
            </w:r>
          </w:p>
        </w:tc>
        <w:tc>
          <w:tcPr>
            <w:tcW w:w="850" w:type="dxa"/>
            <w:vAlign w:val="center"/>
          </w:tcPr>
          <w:p w:rsidR="00FC7E07" w:rsidRDefault="00D200C0">
            <w:pPr>
              <w:jc w:val="center"/>
            </w:pPr>
            <w:r>
              <w:rPr>
                <w:rFonts w:eastAsiaTheme="minorEastAsia"/>
                <w:color w:val="000000" w:themeColor="text1"/>
              </w:rPr>
              <w:t>本基金基金经理</w:t>
            </w:r>
          </w:p>
        </w:tc>
        <w:tc>
          <w:tcPr>
            <w:tcW w:w="1560" w:type="dxa"/>
            <w:vAlign w:val="center"/>
          </w:tcPr>
          <w:p w:rsidR="00FC7E07" w:rsidRDefault="00D200C0">
            <w:pPr>
              <w:jc w:val="center"/>
            </w:pPr>
            <w:r>
              <w:rPr>
                <w:rFonts w:eastAsiaTheme="minorEastAsia"/>
                <w:color w:val="000000" w:themeColor="text1"/>
              </w:rPr>
              <w:t>2022-03-01</w:t>
            </w:r>
          </w:p>
        </w:tc>
        <w:tc>
          <w:tcPr>
            <w:tcW w:w="1559" w:type="dxa"/>
            <w:vAlign w:val="center"/>
          </w:tcPr>
          <w:p w:rsidR="00FC7E07" w:rsidRDefault="00D200C0">
            <w:pPr>
              <w:jc w:val="center"/>
            </w:pPr>
            <w:r>
              <w:rPr>
                <w:rFonts w:eastAsiaTheme="minorEastAsia"/>
                <w:color w:val="000000" w:themeColor="text1"/>
              </w:rPr>
              <w:t>-</w:t>
            </w:r>
          </w:p>
        </w:tc>
        <w:tc>
          <w:tcPr>
            <w:tcW w:w="1417" w:type="dxa"/>
            <w:vAlign w:val="center"/>
          </w:tcPr>
          <w:p w:rsidR="00FC7E07" w:rsidRDefault="00D200C0">
            <w:pPr>
              <w:jc w:val="center"/>
            </w:pPr>
            <w:r>
              <w:rPr>
                <w:rFonts w:eastAsiaTheme="minorEastAsia"/>
                <w:color w:val="000000" w:themeColor="text1"/>
              </w:rPr>
              <w:t>13</w:t>
            </w:r>
            <w:r>
              <w:rPr>
                <w:rFonts w:eastAsiaTheme="minorEastAsia"/>
                <w:color w:val="000000" w:themeColor="text1"/>
              </w:rPr>
              <w:t>年</w:t>
            </w:r>
          </w:p>
        </w:tc>
        <w:tc>
          <w:tcPr>
            <w:tcW w:w="2694" w:type="dxa"/>
            <w:vAlign w:val="center"/>
          </w:tcPr>
          <w:p w:rsidR="00FC7E07" w:rsidRDefault="00D200C0">
            <w:r>
              <w:rPr>
                <w:rFonts w:eastAsiaTheme="minorEastAsia"/>
                <w:color w:val="000000" w:themeColor="text1"/>
              </w:rPr>
              <w:t>倪权生先生曾任博时基金管理有限公司高级研究员，浙商基金管理有限公司投资经理助理、基金经理</w:t>
            </w:r>
            <w:r>
              <w:rPr>
                <w:rFonts w:eastAsiaTheme="minorEastAsia"/>
                <w:color w:val="000000" w:themeColor="text1"/>
              </w:rPr>
              <w:t>/</w:t>
            </w:r>
            <w:r>
              <w:rPr>
                <w:rFonts w:eastAsiaTheme="minorEastAsia"/>
                <w:color w:val="000000" w:themeColor="text1"/>
              </w:rPr>
              <w:t>股票投资部副总经理。</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月起加入摩根基金管理（中国）有限公司（原上投摩根基金管理有限公司），历任领先组副组长兼资深基金经理，现任国内权益投资部均衡组组长兼资深基金经理。</w:t>
            </w:r>
          </w:p>
        </w:tc>
      </w:tr>
    </w:tbl>
    <w:p w:rsidR="00FC7E07" w:rsidRDefault="00D200C0">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 xml:space="preserve">1. </w:t>
      </w:r>
      <w:r>
        <w:rPr>
          <w:rFonts w:eastAsiaTheme="minorEastAsia"/>
          <w:color w:val="000000" w:themeColor="text1"/>
        </w:rPr>
        <w:t>任职日期和离任日期均指根据公司决定确定的聘任日期和解聘日期。</w:t>
      </w:r>
    </w:p>
    <w:p w:rsidR="00FC7E07" w:rsidRDefault="00D200C0">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倪权生先生为本基金首任基金经理，其任职日期指本基金基金合同生效之日。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 xml:space="preserve">3. </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FC7E07" w:rsidRDefault="00D200C0">
      <w:pPr>
        <w:spacing w:line="360" w:lineRule="auto"/>
        <w:ind w:firstLineChars="200" w:firstLine="420"/>
        <w:rPr>
          <w:rFonts w:eastAsiaTheme="minorEastAsia"/>
          <w:color w:val="000000" w:themeColor="text1"/>
        </w:rPr>
      </w:pPr>
      <w:r>
        <w:rPr>
          <w:rFonts w:eastAsiaTheme="minorEastAsia"/>
          <w:color w:val="000000" w:themeColor="text1"/>
        </w:rPr>
        <w:lastRenderedPageBreak/>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C7E07" w:rsidRDefault="00D200C0">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FC7E07" w:rsidRDefault="00D200C0">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FC7E07" w:rsidRDefault="00D200C0">
      <w:pPr>
        <w:spacing w:line="360" w:lineRule="auto"/>
        <w:ind w:firstLineChars="200" w:firstLine="420"/>
        <w:rPr>
          <w:rFonts w:eastAsiaTheme="minorEastAsia"/>
          <w:color w:val="000000" w:themeColor="text1"/>
        </w:rPr>
      </w:pPr>
      <w:r>
        <w:rPr>
          <w:rFonts w:eastAsiaTheme="minorEastAsia"/>
          <w:color w:val="000000" w:themeColor="text1"/>
        </w:rPr>
        <w:t>四季度市场呈震荡偏弱走势，同时又表现出相对离散的行情特征，偏防守的高股息品种和科技创新品种均不乏投资机会。整体而言，顺周期板块如地产、金融、建筑建材等表现较弱，反映出市场对地产及相关产业链的信心不足，而煤炭、医药、公用事业等防守型板块表现以及有创新催化的</w:t>
      </w:r>
      <w:r>
        <w:rPr>
          <w:rFonts w:eastAsiaTheme="minorEastAsia"/>
          <w:color w:val="000000" w:themeColor="text1"/>
        </w:rPr>
        <w:t>TMT</w:t>
      </w:r>
      <w:r>
        <w:rPr>
          <w:rFonts w:eastAsiaTheme="minorEastAsia"/>
          <w:color w:val="000000" w:themeColor="text1"/>
        </w:rPr>
        <w:t>领域表现相对较好。尽管政策拐点已经出现，但是从市场交易行为来看仍然在观察基本面的右侧拐点。流动性方面，对美元利率见顶的预期有所增强，这使得市场流动性预期边际有所改善。</w:t>
      </w:r>
    </w:p>
    <w:p w:rsidR="00FC7E07" w:rsidRDefault="00D200C0">
      <w:pPr>
        <w:spacing w:line="360" w:lineRule="auto"/>
        <w:ind w:firstLineChars="200" w:firstLine="420"/>
        <w:rPr>
          <w:rFonts w:eastAsiaTheme="minorEastAsia"/>
          <w:color w:val="000000" w:themeColor="text1"/>
        </w:rPr>
      </w:pPr>
      <w:r>
        <w:rPr>
          <w:rFonts w:eastAsiaTheme="minorEastAsia"/>
          <w:color w:val="000000" w:themeColor="text1"/>
        </w:rPr>
        <w:t>组合操作层面，在总量增长预期有限的背景下，侧重从供给结构寻找投资机会，如行业格局有所改善或有望迎来供给格局改善的涤纶长丝、养殖等板块，这些板块经历过去几年的经营亏损，产能扩张放缓，甚至出现去产能迹象，有望迎来困境反转。在需求端，我们仍能够看到需求有望持续增长，供给格局也相对稳定的如叉车、输变电设备等，在内需见底向好</w:t>
      </w:r>
      <w:r>
        <w:rPr>
          <w:rFonts w:eastAsiaTheme="minorEastAsia"/>
          <w:color w:val="000000" w:themeColor="text1"/>
        </w:rPr>
        <w:lastRenderedPageBreak/>
        <w:t>的背景下，外需有望高速增长。而在成长领域，以</w:t>
      </w:r>
      <w:r>
        <w:rPr>
          <w:rFonts w:eastAsiaTheme="minorEastAsia"/>
          <w:color w:val="000000" w:themeColor="text1"/>
        </w:rPr>
        <w:t>AI</w:t>
      </w:r>
      <w:r>
        <w:rPr>
          <w:rFonts w:eastAsiaTheme="minorEastAsia"/>
          <w:color w:val="000000" w:themeColor="text1"/>
        </w:rPr>
        <w:t>技术变革驱动的需求有望出现质变，这可能对算力、应用层面的需求出现超预期变化，组合仍保持一定配置，并紧密跟踪行业变化。</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展望后市，我们认为当前市场估值已经隐含较为悲观的预期，市场对总量预期不明朗也已经反映在股价当中。我们需要对经济和产业结构保持密切跟踪，关注边际的积极变化。当前更多关注格局和结构变化带来的投资机会，重点仍然关注在机械、算力、输变电设备等需求有增长的领域，以及格局有改善估值盈利处于底部区域的化纤、养殖等细分领域。</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本报告期摩根鑫睿优选一年份额净值增长率为</w:t>
      </w:r>
      <w:r w:rsidRPr="00FF6B9A">
        <w:rPr>
          <w:rFonts w:eastAsiaTheme="minorEastAsia"/>
          <w:color w:val="000000" w:themeColor="text1"/>
        </w:rPr>
        <w:t>:-3.03%</w:t>
      </w:r>
      <w:r w:rsidRPr="00FF6B9A">
        <w:rPr>
          <w:rFonts w:eastAsiaTheme="minorEastAsia"/>
          <w:color w:val="000000" w:themeColor="text1"/>
        </w:rPr>
        <w:t>，同期业绩比较基准收益率为</w:t>
      </w:r>
      <w:r w:rsidRPr="00FF6B9A">
        <w:rPr>
          <w:rFonts w:eastAsiaTheme="minorEastAsia"/>
          <w:color w:val="000000" w:themeColor="text1"/>
        </w:rPr>
        <w:t>:-5.37%</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93,311,024.64</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82.04</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93,311,024.64</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82.04</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19,710,607.16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17.33</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715,913.66</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0.63</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113,737,545.46</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注：本基金本报告期末通过港股通交易机制投资的港股公允价值为人民币</w:t>
      </w:r>
      <w:r w:rsidRPr="00FF6B9A">
        <w:rPr>
          <w:rFonts w:eastAsiaTheme="minorEastAsia"/>
          <w:color w:val="000000" w:themeColor="text1"/>
        </w:rPr>
        <w:t>6,407,537.25</w:t>
      </w:r>
      <w:r w:rsidRPr="00FF6B9A">
        <w:rPr>
          <w:rFonts w:eastAsiaTheme="minorEastAsia"/>
          <w:color w:val="000000" w:themeColor="text1"/>
        </w:rPr>
        <w:t>元</w:t>
      </w:r>
      <w:r w:rsidRPr="00FF6B9A">
        <w:rPr>
          <w:rFonts w:eastAsiaTheme="minorEastAsia"/>
          <w:color w:val="000000" w:themeColor="text1"/>
        </w:rPr>
        <w:t>,</w:t>
      </w:r>
      <w:r w:rsidRPr="00FF6B9A">
        <w:rPr>
          <w:rFonts w:eastAsiaTheme="minorEastAsia"/>
          <w:color w:val="000000" w:themeColor="text1"/>
        </w:rPr>
        <w:t>占期末净值比例为</w:t>
      </w:r>
      <w:r w:rsidRPr="00FF6B9A">
        <w:rPr>
          <w:rFonts w:eastAsiaTheme="minorEastAsia"/>
          <w:color w:val="000000" w:themeColor="text1"/>
        </w:rPr>
        <w:t>5.71%</w:t>
      </w:r>
      <w:r w:rsidRPr="00FF6B9A">
        <w:rPr>
          <w:rFonts w:eastAsiaTheme="minorEastAsia"/>
          <w:color w:val="000000" w:themeColor="text1"/>
        </w:rPr>
        <w:t>。</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6,735,183.53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6.01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1,834,674.00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1.64</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75,368,645.24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67.20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2,964,984.62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2.64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86,903,487.39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77.48</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FC7E07">
        <w:trPr>
          <w:jc w:val="center"/>
        </w:trPr>
        <w:tc>
          <w:tcPr>
            <w:tcW w:w="2397" w:type="dxa"/>
            <w:vAlign w:val="center"/>
          </w:tcPr>
          <w:p w:rsidR="00FC7E07" w:rsidRDefault="00D200C0">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rsidR="00FC7E07" w:rsidRDefault="00D200C0">
            <w:pPr>
              <w:jc w:val="center"/>
            </w:pPr>
            <w:r>
              <w:rPr>
                <w:rFonts w:eastAsiaTheme="minorEastAsia"/>
                <w:color w:val="000000" w:themeColor="text1"/>
                <w:kern w:val="0"/>
              </w:rPr>
              <w:t>-</w:t>
            </w:r>
          </w:p>
        </w:tc>
        <w:tc>
          <w:tcPr>
            <w:tcW w:w="3118" w:type="dxa"/>
            <w:vAlign w:val="center"/>
          </w:tcPr>
          <w:p w:rsidR="00FC7E07" w:rsidRDefault="00D200C0">
            <w:pPr>
              <w:jc w:val="center"/>
            </w:pPr>
            <w:r>
              <w:rPr>
                <w:rFonts w:eastAsiaTheme="minorEastAsia"/>
                <w:color w:val="000000" w:themeColor="text1"/>
                <w:kern w:val="0"/>
              </w:rPr>
              <w:t>-</w:t>
            </w:r>
          </w:p>
        </w:tc>
      </w:tr>
      <w:tr w:rsidR="00FC7E07">
        <w:trPr>
          <w:jc w:val="center"/>
        </w:trPr>
        <w:tc>
          <w:tcPr>
            <w:tcW w:w="2397" w:type="dxa"/>
            <w:vAlign w:val="center"/>
          </w:tcPr>
          <w:p w:rsidR="00FC7E07" w:rsidRDefault="00D200C0">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rsidR="00FC7E07" w:rsidRDefault="00D200C0">
            <w:pPr>
              <w:jc w:val="center"/>
            </w:pPr>
            <w:r>
              <w:rPr>
                <w:rFonts w:eastAsiaTheme="minorEastAsia"/>
                <w:color w:val="000000" w:themeColor="text1"/>
                <w:kern w:val="0"/>
              </w:rPr>
              <w:t>-</w:t>
            </w:r>
          </w:p>
        </w:tc>
        <w:tc>
          <w:tcPr>
            <w:tcW w:w="3118" w:type="dxa"/>
            <w:vAlign w:val="center"/>
          </w:tcPr>
          <w:p w:rsidR="00FC7E07" w:rsidRDefault="00D200C0">
            <w:pPr>
              <w:jc w:val="center"/>
            </w:pPr>
            <w:r>
              <w:rPr>
                <w:rFonts w:eastAsiaTheme="minorEastAsia"/>
                <w:color w:val="000000" w:themeColor="text1"/>
                <w:kern w:val="0"/>
              </w:rPr>
              <w:t>-</w:t>
            </w:r>
          </w:p>
        </w:tc>
      </w:tr>
      <w:tr w:rsidR="00FC7E07">
        <w:trPr>
          <w:jc w:val="center"/>
        </w:trPr>
        <w:tc>
          <w:tcPr>
            <w:tcW w:w="2397" w:type="dxa"/>
            <w:vAlign w:val="center"/>
          </w:tcPr>
          <w:p w:rsidR="00FC7E07" w:rsidRDefault="00D200C0">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rsidR="00FC7E07" w:rsidRDefault="00D200C0">
            <w:pPr>
              <w:jc w:val="center"/>
            </w:pPr>
            <w:r>
              <w:rPr>
                <w:rFonts w:eastAsiaTheme="minorEastAsia"/>
                <w:color w:val="000000" w:themeColor="text1"/>
                <w:kern w:val="0"/>
              </w:rPr>
              <w:t>-</w:t>
            </w:r>
          </w:p>
        </w:tc>
        <w:tc>
          <w:tcPr>
            <w:tcW w:w="3118" w:type="dxa"/>
            <w:vAlign w:val="center"/>
          </w:tcPr>
          <w:p w:rsidR="00FC7E07" w:rsidRDefault="00D200C0">
            <w:pPr>
              <w:jc w:val="center"/>
            </w:pPr>
            <w:r>
              <w:rPr>
                <w:rFonts w:eastAsiaTheme="minorEastAsia"/>
                <w:color w:val="000000" w:themeColor="text1"/>
                <w:kern w:val="0"/>
              </w:rPr>
              <w:t>-</w:t>
            </w:r>
          </w:p>
        </w:tc>
      </w:tr>
      <w:tr w:rsidR="00FC7E07">
        <w:trPr>
          <w:jc w:val="center"/>
        </w:trPr>
        <w:tc>
          <w:tcPr>
            <w:tcW w:w="2397" w:type="dxa"/>
            <w:vAlign w:val="center"/>
          </w:tcPr>
          <w:p w:rsidR="00FC7E07" w:rsidRDefault="00D200C0">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rsidR="00FC7E07" w:rsidRDefault="00D200C0">
            <w:pPr>
              <w:jc w:val="center"/>
            </w:pPr>
            <w:r>
              <w:rPr>
                <w:rFonts w:eastAsiaTheme="minorEastAsia"/>
                <w:color w:val="000000" w:themeColor="text1"/>
                <w:kern w:val="0"/>
              </w:rPr>
              <w:t>-</w:t>
            </w:r>
          </w:p>
        </w:tc>
        <w:tc>
          <w:tcPr>
            <w:tcW w:w="3118" w:type="dxa"/>
            <w:vAlign w:val="center"/>
          </w:tcPr>
          <w:p w:rsidR="00FC7E07" w:rsidRDefault="00D200C0">
            <w:pPr>
              <w:jc w:val="center"/>
            </w:pPr>
            <w:r>
              <w:rPr>
                <w:rFonts w:eastAsiaTheme="minorEastAsia"/>
                <w:color w:val="000000" w:themeColor="text1"/>
                <w:kern w:val="0"/>
              </w:rPr>
              <w:t>-</w:t>
            </w:r>
          </w:p>
        </w:tc>
      </w:tr>
      <w:tr w:rsidR="00FC7E07">
        <w:trPr>
          <w:jc w:val="center"/>
        </w:trPr>
        <w:tc>
          <w:tcPr>
            <w:tcW w:w="2397" w:type="dxa"/>
            <w:vAlign w:val="center"/>
          </w:tcPr>
          <w:p w:rsidR="00FC7E07" w:rsidRDefault="00D200C0">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rsidR="00FC7E07" w:rsidRDefault="00D200C0">
            <w:pPr>
              <w:jc w:val="center"/>
            </w:pPr>
            <w:r>
              <w:rPr>
                <w:rFonts w:eastAsiaTheme="minorEastAsia"/>
                <w:color w:val="000000" w:themeColor="text1"/>
                <w:kern w:val="0"/>
              </w:rPr>
              <w:t>-</w:t>
            </w:r>
          </w:p>
        </w:tc>
        <w:tc>
          <w:tcPr>
            <w:tcW w:w="3118" w:type="dxa"/>
            <w:vAlign w:val="center"/>
          </w:tcPr>
          <w:p w:rsidR="00FC7E07" w:rsidRDefault="00D200C0">
            <w:pPr>
              <w:jc w:val="center"/>
            </w:pPr>
            <w:r>
              <w:rPr>
                <w:rFonts w:eastAsiaTheme="minorEastAsia"/>
                <w:color w:val="000000" w:themeColor="text1"/>
                <w:kern w:val="0"/>
              </w:rPr>
              <w:t>-</w:t>
            </w:r>
          </w:p>
        </w:tc>
      </w:tr>
      <w:tr w:rsidR="00FC7E07">
        <w:trPr>
          <w:jc w:val="center"/>
        </w:trPr>
        <w:tc>
          <w:tcPr>
            <w:tcW w:w="2397" w:type="dxa"/>
            <w:vAlign w:val="center"/>
          </w:tcPr>
          <w:p w:rsidR="00FC7E07" w:rsidRDefault="00D200C0">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rsidR="00FC7E07" w:rsidRDefault="00D200C0">
            <w:pPr>
              <w:jc w:val="center"/>
            </w:pPr>
            <w:r>
              <w:rPr>
                <w:rFonts w:eastAsiaTheme="minorEastAsia"/>
                <w:color w:val="000000" w:themeColor="text1"/>
                <w:kern w:val="0"/>
              </w:rPr>
              <w:t>1,348,129.12</w:t>
            </w:r>
          </w:p>
        </w:tc>
        <w:tc>
          <w:tcPr>
            <w:tcW w:w="3118" w:type="dxa"/>
            <w:vAlign w:val="center"/>
          </w:tcPr>
          <w:p w:rsidR="00FC7E07" w:rsidRDefault="00D200C0">
            <w:pPr>
              <w:jc w:val="center"/>
            </w:pPr>
            <w:r>
              <w:rPr>
                <w:rFonts w:eastAsiaTheme="minorEastAsia"/>
                <w:color w:val="000000" w:themeColor="text1"/>
                <w:kern w:val="0"/>
              </w:rPr>
              <w:t>1.20</w:t>
            </w:r>
          </w:p>
        </w:tc>
      </w:tr>
      <w:tr w:rsidR="00FC7E07">
        <w:trPr>
          <w:jc w:val="center"/>
        </w:trPr>
        <w:tc>
          <w:tcPr>
            <w:tcW w:w="2397" w:type="dxa"/>
            <w:vAlign w:val="center"/>
          </w:tcPr>
          <w:p w:rsidR="00FC7E07" w:rsidRDefault="00D200C0">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rsidR="00FC7E07" w:rsidRDefault="00D200C0">
            <w:pPr>
              <w:jc w:val="center"/>
            </w:pPr>
            <w:r>
              <w:rPr>
                <w:rFonts w:eastAsiaTheme="minorEastAsia"/>
                <w:color w:val="000000" w:themeColor="text1"/>
                <w:kern w:val="0"/>
              </w:rPr>
              <w:t>-</w:t>
            </w:r>
          </w:p>
        </w:tc>
        <w:tc>
          <w:tcPr>
            <w:tcW w:w="3118" w:type="dxa"/>
            <w:vAlign w:val="center"/>
          </w:tcPr>
          <w:p w:rsidR="00FC7E07" w:rsidRDefault="00D200C0">
            <w:pPr>
              <w:jc w:val="center"/>
            </w:pPr>
            <w:r>
              <w:rPr>
                <w:rFonts w:eastAsiaTheme="minorEastAsia"/>
                <w:color w:val="000000" w:themeColor="text1"/>
                <w:kern w:val="0"/>
              </w:rPr>
              <w:t>-</w:t>
            </w:r>
          </w:p>
        </w:tc>
      </w:tr>
      <w:tr w:rsidR="00FC7E07">
        <w:trPr>
          <w:jc w:val="center"/>
        </w:trPr>
        <w:tc>
          <w:tcPr>
            <w:tcW w:w="2397" w:type="dxa"/>
            <w:vAlign w:val="center"/>
          </w:tcPr>
          <w:p w:rsidR="00FC7E07" w:rsidRDefault="00D200C0">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rsidR="00FC7E07" w:rsidRDefault="00D200C0">
            <w:pPr>
              <w:jc w:val="center"/>
            </w:pPr>
            <w:r>
              <w:rPr>
                <w:rFonts w:eastAsiaTheme="minorEastAsia"/>
                <w:color w:val="000000" w:themeColor="text1"/>
                <w:kern w:val="0"/>
              </w:rPr>
              <w:t>983,883.05</w:t>
            </w:r>
          </w:p>
        </w:tc>
        <w:tc>
          <w:tcPr>
            <w:tcW w:w="3118" w:type="dxa"/>
            <w:vAlign w:val="center"/>
          </w:tcPr>
          <w:p w:rsidR="00FC7E07" w:rsidRDefault="00D200C0">
            <w:pPr>
              <w:jc w:val="center"/>
            </w:pPr>
            <w:r>
              <w:rPr>
                <w:rFonts w:eastAsiaTheme="minorEastAsia"/>
                <w:color w:val="000000" w:themeColor="text1"/>
                <w:kern w:val="0"/>
              </w:rPr>
              <w:t>0.88</w:t>
            </w:r>
          </w:p>
        </w:tc>
      </w:tr>
      <w:tr w:rsidR="00FC7E07">
        <w:trPr>
          <w:jc w:val="center"/>
        </w:trPr>
        <w:tc>
          <w:tcPr>
            <w:tcW w:w="2397" w:type="dxa"/>
            <w:vAlign w:val="center"/>
          </w:tcPr>
          <w:p w:rsidR="00FC7E07" w:rsidRDefault="00D200C0">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rsidR="00FC7E07" w:rsidRDefault="00D200C0">
            <w:pPr>
              <w:jc w:val="center"/>
            </w:pPr>
            <w:r>
              <w:rPr>
                <w:rFonts w:eastAsiaTheme="minorEastAsia"/>
                <w:color w:val="000000" w:themeColor="text1"/>
                <w:kern w:val="0"/>
              </w:rPr>
              <w:t>4,075,525.08</w:t>
            </w:r>
          </w:p>
        </w:tc>
        <w:tc>
          <w:tcPr>
            <w:tcW w:w="3118" w:type="dxa"/>
            <w:vAlign w:val="center"/>
          </w:tcPr>
          <w:p w:rsidR="00FC7E07" w:rsidRDefault="00D200C0">
            <w:pPr>
              <w:jc w:val="center"/>
            </w:pPr>
            <w:r>
              <w:rPr>
                <w:rFonts w:eastAsiaTheme="minorEastAsia"/>
                <w:color w:val="000000" w:themeColor="text1"/>
                <w:kern w:val="0"/>
              </w:rPr>
              <w:t>3.63</w:t>
            </w:r>
          </w:p>
        </w:tc>
      </w:tr>
      <w:tr w:rsidR="00FC7E07">
        <w:trPr>
          <w:jc w:val="center"/>
        </w:trPr>
        <w:tc>
          <w:tcPr>
            <w:tcW w:w="2397" w:type="dxa"/>
            <w:vAlign w:val="center"/>
          </w:tcPr>
          <w:p w:rsidR="00FC7E07" w:rsidRDefault="00D200C0">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rsidR="00FC7E07" w:rsidRDefault="00D200C0">
            <w:pPr>
              <w:jc w:val="center"/>
            </w:pPr>
            <w:r>
              <w:rPr>
                <w:rFonts w:eastAsiaTheme="minorEastAsia"/>
                <w:color w:val="000000" w:themeColor="text1"/>
                <w:kern w:val="0"/>
              </w:rPr>
              <w:t>-</w:t>
            </w:r>
          </w:p>
        </w:tc>
        <w:tc>
          <w:tcPr>
            <w:tcW w:w="3118" w:type="dxa"/>
            <w:vAlign w:val="center"/>
          </w:tcPr>
          <w:p w:rsidR="00FC7E07" w:rsidRDefault="00D200C0">
            <w:pPr>
              <w:jc w:val="center"/>
            </w:pPr>
            <w:r>
              <w:rPr>
                <w:rFonts w:eastAsiaTheme="minorEastAsia"/>
                <w:color w:val="000000" w:themeColor="text1"/>
                <w:kern w:val="0"/>
              </w:rPr>
              <w:t>-</w:t>
            </w:r>
          </w:p>
        </w:tc>
      </w:tr>
      <w:tr w:rsidR="00FC7E07">
        <w:trPr>
          <w:jc w:val="center"/>
        </w:trPr>
        <w:tc>
          <w:tcPr>
            <w:tcW w:w="2397" w:type="dxa"/>
            <w:vAlign w:val="center"/>
          </w:tcPr>
          <w:p w:rsidR="00FC7E07" w:rsidRDefault="00D200C0">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rsidR="00FC7E07" w:rsidRDefault="00D200C0">
            <w:pPr>
              <w:jc w:val="center"/>
            </w:pPr>
            <w:r>
              <w:rPr>
                <w:rFonts w:eastAsiaTheme="minorEastAsia"/>
                <w:color w:val="000000" w:themeColor="text1"/>
                <w:kern w:val="0"/>
              </w:rPr>
              <w:t>-</w:t>
            </w:r>
          </w:p>
        </w:tc>
        <w:tc>
          <w:tcPr>
            <w:tcW w:w="3118" w:type="dxa"/>
            <w:vAlign w:val="center"/>
          </w:tcPr>
          <w:p w:rsidR="00FC7E07" w:rsidRDefault="00D200C0">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6,407,537.25</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5.71</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FC7E07">
        <w:tc>
          <w:tcPr>
            <w:tcW w:w="817" w:type="dxa"/>
            <w:vAlign w:val="center"/>
          </w:tcPr>
          <w:p w:rsidR="00FC7E07" w:rsidRDefault="00D200C0">
            <w:pPr>
              <w:jc w:val="center"/>
            </w:pPr>
            <w:r>
              <w:rPr>
                <w:rFonts w:eastAsiaTheme="minorEastAsia"/>
                <w:kern w:val="0"/>
                <w:sz w:val="24"/>
                <w:szCs w:val="24"/>
              </w:rPr>
              <w:t>1</w:t>
            </w:r>
          </w:p>
        </w:tc>
        <w:tc>
          <w:tcPr>
            <w:tcW w:w="1276" w:type="dxa"/>
            <w:vAlign w:val="center"/>
          </w:tcPr>
          <w:p w:rsidR="00FC7E07" w:rsidRDefault="00D200C0">
            <w:pPr>
              <w:jc w:val="center"/>
            </w:pPr>
            <w:r>
              <w:rPr>
                <w:rFonts w:eastAsiaTheme="minorEastAsia"/>
                <w:kern w:val="0"/>
                <w:sz w:val="24"/>
                <w:szCs w:val="24"/>
              </w:rPr>
              <w:t>002236</w:t>
            </w:r>
          </w:p>
        </w:tc>
        <w:tc>
          <w:tcPr>
            <w:tcW w:w="1701" w:type="dxa"/>
            <w:vAlign w:val="center"/>
          </w:tcPr>
          <w:p w:rsidR="00FC7E07" w:rsidRDefault="00D200C0">
            <w:pPr>
              <w:jc w:val="center"/>
            </w:pPr>
            <w:r>
              <w:rPr>
                <w:rFonts w:eastAsiaTheme="minorEastAsia"/>
                <w:kern w:val="0"/>
                <w:sz w:val="24"/>
                <w:szCs w:val="24"/>
              </w:rPr>
              <w:t>大华股份</w:t>
            </w:r>
          </w:p>
        </w:tc>
        <w:tc>
          <w:tcPr>
            <w:tcW w:w="1276" w:type="dxa"/>
            <w:vAlign w:val="center"/>
          </w:tcPr>
          <w:p w:rsidR="00FC7E07" w:rsidRDefault="00D200C0">
            <w:pPr>
              <w:jc w:val="right"/>
            </w:pPr>
            <w:r>
              <w:rPr>
                <w:rFonts w:eastAsiaTheme="minorEastAsia"/>
                <w:kern w:val="0"/>
                <w:sz w:val="24"/>
                <w:szCs w:val="24"/>
              </w:rPr>
              <w:t>294,889.00</w:t>
            </w:r>
          </w:p>
        </w:tc>
        <w:tc>
          <w:tcPr>
            <w:tcW w:w="1842" w:type="dxa"/>
            <w:vAlign w:val="center"/>
          </w:tcPr>
          <w:p w:rsidR="00FC7E07" w:rsidRDefault="00D200C0">
            <w:pPr>
              <w:jc w:val="right"/>
            </w:pPr>
            <w:r>
              <w:rPr>
                <w:rFonts w:eastAsiaTheme="minorEastAsia"/>
                <w:kern w:val="0"/>
                <w:sz w:val="24"/>
                <w:szCs w:val="24"/>
              </w:rPr>
              <w:t>5,440,702.05</w:t>
            </w:r>
          </w:p>
        </w:tc>
        <w:tc>
          <w:tcPr>
            <w:tcW w:w="1616" w:type="dxa"/>
            <w:vAlign w:val="center"/>
          </w:tcPr>
          <w:p w:rsidR="00FC7E07" w:rsidRDefault="00D200C0">
            <w:pPr>
              <w:jc w:val="right"/>
            </w:pPr>
            <w:r>
              <w:rPr>
                <w:rFonts w:eastAsiaTheme="minorEastAsia"/>
                <w:kern w:val="0"/>
                <w:sz w:val="24"/>
                <w:szCs w:val="24"/>
              </w:rPr>
              <w:t>4.85</w:t>
            </w:r>
          </w:p>
        </w:tc>
      </w:tr>
      <w:tr w:rsidR="00FC7E07">
        <w:tc>
          <w:tcPr>
            <w:tcW w:w="817" w:type="dxa"/>
            <w:vAlign w:val="center"/>
          </w:tcPr>
          <w:p w:rsidR="00FC7E07" w:rsidRDefault="00D200C0">
            <w:pPr>
              <w:jc w:val="center"/>
            </w:pPr>
            <w:r>
              <w:rPr>
                <w:rFonts w:eastAsiaTheme="minorEastAsia"/>
                <w:kern w:val="0"/>
                <w:sz w:val="24"/>
                <w:szCs w:val="24"/>
              </w:rPr>
              <w:t>2</w:t>
            </w:r>
          </w:p>
        </w:tc>
        <w:tc>
          <w:tcPr>
            <w:tcW w:w="1276" w:type="dxa"/>
            <w:vAlign w:val="center"/>
          </w:tcPr>
          <w:p w:rsidR="00FC7E07" w:rsidRDefault="00D200C0">
            <w:pPr>
              <w:jc w:val="center"/>
            </w:pPr>
            <w:r>
              <w:rPr>
                <w:rFonts w:eastAsiaTheme="minorEastAsia"/>
                <w:kern w:val="0"/>
                <w:sz w:val="24"/>
                <w:szCs w:val="24"/>
              </w:rPr>
              <w:t>688100</w:t>
            </w:r>
          </w:p>
        </w:tc>
        <w:tc>
          <w:tcPr>
            <w:tcW w:w="1701" w:type="dxa"/>
            <w:vAlign w:val="center"/>
          </w:tcPr>
          <w:p w:rsidR="00FC7E07" w:rsidRDefault="00D200C0">
            <w:pPr>
              <w:jc w:val="center"/>
            </w:pPr>
            <w:r>
              <w:rPr>
                <w:rFonts w:eastAsiaTheme="minorEastAsia"/>
                <w:kern w:val="0"/>
                <w:sz w:val="24"/>
                <w:szCs w:val="24"/>
              </w:rPr>
              <w:t>威胜信息</w:t>
            </w:r>
          </w:p>
        </w:tc>
        <w:tc>
          <w:tcPr>
            <w:tcW w:w="1276" w:type="dxa"/>
            <w:vAlign w:val="center"/>
          </w:tcPr>
          <w:p w:rsidR="00FC7E07" w:rsidRDefault="00D200C0">
            <w:pPr>
              <w:jc w:val="right"/>
            </w:pPr>
            <w:r>
              <w:rPr>
                <w:rFonts w:eastAsiaTheme="minorEastAsia"/>
                <w:kern w:val="0"/>
                <w:sz w:val="24"/>
                <w:szCs w:val="24"/>
              </w:rPr>
              <w:t>142,581.00</w:t>
            </w:r>
          </w:p>
        </w:tc>
        <w:tc>
          <w:tcPr>
            <w:tcW w:w="1842" w:type="dxa"/>
            <w:vAlign w:val="center"/>
          </w:tcPr>
          <w:p w:rsidR="00FC7E07" w:rsidRDefault="00D200C0">
            <w:pPr>
              <w:jc w:val="right"/>
            </w:pPr>
            <w:r>
              <w:rPr>
                <w:rFonts w:eastAsiaTheme="minorEastAsia"/>
                <w:kern w:val="0"/>
                <w:sz w:val="24"/>
                <w:szCs w:val="24"/>
              </w:rPr>
              <w:t>4,123,442.52</w:t>
            </w:r>
          </w:p>
        </w:tc>
        <w:tc>
          <w:tcPr>
            <w:tcW w:w="1616" w:type="dxa"/>
            <w:vAlign w:val="center"/>
          </w:tcPr>
          <w:p w:rsidR="00FC7E07" w:rsidRDefault="00D200C0">
            <w:pPr>
              <w:jc w:val="right"/>
            </w:pPr>
            <w:r>
              <w:rPr>
                <w:rFonts w:eastAsiaTheme="minorEastAsia"/>
                <w:kern w:val="0"/>
                <w:sz w:val="24"/>
                <w:szCs w:val="24"/>
              </w:rPr>
              <w:t>3.68</w:t>
            </w:r>
          </w:p>
        </w:tc>
      </w:tr>
      <w:tr w:rsidR="00FC7E07">
        <w:tc>
          <w:tcPr>
            <w:tcW w:w="817" w:type="dxa"/>
            <w:vAlign w:val="center"/>
          </w:tcPr>
          <w:p w:rsidR="00FC7E07" w:rsidRDefault="00D200C0">
            <w:pPr>
              <w:jc w:val="center"/>
            </w:pPr>
            <w:r>
              <w:rPr>
                <w:rFonts w:eastAsiaTheme="minorEastAsia"/>
                <w:kern w:val="0"/>
                <w:sz w:val="24"/>
                <w:szCs w:val="24"/>
              </w:rPr>
              <w:t>3</w:t>
            </w:r>
          </w:p>
        </w:tc>
        <w:tc>
          <w:tcPr>
            <w:tcW w:w="1276" w:type="dxa"/>
            <w:vAlign w:val="center"/>
          </w:tcPr>
          <w:p w:rsidR="00FC7E07" w:rsidRDefault="00D200C0">
            <w:pPr>
              <w:jc w:val="center"/>
            </w:pPr>
            <w:r>
              <w:rPr>
                <w:rFonts w:eastAsiaTheme="minorEastAsia"/>
                <w:kern w:val="0"/>
                <w:sz w:val="24"/>
                <w:szCs w:val="24"/>
              </w:rPr>
              <w:t>603477</w:t>
            </w:r>
          </w:p>
        </w:tc>
        <w:tc>
          <w:tcPr>
            <w:tcW w:w="1701" w:type="dxa"/>
            <w:vAlign w:val="center"/>
          </w:tcPr>
          <w:p w:rsidR="00FC7E07" w:rsidRDefault="00D200C0">
            <w:pPr>
              <w:jc w:val="center"/>
            </w:pPr>
            <w:r>
              <w:rPr>
                <w:rFonts w:eastAsiaTheme="minorEastAsia"/>
                <w:kern w:val="0"/>
                <w:sz w:val="24"/>
                <w:szCs w:val="24"/>
              </w:rPr>
              <w:t>巨星农牧</w:t>
            </w:r>
          </w:p>
        </w:tc>
        <w:tc>
          <w:tcPr>
            <w:tcW w:w="1276" w:type="dxa"/>
            <w:vAlign w:val="center"/>
          </w:tcPr>
          <w:p w:rsidR="00FC7E07" w:rsidRDefault="00D200C0">
            <w:pPr>
              <w:jc w:val="right"/>
            </w:pPr>
            <w:r>
              <w:rPr>
                <w:rFonts w:eastAsiaTheme="minorEastAsia"/>
                <w:kern w:val="0"/>
                <w:sz w:val="24"/>
                <w:szCs w:val="24"/>
              </w:rPr>
              <w:t>109,017.00</w:t>
            </w:r>
          </w:p>
        </w:tc>
        <w:tc>
          <w:tcPr>
            <w:tcW w:w="1842" w:type="dxa"/>
            <w:vAlign w:val="center"/>
          </w:tcPr>
          <w:p w:rsidR="00FC7E07" w:rsidRDefault="00D200C0">
            <w:pPr>
              <w:jc w:val="right"/>
            </w:pPr>
            <w:r>
              <w:rPr>
                <w:rFonts w:eastAsiaTheme="minorEastAsia"/>
                <w:kern w:val="0"/>
                <w:sz w:val="24"/>
                <w:szCs w:val="24"/>
              </w:rPr>
              <w:t>4,084,866.99</w:t>
            </w:r>
          </w:p>
        </w:tc>
        <w:tc>
          <w:tcPr>
            <w:tcW w:w="1616" w:type="dxa"/>
            <w:vAlign w:val="center"/>
          </w:tcPr>
          <w:p w:rsidR="00FC7E07" w:rsidRDefault="00D200C0">
            <w:pPr>
              <w:jc w:val="right"/>
            </w:pPr>
            <w:r>
              <w:rPr>
                <w:rFonts w:eastAsiaTheme="minorEastAsia"/>
                <w:kern w:val="0"/>
                <w:sz w:val="24"/>
                <w:szCs w:val="24"/>
              </w:rPr>
              <w:t>3.64</w:t>
            </w:r>
          </w:p>
        </w:tc>
      </w:tr>
      <w:tr w:rsidR="00FC7E07">
        <w:tc>
          <w:tcPr>
            <w:tcW w:w="817" w:type="dxa"/>
            <w:vAlign w:val="center"/>
          </w:tcPr>
          <w:p w:rsidR="00FC7E07" w:rsidRDefault="00D200C0">
            <w:pPr>
              <w:jc w:val="center"/>
            </w:pPr>
            <w:r>
              <w:rPr>
                <w:rFonts w:eastAsiaTheme="minorEastAsia"/>
                <w:kern w:val="0"/>
                <w:sz w:val="24"/>
                <w:szCs w:val="24"/>
              </w:rPr>
              <w:t>4</w:t>
            </w:r>
          </w:p>
        </w:tc>
        <w:tc>
          <w:tcPr>
            <w:tcW w:w="1276" w:type="dxa"/>
            <w:vAlign w:val="center"/>
          </w:tcPr>
          <w:p w:rsidR="00FC7E07" w:rsidRDefault="00D200C0">
            <w:pPr>
              <w:jc w:val="center"/>
            </w:pPr>
            <w:r>
              <w:rPr>
                <w:rFonts w:eastAsiaTheme="minorEastAsia"/>
                <w:kern w:val="0"/>
                <w:sz w:val="24"/>
                <w:szCs w:val="24"/>
              </w:rPr>
              <w:t>002028</w:t>
            </w:r>
          </w:p>
        </w:tc>
        <w:tc>
          <w:tcPr>
            <w:tcW w:w="1701" w:type="dxa"/>
            <w:vAlign w:val="center"/>
          </w:tcPr>
          <w:p w:rsidR="00FC7E07" w:rsidRDefault="00D200C0">
            <w:pPr>
              <w:jc w:val="center"/>
            </w:pPr>
            <w:r>
              <w:rPr>
                <w:rFonts w:eastAsiaTheme="minorEastAsia"/>
                <w:kern w:val="0"/>
                <w:sz w:val="24"/>
                <w:szCs w:val="24"/>
              </w:rPr>
              <w:t>思源电气</w:t>
            </w:r>
          </w:p>
        </w:tc>
        <w:tc>
          <w:tcPr>
            <w:tcW w:w="1276" w:type="dxa"/>
            <w:vAlign w:val="center"/>
          </w:tcPr>
          <w:p w:rsidR="00FC7E07" w:rsidRDefault="00D200C0">
            <w:pPr>
              <w:jc w:val="right"/>
            </w:pPr>
            <w:r>
              <w:rPr>
                <w:rFonts w:eastAsiaTheme="minorEastAsia"/>
                <w:kern w:val="0"/>
                <w:sz w:val="24"/>
                <w:szCs w:val="24"/>
              </w:rPr>
              <w:t>65,700.00</w:t>
            </w:r>
          </w:p>
        </w:tc>
        <w:tc>
          <w:tcPr>
            <w:tcW w:w="1842" w:type="dxa"/>
            <w:vAlign w:val="center"/>
          </w:tcPr>
          <w:p w:rsidR="00FC7E07" w:rsidRDefault="00D200C0">
            <w:pPr>
              <w:jc w:val="right"/>
            </w:pPr>
            <w:r>
              <w:rPr>
                <w:rFonts w:eastAsiaTheme="minorEastAsia"/>
                <w:kern w:val="0"/>
                <w:sz w:val="24"/>
                <w:szCs w:val="24"/>
              </w:rPr>
              <w:t>3,419,028.00</w:t>
            </w:r>
          </w:p>
        </w:tc>
        <w:tc>
          <w:tcPr>
            <w:tcW w:w="1616" w:type="dxa"/>
            <w:vAlign w:val="center"/>
          </w:tcPr>
          <w:p w:rsidR="00FC7E07" w:rsidRDefault="00D200C0">
            <w:pPr>
              <w:jc w:val="right"/>
            </w:pPr>
            <w:r>
              <w:rPr>
                <w:rFonts w:eastAsiaTheme="minorEastAsia"/>
                <w:kern w:val="0"/>
                <w:sz w:val="24"/>
                <w:szCs w:val="24"/>
              </w:rPr>
              <w:t>3.05</w:t>
            </w:r>
          </w:p>
        </w:tc>
      </w:tr>
      <w:tr w:rsidR="00FC7E07">
        <w:tc>
          <w:tcPr>
            <w:tcW w:w="817" w:type="dxa"/>
            <w:vAlign w:val="center"/>
          </w:tcPr>
          <w:p w:rsidR="00FC7E07" w:rsidRDefault="00D200C0">
            <w:pPr>
              <w:jc w:val="center"/>
            </w:pPr>
            <w:r>
              <w:rPr>
                <w:rFonts w:eastAsiaTheme="minorEastAsia"/>
                <w:kern w:val="0"/>
                <w:sz w:val="24"/>
                <w:szCs w:val="24"/>
              </w:rPr>
              <w:t>5</w:t>
            </w:r>
          </w:p>
        </w:tc>
        <w:tc>
          <w:tcPr>
            <w:tcW w:w="1276" w:type="dxa"/>
            <w:vAlign w:val="center"/>
          </w:tcPr>
          <w:p w:rsidR="00FC7E07" w:rsidRDefault="00D200C0">
            <w:pPr>
              <w:jc w:val="center"/>
            </w:pPr>
            <w:r>
              <w:rPr>
                <w:rFonts w:eastAsiaTheme="minorEastAsia"/>
                <w:kern w:val="0"/>
                <w:sz w:val="24"/>
                <w:szCs w:val="24"/>
              </w:rPr>
              <w:t>603225</w:t>
            </w:r>
          </w:p>
        </w:tc>
        <w:tc>
          <w:tcPr>
            <w:tcW w:w="1701" w:type="dxa"/>
            <w:vAlign w:val="center"/>
          </w:tcPr>
          <w:p w:rsidR="00FC7E07" w:rsidRDefault="00D200C0">
            <w:pPr>
              <w:jc w:val="center"/>
            </w:pPr>
            <w:r>
              <w:rPr>
                <w:rFonts w:eastAsiaTheme="minorEastAsia"/>
                <w:kern w:val="0"/>
                <w:sz w:val="24"/>
                <w:szCs w:val="24"/>
              </w:rPr>
              <w:t>新凤鸣</w:t>
            </w:r>
          </w:p>
        </w:tc>
        <w:tc>
          <w:tcPr>
            <w:tcW w:w="1276" w:type="dxa"/>
            <w:vAlign w:val="center"/>
          </w:tcPr>
          <w:p w:rsidR="00FC7E07" w:rsidRDefault="00D200C0">
            <w:pPr>
              <w:jc w:val="right"/>
            </w:pPr>
            <w:r>
              <w:rPr>
                <w:rFonts w:eastAsiaTheme="minorEastAsia"/>
                <w:kern w:val="0"/>
                <w:sz w:val="24"/>
                <w:szCs w:val="24"/>
              </w:rPr>
              <w:t>233,668.00</w:t>
            </w:r>
          </w:p>
        </w:tc>
        <w:tc>
          <w:tcPr>
            <w:tcW w:w="1842" w:type="dxa"/>
            <w:vAlign w:val="center"/>
          </w:tcPr>
          <w:p w:rsidR="00FC7E07" w:rsidRDefault="00D200C0">
            <w:pPr>
              <w:jc w:val="right"/>
            </w:pPr>
            <w:r>
              <w:rPr>
                <w:rFonts w:eastAsiaTheme="minorEastAsia"/>
                <w:kern w:val="0"/>
                <w:sz w:val="24"/>
                <w:szCs w:val="24"/>
              </w:rPr>
              <w:t>3,318,085.60</w:t>
            </w:r>
          </w:p>
        </w:tc>
        <w:tc>
          <w:tcPr>
            <w:tcW w:w="1616" w:type="dxa"/>
            <w:vAlign w:val="center"/>
          </w:tcPr>
          <w:p w:rsidR="00FC7E07" w:rsidRDefault="00D200C0">
            <w:pPr>
              <w:jc w:val="right"/>
            </w:pPr>
            <w:r>
              <w:rPr>
                <w:rFonts w:eastAsiaTheme="minorEastAsia"/>
                <w:kern w:val="0"/>
                <w:sz w:val="24"/>
                <w:szCs w:val="24"/>
              </w:rPr>
              <w:t>2.96</w:t>
            </w:r>
          </w:p>
        </w:tc>
      </w:tr>
      <w:tr w:rsidR="00FC7E07">
        <w:tc>
          <w:tcPr>
            <w:tcW w:w="817" w:type="dxa"/>
            <w:vAlign w:val="center"/>
          </w:tcPr>
          <w:p w:rsidR="00FC7E07" w:rsidRDefault="00D200C0">
            <w:pPr>
              <w:jc w:val="center"/>
            </w:pPr>
            <w:r>
              <w:rPr>
                <w:rFonts w:eastAsiaTheme="minorEastAsia"/>
                <w:kern w:val="0"/>
                <w:sz w:val="24"/>
                <w:szCs w:val="24"/>
              </w:rPr>
              <w:t>6</w:t>
            </w:r>
          </w:p>
        </w:tc>
        <w:tc>
          <w:tcPr>
            <w:tcW w:w="1276" w:type="dxa"/>
            <w:vAlign w:val="center"/>
          </w:tcPr>
          <w:p w:rsidR="00FC7E07" w:rsidRDefault="00D200C0">
            <w:pPr>
              <w:jc w:val="center"/>
            </w:pPr>
            <w:r>
              <w:rPr>
                <w:rFonts w:eastAsiaTheme="minorEastAsia"/>
                <w:kern w:val="0"/>
                <w:sz w:val="24"/>
                <w:szCs w:val="24"/>
              </w:rPr>
              <w:t>601233</w:t>
            </w:r>
          </w:p>
        </w:tc>
        <w:tc>
          <w:tcPr>
            <w:tcW w:w="1701" w:type="dxa"/>
            <w:vAlign w:val="center"/>
          </w:tcPr>
          <w:p w:rsidR="00FC7E07" w:rsidRDefault="00D200C0">
            <w:pPr>
              <w:jc w:val="center"/>
            </w:pPr>
            <w:r>
              <w:rPr>
                <w:rFonts w:eastAsiaTheme="minorEastAsia"/>
                <w:kern w:val="0"/>
                <w:sz w:val="24"/>
                <w:szCs w:val="24"/>
              </w:rPr>
              <w:t>桐昆股份</w:t>
            </w:r>
          </w:p>
        </w:tc>
        <w:tc>
          <w:tcPr>
            <w:tcW w:w="1276" w:type="dxa"/>
            <w:vAlign w:val="center"/>
          </w:tcPr>
          <w:p w:rsidR="00FC7E07" w:rsidRDefault="00D200C0">
            <w:pPr>
              <w:jc w:val="right"/>
            </w:pPr>
            <w:r>
              <w:rPr>
                <w:rFonts w:eastAsiaTheme="minorEastAsia"/>
                <w:kern w:val="0"/>
                <w:sz w:val="24"/>
                <w:szCs w:val="24"/>
              </w:rPr>
              <w:t>218,800.00</w:t>
            </w:r>
          </w:p>
        </w:tc>
        <w:tc>
          <w:tcPr>
            <w:tcW w:w="1842" w:type="dxa"/>
            <w:vAlign w:val="center"/>
          </w:tcPr>
          <w:p w:rsidR="00FC7E07" w:rsidRDefault="00D200C0">
            <w:pPr>
              <w:jc w:val="right"/>
            </w:pPr>
            <w:r>
              <w:rPr>
                <w:rFonts w:eastAsiaTheme="minorEastAsia"/>
                <w:kern w:val="0"/>
                <w:sz w:val="24"/>
                <w:szCs w:val="24"/>
              </w:rPr>
              <w:t>3,310,444.00</w:t>
            </w:r>
          </w:p>
        </w:tc>
        <w:tc>
          <w:tcPr>
            <w:tcW w:w="1616" w:type="dxa"/>
            <w:vAlign w:val="center"/>
          </w:tcPr>
          <w:p w:rsidR="00FC7E07" w:rsidRDefault="00D200C0">
            <w:pPr>
              <w:jc w:val="right"/>
            </w:pPr>
            <w:r>
              <w:rPr>
                <w:rFonts w:eastAsiaTheme="minorEastAsia"/>
                <w:kern w:val="0"/>
                <w:sz w:val="24"/>
                <w:szCs w:val="24"/>
              </w:rPr>
              <w:t>2.95</w:t>
            </w:r>
          </w:p>
        </w:tc>
      </w:tr>
      <w:tr w:rsidR="00FC7E07">
        <w:tc>
          <w:tcPr>
            <w:tcW w:w="817" w:type="dxa"/>
            <w:vAlign w:val="center"/>
          </w:tcPr>
          <w:p w:rsidR="00FC7E07" w:rsidRDefault="00D200C0">
            <w:pPr>
              <w:jc w:val="center"/>
            </w:pPr>
            <w:r>
              <w:rPr>
                <w:rFonts w:eastAsiaTheme="minorEastAsia"/>
                <w:kern w:val="0"/>
                <w:sz w:val="24"/>
                <w:szCs w:val="24"/>
              </w:rPr>
              <w:t>7</w:t>
            </w:r>
          </w:p>
        </w:tc>
        <w:tc>
          <w:tcPr>
            <w:tcW w:w="1276" w:type="dxa"/>
            <w:vAlign w:val="center"/>
          </w:tcPr>
          <w:p w:rsidR="00FC7E07" w:rsidRDefault="00D200C0">
            <w:pPr>
              <w:jc w:val="center"/>
            </w:pPr>
            <w:r>
              <w:rPr>
                <w:rFonts w:eastAsiaTheme="minorEastAsia"/>
                <w:kern w:val="0"/>
                <w:sz w:val="24"/>
                <w:szCs w:val="24"/>
              </w:rPr>
              <w:t>688676</w:t>
            </w:r>
          </w:p>
        </w:tc>
        <w:tc>
          <w:tcPr>
            <w:tcW w:w="1701" w:type="dxa"/>
            <w:vAlign w:val="center"/>
          </w:tcPr>
          <w:p w:rsidR="00FC7E07" w:rsidRDefault="00D200C0">
            <w:pPr>
              <w:jc w:val="center"/>
            </w:pPr>
            <w:r>
              <w:rPr>
                <w:rFonts w:eastAsiaTheme="minorEastAsia"/>
                <w:kern w:val="0"/>
                <w:sz w:val="24"/>
                <w:szCs w:val="24"/>
              </w:rPr>
              <w:t>金盘科技</w:t>
            </w:r>
          </w:p>
        </w:tc>
        <w:tc>
          <w:tcPr>
            <w:tcW w:w="1276" w:type="dxa"/>
            <w:vAlign w:val="center"/>
          </w:tcPr>
          <w:p w:rsidR="00FC7E07" w:rsidRDefault="00D200C0">
            <w:pPr>
              <w:jc w:val="right"/>
            </w:pPr>
            <w:r>
              <w:rPr>
                <w:rFonts w:eastAsiaTheme="minorEastAsia"/>
                <w:kern w:val="0"/>
                <w:sz w:val="24"/>
                <w:szCs w:val="24"/>
              </w:rPr>
              <w:t>87,722.00</w:t>
            </w:r>
          </w:p>
        </w:tc>
        <w:tc>
          <w:tcPr>
            <w:tcW w:w="1842" w:type="dxa"/>
            <w:vAlign w:val="center"/>
          </w:tcPr>
          <w:p w:rsidR="00FC7E07" w:rsidRDefault="00D200C0">
            <w:pPr>
              <w:jc w:val="right"/>
            </w:pPr>
            <w:r>
              <w:rPr>
                <w:rFonts w:eastAsiaTheme="minorEastAsia"/>
                <w:kern w:val="0"/>
                <w:sz w:val="24"/>
                <w:szCs w:val="24"/>
              </w:rPr>
              <w:t>3,143,079.26</w:t>
            </w:r>
          </w:p>
        </w:tc>
        <w:tc>
          <w:tcPr>
            <w:tcW w:w="1616" w:type="dxa"/>
            <w:vAlign w:val="center"/>
          </w:tcPr>
          <w:p w:rsidR="00FC7E07" w:rsidRDefault="00D200C0">
            <w:pPr>
              <w:jc w:val="right"/>
            </w:pPr>
            <w:r>
              <w:rPr>
                <w:rFonts w:eastAsiaTheme="minorEastAsia"/>
                <w:kern w:val="0"/>
                <w:sz w:val="24"/>
                <w:szCs w:val="24"/>
              </w:rPr>
              <w:t>2.80</w:t>
            </w:r>
          </w:p>
        </w:tc>
      </w:tr>
      <w:tr w:rsidR="00FC7E07">
        <w:tc>
          <w:tcPr>
            <w:tcW w:w="817" w:type="dxa"/>
            <w:vAlign w:val="center"/>
          </w:tcPr>
          <w:p w:rsidR="00FC7E07" w:rsidRDefault="00D200C0">
            <w:pPr>
              <w:jc w:val="center"/>
            </w:pPr>
            <w:r>
              <w:rPr>
                <w:rFonts w:eastAsiaTheme="minorEastAsia"/>
                <w:kern w:val="0"/>
                <w:sz w:val="24"/>
                <w:szCs w:val="24"/>
              </w:rPr>
              <w:t>8</w:t>
            </w:r>
          </w:p>
        </w:tc>
        <w:tc>
          <w:tcPr>
            <w:tcW w:w="1276" w:type="dxa"/>
            <w:vAlign w:val="center"/>
          </w:tcPr>
          <w:p w:rsidR="00FC7E07" w:rsidRDefault="00D200C0">
            <w:pPr>
              <w:jc w:val="center"/>
            </w:pPr>
            <w:r>
              <w:rPr>
                <w:rFonts w:eastAsiaTheme="minorEastAsia"/>
                <w:kern w:val="0"/>
                <w:sz w:val="24"/>
                <w:szCs w:val="24"/>
              </w:rPr>
              <w:t>600761</w:t>
            </w:r>
          </w:p>
        </w:tc>
        <w:tc>
          <w:tcPr>
            <w:tcW w:w="1701" w:type="dxa"/>
            <w:vAlign w:val="center"/>
          </w:tcPr>
          <w:p w:rsidR="00FC7E07" w:rsidRDefault="00D200C0">
            <w:pPr>
              <w:jc w:val="center"/>
            </w:pPr>
            <w:r>
              <w:rPr>
                <w:rFonts w:eastAsiaTheme="minorEastAsia"/>
                <w:kern w:val="0"/>
                <w:sz w:val="24"/>
                <w:szCs w:val="24"/>
              </w:rPr>
              <w:t>安徽合力</w:t>
            </w:r>
          </w:p>
        </w:tc>
        <w:tc>
          <w:tcPr>
            <w:tcW w:w="1276" w:type="dxa"/>
            <w:vAlign w:val="center"/>
          </w:tcPr>
          <w:p w:rsidR="00FC7E07" w:rsidRDefault="00D200C0">
            <w:pPr>
              <w:jc w:val="right"/>
            </w:pPr>
            <w:r>
              <w:rPr>
                <w:rFonts w:eastAsiaTheme="minorEastAsia"/>
                <w:kern w:val="0"/>
                <w:sz w:val="24"/>
                <w:szCs w:val="24"/>
              </w:rPr>
              <w:t>163,739.00</w:t>
            </w:r>
          </w:p>
        </w:tc>
        <w:tc>
          <w:tcPr>
            <w:tcW w:w="1842" w:type="dxa"/>
            <w:vAlign w:val="center"/>
          </w:tcPr>
          <w:p w:rsidR="00FC7E07" w:rsidRDefault="00D200C0">
            <w:pPr>
              <w:jc w:val="right"/>
            </w:pPr>
            <w:r>
              <w:rPr>
                <w:rFonts w:eastAsiaTheme="minorEastAsia"/>
                <w:kern w:val="0"/>
                <w:sz w:val="24"/>
                <w:szCs w:val="24"/>
              </w:rPr>
              <w:t>2,981,687.19</w:t>
            </w:r>
          </w:p>
        </w:tc>
        <w:tc>
          <w:tcPr>
            <w:tcW w:w="1616" w:type="dxa"/>
            <w:vAlign w:val="center"/>
          </w:tcPr>
          <w:p w:rsidR="00FC7E07" w:rsidRDefault="00D200C0">
            <w:pPr>
              <w:jc w:val="right"/>
            </w:pPr>
            <w:r>
              <w:rPr>
                <w:rFonts w:eastAsiaTheme="minorEastAsia"/>
                <w:kern w:val="0"/>
                <w:sz w:val="24"/>
                <w:szCs w:val="24"/>
              </w:rPr>
              <w:t>2.66</w:t>
            </w:r>
          </w:p>
        </w:tc>
      </w:tr>
      <w:tr w:rsidR="00D200C0">
        <w:tc>
          <w:tcPr>
            <w:tcW w:w="817" w:type="dxa"/>
            <w:vAlign w:val="center"/>
          </w:tcPr>
          <w:p w:rsidR="00D200C0" w:rsidRDefault="00D200C0" w:rsidP="00D200C0">
            <w:pPr>
              <w:jc w:val="center"/>
            </w:pPr>
            <w:r>
              <w:rPr>
                <w:rFonts w:eastAsiaTheme="minorEastAsia"/>
                <w:kern w:val="0"/>
                <w:sz w:val="24"/>
                <w:szCs w:val="24"/>
              </w:rPr>
              <w:t>9</w:t>
            </w:r>
          </w:p>
        </w:tc>
        <w:tc>
          <w:tcPr>
            <w:tcW w:w="1276" w:type="dxa"/>
            <w:vAlign w:val="center"/>
          </w:tcPr>
          <w:p w:rsidR="00D200C0" w:rsidRDefault="00D200C0" w:rsidP="00D200C0">
            <w:pPr>
              <w:jc w:val="center"/>
            </w:pPr>
            <w:r>
              <w:rPr>
                <w:rFonts w:eastAsiaTheme="minorEastAsia"/>
                <w:kern w:val="0"/>
                <w:sz w:val="24"/>
                <w:szCs w:val="24"/>
              </w:rPr>
              <w:t>000513</w:t>
            </w:r>
          </w:p>
        </w:tc>
        <w:tc>
          <w:tcPr>
            <w:tcW w:w="1701" w:type="dxa"/>
            <w:vAlign w:val="center"/>
          </w:tcPr>
          <w:p w:rsidR="00D200C0" w:rsidRDefault="00D200C0" w:rsidP="00D200C0">
            <w:pPr>
              <w:jc w:val="center"/>
            </w:pPr>
            <w:r>
              <w:rPr>
                <w:rFonts w:eastAsiaTheme="minorEastAsia"/>
                <w:kern w:val="0"/>
                <w:sz w:val="24"/>
                <w:szCs w:val="24"/>
              </w:rPr>
              <w:t>丽珠集团</w:t>
            </w:r>
          </w:p>
        </w:tc>
        <w:tc>
          <w:tcPr>
            <w:tcW w:w="1276" w:type="dxa"/>
            <w:vAlign w:val="center"/>
          </w:tcPr>
          <w:p w:rsidR="00D200C0" w:rsidRDefault="00D200C0" w:rsidP="00D200C0">
            <w:pPr>
              <w:jc w:val="right"/>
            </w:pPr>
            <w:r>
              <w:rPr>
                <w:rFonts w:eastAsiaTheme="minorEastAsia"/>
                <w:kern w:val="0"/>
                <w:sz w:val="24"/>
                <w:szCs w:val="24"/>
              </w:rPr>
              <w:t>45,767.00</w:t>
            </w:r>
          </w:p>
        </w:tc>
        <w:tc>
          <w:tcPr>
            <w:tcW w:w="1842" w:type="dxa"/>
            <w:vAlign w:val="center"/>
          </w:tcPr>
          <w:p w:rsidR="00D200C0" w:rsidRDefault="00D200C0" w:rsidP="00D200C0">
            <w:pPr>
              <w:jc w:val="right"/>
            </w:pPr>
            <w:r>
              <w:rPr>
                <w:rFonts w:eastAsiaTheme="minorEastAsia"/>
                <w:kern w:val="0"/>
                <w:sz w:val="24"/>
                <w:szCs w:val="24"/>
              </w:rPr>
              <w:t>1,602,302.67</w:t>
            </w:r>
          </w:p>
        </w:tc>
        <w:tc>
          <w:tcPr>
            <w:tcW w:w="1616" w:type="dxa"/>
            <w:vAlign w:val="center"/>
          </w:tcPr>
          <w:p w:rsidR="00D200C0" w:rsidRDefault="00D200C0" w:rsidP="00D200C0">
            <w:pPr>
              <w:jc w:val="right"/>
            </w:pPr>
            <w:r>
              <w:rPr>
                <w:rFonts w:eastAsiaTheme="minorEastAsia"/>
                <w:kern w:val="0"/>
                <w:sz w:val="24"/>
                <w:szCs w:val="24"/>
              </w:rPr>
              <w:t>1.43</w:t>
            </w:r>
          </w:p>
        </w:tc>
      </w:tr>
      <w:tr w:rsidR="00D200C0">
        <w:tc>
          <w:tcPr>
            <w:tcW w:w="817" w:type="dxa"/>
            <w:vAlign w:val="center"/>
          </w:tcPr>
          <w:p w:rsidR="00D200C0" w:rsidRDefault="00D200C0" w:rsidP="00D200C0">
            <w:pPr>
              <w:jc w:val="center"/>
            </w:pPr>
            <w:r>
              <w:rPr>
                <w:rFonts w:eastAsiaTheme="minorEastAsia"/>
                <w:kern w:val="0"/>
                <w:sz w:val="24"/>
                <w:szCs w:val="24"/>
              </w:rPr>
              <w:t>9</w:t>
            </w:r>
          </w:p>
        </w:tc>
        <w:tc>
          <w:tcPr>
            <w:tcW w:w="1276" w:type="dxa"/>
            <w:vAlign w:val="center"/>
          </w:tcPr>
          <w:p w:rsidR="00D200C0" w:rsidRDefault="00D200C0" w:rsidP="00D200C0">
            <w:pPr>
              <w:jc w:val="center"/>
            </w:pPr>
            <w:r>
              <w:rPr>
                <w:rFonts w:eastAsiaTheme="minorEastAsia"/>
                <w:kern w:val="0"/>
                <w:sz w:val="24"/>
                <w:szCs w:val="24"/>
              </w:rPr>
              <w:t>01513</w:t>
            </w:r>
          </w:p>
        </w:tc>
        <w:tc>
          <w:tcPr>
            <w:tcW w:w="1701" w:type="dxa"/>
            <w:vAlign w:val="center"/>
          </w:tcPr>
          <w:p w:rsidR="00D200C0" w:rsidRDefault="00D200C0" w:rsidP="00D200C0">
            <w:pPr>
              <w:jc w:val="center"/>
            </w:pPr>
            <w:r>
              <w:rPr>
                <w:rFonts w:eastAsiaTheme="minorEastAsia"/>
                <w:kern w:val="0"/>
                <w:sz w:val="24"/>
                <w:szCs w:val="24"/>
              </w:rPr>
              <w:t>丽珠医药</w:t>
            </w:r>
          </w:p>
        </w:tc>
        <w:tc>
          <w:tcPr>
            <w:tcW w:w="1276" w:type="dxa"/>
            <w:vAlign w:val="center"/>
          </w:tcPr>
          <w:p w:rsidR="00D200C0" w:rsidRDefault="00D200C0" w:rsidP="00D200C0">
            <w:pPr>
              <w:jc w:val="right"/>
            </w:pPr>
            <w:r>
              <w:rPr>
                <w:rFonts w:eastAsiaTheme="minorEastAsia"/>
                <w:kern w:val="0"/>
                <w:sz w:val="24"/>
                <w:szCs w:val="24"/>
              </w:rPr>
              <w:t>61,600.00</w:t>
            </w:r>
          </w:p>
        </w:tc>
        <w:tc>
          <w:tcPr>
            <w:tcW w:w="1842" w:type="dxa"/>
            <w:vAlign w:val="center"/>
          </w:tcPr>
          <w:p w:rsidR="00D200C0" w:rsidRDefault="00D200C0" w:rsidP="00D200C0">
            <w:pPr>
              <w:jc w:val="right"/>
            </w:pPr>
            <w:r>
              <w:rPr>
                <w:rFonts w:eastAsiaTheme="minorEastAsia"/>
                <w:kern w:val="0"/>
                <w:sz w:val="24"/>
                <w:szCs w:val="24"/>
              </w:rPr>
              <w:t>1,348,129.12</w:t>
            </w:r>
          </w:p>
        </w:tc>
        <w:tc>
          <w:tcPr>
            <w:tcW w:w="1616" w:type="dxa"/>
            <w:vAlign w:val="center"/>
          </w:tcPr>
          <w:p w:rsidR="00D200C0" w:rsidRDefault="00D200C0" w:rsidP="00D200C0">
            <w:pPr>
              <w:jc w:val="right"/>
            </w:pPr>
            <w:r>
              <w:rPr>
                <w:rFonts w:eastAsiaTheme="minorEastAsia"/>
                <w:kern w:val="0"/>
                <w:sz w:val="24"/>
                <w:szCs w:val="24"/>
              </w:rPr>
              <w:t>1.20</w:t>
            </w:r>
          </w:p>
        </w:tc>
      </w:tr>
      <w:tr w:rsidR="00D200C0">
        <w:tc>
          <w:tcPr>
            <w:tcW w:w="817" w:type="dxa"/>
            <w:vAlign w:val="center"/>
          </w:tcPr>
          <w:p w:rsidR="00D200C0" w:rsidRDefault="00D200C0" w:rsidP="00D200C0">
            <w:pPr>
              <w:jc w:val="center"/>
            </w:pPr>
            <w:r>
              <w:rPr>
                <w:rFonts w:eastAsiaTheme="minorEastAsia"/>
                <w:kern w:val="0"/>
                <w:sz w:val="24"/>
                <w:szCs w:val="24"/>
              </w:rPr>
              <w:t>10</w:t>
            </w:r>
          </w:p>
        </w:tc>
        <w:tc>
          <w:tcPr>
            <w:tcW w:w="1276" w:type="dxa"/>
            <w:vAlign w:val="center"/>
          </w:tcPr>
          <w:p w:rsidR="00D200C0" w:rsidRDefault="00D200C0" w:rsidP="00D200C0">
            <w:pPr>
              <w:jc w:val="center"/>
            </w:pPr>
            <w:r>
              <w:rPr>
                <w:rFonts w:eastAsiaTheme="minorEastAsia"/>
                <w:kern w:val="0"/>
                <w:sz w:val="24"/>
                <w:szCs w:val="24"/>
              </w:rPr>
              <w:t>603712</w:t>
            </w:r>
          </w:p>
        </w:tc>
        <w:tc>
          <w:tcPr>
            <w:tcW w:w="1701" w:type="dxa"/>
            <w:vAlign w:val="center"/>
          </w:tcPr>
          <w:p w:rsidR="00D200C0" w:rsidRDefault="00D200C0" w:rsidP="00D200C0">
            <w:pPr>
              <w:jc w:val="center"/>
            </w:pPr>
            <w:r>
              <w:rPr>
                <w:rFonts w:eastAsiaTheme="minorEastAsia"/>
                <w:kern w:val="0"/>
                <w:sz w:val="24"/>
                <w:szCs w:val="24"/>
              </w:rPr>
              <w:t>七一二</w:t>
            </w:r>
          </w:p>
        </w:tc>
        <w:tc>
          <w:tcPr>
            <w:tcW w:w="1276" w:type="dxa"/>
            <w:vAlign w:val="center"/>
          </w:tcPr>
          <w:p w:rsidR="00D200C0" w:rsidRDefault="00D200C0" w:rsidP="00D200C0">
            <w:pPr>
              <w:jc w:val="right"/>
            </w:pPr>
            <w:r>
              <w:rPr>
                <w:rFonts w:eastAsiaTheme="minorEastAsia"/>
                <w:kern w:val="0"/>
                <w:sz w:val="24"/>
                <w:szCs w:val="24"/>
              </w:rPr>
              <w:t>89,200.00</w:t>
            </w:r>
          </w:p>
        </w:tc>
        <w:tc>
          <w:tcPr>
            <w:tcW w:w="1842" w:type="dxa"/>
            <w:vAlign w:val="center"/>
          </w:tcPr>
          <w:p w:rsidR="00D200C0" w:rsidRDefault="00D200C0" w:rsidP="00D200C0">
            <w:pPr>
              <w:jc w:val="right"/>
            </w:pPr>
            <w:r>
              <w:rPr>
                <w:rFonts w:eastAsiaTheme="minorEastAsia"/>
                <w:kern w:val="0"/>
                <w:sz w:val="24"/>
                <w:szCs w:val="24"/>
              </w:rPr>
              <w:t>2,810,692.00</w:t>
            </w:r>
          </w:p>
        </w:tc>
        <w:tc>
          <w:tcPr>
            <w:tcW w:w="1616" w:type="dxa"/>
            <w:vAlign w:val="center"/>
          </w:tcPr>
          <w:p w:rsidR="00D200C0" w:rsidRDefault="00D200C0" w:rsidP="00D200C0">
            <w:pPr>
              <w:jc w:val="right"/>
            </w:pPr>
            <w:r>
              <w:rPr>
                <w:rFonts w:eastAsiaTheme="minorEastAsia"/>
                <w:kern w:val="0"/>
                <w:sz w:val="24"/>
                <w:szCs w:val="24"/>
              </w:rPr>
              <w:t>2.51</w:t>
            </w:r>
          </w:p>
        </w:tc>
      </w:tr>
      <w:bookmarkEnd w:id="1"/>
    </w:tbl>
    <w:p w:rsidR="00D06738" w:rsidRDefault="00D06738">
      <w:pPr>
        <w:autoSpaceDE w:val="0"/>
        <w:autoSpaceDN w:val="0"/>
        <w:adjustRightInd w:val="0"/>
        <w:spacing w:line="360" w:lineRule="auto"/>
        <w:jc w:val="left"/>
        <w:rPr>
          <w:rFonts w:eastAsiaTheme="minorEastAsia"/>
          <w:b/>
          <w:bCs/>
          <w:color w:val="000000" w:themeColor="text1"/>
          <w:kern w:val="0"/>
          <w:sz w:val="24"/>
          <w:szCs w:val="24"/>
        </w:rPr>
      </w:pPr>
    </w:p>
    <w:p w:rsidR="00D200C0" w:rsidRDefault="00D200C0">
      <w:pPr>
        <w:autoSpaceDE w:val="0"/>
        <w:autoSpaceDN w:val="0"/>
        <w:adjustRightInd w:val="0"/>
        <w:spacing w:line="360" w:lineRule="auto"/>
        <w:jc w:val="left"/>
        <w:rPr>
          <w:rFonts w:eastAsiaTheme="minorEastAsia"/>
          <w:b/>
          <w:bCs/>
          <w:color w:val="000000" w:themeColor="text1"/>
          <w:kern w:val="0"/>
          <w:sz w:val="24"/>
          <w:szCs w:val="24"/>
        </w:rPr>
      </w:pPr>
    </w:p>
    <w:p w:rsidR="00D200C0" w:rsidRDefault="00D200C0">
      <w:pPr>
        <w:autoSpaceDE w:val="0"/>
        <w:autoSpaceDN w:val="0"/>
        <w:adjustRightInd w:val="0"/>
        <w:spacing w:line="360" w:lineRule="auto"/>
        <w:jc w:val="left"/>
        <w:rPr>
          <w:rFonts w:eastAsiaTheme="minorEastAsia"/>
          <w:b/>
          <w:bCs/>
          <w:color w:val="000000" w:themeColor="text1"/>
          <w:kern w:val="0"/>
          <w:sz w:val="24"/>
          <w:szCs w:val="24"/>
        </w:rPr>
      </w:pPr>
    </w:p>
    <w:p w:rsidR="00D200C0" w:rsidRDefault="00D200C0">
      <w:pPr>
        <w:autoSpaceDE w:val="0"/>
        <w:autoSpaceDN w:val="0"/>
        <w:adjustRightInd w:val="0"/>
        <w:spacing w:line="360" w:lineRule="auto"/>
        <w:jc w:val="left"/>
        <w:rPr>
          <w:rFonts w:eastAsiaTheme="minorEastAsia"/>
          <w:b/>
          <w:bCs/>
          <w:color w:val="000000" w:themeColor="text1"/>
          <w:kern w:val="0"/>
          <w:sz w:val="24"/>
          <w:szCs w:val="24"/>
        </w:rPr>
      </w:pPr>
    </w:p>
    <w:p w:rsidR="00D200C0" w:rsidRDefault="00D200C0">
      <w:pPr>
        <w:autoSpaceDE w:val="0"/>
        <w:autoSpaceDN w:val="0"/>
        <w:adjustRightInd w:val="0"/>
        <w:spacing w:line="360" w:lineRule="auto"/>
        <w:jc w:val="left"/>
        <w:rPr>
          <w:rFonts w:eastAsiaTheme="minorEastAsia"/>
          <w:b/>
          <w:bCs/>
          <w:color w:val="000000" w:themeColor="text1"/>
          <w:kern w:val="0"/>
          <w:sz w:val="24"/>
          <w:szCs w:val="24"/>
        </w:rPr>
      </w:pPr>
    </w:p>
    <w:p w:rsidR="00D200C0" w:rsidRDefault="00D200C0">
      <w:pPr>
        <w:autoSpaceDE w:val="0"/>
        <w:autoSpaceDN w:val="0"/>
        <w:adjustRightInd w:val="0"/>
        <w:spacing w:line="360" w:lineRule="auto"/>
        <w:jc w:val="left"/>
        <w:rPr>
          <w:rFonts w:eastAsiaTheme="minorEastAsia"/>
          <w:b/>
          <w:bCs/>
          <w:color w:val="000000" w:themeColor="text1"/>
          <w:kern w:val="0"/>
          <w:sz w:val="24"/>
          <w:szCs w:val="24"/>
        </w:rPr>
      </w:pPr>
    </w:p>
    <w:p w:rsidR="00D200C0" w:rsidRPr="00FA5A70" w:rsidRDefault="00D200C0">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61,917.60</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653,986.07</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9.99</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715,913.66</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165,660,582.19</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71,088.78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8,095,249.62</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157,636,421.35</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lastRenderedPageBreak/>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单位：份</w:t>
      </w:r>
    </w:p>
    <w:tbl>
      <w:tblPr>
        <w:tblW w:w="8415" w:type="dxa"/>
        <w:tblInd w:w="108" w:type="dxa"/>
        <w:tblLayout w:type="fixed"/>
        <w:tblLook w:val="04A0" w:firstRow="1" w:lastRow="0" w:firstColumn="1" w:lastColumn="0" w:noHBand="0" w:noVBand="1"/>
      </w:tblPr>
      <w:tblGrid>
        <w:gridCol w:w="5037"/>
        <w:gridCol w:w="3378"/>
      </w:tblGrid>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pStyle w:val="af0"/>
              <w:adjustRightInd w:val="0"/>
              <w:snapToGrid w:val="0"/>
              <w:spacing w:line="360" w:lineRule="exact"/>
              <w:rPr>
                <w:rFonts w:eastAsiaTheme="minorEastAsia"/>
                <w:color w:val="000000" w:themeColor="text1"/>
                <w:kern w:val="0"/>
                <w:sz w:val="21"/>
                <w:szCs w:val="21"/>
              </w:rPr>
            </w:pPr>
            <w:r w:rsidRPr="00FF6B9A">
              <w:rPr>
                <w:rFonts w:eastAsiaTheme="minorEastAsia"/>
                <w:color w:val="000000" w:themeColor="text1"/>
                <w:kern w:val="0"/>
                <w:sz w:val="21"/>
                <w:szCs w:val="21"/>
              </w:rPr>
              <w:t>报告期期初管理人持有的本基金份额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19,999,766.67</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报告期期间买入</w:t>
            </w:r>
            <w:r w:rsidRPr="00FF6B9A">
              <w:rPr>
                <w:rFonts w:eastAsiaTheme="minorEastAsia"/>
                <w:color w:val="000000" w:themeColor="text1"/>
                <w:kern w:val="0"/>
              </w:rPr>
              <w:t>/</w:t>
            </w:r>
            <w:r w:rsidRPr="00FF6B9A">
              <w:rPr>
                <w:rFonts w:eastAsiaTheme="minorEastAsia"/>
                <w:color w:val="000000" w:themeColor="text1"/>
                <w:kern w:val="0"/>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报告期期间卖出</w:t>
            </w:r>
            <w:r w:rsidRPr="00FF6B9A">
              <w:rPr>
                <w:rFonts w:eastAsiaTheme="minorEastAsia"/>
                <w:color w:val="000000" w:themeColor="text1"/>
                <w:kern w:val="0"/>
              </w:rPr>
              <w:t>/</w:t>
            </w:r>
            <w:r w:rsidRPr="00FF6B9A">
              <w:rPr>
                <w:rFonts w:eastAsiaTheme="minorEastAsia"/>
                <w:color w:val="000000" w:themeColor="text1"/>
                <w:kern w:val="0"/>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19,999,766.67</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报告期期末持有的本基金份额占基金总份额比例（</w:t>
            </w:r>
            <w:r w:rsidRPr="00FF6B9A">
              <w:rPr>
                <w:rFonts w:eastAsiaTheme="minorEastAsia"/>
                <w:color w:val="000000" w:themeColor="text1"/>
                <w:kern w:val="0"/>
              </w:rPr>
              <w:t>%</w:t>
            </w:r>
            <w:r w:rsidRPr="00FF6B9A">
              <w:rPr>
                <w:rFonts w:eastAsiaTheme="minorEastAsia"/>
                <w:color w:val="000000" w:themeColor="text1"/>
                <w:kern w:val="0"/>
              </w:rPr>
              <w:t>）</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12.69</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影响投资者决策的其他重要信息</w:t>
      </w:r>
    </w:p>
    <w:p w:rsidR="00D06738" w:rsidRPr="00FF6B9A" w:rsidRDefault="00454D20">
      <w:pPr>
        <w:autoSpaceDE w:val="0"/>
        <w:autoSpaceDN w:val="0"/>
        <w:adjustRightInd w:val="0"/>
        <w:spacing w:line="360" w:lineRule="auto"/>
        <w:jc w:val="left"/>
        <w:rPr>
          <w:b/>
          <w:bCs/>
          <w:color w:val="000000"/>
          <w:kern w:val="0"/>
          <w:sz w:val="24"/>
          <w:szCs w:val="24"/>
        </w:rPr>
      </w:pPr>
      <w:r w:rsidRPr="00FF6B9A">
        <w:rPr>
          <w:b/>
          <w:bCs/>
          <w:color w:val="000000"/>
          <w:kern w:val="0"/>
          <w:sz w:val="24"/>
          <w:szCs w:val="24"/>
        </w:rPr>
        <w:t xml:space="preserve">8.1 </w:t>
      </w:r>
      <w:r w:rsidRPr="00FF6B9A">
        <w:rPr>
          <w:b/>
          <w:bCs/>
          <w:color w:val="000000"/>
          <w:kern w:val="0"/>
          <w:sz w:val="24"/>
          <w:szCs w:val="24"/>
        </w:rPr>
        <w:t>报告期内单一投资者持有基金份额比例达到或超过</w:t>
      </w:r>
      <w:r w:rsidRPr="00FF6B9A">
        <w:rPr>
          <w:b/>
          <w:bCs/>
          <w:color w:val="000000"/>
          <w:kern w:val="0"/>
          <w:sz w:val="24"/>
          <w:szCs w:val="24"/>
        </w:rPr>
        <w:t>20%</w:t>
      </w:r>
      <w:r w:rsidRPr="00FF6B9A">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06738" w:rsidRPr="00FF6B9A">
        <w:tc>
          <w:tcPr>
            <w:tcW w:w="993" w:type="dxa"/>
            <w:vMerge w:val="restart"/>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投资者类别</w:t>
            </w:r>
            <w:r w:rsidRPr="00FF6B9A">
              <w:rPr>
                <w:color w:val="000000"/>
                <w:kern w:val="0"/>
              </w:rPr>
              <w:t xml:space="preserve">  </w:t>
            </w:r>
          </w:p>
        </w:tc>
        <w:tc>
          <w:tcPr>
            <w:tcW w:w="5670" w:type="dxa"/>
            <w:gridSpan w:val="5"/>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报告期内持有基金份额变化情况</w:t>
            </w:r>
          </w:p>
        </w:tc>
        <w:tc>
          <w:tcPr>
            <w:tcW w:w="2549" w:type="dxa"/>
            <w:gridSpan w:val="2"/>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报告期末持有基金情况</w:t>
            </w:r>
          </w:p>
        </w:tc>
      </w:tr>
      <w:tr w:rsidR="00D06738" w:rsidRPr="00FF6B9A">
        <w:tc>
          <w:tcPr>
            <w:tcW w:w="993" w:type="dxa"/>
            <w:vMerge/>
            <w:vAlign w:val="center"/>
          </w:tcPr>
          <w:p w:rsidR="00D06738" w:rsidRPr="00FF6B9A" w:rsidRDefault="00D06738">
            <w:pPr>
              <w:autoSpaceDE w:val="0"/>
              <w:autoSpaceDN w:val="0"/>
              <w:adjustRightInd w:val="0"/>
              <w:jc w:val="center"/>
              <w:rPr>
                <w:b/>
                <w:bCs/>
                <w:color w:val="000000"/>
                <w:kern w:val="0"/>
              </w:rPr>
            </w:pPr>
          </w:p>
        </w:tc>
        <w:tc>
          <w:tcPr>
            <w:tcW w:w="992"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序号</w:t>
            </w:r>
          </w:p>
        </w:tc>
        <w:tc>
          <w:tcPr>
            <w:tcW w:w="1843"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持有基金份额比例达到或者超过</w:t>
            </w:r>
            <w:r w:rsidRPr="00FF6B9A">
              <w:rPr>
                <w:color w:val="000000"/>
                <w:kern w:val="0"/>
              </w:rPr>
              <w:t>20%</w:t>
            </w:r>
            <w:r w:rsidRPr="00FF6B9A">
              <w:rPr>
                <w:color w:val="000000"/>
                <w:kern w:val="0"/>
              </w:rPr>
              <w:t>的时间区间</w:t>
            </w:r>
          </w:p>
        </w:tc>
        <w:tc>
          <w:tcPr>
            <w:tcW w:w="851" w:type="dxa"/>
            <w:vAlign w:val="center"/>
          </w:tcPr>
          <w:p w:rsidR="00D06738" w:rsidRPr="00FF6B9A" w:rsidRDefault="00454D20">
            <w:pPr>
              <w:widowControl/>
              <w:jc w:val="center"/>
              <w:rPr>
                <w:b/>
                <w:bCs/>
                <w:color w:val="000000"/>
                <w:kern w:val="0"/>
              </w:rPr>
            </w:pPr>
            <w:r w:rsidRPr="00FF6B9A">
              <w:rPr>
                <w:color w:val="000000"/>
                <w:kern w:val="0"/>
              </w:rPr>
              <w:t>期初份额</w:t>
            </w:r>
          </w:p>
        </w:tc>
        <w:tc>
          <w:tcPr>
            <w:tcW w:w="850" w:type="dxa"/>
            <w:vAlign w:val="center"/>
          </w:tcPr>
          <w:p w:rsidR="00D06738" w:rsidRPr="00FF6B9A" w:rsidRDefault="00454D20">
            <w:pPr>
              <w:widowControl/>
              <w:jc w:val="center"/>
              <w:rPr>
                <w:b/>
                <w:bCs/>
                <w:color w:val="000000"/>
                <w:kern w:val="0"/>
              </w:rPr>
            </w:pPr>
            <w:r w:rsidRPr="00FF6B9A">
              <w:rPr>
                <w:color w:val="000000"/>
                <w:kern w:val="0"/>
              </w:rPr>
              <w:t>申购份额</w:t>
            </w:r>
          </w:p>
        </w:tc>
        <w:tc>
          <w:tcPr>
            <w:tcW w:w="1134" w:type="dxa"/>
            <w:vAlign w:val="center"/>
          </w:tcPr>
          <w:p w:rsidR="00D06738" w:rsidRPr="00FF6B9A" w:rsidRDefault="00454D20">
            <w:pPr>
              <w:widowControl/>
              <w:jc w:val="center"/>
              <w:rPr>
                <w:b/>
                <w:bCs/>
                <w:color w:val="000000"/>
                <w:kern w:val="0"/>
              </w:rPr>
            </w:pPr>
            <w:r w:rsidRPr="00FF6B9A">
              <w:rPr>
                <w:color w:val="000000"/>
                <w:kern w:val="0"/>
              </w:rPr>
              <w:t>赎回份额</w:t>
            </w:r>
          </w:p>
        </w:tc>
        <w:tc>
          <w:tcPr>
            <w:tcW w:w="1419"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持有份额</w:t>
            </w:r>
          </w:p>
        </w:tc>
        <w:tc>
          <w:tcPr>
            <w:tcW w:w="1130"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份额占比</w:t>
            </w:r>
          </w:p>
        </w:tc>
      </w:tr>
      <w:tr w:rsidR="00FC7E07">
        <w:tc>
          <w:tcPr>
            <w:tcW w:w="993" w:type="dxa"/>
            <w:vMerge w:val="restart"/>
            <w:vAlign w:val="center"/>
          </w:tcPr>
          <w:p w:rsidR="00FC7E07" w:rsidRDefault="00D200C0">
            <w:r>
              <w:rPr>
                <w:bCs/>
                <w:color w:val="000000"/>
                <w:kern w:val="0"/>
              </w:rPr>
              <w:t>机构</w:t>
            </w:r>
          </w:p>
        </w:tc>
        <w:tc>
          <w:tcPr>
            <w:tcW w:w="992" w:type="dxa"/>
            <w:vAlign w:val="center"/>
          </w:tcPr>
          <w:p w:rsidR="00FC7E07" w:rsidRDefault="00D200C0">
            <w:pPr>
              <w:jc w:val="center"/>
            </w:pPr>
            <w:r>
              <w:rPr>
                <w:color w:val="000000"/>
                <w:kern w:val="0"/>
              </w:rPr>
              <w:t>1</w:t>
            </w:r>
          </w:p>
        </w:tc>
        <w:tc>
          <w:tcPr>
            <w:tcW w:w="1843" w:type="dxa"/>
            <w:vAlign w:val="center"/>
          </w:tcPr>
          <w:p w:rsidR="00FC7E07" w:rsidRDefault="00D200C0">
            <w:pPr>
              <w:jc w:val="center"/>
            </w:pPr>
            <w:r>
              <w:rPr>
                <w:color w:val="000000"/>
                <w:kern w:val="0"/>
              </w:rPr>
              <w:t>20231001-20231231</w:t>
            </w:r>
          </w:p>
        </w:tc>
        <w:tc>
          <w:tcPr>
            <w:tcW w:w="851" w:type="dxa"/>
            <w:vAlign w:val="center"/>
          </w:tcPr>
          <w:p w:rsidR="00FC7E07" w:rsidRDefault="00D200C0">
            <w:pPr>
              <w:jc w:val="center"/>
            </w:pPr>
            <w:r>
              <w:rPr>
                <w:color w:val="000000"/>
                <w:kern w:val="0"/>
              </w:rPr>
              <w:t>60,010,500.00</w:t>
            </w:r>
          </w:p>
        </w:tc>
        <w:tc>
          <w:tcPr>
            <w:tcW w:w="850" w:type="dxa"/>
            <w:vAlign w:val="center"/>
          </w:tcPr>
          <w:p w:rsidR="00FC7E07" w:rsidRDefault="00D200C0">
            <w:pPr>
              <w:jc w:val="center"/>
            </w:pPr>
            <w:r>
              <w:rPr>
                <w:color w:val="000000"/>
                <w:kern w:val="0"/>
              </w:rPr>
              <w:t>0.00</w:t>
            </w:r>
          </w:p>
        </w:tc>
        <w:tc>
          <w:tcPr>
            <w:tcW w:w="1134" w:type="dxa"/>
            <w:vAlign w:val="center"/>
          </w:tcPr>
          <w:p w:rsidR="00FC7E07" w:rsidRDefault="00D200C0">
            <w:pPr>
              <w:jc w:val="center"/>
            </w:pPr>
            <w:r>
              <w:rPr>
                <w:color w:val="000000"/>
                <w:kern w:val="0"/>
              </w:rPr>
              <w:t>0.00</w:t>
            </w:r>
          </w:p>
        </w:tc>
        <w:tc>
          <w:tcPr>
            <w:tcW w:w="1419" w:type="dxa"/>
            <w:vAlign w:val="center"/>
          </w:tcPr>
          <w:p w:rsidR="00FC7E07" w:rsidRDefault="00D200C0">
            <w:pPr>
              <w:jc w:val="center"/>
            </w:pPr>
            <w:r>
              <w:rPr>
                <w:color w:val="000000"/>
                <w:kern w:val="0"/>
              </w:rPr>
              <w:t>60,010,500.00</w:t>
            </w:r>
          </w:p>
        </w:tc>
        <w:tc>
          <w:tcPr>
            <w:tcW w:w="1130" w:type="dxa"/>
            <w:vAlign w:val="center"/>
          </w:tcPr>
          <w:p w:rsidR="00FC7E07" w:rsidRDefault="00D200C0">
            <w:pPr>
              <w:jc w:val="center"/>
            </w:pPr>
            <w:r>
              <w:rPr>
                <w:color w:val="000000"/>
                <w:kern w:val="0"/>
              </w:rPr>
              <w:t>38.07%</w:t>
            </w:r>
          </w:p>
        </w:tc>
      </w:tr>
      <w:tr w:rsidR="00D06738" w:rsidRPr="00FF6B9A">
        <w:tc>
          <w:tcPr>
            <w:tcW w:w="9212" w:type="dxa"/>
            <w:gridSpan w:val="8"/>
            <w:vAlign w:val="center"/>
          </w:tcPr>
          <w:p w:rsidR="00D06738" w:rsidRPr="00FF6B9A" w:rsidRDefault="00454D20">
            <w:pPr>
              <w:autoSpaceDE w:val="0"/>
              <w:autoSpaceDN w:val="0"/>
              <w:adjustRightInd w:val="0"/>
              <w:jc w:val="center"/>
              <w:rPr>
                <w:kern w:val="0"/>
              </w:rPr>
            </w:pPr>
            <w:r w:rsidRPr="00FF6B9A">
              <w:rPr>
                <w:color w:val="000000"/>
                <w:kern w:val="0"/>
              </w:rPr>
              <w:t>产品特有风险</w:t>
            </w:r>
          </w:p>
        </w:tc>
      </w:tr>
      <w:tr w:rsidR="00D06738" w:rsidRPr="00FF6B9A">
        <w:tc>
          <w:tcPr>
            <w:tcW w:w="9212" w:type="dxa"/>
            <w:gridSpan w:val="8"/>
            <w:vAlign w:val="center"/>
          </w:tcPr>
          <w:p w:rsidR="00D06738" w:rsidRPr="00FF6B9A" w:rsidRDefault="00454D20">
            <w:pPr>
              <w:autoSpaceDE w:val="0"/>
              <w:autoSpaceDN w:val="0"/>
              <w:adjustRightInd w:val="0"/>
              <w:jc w:val="left"/>
              <w:rPr>
                <w:kern w:val="0"/>
              </w:rPr>
            </w:pPr>
            <w:r w:rsidRPr="00FF6B9A">
              <w:rPr>
                <w:kern w:val="0"/>
              </w:rPr>
              <w:t>本基金的集中度风险主要体现在有单一投资者持有基金份额比例达到或者超过</w:t>
            </w:r>
            <w:r w:rsidRPr="00FF6B9A">
              <w:rPr>
                <w:kern w:val="0"/>
              </w:rPr>
              <w:t>20%</w:t>
            </w:r>
            <w:r w:rsidRPr="00FF6B9A">
              <w:rPr>
                <w:kern w:val="0"/>
              </w:rPr>
              <w:t>，如果投资者发生大额赎回，可能出现基金可变现资产无法满足投资者赎回需要以及因为资产变现成本过高导致投资者的利益受到损害的风险。</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§9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9.1 </w:t>
      </w:r>
      <w:r w:rsidRPr="00FF6B9A">
        <w:rPr>
          <w:rFonts w:eastAsiaTheme="minorEastAsia"/>
          <w:b/>
          <w:bCs/>
          <w:color w:val="000000" w:themeColor="text1"/>
          <w:kern w:val="0"/>
          <w:sz w:val="24"/>
          <w:szCs w:val="24"/>
        </w:rPr>
        <w:t>备查文件目录</w:t>
      </w:r>
    </w:p>
    <w:p w:rsidR="00FC7E07" w:rsidRDefault="00D200C0">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rsidR="00FC7E07" w:rsidRDefault="00D200C0">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摩根鑫睿优选一年持有期混合型证券投资基金基金合同</w:t>
      </w:r>
    </w:p>
    <w:p w:rsidR="00FC7E07" w:rsidRDefault="00D200C0">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摩根鑫睿优选一年持有期混合型证券投资基金托管协议</w:t>
      </w:r>
    </w:p>
    <w:p w:rsidR="00FC7E07" w:rsidRDefault="00D200C0">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FC7E07" w:rsidRDefault="00D200C0">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FC7E07" w:rsidRDefault="00D200C0">
      <w:pPr>
        <w:spacing w:line="360" w:lineRule="auto"/>
        <w:ind w:firstLineChars="200" w:firstLine="420"/>
        <w:rPr>
          <w:rFonts w:eastAsiaTheme="minorEastAsia"/>
          <w:color w:val="000000" w:themeColor="text1"/>
        </w:rPr>
      </w:pPr>
      <w:r>
        <w:rPr>
          <w:rFonts w:eastAsiaTheme="minorEastAsia"/>
          <w:color w:val="000000" w:themeColor="text1"/>
        </w:rPr>
        <w:lastRenderedPageBreak/>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FC7E07" w:rsidRDefault="00D200C0">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二〇二四年一月二十二日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03" w:rsidRDefault="00376E03">
      <w:r>
        <w:separator/>
      </w:r>
    </w:p>
  </w:endnote>
  <w:endnote w:type="continuationSeparator" w:id="0">
    <w:p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802B8C" w:rsidRPr="00802B8C">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802B8C">
      <w:rPr>
        <w:rStyle w:val="aff"/>
        <w:noProof/>
      </w:rPr>
      <w:t>4</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03" w:rsidRDefault="00376E03">
      <w:r>
        <w:separator/>
      </w:r>
    </w:p>
  </w:footnote>
  <w:footnote w:type="continuationSeparator" w:id="0">
    <w:p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摩根鑫睿优选一年持有期混合型证券投资基金</w:t>
    </w:r>
    <w:r>
      <w:rPr>
        <w:rFonts w:hint="eastAsia"/>
      </w:rPr>
      <w:t>2023</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2B8C"/>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00C0"/>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C7E07"/>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3F45C8-E58E-4141-9C1B-3FF7ECD3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271</cp:revision>
  <dcterms:created xsi:type="dcterms:W3CDTF">2012-10-16T06:07:00Z</dcterms:created>
  <dcterms:modified xsi:type="dcterms:W3CDTF">2024-01-19T06:05:00Z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