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摩根鑫睿优选一年持有期混合型证券投资基金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1</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3</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基金托管人：兴业银行股份有限公司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报告送出日期：二〇二四年四月二十二日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基金托管人兴业银行股份有限公司根据本基金合同规定，于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摩根鑫睿优选一年持有期混合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012904</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2022</w:t>
            </w:r>
            <w:r w:rsidRPr="00FF6B9A">
              <w:rPr>
                <w:rFonts w:eastAsiaTheme="minorEastAsia"/>
                <w:color w:val="000000" w:themeColor="text1"/>
                <w:kern w:val="0"/>
              </w:rPr>
              <w:t>年</w:t>
            </w:r>
            <w:r w:rsidRPr="00FF6B9A">
              <w:rPr>
                <w:rFonts w:eastAsiaTheme="minorEastAsia"/>
                <w:color w:val="000000" w:themeColor="text1"/>
                <w:kern w:val="0"/>
              </w:rPr>
              <w:t>3</w:t>
            </w:r>
            <w:r w:rsidRPr="00FF6B9A">
              <w:rPr>
                <w:rFonts w:eastAsiaTheme="minorEastAsia"/>
                <w:color w:val="000000" w:themeColor="text1"/>
                <w:kern w:val="0"/>
              </w:rPr>
              <w:t>月</w:t>
            </w:r>
            <w:r w:rsidRPr="00FF6B9A">
              <w:rPr>
                <w:rFonts w:eastAsiaTheme="minorEastAsia"/>
                <w:color w:val="000000" w:themeColor="text1"/>
                <w:kern w:val="0"/>
              </w:rPr>
              <w:t>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154,897,781.67</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在严格的风险控制的前提下，采用定性与定量的分析，自上而下进行宏观分析和行业配置，自下而上精选个股，力争实现基金资产的长期增值。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，其中港股通标的股票的投资比例不超过股票资产的</w:t>
            </w:r>
            <w:r>
              <w:rPr>
                <w:rFonts w:eastAsiaTheme="minorEastAsia"/>
                <w:color w:val="000000" w:themeColor="text1"/>
                <w:kern w:val="0"/>
              </w:rPr>
              <w:t>50%</w:t>
            </w:r>
            <w:r>
              <w:rPr>
                <w:rFonts w:eastAsiaTheme="minorEastAsia"/>
                <w:color w:val="000000" w:themeColor="text1"/>
                <w:kern w:val="0"/>
              </w:rPr>
              <w:t>。</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kern w:val="0"/>
              </w:rPr>
              <w:t>A</w:t>
            </w:r>
            <w:r>
              <w:rPr>
                <w:rFonts w:eastAsiaTheme="minorEastAsia"/>
                <w:color w:val="000000" w:themeColor="text1"/>
                <w:kern w:val="0"/>
              </w:rPr>
              <w:t>股形成互补。</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本基金将通过自下而上方法挖掘优质个股，结合各项定量和定性指标挑选出最具上涨潜力的标的。</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57611C" w:rsidRDefault="00ED217C">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5</w:t>
            </w:r>
            <w:r w:rsidRPr="00FF6B9A">
              <w:rPr>
                <w:rFonts w:eastAsiaTheme="minorEastAsia"/>
                <w:color w:val="000000" w:themeColor="text1"/>
                <w:kern w:val="0"/>
              </w:rPr>
              <w:t>、其他投资策略：包括股指期货投资策略、资产支持证券投资策略、股票期权投资策略、证券公司短期公司债券投资策略、存托凭证投资策略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*65%+</w:t>
            </w:r>
            <w:r w:rsidRPr="00FF6B9A">
              <w:rPr>
                <w:rFonts w:eastAsiaTheme="minorEastAsia"/>
                <w:color w:val="000000" w:themeColor="text1"/>
                <w:kern w:val="0"/>
              </w:rPr>
              <w:t>中证港股通指数收益率</w:t>
            </w:r>
            <w:r w:rsidRPr="00FF6B9A">
              <w:rPr>
                <w:rFonts w:eastAsiaTheme="minorEastAsia"/>
                <w:color w:val="000000" w:themeColor="text1"/>
                <w:kern w:val="0"/>
              </w:rPr>
              <w:t>*20%+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兴业银行股份有限公司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D217C" w:rsidRPr="00FF6B9A" w:rsidTr="00ED217C">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1</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3</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ED217C" w:rsidRPr="00FF6B9A" w:rsidTr="00ED217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-1,848,999.65</w:t>
            </w:r>
          </w:p>
        </w:tc>
      </w:tr>
      <w:tr w:rsidR="00ED217C" w:rsidRPr="00FF6B9A" w:rsidTr="00ED217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2,417,040.86</w:t>
            </w:r>
          </w:p>
        </w:tc>
      </w:tr>
      <w:tr w:rsidR="00ED217C" w:rsidRPr="00FF6B9A" w:rsidTr="00ED217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0.0155</w:t>
            </w:r>
          </w:p>
        </w:tc>
      </w:tr>
      <w:tr w:rsidR="00ED217C" w:rsidRPr="00FF6B9A" w:rsidTr="00ED217C">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112,704,010.16</w:t>
            </w:r>
          </w:p>
        </w:tc>
      </w:tr>
      <w:tr w:rsidR="00ED217C" w:rsidRPr="00FF6B9A" w:rsidTr="00ED217C">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0.7276</w:t>
            </w:r>
          </w:p>
        </w:tc>
      </w:tr>
    </w:tbl>
    <w:p w:rsidR="0057611C" w:rsidRDefault="00ED217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57611C">
        <w:tc>
          <w:tcPr>
            <w:tcW w:w="1395" w:type="dxa"/>
            <w:vAlign w:val="center"/>
          </w:tcPr>
          <w:p w:rsidR="0057611C" w:rsidRDefault="00ED217C">
            <w:pPr>
              <w:jc w:val="left"/>
            </w:pPr>
            <w:r>
              <w:rPr>
                <w:rFonts w:eastAsiaTheme="minorEastAsia"/>
                <w:color w:val="000000" w:themeColor="text1"/>
                <w:kern w:val="0"/>
              </w:rPr>
              <w:t>过去三个月</w:t>
            </w:r>
          </w:p>
        </w:tc>
        <w:tc>
          <w:tcPr>
            <w:tcW w:w="1092" w:type="dxa"/>
            <w:vAlign w:val="center"/>
          </w:tcPr>
          <w:p w:rsidR="0057611C" w:rsidRDefault="00ED217C">
            <w:pPr>
              <w:jc w:val="center"/>
            </w:pPr>
            <w:r>
              <w:rPr>
                <w:rFonts w:eastAsiaTheme="minorEastAsia"/>
                <w:color w:val="000000" w:themeColor="text1"/>
                <w:kern w:val="0"/>
              </w:rPr>
              <w:t>2.26%</w:t>
            </w:r>
          </w:p>
        </w:tc>
        <w:tc>
          <w:tcPr>
            <w:tcW w:w="1161" w:type="dxa"/>
            <w:vAlign w:val="center"/>
          </w:tcPr>
          <w:p w:rsidR="0057611C" w:rsidRDefault="00ED217C">
            <w:pPr>
              <w:jc w:val="center"/>
            </w:pPr>
            <w:r>
              <w:rPr>
                <w:rFonts w:eastAsiaTheme="minorEastAsia"/>
                <w:color w:val="000000" w:themeColor="text1"/>
                <w:kern w:val="0"/>
              </w:rPr>
              <w:t>1.35%</w:t>
            </w:r>
          </w:p>
        </w:tc>
        <w:tc>
          <w:tcPr>
            <w:tcW w:w="1181" w:type="dxa"/>
            <w:vAlign w:val="center"/>
          </w:tcPr>
          <w:p w:rsidR="0057611C" w:rsidRDefault="00ED217C">
            <w:pPr>
              <w:jc w:val="center"/>
            </w:pPr>
            <w:r>
              <w:rPr>
                <w:rFonts w:eastAsiaTheme="minorEastAsia"/>
                <w:color w:val="000000" w:themeColor="text1"/>
                <w:kern w:val="0"/>
              </w:rPr>
              <w:t>1.01%</w:t>
            </w:r>
          </w:p>
        </w:tc>
        <w:tc>
          <w:tcPr>
            <w:tcW w:w="1188" w:type="dxa"/>
            <w:vAlign w:val="center"/>
          </w:tcPr>
          <w:p w:rsidR="0057611C" w:rsidRDefault="00ED217C">
            <w:pPr>
              <w:jc w:val="center"/>
            </w:pPr>
            <w:r>
              <w:rPr>
                <w:rFonts w:eastAsiaTheme="minorEastAsia"/>
                <w:color w:val="000000" w:themeColor="text1"/>
                <w:kern w:val="0"/>
              </w:rPr>
              <w:t>1.00%</w:t>
            </w:r>
          </w:p>
        </w:tc>
        <w:tc>
          <w:tcPr>
            <w:tcW w:w="1199" w:type="dxa"/>
            <w:vAlign w:val="center"/>
          </w:tcPr>
          <w:p w:rsidR="0057611C" w:rsidRDefault="00ED217C">
            <w:pPr>
              <w:jc w:val="center"/>
            </w:pPr>
            <w:r>
              <w:rPr>
                <w:rFonts w:eastAsiaTheme="minorEastAsia"/>
                <w:color w:val="000000" w:themeColor="text1"/>
                <w:kern w:val="0"/>
              </w:rPr>
              <w:t>1.25%</w:t>
            </w:r>
          </w:p>
        </w:tc>
        <w:tc>
          <w:tcPr>
            <w:tcW w:w="1204" w:type="dxa"/>
            <w:vAlign w:val="center"/>
          </w:tcPr>
          <w:p w:rsidR="0057611C" w:rsidRDefault="00ED217C">
            <w:pPr>
              <w:jc w:val="center"/>
            </w:pPr>
            <w:r>
              <w:rPr>
                <w:rFonts w:eastAsiaTheme="minorEastAsia"/>
                <w:color w:val="000000" w:themeColor="text1"/>
                <w:kern w:val="0"/>
              </w:rPr>
              <w:t>0.35%</w:t>
            </w:r>
          </w:p>
        </w:tc>
      </w:tr>
      <w:tr w:rsidR="0057611C">
        <w:tc>
          <w:tcPr>
            <w:tcW w:w="1395" w:type="dxa"/>
            <w:vAlign w:val="center"/>
          </w:tcPr>
          <w:p w:rsidR="0057611C" w:rsidRDefault="00ED217C">
            <w:pPr>
              <w:jc w:val="left"/>
            </w:pPr>
            <w:r>
              <w:rPr>
                <w:rFonts w:eastAsiaTheme="minorEastAsia"/>
                <w:color w:val="000000" w:themeColor="text1"/>
                <w:kern w:val="0"/>
              </w:rPr>
              <w:t>过去六个月</w:t>
            </w:r>
          </w:p>
        </w:tc>
        <w:tc>
          <w:tcPr>
            <w:tcW w:w="1092" w:type="dxa"/>
            <w:vAlign w:val="center"/>
          </w:tcPr>
          <w:p w:rsidR="0057611C" w:rsidRDefault="00ED217C">
            <w:pPr>
              <w:jc w:val="center"/>
            </w:pPr>
            <w:r>
              <w:rPr>
                <w:rFonts w:eastAsiaTheme="minorEastAsia"/>
                <w:color w:val="000000" w:themeColor="text1"/>
                <w:kern w:val="0"/>
              </w:rPr>
              <w:t>-0.83%</w:t>
            </w:r>
          </w:p>
        </w:tc>
        <w:tc>
          <w:tcPr>
            <w:tcW w:w="1161" w:type="dxa"/>
            <w:vAlign w:val="center"/>
          </w:tcPr>
          <w:p w:rsidR="0057611C" w:rsidRDefault="00ED217C">
            <w:pPr>
              <w:jc w:val="center"/>
            </w:pPr>
            <w:r>
              <w:rPr>
                <w:rFonts w:eastAsiaTheme="minorEastAsia"/>
                <w:color w:val="000000" w:themeColor="text1"/>
                <w:kern w:val="0"/>
              </w:rPr>
              <w:t>1.10%</w:t>
            </w:r>
          </w:p>
        </w:tc>
        <w:tc>
          <w:tcPr>
            <w:tcW w:w="1181" w:type="dxa"/>
            <w:vAlign w:val="center"/>
          </w:tcPr>
          <w:p w:rsidR="0057611C" w:rsidRDefault="00ED217C">
            <w:pPr>
              <w:jc w:val="center"/>
            </w:pPr>
            <w:r>
              <w:rPr>
                <w:rFonts w:eastAsiaTheme="minorEastAsia"/>
                <w:color w:val="000000" w:themeColor="text1"/>
                <w:kern w:val="0"/>
              </w:rPr>
              <w:t>-4.41%</w:t>
            </w:r>
          </w:p>
        </w:tc>
        <w:tc>
          <w:tcPr>
            <w:tcW w:w="1188" w:type="dxa"/>
            <w:vAlign w:val="center"/>
          </w:tcPr>
          <w:p w:rsidR="0057611C" w:rsidRDefault="00ED217C">
            <w:pPr>
              <w:jc w:val="center"/>
            </w:pPr>
            <w:r>
              <w:rPr>
                <w:rFonts w:eastAsiaTheme="minorEastAsia"/>
                <w:color w:val="000000" w:themeColor="text1"/>
                <w:kern w:val="0"/>
              </w:rPr>
              <w:t>0.85%</w:t>
            </w:r>
          </w:p>
        </w:tc>
        <w:tc>
          <w:tcPr>
            <w:tcW w:w="1199" w:type="dxa"/>
            <w:vAlign w:val="center"/>
          </w:tcPr>
          <w:p w:rsidR="0057611C" w:rsidRDefault="00ED217C">
            <w:pPr>
              <w:jc w:val="center"/>
            </w:pPr>
            <w:r>
              <w:rPr>
                <w:rFonts w:eastAsiaTheme="minorEastAsia"/>
                <w:color w:val="000000" w:themeColor="text1"/>
                <w:kern w:val="0"/>
              </w:rPr>
              <w:t>3.58%</w:t>
            </w:r>
          </w:p>
        </w:tc>
        <w:tc>
          <w:tcPr>
            <w:tcW w:w="1204" w:type="dxa"/>
            <w:vAlign w:val="center"/>
          </w:tcPr>
          <w:p w:rsidR="0057611C" w:rsidRDefault="00ED217C">
            <w:pPr>
              <w:jc w:val="center"/>
            </w:pPr>
            <w:r>
              <w:rPr>
                <w:rFonts w:eastAsiaTheme="minorEastAsia"/>
                <w:color w:val="000000" w:themeColor="text1"/>
                <w:kern w:val="0"/>
              </w:rPr>
              <w:t>0.25%</w:t>
            </w:r>
          </w:p>
        </w:tc>
      </w:tr>
      <w:tr w:rsidR="0057611C">
        <w:tc>
          <w:tcPr>
            <w:tcW w:w="1395" w:type="dxa"/>
            <w:vAlign w:val="center"/>
          </w:tcPr>
          <w:p w:rsidR="0057611C" w:rsidRDefault="00ED217C">
            <w:pPr>
              <w:jc w:val="left"/>
            </w:pPr>
            <w:r>
              <w:rPr>
                <w:rFonts w:eastAsiaTheme="minorEastAsia"/>
                <w:color w:val="000000" w:themeColor="text1"/>
                <w:kern w:val="0"/>
              </w:rPr>
              <w:t>过去一年</w:t>
            </w:r>
          </w:p>
        </w:tc>
        <w:tc>
          <w:tcPr>
            <w:tcW w:w="1092" w:type="dxa"/>
            <w:vAlign w:val="center"/>
          </w:tcPr>
          <w:p w:rsidR="0057611C" w:rsidRDefault="00ED217C">
            <w:pPr>
              <w:jc w:val="center"/>
            </w:pPr>
            <w:r>
              <w:rPr>
                <w:rFonts w:eastAsiaTheme="minorEastAsia"/>
                <w:color w:val="000000" w:themeColor="text1"/>
                <w:kern w:val="0"/>
              </w:rPr>
              <w:t>-15.69%</w:t>
            </w:r>
          </w:p>
        </w:tc>
        <w:tc>
          <w:tcPr>
            <w:tcW w:w="1161" w:type="dxa"/>
            <w:vAlign w:val="center"/>
          </w:tcPr>
          <w:p w:rsidR="0057611C" w:rsidRDefault="00ED217C">
            <w:pPr>
              <w:jc w:val="center"/>
            </w:pPr>
            <w:r>
              <w:rPr>
                <w:rFonts w:eastAsiaTheme="minorEastAsia"/>
                <w:color w:val="000000" w:themeColor="text1"/>
                <w:kern w:val="0"/>
              </w:rPr>
              <w:t>1.05%</w:t>
            </w:r>
          </w:p>
        </w:tc>
        <w:tc>
          <w:tcPr>
            <w:tcW w:w="1181" w:type="dxa"/>
            <w:vAlign w:val="center"/>
          </w:tcPr>
          <w:p w:rsidR="0057611C" w:rsidRDefault="00ED217C">
            <w:pPr>
              <w:jc w:val="center"/>
            </w:pPr>
            <w:r>
              <w:rPr>
                <w:rFonts w:eastAsiaTheme="minorEastAsia"/>
                <w:color w:val="000000" w:themeColor="text1"/>
                <w:kern w:val="0"/>
              </w:rPr>
              <w:t>-10.99%</w:t>
            </w:r>
          </w:p>
        </w:tc>
        <w:tc>
          <w:tcPr>
            <w:tcW w:w="1188" w:type="dxa"/>
            <w:vAlign w:val="center"/>
          </w:tcPr>
          <w:p w:rsidR="0057611C" w:rsidRDefault="00ED217C">
            <w:pPr>
              <w:jc w:val="center"/>
            </w:pPr>
            <w:r>
              <w:rPr>
                <w:rFonts w:eastAsiaTheme="minorEastAsia"/>
                <w:color w:val="000000" w:themeColor="text1"/>
                <w:kern w:val="0"/>
              </w:rPr>
              <w:t>0.79%</w:t>
            </w:r>
          </w:p>
        </w:tc>
        <w:tc>
          <w:tcPr>
            <w:tcW w:w="1199" w:type="dxa"/>
            <w:vAlign w:val="center"/>
          </w:tcPr>
          <w:p w:rsidR="0057611C" w:rsidRDefault="00ED217C">
            <w:pPr>
              <w:jc w:val="center"/>
            </w:pPr>
            <w:r>
              <w:rPr>
                <w:rFonts w:eastAsiaTheme="minorEastAsia"/>
                <w:color w:val="000000" w:themeColor="text1"/>
                <w:kern w:val="0"/>
              </w:rPr>
              <w:t>-4.70%</w:t>
            </w:r>
          </w:p>
        </w:tc>
        <w:tc>
          <w:tcPr>
            <w:tcW w:w="1204" w:type="dxa"/>
            <w:vAlign w:val="center"/>
          </w:tcPr>
          <w:p w:rsidR="0057611C" w:rsidRDefault="00ED217C">
            <w:pPr>
              <w:jc w:val="center"/>
            </w:pPr>
            <w:r>
              <w:rPr>
                <w:rFonts w:eastAsiaTheme="minorEastAsia"/>
                <w:color w:val="000000" w:themeColor="text1"/>
                <w:kern w:val="0"/>
              </w:rPr>
              <w:t>0.26%</w:t>
            </w:r>
          </w:p>
        </w:tc>
      </w:tr>
      <w:tr w:rsidR="0057611C">
        <w:tc>
          <w:tcPr>
            <w:tcW w:w="1395" w:type="dxa"/>
            <w:vAlign w:val="center"/>
          </w:tcPr>
          <w:p w:rsidR="0057611C" w:rsidRDefault="00ED217C">
            <w:pPr>
              <w:jc w:val="left"/>
            </w:pPr>
            <w:r>
              <w:rPr>
                <w:rFonts w:eastAsiaTheme="minorEastAsia"/>
                <w:color w:val="000000" w:themeColor="text1"/>
                <w:kern w:val="0"/>
              </w:rPr>
              <w:t>过去三年</w:t>
            </w:r>
          </w:p>
        </w:tc>
        <w:tc>
          <w:tcPr>
            <w:tcW w:w="1092" w:type="dxa"/>
            <w:vAlign w:val="center"/>
          </w:tcPr>
          <w:p w:rsidR="0057611C" w:rsidRDefault="00ED217C">
            <w:pPr>
              <w:jc w:val="center"/>
            </w:pPr>
            <w:r>
              <w:rPr>
                <w:rFonts w:eastAsiaTheme="minorEastAsia"/>
                <w:color w:val="000000" w:themeColor="text1"/>
                <w:kern w:val="0"/>
              </w:rPr>
              <w:t>-</w:t>
            </w:r>
          </w:p>
        </w:tc>
        <w:tc>
          <w:tcPr>
            <w:tcW w:w="1161" w:type="dxa"/>
            <w:vAlign w:val="center"/>
          </w:tcPr>
          <w:p w:rsidR="0057611C" w:rsidRDefault="00ED217C">
            <w:pPr>
              <w:jc w:val="center"/>
            </w:pPr>
            <w:r>
              <w:rPr>
                <w:rFonts w:eastAsiaTheme="minorEastAsia"/>
                <w:color w:val="000000" w:themeColor="text1"/>
                <w:kern w:val="0"/>
              </w:rPr>
              <w:t>-</w:t>
            </w:r>
          </w:p>
        </w:tc>
        <w:tc>
          <w:tcPr>
            <w:tcW w:w="1181" w:type="dxa"/>
            <w:vAlign w:val="center"/>
          </w:tcPr>
          <w:p w:rsidR="0057611C" w:rsidRDefault="00ED217C">
            <w:pPr>
              <w:jc w:val="center"/>
            </w:pPr>
            <w:r>
              <w:rPr>
                <w:rFonts w:eastAsiaTheme="minorEastAsia"/>
                <w:color w:val="000000" w:themeColor="text1"/>
                <w:kern w:val="0"/>
              </w:rPr>
              <w:t>-</w:t>
            </w:r>
          </w:p>
        </w:tc>
        <w:tc>
          <w:tcPr>
            <w:tcW w:w="1188" w:type="dxa"/>
            <w:vAlign w:val="center"/>
          </w:tcPr>
          <w:p w:rsidR="0057611C" w:rsidRDefault="00ED217C">
            <w:pPr>
              <w:jc w:val="center"/>
            </w:pPr>
            <w:r>
              <w:rPr>
                <w:rFonts w:eastAsiaTheme="minorEastAsia"/>
                <w:color w:val="000000" w:themeColor="text1"/>
                <w:kern w:val="0"/>
              </w:rPr>
              <w:t>-</w:t>
            </w:r>
          </w:p>
        </w:tc>
        <w:tc>
          <w:tcPr>
            <w:tcW w:w="1199" w:type="dxa"/>
            <w:vAlign w:val="center"/>
          </w:tcPr>
          <w:p w:rsidR="0057611C" w:rsidRDefault="00ED217C">
            <w:pPr>
              <w:jc w:val="center"/>
            </w:pPr>
            <w:r>
              <w:rPr>
                <w:rFonts w:eastAsiaTheme="minorEastAsia"/>
                <w:color w:val="000000" w:themeColor="text1"/>
                <w:kern w:val="0"/>
              </w:rPr>
              <w:t>-</w:t>
            </w:r>
          </w:p>
        </w:tc>
        <w:tc>
          <w:tcPr>
            <w:tcW w:w="1204" w:type="dxa"/>
            <w:vAlign w:val="center"/>
          </w:tcPr>
          <w:p w:rsidR="0057611C" w:rsidRDefault="00ED217C">
            <w:pPr>
              <w:jc w:val="center"/>
            </w:pPr>
            <w:r>
              <w:rPr>
                <w:rFonts w:eastAsiaTheme="minorEastAsia"/>
                <w:color w:val="000000" w:themeColor="text1"/>
                <w:kern w:val="0"/>
              </w:rPr>
              <w:t>-</w:t>
            </w:r>
          </w:p>
        </w:tc>
      </w:tr>
      <w:tr w:rsidR="0057611C">
        <w:tc>
          <w:tcPr>
            <w:tcW w:w="1395" w:type="dxa"/>
            <w:vAlign w:val="center"/>
          </w:tcPr>
          <w:p w:rsidR="0057611C" w:rsidRDefault="00ED217C">
            <w:pPr>
              <w:jc w:val="left"/>
            </w:pPr>
            <w:r>
              <w:rPr>
                <w:rFonts w:eastAsiaTheme="minorEastAsia"/>
                <w:color w:val="000000" w:themeColor="text1"/>
                <w:kern w:val="0"/>
              </w:rPr>
              <w:t>过去五年</w:t>
            </w:r>
          </w:p>
        </w:tc>
        <w:tc>
          <w:tcPr>
            <w:tcW w:w="1092" w:type="dxa"/>
            <w:vAlign w:val="center"/>
          </w:tcPr>
          <w:p w:rsidR="0057611C" w:rsidRDefault="00ED217C">
            <w:pPr>
              <w:jc w:val="center"/>
            </w:pPr>
            <w:r>
              <w:rPr>
                <w:rFonts w:eastAsiaTheme="minorEastAsia"/>
                <w:color w:val="000000" w:themeColor="text1"/>
                <w:kern w:val="0"/>
              </w:rPr>
              <w:t>-</w:t>
            </w:r>
          </w:p>
        </w:tc>
        <w:tc>
          <w:tcPr>
            <w:tcW w:w="1161" w:type="dxa"/>
            <w:vAlign w:val="center"/>
          </w:tcPr>
          <w:p w:rsidR="0057611C" w:rsidRDefault="00ED217C">
            <w:pPr>
              <w:jc w:val="center"/>
            </w:pPr>
            <w:r>
              <w:rPr>
                <w:rFonts w:eastAsiaTheme="minorEastAsia"/>
                <w:color w:val="000000" w:themeColor="text1"/>
                <w:kern w:val="0"/>
              </w:rPr>
              <w:t>-</w:t>
            </w:r>
          </w:p>
        </w:tc>
        <w:tc>
          <w:tcPr>
            <w:tcW w:w="1181" w:type="dxa"/>
            <w:vAlign w:val="center"/>
          </w:tcPr>
          <w:p w:rsidR="0057611C" w:rsidRDefault="00ED217C">
            <w:pPr>
              <w:jc w:val="center"/>
            </w:pPr>
            <w:r>
              <w:rPr>
                <w:rFonts w:eastAsiaTheme="minorEastAsia"/>
                <w:color w:val="000000" w:themeColor="text1"/>
                <w:kern w:val="0"/>
              </w:rPr>
              <w:t>-</w:t>
            </w:r>
          </w:p>
        </w:tc>
        <w:tc>
          <w:tcPr>
            <w:tcW w:w="1188" w:type="dxa"/>
            <w:vAlign w:val="center"/>
          </w:tcPr>
          <w:p w:rsidR="0057611C" w:rsidRDefault="00ED217C">
            <w:pPr>
              <w:jc w:val="center"/>
            </w:pPr>
            <w:r>
              <w:rPr>
                <w:rFonts w:eastAsiaTheme="minorEastAsia"/>
                <w:color w:val="000000" w:themeColor="text1"/>
                <w:kern w:val="0"/>
              </w:rPr>
              <w:t>-</w:t>
            </w:r>
          </w:p>
        </w:tc>
        <w:tc>
          <w:tcPr>
            <w:tcW w:w="1199" w:type="dxa"/>
            <w:vAlign w:val="center"/>
          </w:tcPr>
          <w:p w:rsidR="0057611C" w:rsidRDefault="00ED217C">
            <w:pPr>
              <w:jc w:val="center"/>
            </w:pPr>
            <w:r>
              <w:rPr>
                <w:rFonts w:eastAsiaTheme="minorEastAsia"/>
                <w:color w:val="000000" w:themeColor="text1"/>
                <w:kern w:val="0"/>
              </w:rPr>
              <w:t>-</w:t>
            </w:r>
          </w:p>
        </w:tc>
        <w:tc>
          <w:tcPr>
            <w:tcW w:w="1204" w:type="dxa"/>
            <w:vAlign w:val="center"/>
          </w:tcPr>
          <w:p w:rsidR="0057611C" w:rsidRDefault="00ED217C">
            <w:pPr>
              <w:jc w:val="center"/>
            </w:pPr>
            <w:r>
              <w:rPr>
                <w:rFonts w:eastAsiaTheme="minorEastAsia"/>
                <w:color w:val="000000" w:themeColor="text1"/>
                <w:kern w:val="0"/>
              </w:rPr>
              <w:t>-</w:t>
            </w:r>
          </w:p>
        </w:tc>
      </w:tr>
      <w:tr w:rsidR="0057611C">
        <w:tc>
          <w:tcPr>
            <w:tcW w:w="1395" w:type="dxa"/>
            <w:vAlign w:val="center"/>
          </w:tcPr>
          <w:p w:rsidR="0057611C" w:rsidRDefault="00ED217C">
            <w:pPr>
              <w:jc w:val="left"/>
            </w:pPr>
            <w:r>
              <w:rPr>
                <w:rFonts w:eastAsiaTheme="minorEastAsia"/>
                <w:color w:val="000000" w:themeColor="text1"/>
                <w:kern w:val="0"/>
              </w:rPr>
              <w:t>自基金合同生效起至今</w:t>
            </w:r>
          </w:p>
        </w:tc>
        <w:tc>
          <w:tcPr>
            <w:tcW w:w="1092" w:type="dxa"/>
            <w:vAlign w:val="center"/>
          </w:tcPr>
          <w:p w:rsidR="0057611C" w:rsidRDefault="00ED217C">
            <w:pPr>
              <w:jc w:val="center"/>
            </w:pPr>
            <w:r>
              <w:rPr>
                <w:rFonts w:eastAsiaTheme="minorEastAsia"/>
                <w:color w:val="000000" w:themeColor="text1"/>
                <w:kern w:val="0"/>
              </w:rPr>
              <w:t>-27.24%</w:t>
            </w:r>
          </w:p>
        </w:tc>
        <w:tc>
          <w:tcPr>
            <w:tcW w:w="1161" w:type="dxa"/>
            <w:vAlign w:val="center"/>
          </w:tcPr>
          <w:p w:rsidR="0057611C" w:rsidRDefault="00ED217C">
            <w:pPr>
              <w:jc w:val="center"/>
            </w:pPr>
            <w:r>
              <w:rPr>
                <w:rFonts w:eastAsiaTheme="minorEastAsia"/>
                <w:color w:val="000000" w:themeColor="text1"/>
                <w:kern w:val="0"/>
              </w:rPr>
              <w:t>1.04%</w:t>
            </w:r>
          </w:p>
        </w:tc>
        <w:tc>
          <w:tcPr>
            <w:tcW w:w="1181" w:type="dxa"/>
            <w:vAlign w:val="center"/>
          </w:tcPr>
          <w:p w:rsidR="0057611C" w:rsidRDefault="00ED217C">
            <w:pPr>
              <w:jc w:val="center"/>
            </w:pPr>
            <w:r>
              <w:rPr>
                <w:rFonts w:eastAsiaTheme="minorEastAsia"/>
                <w:color w:val="000000" w:themeColor="text1"/>
                <w:kern w:val="0"/>
              </w:rPr>
              <w:t>-17.33%</w:t>
            </w:r>
          </w:p>
        </w:tc>
        <w:tc>
          <w:tcPr>
            <w:tcW w:w="1188" w:type="dxa"/>
            <w:vAlign w:val="center"/>
          </w:tcPr>
          <w:p w:rsidR="0057611C" w:rsidRDefault="00ED217C">
            <w:pPr>
              <w:jc w:val="center"/>
            </w:pPr>
            <w:r>
              <w:rPr>
                <w:rFonts w:eastAsiaTheme="minorEastAsia"/>
                <w:color w:val="000000" w:themeColor="text1"/>
                <w:kern w:val="0"/>
              </w:rPr>
              <w:t>0.94%</w:t>
            </w:r>
          </w:p>
        </w:tc>
        <w:tc>
          <w:tcPr>
            <w:tcW w:w="1199" w:type="dxa"/>
            <w:vAlign w:val="center"/>
          </w:tcPr>
          <w:p w:rsidR="0057611C" w:rsidRDefault="00ED217C">
            <w:pPr>
              <w:jc w:val="center"/>
            </w:pPr>
            <w:r>
              <w:rPr>
                <w:rFonts w:eastAsiaTheme="minorEastAsia"/>
                <w:color w:val="000000" w:themeColor="text1"/>
                <w:kern w:val="0"/>
              </w:rPr>
              <w:t>-9.91%</w:t>
            </w:r>
          </w:p>
        </w:tc>
        <w:tc>
          <w:tcPr>
            <w:tcW w:w="1204" w:type="dxa"/>
            <w:vAlign w:val="center"/>
          </w:tcPr>
          <w:p w:rsidR="0057611C" w:rsidRDefault="00ED217C">
            <w:pPr>
              <w:jc w:val="center"/>
            </w:pPr>
            <w:r>
              <w:rPr>
                <w:rFonts w:eastAsiaTheme="minorEastAsia"/>
                <w:color w:val="000000" w:themeColor="text1"/>
                <w:kern w:val="0"/>
              </w:rPr>
              <w:t>0.10%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摩根鑫睿优选一年持有期混合型证券投资基金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3</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57611C" w:rsidRDefault="00ED217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w:t>
      </w:r>
      <w:r>
        <w:rPr>
          <w:rFonts w:eastAsiaTheme="minorEastAsia"/>
          <w:color w:val="000000" w:themeColor="text1"/>
        </w:rPr>
        <w:t>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57611C">
        <w:tc>
          <w:tcPr>
            <w:tcW w:w="851" w:type="dxa"/>
            <w:vAlign w:val="center"/>
          </w:tcPr>
          <w:p w:rsidR="0057611C" w:rsidRDefault="00ED217C">
            <w:pPr>
              <w:jc w:val="center"/>
            </w:pPr>
            <w:r>
              <w:rPr>
                <w:rFonts w:eastAsiaTheme="minorEastAsia"/>
                <w:color w:val="000000" w:themeColor="text1"/>
              </w:rPr>
              <w:t>倪权生</w:t>
            </w:r>
          </w:p>
        </w:tc>
        <w:tc>
          <w:tcPr>
            <w:tcW w:w="850" w:type="dxa"/>
            <w:vAlign w:val="center"/>
          </w:tcPr>
          <w:p w:rsidR="0057611C" w:rsidRDefault="00ED217C">
            <w:pPr>
              <w:jc w:val="center"/>
            </w:pPr>
            <w:r>
              <w:rPr>
                <w:rFonts w:eastAsiaTheme="minorEastAsia"/>
                <w:color w:val="000000" w:themeColor="text1"/>
              </w:rPr>
              <w:t>本基金基金经理</w:t>
            </w:r>
          </w:p>
        </w:tc>
        <w:tc>
          <w:tcPr>
            <w:tcW w:w="1560" w:type="dxa"/>
            <w:vAlign w:val="center"/>
          </w:tcPr>
          <w:p w:rsidR="0057611C" w:rsidRDefault="00ED217C">
            <w:pPr>
              <w:jc w:val="center"/>
            </w:pPr>
            <w:r>
              <w:rPr>
                <w:rFonts w:eastAsiaTheme="minorEastAsia"/>
                <w:color w:val="000000" w:themeColor="text1"/>
              </w:rPr>
              <w:t>2022-03-01</w:t>
            </w:r>
          </w:p>
        </w:tc>
        <w:tc>
          <w:tcPr>
            <w:tcW w:w="1559" w:type="dxa"/>
            <w:vAlign w:val="center"/>
          </w:tcPr>
          <w:p w:rsidR="0057611C" w:rsidRDefault="00ED217C">
            <w:pPr>
              <w:jc w:val="center"/>
            </w:pPr>
            <w:r>
              <w:rPr>
                <w:rFonts w:eastAsiaTheme="minorEastAsia"/>
                <w:color w:val="000000" w:themeColor="text1"/>
              </w:rPr>
              <w:t>-</w:t>
            </w:r>
          </w:p>
        </w:tc>
        <w:tc>
          <w:tcPr>
            <w:tcW w:w="1417" w:type="dxa"/>
            <w:vAlign w:val="center"/>
          </w:tcPr>
          <w:p w:rsidR="0057611C" w:rsidRDefault="00ED217C">
            <w:pPr>
              <w:jc w:val="center"/>
            </w:pPr>
            <w:r>
              <w:rPr>
                <w:rFonts w:eastAsiaTheme="minorEastAsia"/>
                <w:color w:val="000000" w:themeColor="text1"/>
              </w:rPr>
              <w:t>13</w:t>
            </w:r>
            <w:r>
              <w:rPr>
                <w:rFonts w:eastAsiaTheme="minorEastAsia"/>
                <w:color w:val="000000" w:themeColor="text1"/>
              </w:rPr>
              <w:t>年</w:t>
            </w:r>
          </w:p>
        </w:tc>
        <w:tc>
          <w:tcPr>
            <w:tcW w:w="2694" w:type="dxa"/>
            <w:vAlign w:val="center"/>
          </w:tcPr>
          <w:p w:rsidR="0057611C" w:rsidRDefault="00ED217C">
            <w:r>
              <w:rPr>
                <w:rFonts w:eastAsiaTheme="minorEastAsia"/>
                <w:color w:val="000000" w:themeColor="text1"/>
              </w:rPr>
              <w:t>倪权生先生曾任博时基金管理有限公司高级研究员，浙商基金管理有限公司投资经理助理、基金经理</w:t>
            </w:r>
            <w:r>
              <w:rPr>
                <w:rFonts w:eastAsiaTheme="minorEastAsia"/>
                <w:color w:val="000000" w:themeColor="text1"/>
              </w:rPr>
              <w:t>/</w:t>
            </w:r>
            <w:r>
              <w:rPr>
                <w:rFonts w:eastAsiaTheme="minorEastAsia"/>
                <w:color w:val="000000" w:themeColor="text1"/>
              </w:rPr>
              <w:t>股票投资部副总经理。</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月起加入摩根基金管理（中国）有限公司（原上投摩根基金管理有限公司），历任领先组副组长兼资深基金经理，现任国内权益投资部均衡组组长兼资深基金经理。</w:t>
            </w:r>
          </w:p>
        </w:tc>
      </w:tr>
    </w:tbl>
    <w:p w:rsidR="0057611C" w:rsidRDefault="00ED217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 xml:space="preserve">1. </w:t>
      </w:r>
      <w:r>
        <w:rPr>
          <w:rFonts w:eastAsiaTheme="minorEastAsia"/>
          <w:color w:val="000000" w:themeColor="text1"/>
        </w:rPr>
        <w:t>任职日期和离任日期均指根据公司决定确定的聘任日期和解聘日期。</w:t>
      </w:r>
    </w:p>
    <w:p w:rsidR="0057611C" w:rsidRDefault="00ED217C">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 xml:space="preserve">2. </w:t>
      </w:r>
      <w:r>
        <w:rPr>
          <w:rFonts w:eastAsiaTheme="minorEastAsia"/>
          <w:color w:val="000000" w:themeColor="text1"/>
        </w:rPr>
        <w:t>倪权生先生为本基金首任基金经理，其任职日期指本基金基金合同生效之日。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 xml:space="preserve">3. </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今年市场一季度先抑后扬，前期情绪较为悲观并充分在股价中反应，</w:t>
      </w:r>
      <w:r>
        <w:rPr>
          <w:rFonts w:eastAsiaTheme="minorEastAsia"/>
          <w:color w:val="000000" w:themeColor="text1"/>
        </w:rPr>
        <w:t>2</w:t>
      </w:r>
      <w:r>
        <w:rPr>
          <w:rFonts w:eastAsiaTheme="minorEastAsia"/>
          <w:color w:val="000000" w:themeColor="text1"/>
        </w:rPr>
        <w:t>月份市场迎来较为强劲的反弹。从行业来看，以资源为主的上游行业表现较好，这些行业多具备资源属性，同时行业资本开支有下降趋势，进而带来现金流的改善，其中相当一部分公司已经具有较高的股息率。而上游相关对应的大宗商品价格由于供给趋紧，同时需求由于海外库存触底以及中国制造业需求好于预期，因而表现也较好，这给上游资源类公司的盈利持续提供保障。医药、计算机、电子、国防军工等行业一季度相对较弱，主要与市场对短期业绩的不确定性担忧有关。</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组合操作层面，延续去年底的策略，即在假设总量增长有限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算力方面，随着</w:t>
      </w:r>
      <w:r>
        <w:rPr>
          <w:rFonts w:eastAsiaTheme="minorEastAsia"/>
          <w:color w:val="000000" w:themeColor="text1"/>
        </w:rPr>
        <w:t>AI</w:t>
      </w:r>
      <w:r>
        <w:rPr>
          <w:rFonts w:eastAsiaTheme="minorEastAsia"/>
          <w:color w:val="000000" w:themeColor="text1"/>
        </w:rPr>
        <w:t>技术的进步，其模型训练和场景应用在国内和海外均处于快速发展中，前期我们认为算力基础设施的受益确定性仍然较强。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展望后市，我们认为前期悲观情绪得到一定修复，但市场也并未立刻转向非常乐观，估值仍处于相对低位。而</w:t>
      </w:r>
      <w:r w:rsidRPr="00FF6B9A">
        <w:rPr>
          <w:rFonts w:eastAsiaTheme="minorEastAsia"/>
          <w:color w:val="000000" w:themeColor="text1"/>
        </w:rPr>
        <w:t>3</w:t>
      </w:r>
      <w:r w:rsidRPr="00FF6B9A">
        <w:rPr>
          <w:rFonts w:eastAsiaTheme="minorEastAsia"/>
          <w:color w:val="000000" w:themeColor="text1"/>
        </w:rPr>
        <w:t>月份以来，我们正在看到一些边际的积极变化，如海外库存周期正在由去库存转向补库存，国内宏观指标如</w:t>
      </w:r>
      <w:r w:rsidRPr="00FF6B9A">
        <w:rPr>
          <w:rFonts w:eastAsiaTheme="minorEastAsia"/>
          <w:color w:val="000000" w:themeColor="text1"/>
        </w:rPr>
        <w:t>PMI</w:t>
      </w:r>
      <w:r w:rsidRPr="00FF6B9A">
        <w:rPr>
          <w:rFonts w:eastAsiaTheme="minorEastAsia"/>
          <w:color w:val="000000" w:themeColor="text1"/>
        </w:rPr>
        <w:t>边际也出现积极变化，这预示着经济有望好于此前预期，这可能会带来在顺经济周期行业以及上游资源品景气的改善。从这些角度来看，市场也有望随着企业盈利的边际改善而修复估值，并存在结构性投资机会。</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本报告期摩根鑫睿优选一年份额净值增长率为</w:t>
      </w:r>
      <w:r w:rsidRPr="00FF6B9A">
        <w:rPr>
          <w:rFonts w:eastAsiaTheme="minorEastAsia"/>
          <w:color w:val="000000" w:themeColor="text1"/>
        </w:rPr>
        <w:t>:2.26%</w:t>
      </w:r>
      <w:r w:rsidRPr="00FF6B9A">
        <w:rPr>
          <w:rFonts w:eastAsiaTheme="minorEastAsia"/>
          <w:color w:val="000000" w:themeColor="text1"/>
        </w:rPr>
        <w:t>，同期业绩比较基准收益率为</w:t>
      </w:r>
      <w:r w:rsidRPr="00FF6B9A">
        <w:rPr>
          <w:rFonts w:eastAsiaTheme="minorEastAsia"/>
          <w:color w:val="000000" w:themeColor="text1"/>
        </w:rPr>
        <w:t>:1.01%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96,890,957.55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85.53</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96,890,957.55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85.53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16,350,069.25</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14.43</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43,489.15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113,284,515.95</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注：本基金本报告期末通过港股通交易机制投资的港股公允价值为人民币</w:t>
      </w:r>
      <w:r w:rsidRPr="00FF6B9A">
        <w:rPr>
          <w:rFonts w:eastAsiaTheme="minorEastAsia"/>
          <w:color w:val="000000" w:themeColor="text1"/>
        </w:rPr>
        <w:t>7,552,898.67</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6.70%</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4,394,784.60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3.90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12,507,699.38</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11.10</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59,729,274.07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53.00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3,101,361.16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1,471,244.00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8,133,695.67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7.22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89,338,058.88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79.27</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57611C" w:rsidRDefault="00ED217C">
            <w:pPr>
              <w:jc w:val="center"/>
            </w:pPr>
            <w:r>
              <w:rPr>
                <w:rFonts w:eastAsiaTheme="minorEastAsia"/>
                <w:color w:val="000000" w:themeColor="text1"/>
                <w:kern w:val="0"/>
              </w:rPr>
              <w:t>-</w:t>
            </w:r>
          </w:p>
        </w:tc>
        <w:tc>
          <w:tcPr>
            <w:tcW w:w="3118" w:type="dxa"/>
            <w:vAlign w:val="center"/>
          </w:tcPr>
          <w:p w:rsidR="0057611C" w:rsidRDefault="00ED217C">
            <w:pPr>
              <w:jc w:val="center"/>
            </w:pPr>
            <w:r>
              <w:rPr>
                <w:rFonts w:eastAsiaTheme="minorEastAsia"/>
                <w:color w:val="000000" w:themeColor="text1"/>
                <w:kern w:val="0"/>
              </w:rPr>
              <w:t>-</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57611C" w:rsidRDefault="00ED217C">
            <w:pPr>
              <w:jc w:val="center"/>
            </w:pPr>
            <w:r>
              <w:rPr>
                <w:rFonts w:eastAsiaTheme="minorEastAsia"/>
                <w:color w:val="000000" w:themeColor="text1"/>
                <w:kern w:val="0"/>
              </w:rPr>
              <w:t>-</w:t>
            </w:r>
          </w:p>
        </w:tc>
        <w:tc>
          <w:tcPr>
            <w:tcW w:w="3118" w:type="dxa"/>
            <w:vAlign w:val="center"/>
          </w:tcPr>
          <w:p w:rsidR="0057611C" w:rsidRDefault="00ED217C">
            <w:pPr>
              <w:jc w:val="center"/>
            </w:pPr>
            <w:r>
              <w:rPr>
                <w:rFonts w:eastAsiaTheme="minorEastAsia"/>
                <w:color w:val="000000" w:themeColor="text1"/>
                <w:kern w:val="0"/>
              </w:rPr>
              <w:t>-</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57611C" w:rsidRDefault="00ED217C">
            <w:pPr>
              <w:jc w:val="center"/>
            </w:pPr>
            <w:r>
              <w:rPr>
                <w:rFonts w:eastAsiaTheme="minorEastAsia"/>
                <w:color w:val="000000" w:themeColor="text1"/>
                <w:kern w:val="0"/>
              </w:rPr>
              <w:t>-</w:t>
            </w:r>
          </w:p>
        </w:tc>
        <w:tc>
          <w:tcPr>
            <w:tcW w:w="3118" w:type="dxa"/>
            <w:vAlign w:val="center"/>
          </w:tcPr>
          <w:p w:rsidR="0057611C" w:rsidRDefault="00ED217C">
            <w:pPr>
              <w:jc w:val="center"/>
            </w:pPr>
            <w:r>
              <w:rPr>
                <w:rFonts w:eastAsiaTheme="minorEastAsia"/>
                <w:color w:val="000000" w:themeColor="text1"/>
                <w:kern w:val="0"/>
              </w:rPr>
              <w:t>-</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57611C" w:rsidRDefault="00ED217C">
            <w:pPr>
              <w:jc w:val="center"/>
            </w:pPr>
            <w:r>
              <w:rPr>
                <w:rFonts w:eastAsiaTheme="minorEastAsia"/>
                <w:color w:val="000000" w:themeColor="text1"/>
                <w:kern w:val="0"/>
              </w:rPr>
              <w:t>2,208,668.56</w:t>
            </w:r>
          </w:p>
        </w:tc>
        <w:tc>
          <w:tcPr>
            <w:tcW w:w="3118" w:type="dxa"/>
            <w:vAlign w:val="center"/>
          </w:tcPr>
          <w:p w:rsidR="0057611C" w:rsidRDefault="00ED217C">
            <w:pPr>
              <w:jc w:val="center"/>
            </w:pPr>
            <w:r>
              <w:rPr>
                <w:rFonts w:eastAsiaTheme="minorEastAsia"/>
                <w:color w:val="000000" w:themeColor="text1"/>
                <w:kern w:val="0"/>
              </w:rPr>
              <w:t>1.96</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57611C" w:rsidRDefault="00ED217C">
            <w:pPr>
              <w:jc w:val="center"/>
            </w:pPr>
            <w:r>
              <w:rPr>
                <w:rFonts w:eastAsiaTheme="minorEastAsia"/>
                <w:color w:val="000000" w:themeColor="text1"/>
                <w:kern w:val="0"/>
              </w:rPr>
              <w:t>-</w:t>
            </w:r>
          </w:p>
        </w:tc>
        <w:tc>
          <w:tcPr>
            <w:tcW w:w="3118" w:type="dxa"/>
            <w:vAlign w:val="center"/>
          </w:tcPr>
          <w:p w:rsidR="0057611C" w:rsidRDefault="00ED217C">
            <w:pPr>
              <w:jc w:val="center"/>
            </w:pPr>
            <w:r>
              <w:rPr>
                <w:rFonts w:eastAsiaTheme="minorEastAsia"/>
                <w:color w:val="000000" w:themeColor="text1"/>
                <w:kern w:val="0"/>
              </w:rPr>
              <w:t>-</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57611C" w:rsidRDefault="00ED217C">
            <w:pPr>
              <w:jc w:val="center"/>
            </w:pPr>
            <w:r>
              <w:rPr>
                <w:rFonts w:eastAsiaTheme="minorEastAsia"/>
                <w:color w:val="000000" w:themeColor="text1"/>
                <w:kern w:val="0"/>
              </w:rPr>
              <w:t>1,309,448.02</w:t>
            </w:r>
          </w:p>
        </w:tc>
        <w:tc>
          <w:tcPr>
            <w:tcW w:w="3118" w:type="dxa"/>
            <w:vAlign w:val="center"/>
          </w:tcPr>
          <w:p w:rsidR="0057611C" w:rsidRDefault="00ED217C">
            <w:pPr>
              <w:jc w:val="center"/>
            </w:pPr>
            <w:r>
              <w:rPr>
                <w:rFonts w:eastAsiaTheme="minorEastAsia"/>
                <w:color w:val="000000" w:themeColor="text1"/>
                <w:kern w:val="0"/>
              </w:rPr>
              <w:t>1.16</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57611C" w:rsidRDefault="00ED217C">
            <w:pPr>
              <w:jc w:val="center"/>
            </w:pPr>
            <w:r>
              <w:rPr>
                <w:rFonts w:eastAsiaTheme="minorEastAsia"/>
                <w:color w:val="000000" w:themeColor="text1"/>
                <w:kern w:val="0"/>
              </w:rPr>
              <w:t>732,855.02</w:t>
            </w:r>
          </w:p>
        </w:tc>
        <w:tc>
          <w:tcPr>
            <w:tcW w:w="3118" w:type="dxa"/>
            <w:vAlign w:val="center"/>
          </w:tcPr>
          <w:p w:rsidR="0057611C" w:rsidRDefault="00ED217C">
            <w:pPr>
              <w:jc w:val="center"/>
            </w:pPr>
            <w:r>
              <w:rPr>
                <w:rFonts w:eastAsiaTheme="minorEastAsia"/>
                <w:color w:val="000000" w:themeColor="text1"/>
                <w:kern w:val="0"/>
              </w:rPr>
              <w:t>0.65</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57611C" w:rsidRDefault="00ED217C">
            <w:pPr>
              <w:jc w:val="center"/>
            </w:pPr>
            <w:r>
              <w:rPr>
                <w:rFonts w:eastAsiaTheme="minorEastAsia"/>
                <w:color w:val="000000" w:themeColor="text1"/>
                <w:kern w:val="0"/>
              </w:rPr>
              <w:t>-</w:t>
            </w:r>
          </w:p>
        </w:tc>
        <w:tc>
          <w:tcPr>
            <w:tcW w:w="3118" w:type="dxa"/>
            <w:vAlign w:val="center"/>
          </w:tcPr>
          <w:p w:rsidR="0057611C" w:rsidRDefault="00ED217C">
            <w:pPr>
              <w:jc w:val="center"/>
            </w:pPr>
            <w:r>
              <w:rPr>
                <w:rFonts w:eastAsiaTheme="minorEastAsia"/>
                <w:color w:val="000000" w:themeColor="text1"/>
                <w:kern w:val="0"/>
              </w:rPr>
              <w:t>-</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57611C" w:rsidRDefault="00ED217C">
            <w:pPr>
              <w:jc w:val="center"/>
            </w:pPr>
            <w:r>
              <w:rPr>
                <w:rFonts w:eastAsiaTheme="minorEastAsia"/>
                <w:color w:val="000000" w:themeColor="text1"/>
                <w:kern w:val="0"/>
              </w:rPr>
              <w:t>3,301,927.07</w:t>
            </w:r>
          </w:p>
        </w:tc>
        <w:tc>
          <w:tcPr>
            <w:tcW w:w="3118" w:type="dxa"/>
            <w:vAlign w:val="center"/>
          </w:tcPr>
          <w:p w:rsidR="0057611C" w:rsidRDefault="00ED217C">
            <w:pPr>
              <w:jc w:val="center"/>
            </w:pPr>
            <w:r>
              <w:rPr>
                <w:rFonts w:eastAsiaTheme="minorEastAsia"/>
                <w:color w:val="000000" w:themeColor="text1"/>
                <w:kern w:val="0"/>
              </w:rPr>
              <w:t>2.93</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57611C" w:rsidRDefault="00ED217C">
            <w:pPr>
              <w:jc w:val="center"/>
            </w:pPr>
            <w:r>
              <w:rPr>
                <w:rFonts w:eastAsiaTheme="minorEastAsia"/>
                <w:color w:val="000000" w:themeColor="text1"/>
                <w:kern w:val="0"/>
              </w:rPr>
              <w:t>-</w:t>
            </w:r>
          </w:p>
        </w:tc>
        <w:tc>
          <w:tcPr>
            <w:tcW w:w="3118" w:type="dxa"/>
            <w:vAlign w:val="center"/>
          </w:tcPr>
          <w:p w:rsidR="0057611C" w:rsidRDefault="00ED217C">
            <w:pPr>
              <w:jc w:val="center"/>
            </w:pPr>
            <w:r>
              <w:rPr>
                <w:rFonts w:eastAsiaTheme="minorEastAsia"/>
                <w:color w:val="000000" w:themeColor="text1"/>
                <w:kern w:val="0"/>
              </w:rPr>
              <w:t>-</w:t>
            </w:r>
          </w:p>
        </w:tc>
      </w:tr>
      <w:tr w:rsidR="0057611C">
        <w:trPr>
          <w:jc w:val="center"/>
        </w:trPr>
        <w:tc>
          <w:tcPr>
            <w:tcW w:w="2397" w:type="dxa"/>
            <w:vAlign w:val="center"/>
          </w:tcPr>
          <w:p w:rsidR="0057611C" w:rsidRDefault="00ED217C">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57611C" w:rsidRDefault="00ED217C">
            <w:pPr>
              <w:jc w:val="center"/>
            </w:pPr>
            <w:r>
              <w:rPr>
                <w:rFonts w:eastAsiaTheme="minorEastAsia"/>
                <w:color w:val="000000" w:themeColor="text1"/>
                <w:kern w:val="0"/>
              </w:rPr>
              <w:t>-</w:t>
            </w:r>
          </w:p>
        </w:tc>
        <w:tc>
          <w:tcPr>
            <w:tcW w:w="3118" w:type="dxa"/>
            <w:vAlign w:val="center"/>
          </w:tcPr>
          <w:p w:rsidR="0057611C" w:rsidRDefault="00ED217C">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7,552,898.67</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6.70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57611C">
        <w:tc>
          <w:tcPr>
            <w:tcW w:w="817" w:type="dxa"/>
            <w:vAlign w:val="center"/>
          </w:tcPr>
          <w:p w:rsidR="0057611C" w:rsidRDefault="00ED217C">
            <w:pPr>
              <w:jc w:val="center"/>
            </w:pPr>
            <w:r>
              <w:rPr>
                <w:rFonts w:eastAsiaTheme="minorEastAsia"/>
                <w:kern w:val="0"/>
                <w:sz w:val="24"/>
                <w:szCs w:val="24"/>
              </w:rPr>
              <w:t>1</w:t>
            </w:r>
          </w:p>
        </w:tc>
        <w:tc>
          <w:tcPr>
            <w:tcW w:w="1276" w:type="dxa"/>
            <w:vAlign w:val="center"/>
          </w:tcPr>
          <w:p w:rsidR="0057611C" w:rsidRDefault="00ED217C">
            <w:pPr>
              <w:jc w:val="center"/>
            </w:pPr>
            <w:r>
              <w:rPr>
                <w:rFonts w:eastAsiaTheme="minorEastAsia"/>
                <w:kern w:val="0"/>
                <w:sz w:val="24"/>
                <w:szCs w:val="24"/>
              </w:rPr>
              <w:t>000513</w:t>
            </w:r>
          </w:p>
        </w:tc>
        <w:tc>
          <w:tcPr>
            <w:tcW w:w="1701" w:type="dxa"/>
            <w:vAlign w:val="center"/>
          </w:tcPr>
          <w:p w:rsidR="0057611C" w:rsidRDefault="00ED217C">
            <w:pPr>
              <w:jc w:val="center"/>
            </w:pPr>
            <w:r>
              <w:rPr>
                <w:rFonts w:eastAsiaTheme="minorEastAsia"/>
                <w:kern w:val="0"/>
                <w:sz w:val="24"/>
                <w:szCs w:val="24"/>
              </w:rPr>
              <w:t>丽珠集团</w:t>
            </w:r>
          </w:p>
        </w:tc>
        <w:tc>
          <w:tcPr>
            <w:tcW w:w="1276" w:type="dxa"/>
            <w:vAlign w:val="center"/>
          </w:tcPr>
          <w:p w:rsidR="0057611C" w:rsidRDefault="00ED217C">
            <w:pPr>
              <w:jc w:val="right"/>
            </w:pPr>
            <w:r>
              <w:rPr>
                <w:rFonts w:eastAsiaTheme="minorEastAsia"/>
                <w:kern w:val="0"/>
                <w:sz w:val="24"/>
                <w:szCs w:val="24"/>
              </w:rPr>
              <w:t>62,041.00</w:t>
            </w:r>
          </w:p>
        </w:tc>
        <w:tc>
          <w:tcPr>
            <w:tcW w:w="1842" w:type="dxa"/>
            <w:vAlign w:val="center"/>
          </w:tcPr>
          <w:p w:rsidR="0057611C" w:rsidRDefault="00ED217C">
            <w:pPr>
              <w:jc w:val="right"/>
            </w:pPr>
            <w:r>
              <w:rPr>
                <w:rFonts w:eastAsiaTheme="minorEastAsia"/>
                <w:kern w:val="0"/>
                <w:sz w:val="24"/>
                <w:szCs w:val="24"/>
              </w:rPr>
              <w:t>2,264,496.50</w:t>
            </w:r>
          </w:p>
        </w:tc>
        <w:tc>
          <w:tcPr>
            <w:tcW w:w="1616" w:type="dxa"/>
            <w:vAlign w:val="center"/>
          </w:tcPr>
          <w:p w:rsidR="0057611C" w:rsidRDefault="00ED217C">
            <w:pPr>
              <w:jc w:val="right"/>
            </w:pPr>
            <w:r>
              <w:rPr>
                <w:rFonts w:eastAsiaTheme="minorEastAsia"/>
                <w:kern w:val="0"/>
                <w:sz w:val="24"/>
                <w:szCs w:val="24"/>
              </w:rPr>
              <w:t>2.01</w:t>
            </w:r>
          </w:p>
        </w:tc>
      </w:tr>
      <w:tr w:rsidR="0057611C">
        <w:tc>
          <w:tcPr>
            <w:tcW w:w="817" w:type="dxa"/>
            <w:vAlign w:val="center"/>
          </w:tcPr>
          <w:p w:rsidR="0057611C" w:rsidRDefault="00ED217C">
            <w:pPr>
              <w:jc w:val="center"/>
            </w:pPr>
            <w:r>
              <w:rPr>
                <w:rFonts w:eastAsiaTheme="minorEastAsia"/>
                <w:kern w:val="0"/>
                <w:sz w:val="24"/>
                <w:szCs w:val="24"/>
              </w:rPr>
              <w:t>1</w:t>
            </w:r>
          </w:p>
        </w:tc>
        <w:tc>
          <w:tcPr>
            <w:tcW w:w="1276" w:type="dxa"/>
            <w:vAlign w:val="center"/>
          </w:tcPr>
          <w:p w:rsidR="0057611C" w:rsidRDefault="00ED217C">
            <w:pPr>
              <w:jc w:val="center"/>
            </w:pPr>
            <w:r>
              <w:rPr>
                <w:rFonts w:eastAsiaTheme="minorEastAsia"/>
                <w:kern w:val="0"/>
                <w:sz w:val="24"/>
                <w:szCs w:val="24"/>
              </w:rPr>
              <w:t>01513</w:t>
            </w:r>
          </w:p>
        </w:tc>
        <w:tc>
          <w:tcPr>
            <w:tcW w:w="1701" w:type="dxa"/>
            <w:vAlign w:val="center"/>
          </w:tcPr>
          <w:p w:rsidR="0057611C" w:rsidRDefault="00ED217C">
            <w:pPr>
              <w:jc w:val="center"/>
            </w:pPr>
            <w:r>
              <w:rPr>
                <w:rFonts w:eastAsiaTheme="minorEastAsia"/>
                <w:kern w:val="0"/>
                <w:sz w:val="24"/>
                <w:szCs w:val="24"/>
              </w:rPr>
              <w:t>丽珠医药</w:t>
            </w:r>
          </w:p>
        </w:tc>
        <w:tc>
          <w:tcPr>
            <w:tcW w:w="1276" w:type="dxa"/>
            <w:vAlign w:val="center"/>
          </w:tcPr>
          <w:p w:rsidR="0057611C" w:rsidRDefault="00ED217C">
            <w:pPr>
              <w:jc w:val="right"/>
            </w:pPr>
            <w:r>
              <w:rPr>
                <w:rFonts w:eastAsiaTheme="minorEastAsia"/>
                <w:kern w:val="0"/>
                <w:sz w:val="24"/>
                <w:szCs w:val="24"/>
              </w:rPr>
              <w:t>54,200.00</w:t>
            </w:r>
          </w:p>
        </w:tc>
        <w:tc>
          <w:tcPr>
            <w:tcW w:w="1842" w:type="dxa"/>
            <w:vAlign w:val="center"/>
          </w:tcPr>
          <w:p w:rsidR="0057611C" w:rsidRDefault="00ED217C">
            <w:pPr>
              <w:jc w:val="right"/>
            </w:pPr>
            <w:r>
              <w:rPr>
                <w:rFonts w:eastAsiaTheme="minorEastAsia"/>
                <w:kern w:val="0"/>
                <w:sz w:val="24"/>
                <w:szCs w:val="24"/>
              </w:rPr>
              <w:t>1,309,448.02</w:t>
            </w:r>
          </w:p>
        </w:tc>
        <w:tc>
          <w:tcPr>
            <w:tcW w:w="1616" w:type="dxa"/>
            <w:vAlign w:val="center"/>
          </w:tcPr>
          <w:p w:rsidR="0057611C" w:rsidRDefault="00ED217C">
            <w:pPr>
              <w:jc w:val="right"/>
            </w:pPr>
            <w:r>
              <w:rPr>
                <w:rFonts w:eastAsiaTheme="minorEastAsia"/>
                <w:kern w:val="0"/>
                <w:sz w:val="24"/>
                <w:szCs w:val="24"/>
              </w:rPr>
              <w:t>1.16</w:t>
            </w:r>
          </w:p>
        </w:tc>
      </w:tr>
      <w:tr w:rsidR="0057611C">
        <w:tc>
          <w:tcPr>
            <w:tcW w:w="817" w:type="dxa"/>
            <w:vAlign w:val="center"/>
          </w:tcPr>
          <w:p w:rsidR="0057611C" w:rsidRDefault="00ED217C">
            <w:pPr>
              <w:jc w:val="center"/>
            </w:pPr>
            <w:r>
              <w:rPr>
                <w:rFonts w:eastAsiaTheme="minorEastAsia"/>
                <w:kern w:val="0"/>
                <w:sz w:val="24"/>
                <w:szCs w:val="24"/>
              </w:rPr>
              <w:t>2</w:t>
            </w:r>
          </w:p>
        </w:tc>
        <w:tc>
          <w:tcPr>
            <w:tcW w:w="1276" w:type="dxa"/>
            <w:vAlign w:val="center"/>
          </w:tcPr>
          <w:p w:rsidR="0057611C" w:rsidRDefault="00ED217C">
            <w:pPr>
              <w:jc w:val="center"/>
            </w:pPr>
            <w:r>
              <w:rPr>
                <w:rFonts w:eastAsiaTheme="minorEastAsia"/>
                <w:kern w:val="0"/>
                <w:sz w:val="24"/>
                <w:szCs w:val="24"/>
              </w:rPr>
              <w:t>002236</w:t>
            </w:r>
          </w:p>
        </w:tc>
        <w:tc>
          <w:tcPr>
            <w:tcW w:w="1701" w:type="dxa"/>
            <w:vAlign w:val="center"/>
          </w:tcPr>
          <w:p w:rsidR="0057611C" w:rsidRDefault="00ED217C">
            <w:pPr>
              <w:jc w:val="center"/>
            </w:pPr>
            <w:r>
              <w:rPr>
                <w:rFonts w:eastAsiaTheme="minorEastAsia"/>
                <w:kern w:val="0"/>
                <w:sz w:val="24"/>
                <w:szCs w:val="24"/>
              </w:rPr>
              <w:t>大华股份</w:t>
            </w:r>
          </w:p>
        </w:tc>
        <w:tc>
          <w:tcPr>
            <w:tcW w:w="1276" w:type="dxa"/>
            <w:vAlign w:val="center"/>
          </w:tcPr>
          <w:p w:rsidR="0057611C" w:rsidRDefault="00ED217C">
            <w:pPr>
              <w:jc w:val="right"/>
            </w:pPr>
            <w:r>
              <w:rPr>
                <w:rFonts w:eastAsiaTheme="minorEastAsia"/>
                <w:kern w:val="0"/>
                <w:sz w:val="24"/>
                <w:szCs w:val="24"/>
              </w:rPr>
              <w:t>183,716.00</w:t>
            </w:r>
          </w:p>
        </w:tc>
        <w:tc>
          <w:tcPr>
            <w:tcW w:w="1842" w:type="dxa"/>
            <w:vAlign w:val="center"/>
          </w:tcPr>
          <w:p w:rsidR="0057611C" w:rsidRDefault="00ED217C">
            <w:pPr>
              <w:jc w:val="right"/>
            </w:pPr>
            <w:r>
              <w:rPr>
                <w:rFonts w:eastAsiaTheme="minorEastAsia"/>
                <w:kern w:val="0"/>
                <w:sz w:val="24"/>
                <w:szCs w:val="24"/>
              </w:rPr>
              <w:t>3,472,232.40</w:t>
            </w:r>
          </w:p>
        </w:tc>
        <w:tc>
          <w:tcPr>
            <w:tcW w:w="1616" w:type="dxa"/>
            <w:vAlign w:val="center"/>
          </w:tcPr>
          <w:p w:rsidR="0057611C" w:rsidRDefault="00ED217C">
            <w:pPr>
              <w:jc w:val="right"/>
            </w:pPr>
            <w:r>
              <w:rPr>
                <w:rFonts w:eastAsiaTheme="minorEastAsia"/>
                <w:kern w:val="0"/>
                <w:sz w:val="24"/>
                <w:szCs w:val="24"/>
              </w:rPr>
              <w:t>3.08</w:t>
            </w:r>
          </w:p>
        </w:tc>
      </w:tr>
      <w:tr w:rsidR="0057611C">
        <w:tc>
          <w:tcPr>
            <w:tcW w:w="817" w:type="dxa"/>
            <w:vAlign w:val="center"/>
          </w:tcPr>
          <w:p w:rsidR="0057611C" w:rsidRDefault="00ED217C">
            <w:pPr>
              <w:jc w:val="center"/>
            </w:pPr>
            <w:r>
              <w:rPr>
                <w:rFonts w:eastAsiaTheme="minorEastAsia"/>
                <w:kern w:val="0"/>
                <w:sz w:val="24"/>
                <w:szCs w:val="24"/>
              </w:rPr>
              <w:t>3</w:t>
            </w:r>
          </w:p>
        </w:tc>
        <w:tc>
          <w:tcPr>
            <w:tcW w:w="1276" w:type="dxa"/>
            <w:vAlign w:val="center"/>
          </w:tcPr>
          <w:p w:rsidR="0057611C" w:rsidRDefault="00ED217C">
            <w:pPr>
              <w:jc w:val="center"/>
            </w:pPr>
            <w:r>
              <w:rPr>
                <w:rFonts w:eastAsiaTheme="minorEastAsia"/>
                <w:kern w:val="0"/>
                <w:sz w:val="24"/>
                <w:szCs w:val="24"/>
              </w:rPr>
              <w:t>688100</w:t>
            </w:r>
          </w:p>
        </w:tc>
        <w:tc>
          <w:tcPr>
            <w:tcW w:w="1701" w:type="dxa"/>
            <w:vAlign w:val="center"/>
          </w:tcPr>
          <w:p w:rsidR="0057611C" w:rsidRDefault="00ED217C">
            <w:pPr>
              <w:jc w:val="center"/>
            </w:pPr>
            <w:r>
              <w:rPr>
                <w:rFonts w:eastAsiaTheme="minorEastAsia"/>
                <w:kern w:val="0"/>
                <w:sz w:val="24"/>
                <w:szCs w:val="24"/>
              </w:rPr>
              <w:t>威胜信息</w:t>
            </w:r>
          </w:p>
        </w:tc>
        <w:tc>
          <w:tcPr>
            <w:tcW w:w="1276" w:type="dxa"/>
            <w:vAlign w:val="center"/>
          </w:tcPr>
          <w:p w:rsidR="0057611C" w:rsidRDefault="00ED217C">
            <w:pPr>
              <w:jc w:val="right"/>
            </w:pPr>
            <w:r>
              <w:rPr>
                <w:rFonts w:eastAsiaTheme="minorEastAsia"/>
                <w:kern w:val="0"/>
                <w:sz w:val="24"/>
                <w:szCs w:val="24"/>
              </w:rPr>
              <w:t>94,520.00</w:t>
            </w:r>
          </w:p>
        </w:tc>
        <w:tc>
          <w:tcPr>
            <w:tcW w:w="1842" w:type="dxa"/>
            <w:vAlign w:val="center"/>
          </w:tcPr>
          <w:p w:rsidR="0057611C" w:rsidRDefault="00ED217C">
            <w:pPr>
              <w:jc w:val="right"/>
            </w:pPr>
            <w:r>
              <w:rPr>
                <w:rFonts w:eastAsiaTheme="minorEastAsia"/>
                <w:kern w:val="0"/>
                <w:sz w:val="24"/>
                <w:szCs w:val="24"/>
              </w:rPr>
              <w:t>3,270,392.00</w:t>
            </w:r>
          </w:p>
        </w:tc>
        <w:tc>
          <w:tcPr>
            <w:tcW w:w="1616" w:type="dxa"/>
            <w:vAlign w:val="center"/>
          </w:tcPr>
          <w:p w:rsidR="0057611C" w:rsidRDefault="00ED217C">
            <w:pPr>
              <w:jc w:val="right"/>
            </w:pPr>
            <w:r>
              <w:rPr>
                <w:rFonts w:eastAsiaTheme="minorEastAsia"/>
                <w:kern w:val="0"/>
                <w:sz w:val="24"/>
                <w:szCs w:val="24"/>
              </w:rPr>
              <w:t>2.90</w:t>
            </w:r>
          </w:p>
        </w:tc>
      </w:tr>
      <w:tr w:rsidR="0057611C">
        <w:tc>
          <w:tcPr>
            <w:tcW w:w="817" w:type="dxa"/>
            <w:vAlign w:val="center"/>
          </w:tcPr>
          <w:p w:rsidR="0057611C" w:rsidRDefault="00ED217C">
            <w:pPr>
              <w:jc w:val="center"/>
            </w:pPr>
            <w:r>
              <w:rPr>
                <w:rFonts w:eastAsiaTheme="minorEastAsia"/>
                <w:kern w:val="0"/>
                <w:sz w:val="24"/>
                <w:szCs w:val="24"/>
              </w:rPr>
              <w:t>4</w:t>
            </w:r>
          </w:p>
        </w:tc>
        <w:tc>
          <w:tcPr>
            <w:tcW w:w="1276" w:type="dxa"/>
            <w:vAlign w:val="center"/>
          </w:tcPr>
          <w:p w:rsidR="0057611C" w:rsidRDefault="00ED217C">
            <w:pPr>
              <w:jc w:val="center"/>
            </w:pPr>
            <w:r>
              <w:rPr>
                <w:rFonts w:eastAsiaTheme="minorEastAsia"/>
                <w:kern w:val="0"/>
                <w:sz w:val="24"/>
                <w:szCs w:val="24"/>
              </w:rPr>
              <w:t>601088</w:t>
            </w:r>
          </w:p>
        </w:tc>
        <w:tc>
          <w:tcPr>
            <w:tcW w:w="1701" w:type="dxa"/>
            <w:vAlign w:val="center"/>
          </w:tcPr>
          <w:p w:rsidR="0057611C" w:rsidRDefault="00ED217C">
            <w:pPr>
              <w:jc w:val="center"/>
            </w:pPr>
            <w:r>
              <w:rPr>
                <w:rFonts w:eastAsiaTheme="minorEastAsia"/>
                <w:kern w:val="0"/>
                <w:sz w:val="24"/>
                <w:szCs w:val="24"/>
              </w:rPr>
              <w:t>中国神华</w:t>
            </w:r>
          </w:p>
        </w:tc>
        <w:tc>
          <w:tcPr>
            <w:tcW w:w="1276" w:type="dxa"/>
            <w:vAlign w:val="center"/>
          </w:tcPr>
          <w:p w:rsidR="0057611C" w:rsidRDefault="00ED217C">
            <w:pPr>
              <w:jc w:val="right"/>
            </w:pPr>
            <w:r>
              <w:rPr>
                <w:rFonts w:eastAsiaTheme="minorEastAsia"/>
                <w:kern w:val="0"/>
                <w:sz w:val="24"/>
                <w:szCs w:val="24"/>
              </w:rPr>
              <w:t>60,282.00</w:t>
            </w:r>
          </w:p>
        </w:tc>
        <w:tc>
          <w:tcPr>
            <w:tcW w:w="1842" w:type="dxa"/>
            <w:vAlign w:val="center"/>
          </w:tcPr>
          <w:p w:rsidR="0057611C" w:rsidRDefault="00ED217C">
            <w:pPr>
              <w:jc w:val="right"/>
            </w:pPr>
            <w:r>
              <w:rPr>
                <w:rFonts w:eastAsiaTheme="minorEastAsia"/>
                <w:kern w:val="0"/>
                <w:sz w:val="24"/>
                <w:szCs w:val="24"/>
              </w:rPr>
              <w:t>2,356,423.38</w:t>
            </w:r>
          </w:p>
        </w:tc>
        <w:tc>
          <w:tcPr>
            <w:tcW w:w="1616" w:type="dxa"/>
            <w:vAlign w:val="center"/>
          </w:tcPr>
          <w:p w:rsidR="0057611C" w:rsidRDefault="00ED217C">
            <w:pPr>
              <w:jc w:val="right"/>
            </w:pPr>
            <w:r>
              <w:rPr>
                <w:rFonts w:eastAsiaTheme="minorEastAsia"/>
                <w:kern w:val="0"/>
                <w:sz w:val="24"/>
                <w:szCs w:val="24"/>
              </w:rPr>
              <w:t>2.09</w:t>
            </w:r>
          </w:p>
        </w:tc>
      </w:tr>
      <w:tr w:rsidR="0057611C">
        <w:tc>
          <w:tcPr>
            <w:tcW w:w="817" w:type="dxa"/>
            <w:vAlign w:val="center"/>
          </w:tcPr>
          <w:p w:rsidR="0057611C" w:rsidRDefault="00ED217C">
            <w:pPr>
              <w:jc w:val="center"/>
            </w:pPr>
            <w:r>
              <w:rPr>
                <w:rFonts w:eastAsiaTheme="minorEastAsia"/>
                <w:kern w:val="0"/>
                <w:sz w:val="24"/>
                <w:szCs w:val="24"/>
              </w:rPr>
              <w:t>4</w:t>
            </w:r>
          </w:p>
        </w:tc>
        <w:tc>
          <w:tcPr>
            <w:tcW w:w="1276" w:type="dxa"/>
            <w:vAlign w:val="center"/>
          </w:tcPr>
          <w:p w:rsidR="0057611C" w:rsidRDefault="00ED217C">
            <w:pPr>
              <w:jc w:val="center"/>
            </w:pPr>
            <w:r>
              <w:rPr>
                <w:rFonts w:eastAsiaTheme="minorEastAsia"/>
                <w:kern w:val="0"/>
                <w:sz w:val="24"/>
                <w:szCs w:val="24"/>
              </w:rPr>
              <w:t>01088</w:t>
            </w:r>
          </w:p>
        </w:tc>
        <w:tc>
          <w:tcPr>
            <w:tcW w:w="1701" w:type="dxa"/>
            <w:vAlign w:val="center"/>
          </w:tcPr>
          <w:p w:rsidR="0057611C" w:rsidRDefault="00ED217C">
            <w:pPr>
              <w:jc w:val="center"/>
            </w:pPr>
            <w:r>
              <w:rPr>
                <w:rFonts w:eastAsiaTheme="minorEastAsia"/>
                <w:kern w:val="0"/>
                <w:sz w:val="24"/>
                <w:szCs w:val="24"/>
              </w:rPr>
              <w:t>中国神华</w:t>
            </w:r>
          </w:p>
        </w:tc>
        <w:tc>
          <w:tcPr>
            <w:tcW w:w="1276" w:type="dxa"/>
            <w:vAlign w:val="center"/>
          </w:tcPr>
          <w:p w:rsidR="0057611C" w:rsidRDefault="00ED217C">
            <w:pPr>
              <w:jc w:val="right"/>
            </w:pPr>
            <w:r>
              <w:rPr>
                <w:rFonts w:eastAsiaTheme="minorEastAsia"/>
                <w:kern w:val="0"/>
                <w:sz w:val="24"/>
                <w:szCs w:val="24"/>
              </w:rPr>
              <w:t>31,500.00</w:t>
            </w:r>
          </w:p>
        </w:tc>
        <w:tc>
          <w:tcPr>
            <w:tcW w:w="1842" w:type="dxa"/>
            <w:vAlign w:val="center"/>
          </w:tcPr>
          <w:p w:rsidR="0057611C" w:rsidRDefault="00ED217C">
            <w:pPr>
              <w:jc w:val="right"/>
            </w:pPr>
            <w:r>
              <w:rPr>
                <w:rFonts w:eastAsiaTheme="minorEastAsia"/>
                <w:kern w:val="0"/>
                <w:sz w:val="24"/>
                <w:szCs w:val="24"/>
              </w:rPr>
              <w:t>878,106.99</w:t>
            </w:r>
          </w:p>
        </w:tc>
        <w:tc>
          <w:tcPr>
            <w:tcW w:w="1616" w:type="dxa"/>
            <w:vAlign w:val="center"/>
          </w:tcPr>
          <w:p w:rsidR="0057611C" w:rsidRDefault="00ED217C">
            <w:pPr>
              <w:jc w:val="right"/>
            </w:pPr>
            <w:r>
              <w:rPr>
                <w:rFonts w:eastAsiaTheme="minorEastAsia"/>
                <w:kern w:val="0"/>
                <w:sz w:val="24"/>
                <w:szCs w:val="24"/>
              </w:rPr>
              <w:t>0.78</w:t>
            </w:r>
          </w:p>
        </w:tc>
      </w:tr>
      <w:tr w:rsidR="0057611C">
        <w:tc>
          <w:tcPr>
            <w:tcW w:w="817" w:type="dxa"/>
            <w:vAlign w:val="center"/>
          </w:tcPr>
          <w:p w:rsidR="0057611C" w:rsidRDefault="00ED217C">
            <w:pPr>
              <w:jc w:val="center"/>
            </w:pPr>
            <w:r>
              <w:rPr>
                <w:rFonts w:eastAsiaTheme="minorEastAsia"/>
                <w:kern w:val="0"/>
                <w:sz w:val="24"/>
                <w:szCs w:val="24"/>
              </w:rPr>
              <w:t>5</w:t>
            </w:r>
          </w:p>
        </w:tc>
        <w:tc>
          <w:tcPr>
            <w:tcW w:w="1276" w:type="dxa"/>
            <w:vAlign w:val="center"/>
          </w:tcPr>
          <w:p w:rsidR="0057611C" w:rsidRDefault="00ED217C">
            <w:pPr>
              <w:jc w:val="center"/>
            </w:pPr>
            <w:r>
              <w:rPr>
                <w:rFonts w:eastAsiaTheme="minorEastAsia"/>
                <w:kern w:val="0"/>
                <w:sz w:val="24"/>
                <w:szCs w:val="24"/>
              </w:rPr>
              <w:t>600938</w:t>
            </w:r>
          </w:p>
        </w:tc>
        <w:tc>
          <w:tcPr>
            <w:tcW w:w="1701" w:type="dxa"/>
            <w:vAlign w:val="center"/>
          </w:tcPr>
          <w:p w:rsidR="0057611C" w:rsidRDefault="00ED217C">
            <w:pPr>
              <w:jc w:val="center"/>
            </w:pPr>
            <w:r>
              <w:rPr>
                <w:rFonts w:eastAsiaTheme="minorEastAsia"/>
                <w:kern w:val="0"/>
                <w:sz w:val="24"/>
                <w:szCs w:val="24"/>
              </w:rPr>
              <w:t>中国海油</w:t>
            </w:r>
          </w:p>
        </w:tc>
        <w:tc>
          <w:tcPr>
            <w:tcW w:w="1276" w:type="dxa"/>
            <w:vAlign w:val="center"/>
          </w:tcPr>
          <w:p w:rsidR="0057611C" w:rsidRDefault="00ED217C">
            <w:pPr>
              <w:jc w:val="right"/>
            </w:pPr>
            <w:r>
              <w:rPr>
                <w:rFonts w:eastAsiaTheme="minorEastAsia"/>
                <w:kern w:val="0"/>
                <w:sz w:val="24"/>
                <w:szCs w:val="24"/>
              </w:rPr>
              <w:t>63,700.00</w:t>
            </w:r>
          </w:p>
        </w:tc>
        <w:tc>
          <w:tcPr>
            <w:tcW w:w="1842" w:type="dxa"/>
            <w:vAlign w:val="center"/>
          </w:tcPr>
          <w:p w:rsidR="0057611C" w:rsidRDefault="00ED217C">
            <w:pPr>
              <w:jc w:val="right"/>
            </w:pPr>
            <w:r>
              <w:rPr>
                <w:rFonts w:eastAsiaTheme="minorEastAsia"/>
                <w:kern w:val="0"/>
                <w:sz w:val="24"/>
                <w:szCs w:val="24"/>
              </w:rPr>
              <w:t>1,861,951.00</w:t>
            </w:r>
          </w:p>
        </w:tc>
        <w:tc>
          <w:tcPr>
            <w:tcW w:w="1616" w:type="dxa"/>
            <w:vAlign w:val="center"/>
          </w:tcPr>
          <w:p w:rsidR="0057611C" w:rsidRDefault="00ED217C">
            <w:pPr>
              <w:jc w:val="right"/>
            </w:pPr>
            <w:r>
              <w:rPr>
                <w:rFonts w:eastAsiaTheme="minorEastAsia"/>
                <w:kern w:val="0"/>
                <w:sz w:val="24"/>
                <w:szCs w:val="24"/>
              </w:rPr>
              <w:t>1.65</w:t>
            </w:r>
          </w:p>
        </w:tc>
      </w:tr>
      <w:tr w:rsidR="0057611C">
        <w:tc>
          <w:tcPr>
            <w:tcW w:w="817" w:type="dxa"/>
            <w:vAlign w:val="center"/>
          </w:tcPr>
          <w:p w:rsidR="0057611C" w:rsidRDefault="00ED217C">
            <w:pPr>
              <w:jc w:val="center"/>
            </w:pPr>
            <w:r>
              <w:rPr>
                <w:rFonts w:eastAsiaTheme="minorEastAsia"/>
                <w:kern w:val="0"/>
                <w:sz w:val="24"/>
                <w:szCs w:val="24"/>
              </w:rPr>
              <w:t>5</w:t>
            </w:r>
          </w:p>
        </w:tc>
        <w:tc>
          <w:tcPr>
            <w:tcW w:w="1276" w:type="dxa"/>
            <w:vAlign w:val="center"/>
          </w:tcPr>
          <w:p w:rsidR="0057611C" w:rsidRDefault="00ED217C">
            <w:pPr>
              <w:jc w:val="center"/>
            </w:pPr>
            <w:r>
              <w:rPr>
                <w:rFonts w:eastAsiaTheme="minorEastAsia"/>
                <w:kern w:val="0"/>
                <w:sz w:val="24"/>
                <w:szCs w:val="24"/>
              </w:rPr>
              <w:t>00883</w:t>
            </w:r>
          </w:p>
        </w:tc>
        <w:tc>
          <w:tcPr>
            <w:tcW w:w="1701" w:type="dxa"/>
            <w:vAlign w:val="center"/>
          </w:tcPr>
          <w:p w:rsidR="0057611C" w:rsidRDefault="00ED217C">
            <w:pPr>
              <w:jc w:val="center"/>
            </w:pPr>
            <w:r>
              <w:rPr>
                <w:rFonts w:eastAsiaTheme="minorEastAsia"/>
                <w:kern w:val="0"/>
                <w:sz w:val="24"/>
                <w:szCs w:val="24"/>
              </w:rPr>
              <w:t>中国海洋石油</w:t>
            </w:r>
          </w:p>
        </w:tc>
        <w:tc>
          <w:tcPr>
            <w:tcW w:w="1276" w:type="dxa"/>
            <w:vAlign w:val="center"/>
          </w:tcPr>
          <w:p w:rsidR="0057611C" w:rsidRDefault="00ED217C">
            <w:pPr>
              <w:jc w:val="right"/>
            </w:pPr>
            <w:r>
              <w:rPr>
                <w:rFonts w:eastAsiaTheme="minorEastAsia"/>
                <w:kern w:val="0"/>
                <w:sz w:val="24"/>
                <w:szCs w:val="24"/>
              </w:rPr>
              <w:t>81,000.00</w:t>
            </w:r>
          </w:p>
        </w:tc>
        <w:tc>
          <w:tcPr>
            <w:tcW w:w="1842" w:type="dxa"/>
            <w:vAlign w:val="center"/>
          </w:tcPr>
          <w:p w:rsidR="0057611C" w:rsidRDefault="00ED217C">
            <w:pPr>
              <w:jc w:val="right"/>
            </w:pPr>
            <w:r>
              <w:rPr>
                <w:rFonts w:eastAsiaTheme="minorEastAsia"/>
                <w:kern w:val="0"/>
                <w:sz w:val="24"/>
                <w:szCs w:val="24"/>
              </w:rPr>
              <w:t>1,330,561.57</w:t>
            </w:r>
          </w:p>
        </w:tc>
        <w:tc>
          <w:tcPr>
            <w:tcW w:w="1616" w:type="dxa"/>
            <w:vAlign w:val="center"/>
          </w:tcPr>
          <w:p w:rsidR="0057611C" w:rsidRDefault="00ED217C">
            <w:pPr>
              <w:jc w:val="right"/>
            </w:pPr>
            <w:r>
              <w:rPr>
                <w:rFonts w:eastAsiaTheme="minorEastAsia"/>
                <w:kern w:val="0"/>
                <w:sz w:val="24"/>
                <w:szCs w:val="24"/>
              </w:rPr>
              <w:t>1.18</w:t>
            </w:r>
          </w:p>
        </w:tc>
      </w:tr>
      <w:tr w:rsidR="0057611C">
        <w:tc>
          <w:tcPr>
            <w:tcW w:w="817" w:type="dxa"/>
            <w:vAlign w:val="center"/>
          </w:tcPr>
          <w:p w:rsidR="0057611C" w:rsidRDefault="00ED217C">
            <w:pPr>
              <w:jc w:val="center"/>
            </w:pPr>
            <w:r>
              <w:rPr>
                <w:rFonts w:eastAsiaTheme="minorEastAsia"/>
                <w:kern w:val="0"/>
                <w:sz w:val="24"/>
                <w:szCs w:val="24"/>
              </w:rPr>
              <w:t>6</w:t>
            </w:r>
          </w:p>
        </w:tc>
        <w:tc>
          <w:tcPr>
            <w:tcW w:w="1276" w:type="dxa"/>
            <w:vAlign w:val="center"/>
          </w:tcPr>
          <w:p w:rsidR="0057611C" w:rsidRDefault="00ED217C">
            <w:pPr>
              <w:jc w:val="center"/>
            </w:pPr>
            <w:r>
              <w:rPr>
                <w:rFonts w:eastAsiaTheme="minorEastAsia"/>
                <w:kern w:val="0"/>
                <w:sz w:val="24"/>
                <w:szCs w:val="24"/>
              </w:rPr>
              <w:t>00941</w:t>
            </w:r>
          </w:p>
        </w:tc>
        <w:tc>
          <w:tcPr>
            <w:tcW w:w="1701" w:type="dxa"/>
            <w:vAlign w:val="center"/>
          </w:tcPr>
          <w:p w:rsidR="0057611C" w:rsidRDefault="00ED217C">
            <w:pPr>
              <w:jc w:val="center"/>
            </w:pPr>
            <w:r>
              <w:rPr>
                <w:rFonts w:eastAsiaTheme="minorEastAsia"/>
                <w:kern w:val="0"/>
                <w:sz w:val="24"/>
                <w:szCs w:val="24"/>
              </w:rPr>
              <w:t>中国移动</w:t>
            </w:r>
          </w:p>
        </w:tc>
        <w:tc>
          <w:tcPr>
            <w:tcW w:w="1276" w:type="dxa"/>
            <w:vAlign w:val="center"/>
          </w:tcPr>
          <w:p w:rsidR="0057611C" w:rsidRDefault="00ED217C">
            <w:pPr>
              <w:jc w:val="right"/>
            </w:pPr>
            <w:r>
              <w:rPr>
                <w:rFonts w:eastAsiaTheme="minorEastAsia"/>
                <w:kern w:val="0"/>
                <w:sz w:val="24"/>
                <w:szCs w:val="24"/>
              </w:rPr>
              <w:t>33,000.00</w:t>
            </w:r>
          </w:p>
        </w:tc>
        <w:tc>
          <w:tcPr>
            <w:tcW w:w="1842" w:type="dxa"/>
            <w:vAlign w:val="center"/>
          </w:tcPr>
          <w:p w:rsidR="0057611C" w:rsidRDefault="00ED217C">
            <w:pPr>
              <w:jc w:val="right"/>
            </w:pPr>
            <w:r>
              <w:rPr>
                <w:rFonts w:eastAsiaTheme="minorEastAsia"/>
                <w:kern w:val="0"/>
                <w:sz w:val="24"/>
                <w:szCs w:val="24"/>
              </w:rPr>
              <w:t>2,001,390.44</w:t>
            </w:r>
          </w:p>
        </w:tc>
        <w:tc>
          <w:tcPr>
            <w:tcW w:w="1616" w:type="dxa"/>
            <w:vAlign w:val="center"/>
          </w:tcPr>
          <w:p w:rsidR="0057611C" w:rsidRDefault="00ED217C">
            <w:pPr>
              <w:jc w:val="right"/>
            </w:pPr>
            <w:r>
              <w:rPr>
                <w:rFonts w:eastAsiaTheme="minorEastAsia"/>
                <w:kern w:val="0"/>
                <w:sz w:val="24"/>
                <w:szCs w:val="24"/>
              </w:rPr>
              <w:t>1.78</w:t>
            </w:r>
          </w:p>
        </w:tc>
      </w:tr>
      <w:tr w:rsidR="0057611C">
        <w:tc>
          <w:tcPr>
            <w:tcW w:w="817" w:type="dxa"/>
            <w:vAlign w:val="center"/>
          </w:tcPr>
          <w:p w:rsidR="0057611C" w:rsidRDefault="00ED217C">
            <w:pPr>
              <w:jc w:val="center"/>
            </w:pPr>
            <w:r>
              <w:rPr>
                <w:rFonts w:eastAsiaTheme="minorEastAsia"/>
                <w:kern w:val="0"/>
                <w:sz w:val="24"/>
                <w:szCs w:val="24"/>
              </w:rPr>
              <w:t>6</w:t>
            </w:r>
          </w:p>
        </w:tc>
        <w:tc>
          <w:tcPr>
            <w:tcW w:w="1276" w:type="dxa"/>
            <w:vAlign w:val="center"/>
          </w:tcPr>
          <w:p w:rsidR="0057611C" w:rsidRDefault="00ED217C">
            <w:pPr>
              <w:jc w:val="center"/>
            </w:pPr>
            <w:r>
              <w:rPr>
                <w:rFonts w:eastAsiaTheme="minorEastAsia"/>
                <w:kern w:val="0"/>
                <w:sz w:val="24"/>
                <w:szCs w:val="24"/>
              </w:rPr>
              <w:t>600941</w:t>
            </w:r>
          </w:p>
        </w:tc>
        <w:tc>
          <w:tcPr>
            <w:tcW w:w="1701" w:type="dxa"/>
            <w:vAlign w:val="center"/>
          </w:tcPr>
          <w:p w:rsidR="0057611C" w:rsidRDefault="00ED217C">
            <w:pPr>
              <w:jc w:val="center"/>
            </w:pPr>
            <w:r>
              <w:rPr>
                <w:rFonts w:eastAsiaTheme="minorEastAsia"/>
                <w:kern w:val="0"/>
                <w:sz w:val="24"/>
                <w:szCs w:val="24"/>
              </w:rPr>
              <w:t>中国移动</w:t>
            </w:r>
          </w:p>
        </w:tc>
        <w:tc>
          <w:tcPr>
            <w:tcW w:w="1276" w:type="dxa"/>
            <w:vAlign w:val="center"/>
          </w:tcPr>
          <w:p w:rsidR="0057611C" w:rsidRDefault="00ED217C">
            <w:pPr>
              <w:jc w:val="right"/>
            </w:pPr>
            <w:r>
              <w:rPr>
                <w:rFonts w:eastAsiaTheme="minorEastAsia"/>
                <w:kern w:val="0"/>
                <w:sz w:val="24"/>
                <w:szCs w:val="24"/>
              </w:rPr>
              <w:t>7,900.00</w:t>
            </w:r>
          </w:p>
        </w:tc>
        <w:tc>
          <w:tcPr>
            <w:tcW w:w="1842" w:type="dxa"/>
            <w:vAlign w:val="center"/>
          </w:tcPr>
          <w:p w:rsidR="0057611C" w:rsidRDefault="00ED217C">
            <w:pPr>
              <w:jc w:val="right"/>
            </w:pPr>
            <w:r>
              <w:rPr>
                <w:rFonts w:eastAsiaTheme="minorEastAsia"/>
                <w:kern w:val="0"/>
                <w:sz w:val="24"/>
                <w:szCs w:val="24"/>
              </w:rPr>
              <w:t>835,504.00</w:t>
            </w:r>
          </w:p>
        </w:tc>
        <w:tc>
          <w:tcPr>
            <w:tcW w:w="1616" w:type="dxa"/>
            <w:vAlign w:val="center"/>
          </w:tcPr>
          <w:p w:rsidR="0057611C" w:rsidRDefault="00ED217C">
            <w:pPr>
              <w:jc w:val="right"/>
            </w:pPr>
            <w:r>
              <w:rPr>
                <w:rFonts w:eastAsiaTheme="minorEastAsia"/>
                <w:kern w:val="0"/>
                <w:sz w:val="24"/>
                <w:szCs w:val="24"/>
              </w:rPr>
              <w:t>0.74</w:t>
            </w:r>
          </w:p>
        </w:tc>
      </w:tr>
      <w:tr w:rsidR="0057611C">
        <w:tc>
          <w:tcPr>
            <w:tcW w:w="817" w:type="dxa"/>
            <w:vAlign w:val="center"/>
          </w:tcPr>
          <w:p w:rsidR="0057611C" w:rsidRDefault="00ED217C">
            <w:pPr>
              <w:jc w:val="center"/>
            </w:pPr>
            <w:r>
              <w:rPr>
                <w:rFonts w:eastAsiaTheme="minorEastAsia"/>
                <w:kern w:val="0"/>
                <w:sz w:val="24"/>
                <w:szCs w:val="24"/>
              </w:rPr>
              <w:t>7</w:t>
            </w:r>
          </w:p>
        </w:tc>
        <w:tc>
          <w:tcPr>
            <w:tcW w:w="1276" w:type="dxa"/>
            <w:vAlign w:val="center"/>
          </w:tcPr>
          <w:p w:rsidR="0057611C" w:rsidRDefault="00ED217C">
            <w:pPr>
              <w:jc w:val="center"/>
            </w:pPr>
            <w:r>
              <w:rPr>
                <w:rFonts w:eastAsiaTheme="minorEastAsia"/>
                <w:kern w:val="0"/>
                <w:sz w:val="24"/>
                <w:szCs w:val="24"/>
              </w:rPr>
              <w:t>603477</w:t>
            </w:r>
          </w:p>
        </w:tc>
        <w:tc>
          <w:tcPr>
            <w:tcW w:w="1701" w:type="dxa"/>
            <w:vAlign w:val="center"/>
          </w:tcPr>
          <w:p w:rsidR="0057611C" w:rsidRDefault="00ED217C">
            <w:pPr>
              <w:jc w:val="center"/>
            </w:pPr>
            <w:r>
              <w:rPr>
                <w:rFonts w:eastAsiaTheme="minorEastAsia"/>
                <w:kern w:val="0"/>
                <w:sz w:val="24"/>
                <w:szCs w:val="24"/>
              </w:rPr>
              <w:t>巨星农牧</w:t>
            </w:r>
          </w:p>
        </w:tc>
        <w:tc>
          <w:tcPr>
            <w:tcW w:w="1276" w:type="dxa"/>
            <w:vAlign w:val="center"/>
          </w:tcPr>
          <w:p w:rsidR="0057611C" w:rsidRDefault="00ED217C">
            <w:pPr>
              <w:jc w:val="right"/>
            </w:pPr>
            <w:r>
              <w:rPr>
                <w:rFonts w:eastAsiaTheme="minorEastAsia"/>
                <w:kern w:val="0"/>
                <w:sz w:val="24"/>
                <w:szCs w:val="24"/>
              </w:rPr>
              <w:t>77,460.00</w:t>
            </w:r>
          </w:p>
        </w:tc>
        <w:tc>
          <w:tcPr>
            <w:tcW w:w="1842" w:type="dxa"/>
            <w:vAlign w:val="center"/>
          </w:tcPr>
          <w:p w:rsidR="0057611C" w:rsidRDefault="00ED217C">
            <w:pPr>
              <w:jc w:val="right"/>
            </w:pPr>
            <w:r>
              <w:rPr>
                <w:rFonts w:eastAsiaTheme="minorEastAsia"/>
                <w:kern w:val="0"/>
                <w:sz w:val="24"/>
                <w:szCs w:val="24"/>
              </w:rPr>
              <w:t>2,831,937.60</w:t>
            </w:r>
          </w:p>
        </w:tc>
        <w:tc>
          <w:tcPr>
            <w:tcW w:w="1616" w:type="dxa"/>
            <w:vAlign w:val="center"/>
          </w:tcPr>
          <w:p w:rsidR="0057611C" w:rsidRDefault="00ED217C">
            <w:pPr>
              <w:jc w:val="right"/>
            </w:pPr>
            <w:r>
              <w:rPr>
                <w:rFonts w:eastAsiaTheme="minorEastAsia"/>
                <w:kern w:val="0"/>
                <w:sz w:val="24"/>
                <w:szCs w:val="24"/>
              </w:rPr>
              <w:t>2.51</w:t>
            </w:r>
          </w:p>
        </w:tc>
      </w:tr>
      <w:tr w:rsidR="0057611C">
        <w:tc>
          <w:tcPr>
            <w:tcW w:w="817" w:type="dxa"/>
            <w:vAlign w:val="center"/>
          </w:tcPr>
          <w:p w:rsidR="0057611C" w:rsidRDefault="00ED217C">
            <w:pPr>
              <w:jc w:val="center"/>
            </w:pPr>
            <w:r>
              <w:rPr>
                <w:rFonts w:eastAsiaTheme="minorEastAsia"/>
                <w:kern w:val="0"/>
                <w:sz w:val="24"/>
                <w:szCs w:val="24"/>
              </w:rPr>
              <w:t>8</w:t>
            </w:r>
          </w:p>
        </w:tc>
        <w:tc>
          <w:tcPr>
            <w:tcW w:w="1276" w:type="dxa"/>
            <w:vAlign w:val="center"/>
          </w:tcPr>
          <w:p w:rsidR="0057611C" w:rsidRDefault="00ED217C">
            <w:pPr>
              <w:jc w:val="center"/>
            </w:pPr>
            <w:r>
              <w:rPr>
                <w:rFonts w:eastAsiaTheme="minorEastAsia"/>
                <w:kern w:val="0"/>
                <w:sz w:val="24"/>
                <w:szCs w:val="24"/>
              </w:rPr>
              <w:t>002028</w:t>
            </w:r>
          </w:p>
        </w:tc>
        <w:tc>
          <w:tcPr>
            <w:tcW w:w="1701" w:type="dxa"/>
            <w:vAlign w:val="center"/>
          </w:tcPr>
          <w:p w:rsidR="0057611C" w:rsidRDefault="00ED217C">
            <w:pPr>
              <w:jc w:val="center"/>
            </w:pPr>
            <w:r>
              <w:rPr>
                <w:rFonts w:eastAsiaTheme="minorEastAsia"/>
                <w:kern w:val="0"/>
                <w:sz w:val="24"/>
                <w:szCs w:val="24"/>
              </w:rPr>
              <w:t>思源电气</w:t>
            </w:r>
          </w:p>
        </w:tc>
        <w:tc>
          <w:tcPr>
            <w:tcW w:w="1276" w:type="dxa"/>
            <w:vAlign w:val="center"/>
          </w:tcPr>
          <w:p w:rsidR="0057611C" w:rsidRDefault="00ED217C">
            <w:pPr>
              <w:jc w:val="right"/>
            </w:pPr>
            <w:r>
              <w:rPr>
                <w:rFonts w:eastAsiaTheme="minorEastAsia"/>
                <w:kern w:val="0"/>
                <w:sz w:val="24"/>
                <w:szCs w:val="24"/>
              </w:rPr>
              <w:t>47,153.00</w:t>
            </w:r>
          </w:p>
        </w:tc>
        <w:tc>
          <w:tcPr>
            <w:tcW w:w="1842" w:type="dxa"/>
            <w:vAlign w:val="center"/>
          </w:tcPr>
          <w:p w:rsidR="0057611C" w:rsidRDefault="00ED217C">
            <w:pPr>
              <w:jc w:val="right"/>
            </w:pPr>
            <w:r>
              <w:rPr>
                <w:rFonts w:eastAsiaTheme="minorEastAsia"/>
                <w:kern w:val="0"/>
                <w:sz w:val="24"/>
                <w:szCs w:val="24"/>
              </w:rPr>
              <w:t>2,812,676.45</w:t>
            </w:r>
          </w:p>
        </w:tc>
        <w:tc>
          <w:tcPr>
            <w:tcW w:w="1616" w:type="dxa"/>
            <w:vAlign w:val="center"/>
          </w:tcPr>
          <w:p w:rsidR="0057611C" w:rsidRDefault="00ED217C">
            <w:pPr>
              <w:jc w:val="right"/>
            </w:pPr>
            <w:r>
              <w:rPr>
                <w:rFonts w:eastAsiaTheme="minorEastAsia"/>
                <w:kern w:val="0"/>
                <w:sz w:val="24"/>
                <w:szCs w:val="24"/>
              </w:rPr>
              <w:t>2.50</w:t>
            </w:r>
          </w:p>
        </w:tc>
      </w:tr>
      <w:tr w:rsidR="0057611C">
        <w:tc>
          <w:tcPr>
            <w:tcW w:w="817" w:type="dxa"/>
            <w:vAlign w:val="center"/>
          </w:tcPr>
          <w:p w:rsidR="0057611C" w:rsidRDefault="00ED217C">
            <w:pPr>
              <w:jc w:val="center"/>
            </w:pPr>
            <w:r>
              <w:rPr>
                <w:rFonts w:eastAsiaTheme="minorEastAsia"/>
                <w:kern w:val="0"/>
                <w:sz w:val="24"/>
                <w:szCs w:val="24"/>
              </w:rPr>
              <w:t>9</w:t>
            </w:r>
          </w:p>
        </w:tc>
        <w:tc>
          <w:tcPr>
            <w:tcW w:w="1276" w:type="dxa"/>
            <w:vAlign w:val="center"/>
          </w:tcPr>
          <w:p w:rsidR="0057611C" w:rsidRDefault="00ED217C">
            <w:pPr>
              <w:jc w:val="center"/>
            </w:pPr>
            <w:r>
              <w:rPr>
                <w:rFonts w:eastAsiaTheme="minorEastAsia"/>
                <w:kern w:val="0"/>
                <w:sz w:val="24"/>
                <w:szCs w:val="24"/>
              </w:rPr>
              <w:t>601899</w:t>
            </w:r>
          </w:p>
        </w:tc>
        <w:tc>
          <w:tcPr>
            <w:tcW w:w="1701" w:type="dxa"/>
            <w:vAlign w:val="center"/>
          </w:tcPr>
          <w:p w:rsidR="0057611C" w:rsidRDefault="00ED217C">
            <w:pPr>
              <w:jc w:val="center"/>
            </w:pPr>
            <w:r>
              <w:rPr>
                <w:rFonts w:eastAsiaTheme="minorEastAsia"/>
                <w:kern w:val="0"/>
                <w:sz w:val="24"/>
                <w:szCs w:val="24"/>
              </w:rPr>
              <w:t>紫金矿业</w:t>
            </w:r>
          </w:p>
        </w:tc>
        <w:tc>
          <w:tcPr>
            <w:tcW w:w="1276" w:type="dxa"/>
            <w:vAlign w:val="center"/>
          </w:tcPr>
          <w:p w:rsidR="0057611C" w:rsidRDefault="00ED217C">
            <w:pPr>
              <w:jc w:val="right"/>
            </w:pPr>
            <w:r>
              <w:rPr>
                <w:rFonts w:eastAsiaTheme="minorEastAsia"/>
                <w:kern w:val="0"/>
                <w:sz w:val="24"/>
                <w:szCs w:val="24"/>
              </w:rPr>
              <w:t>160,700.00</w:t>
            </w:r>
          </w:p>
        </w:tc>
        <w:tc>
          <w:tcPr>
            <w:tcW w:w="1842" w:type="dxa"/>
            <w:vAlign w:val="center"/>
          </w:tcPr>
          <w:p w:rsidR="0057611C" w:rsidRDefault="00ED217C">
            <w:pPr>
              <w:jc w:val="right"/>
            </w:pPr>
            <w:r>
              <w:rPr>
                <w:rFonts w:eastAsiaTheme="minorEastAsia"/>
                <w:kern w:val="0"/>
                <w:sz w:val="24"/>
                <w:szCs w:val="24"/>
              </w:rPr>
              <w:t>2,702,974.00</w:t>
            </w:r>
          </w:p>
        </w:tc>
        <w:tc>
          <w:tcPr>
            <w:tcW w:w="1616" w:type="dxa"/>
            <w:vAlign w:val="center"/>
          </w:tcPr>
          <w:p w:rsidR="0057611C" w:rsidRDefault="00ED217C">
            <w:pPr>
              <w:jc w:val="right"/>
            </w:pPr>
            <w:r>
              <w:rPr>
                <w:rFonts w:eastAsiaTheme="minorEastAsia"/>
                <w:kern w:val="0"/>
                <w:sz w:val="24"/>
                <w:szCs w:val="24"/>
              </w:rPr>
              <w:t>2.40</w:t>
            </w:r>
          </w:p>
        </w:tc>
      </w:tr>
      <w:tr w:rsidR="0057611C">
        <w:tc>
          <w:tcPr>
            <w:tcW w:w="817" w:type="dxa"/>
            <w:vAlign w:val="center"/>
          </w:tcPr>
          <w:p w:rsidR="0057611C" w:rsidRDefault="00ED217C">
            <w:pPr>
              <w:jc w:val="center"/>
            </w:pPr>
            <w:r>
              <w:rPr>
                <w:rFonts w:eastAsiaTheme="minorEastAsia"/>
                <w:kern w:val="0"/>
                <w:sz w:val="24"/>
                <w:szCs w:val="24"/>
              </w:rPr>
              <w:t>10</w:t>
            </w:r>
          </w:p>
        </w:tc>
        <w:tc>
          <w:tcPr>
            <w:tcW w:w="1276" w:type="dxa"/>
            <w:vAlign w:val="center"/>
          </w:tcPr>
          <w:p w:rsidR="0057611C" w:rsidRDefault="00ED217C">
            <w:pPr>
              <w:jc w:val="center"/>
            </w:pPr>
            <w:r>
              <w:rPr>
                <w:rFonts w:eastAsiaTheme="minorEastAsia"/>
                <w:kern w:val="0"/>
                <w:sz w:val="24"/>
                <w:szCs w:val="24"/>
              </w:rPr>
              <w:t>300308</w:t>
            </w:r>
          </w:p>
        </w:tc>
        <w:tc>
          <w:tcPr>
            <w:tcW w:w="1701" w:type="dxa"/>
            <w:vAlign w:val="center"/>
          </w:tcPr>
          <w:p w:rsidR="0057611C" w:rsidRDefault="00ED217C">
            <w:pPr>
              <w:jc w:val="center"/>
            </w:pPr>
            <w:r>
              <w:rPr>
                <w:rFonts w:eastAsiaTheme="minorEastAsia"/>
                <w:kern w:val="0"/>
                <w:sz w:val="24"/>
                <w:szCs w:val="24"/>
              </w:rPr>
              <w:t>中际旭创</w:t>
            </w:r>
          </w:p>
        </w:tc>
        <w:tc>
          <w:tcPr>
            <w:tcW w:w="1276" w:type="dxa"/>
            <w:vAlign w:val="center"/>
          </w:tcPr>
          <w:p w:rsidR="0057611C" w:rsidRDefault="00ED217C">
            <w:pPr>
              <w:jc w:val="right"/>
            </w:pPr>
            <w:r>
              <w:rPr>
                <w:rFonts w:eastAsiaTheme="minorEastAsia"/>
                <w:kern w:val="0"/>
                <w:sz w:val="24"/>
                <w:szCs w:val="24"/>
              </w:rPr>
              <w:t>17,259.00</w:t>
            </w:r>
          </w:p>
        </w:tc>
        <w:tc>
          <w:tcPr>
            <w:tcW w:w="1842" w:type="dxa"/>
            <w:vAlign w:val="center"/>
          </w:tcPr>
          <w:p w:rsidR="0057611C" w:rsidRDefault="00ED217C">
            <w:pPr>
              <w:jc w:val="right"/>
            </w:pPr>
            <w:r>
              <w:rPr>
                <w:rFonts w:eastAsiaTheme="minorEastAsia"/>
                <w:kern w:val="0"/>
                <w:sz w:val="24"/>
                <w:szCs w:val="24"/>
              </w:rPr>
              <w:t>2,702,069.04</w:t>
            </w:r>
          </w:p>
        </w:tc>
        <w:tc>
          <w:tcPr>
            <w:tcW w:w="1616" w:type="dxa"/>
            <w:vAlign w:val="center"/>
          </w:tcPr>
          <w:p w:rsidR="0057611C" w:rsidRDefault="00ED217C">
            <w:pPr>
              <w:jc w:val="right"/>
            </w:pPr>
            <w:r>
              <w:rPr>
                <w:rFonts w:eastAsiaTheme="minorEastAsia"/>
                <w:kern w:val="0"/>
                <w:sz w:val="24"/>
                <w:szCs w:val="24"/>
              </w:rPr>
              <w:t>2.40</w:t>
            </w:r>
          </w:p>
        </w:tc>
      </w:tr>
      <w:bookmarkEnd w:id="1"/>
    </w:tbl>
    <w:p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57611C" w:rsidRDefault="00454D20" w:rsidP="00ED217C">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00ED217C" w:rsidRPr="00A3398F">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43,289.45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199.70</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43,489.15</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157,636,421.35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9,620.58</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2,748,260.26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154,897,781.67</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单位：份</w:t>
      </w:r>
    </w:p>
    <w:tbl>
      <w:tblPr>
        <w:tblW w:w="8415" w:type="dxa"/>
        <w:tblInd w:w="108" w:type="dxa"/>
        <w:tblLayout w:type="fixed"/>
        <w:tblLook w:val="04A0" w:firstRow="1" w:lastRow="0" w:firstColumn="1" w:lastColumn="0" w:noHBand="0" w:noVBand="1"/>
      </w:tblPr>
      <w:tblGrid>
        <w:gridCol w:w="5037"/>
        <w:gridCol w:w="3378"/>
      </w:tblGrid>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pStyle w:val="af0"/>
              <w:adjustRightInd w:val="0"/>
              <w:snapToGrid w:val="0"/>
              <w:spacing w:line="360" w:lineRule="exact"/>
              <w:rPr>
                <w:rFonts w:eastAsiaTheme="minorEastAsia"/>
                <w:color w:val="000000" w:themeColor="text1"/>
                <w:kern w:val="0"/>
                <w:sz w:val="21"/>
                <w:szCs w:val="21"/>
              </w:rPr>
            </w:pPr>
            <w:r w:rsidRPr="00FF6B9A">
              <w:rPr>
                <w:rFonts w:eastAsiaTheme="minorEastAsia"/>
                <w:color w:val="000000" w:themeColor="text1"/>
                <w:kern w:val="0"/>
                <w:sz w:val="21"/>
                <w:szCs w:val="21"/>
              </w:rPr>
              <w:t>报告期期初管理人持有的本基金份额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报告期期间买入</w:t>
            </w:r>
            <w:r w:rsidRPr="00FF6B9A">
              <w:rPr>
                <w:rFonts w:eastAsiaTheme="minorEastAsia"/>
                <w:color w:val="000000" w:themeColor="text1"/>
                <w:kern w:val="0"/>
              </w:rPr>
              <w:t>/</w:t>
            </w:r>
            <w:r w:rsidRPr="00FF6B9A">
              <w:rPr>
                <w:rFonts w:eastAsiaTheme="minorEastAsia"/>
                <w:color w:val="000000" w:themeColor="text1"/>
                <w:kern w:val="0"/>
              </w:rPr>
              <w:t>申购总份额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报告期期间卖出</w:t>
            </w:r>
            <w:r w:rsidRPr="00FF6B9A">
              <w:rPr>
                <w:rFonts w:eastAsiaTheme="minorEastAsia"/>
                <w:color w:val="000000" w:themeColor="text1"/>
                <w:kern w:val="0"/>
              </w:rPr>
              <w:t>/</w:t>
            </w:r>
            <w:r w:rsidRPr="00FF6B9A">
              <w:rPr>
                <w:rFonts w:eastAsiaTheme="minorEastAsia"/>
                <w:color w:val="000000" w:themeColor="text1"/>
                <w:kern w:val="0"/>
              </w:rPr>
              <w:t>赎回总份额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报告期期末管理人持有的本基金份额</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19,999,766.67</w:t>
            </w:r>
          </w:p>
        </w:tc>
      </w:tr>
      <w:tr w:rsidR="00D06738" w:rsidRPr="00FF6B9A">
        <w:tc>
          <w:tcPr>
            <w:tcW w:w="5037"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djustRightInd w:val="0"/>
              <w:snapToGrid w:val="0"/>
              <w:spacing w:line="360" w:lineRule="exact"/>
              <w:rPr>
                <w:rFonts w:eastAsiaTheme="minorEastAsia"/>
                <w:color w:val="000000" w:themeColor="text1"/>
                <w:kern w:val="0"/>
              </w:rPr>
            </w:pPr>
            <w:r w:rsidRPr="00FF6B9A">
              <w:rPr>
                <w:rFonts w:eastAsiaTheme="minorEastAsia"/>
                <w:color w:val="000000" w:themeColor="text1"/>
                <w:kern w:val="0"/>
              </w:rPr>
              <w:t>报告期期末持有的本基金份额占基金总份额比例（</w:t>
            </w:r>
            <w:r w:rsidRPr="00FF6B9A">
              <w:rPr>
                <w:rFonts w:eastAsiaTheme="minorEastAsia"/>
                <w:color w:val="000000" w:themeColor="text1"/>
                <w:kern w:val="0"/>
              </w:rPr>
              <w:t>%</w:t>
            </w:r>
            <w:r w:rsidRPr="00FF6B9A">
              <w:rPr>
                <w:rFonts w:eastAsiaTheme="minorEastAsia"/>
                <w:color w:val="000000" w:themeColor="text1"/>
                <w:kern w:val="0"/>
              </w:rPr>
              <w:t>）</w:t>
            </w:r>
          </w:p>
        </w:tc>
        <w:tc>
          <w:tcPr>
            <w:tcW w:w="3378"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12.91</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基金管理人运用固有资金投资本基金交易明细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影响投资者决策的其他重要信息</w:t>
      </w:r>
    </w:p>
    <w:p w:rsidR="00D06738" w:rsidRPr="00FF6B9A" w:rsidRDefault="00454D20">
      <w:pPr>
        <w:autoSpaceDE w:val="0"/>
        <w:autoSpaceDN w:val="0"/>
        <w:adjustRightInd w:val="0"/>
        <w:spacing w:line="360" w:lineRule="auto"/>
        <w:jc w:val="left"/>
        <w:rPr>
          <w:b/>
          <w:bCs/>
          <w:color w:val="000000"/>
          <w:kern w:val="0"/>
          <w:sz w:val="24"/>
          <w:szCs w:val="24"/>
        </w:rPr>
      </w:pPr>
      <w:r w:rsidRPr="00FF6B9A">
        <w:rPr>
          <w:b/>
          <w:bCs/>
          <w:color w:val="000000"/>
          <w:kern w:val="0"/>
          <w:sz w:val="24"/>
          <w:szCs w:val="24"/>
        </w:rPr>
        <w:t xml:space="preserve">8.1 </w:t>
      </w:r>
      <w:r w:rsidRPr="00FF6B9A">
        <w:rPr>
          <w:b/>
          <w:bCs/>
          <w:color w:val="000000"/>
          <w:kern w:val="0"/>
          <w:sz w:val="24"/>
          <w:szCs w:val="24"/>
        </w:rPr>
        <w:t>报告期内单一投资者持有基金份额比例达到或超过</w:t>
      </w:r>
      <w:r w:rsidRPr="00FF6B9A">
        <w:rPr>
          <w:b/>
          <w:bCs/>
          <w:color w:val="000000"/>
          <w:kern w:val="0"/>
          <w:sz w:val="24"/>
          <w:szCs w:val="24"/>
        </w:rPr>
        <w:t>20%</w:t>
      </w:r>
      <w:r w:rsidRPr="00FF6B9A">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6738" w:rsidRPr="00FF6B9A">
        <w:tc>
          <w:tcPr>
            <w:tcW w:w="993" w:type="dxa"/>
            <w:vMerge w:val="restart"/>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投资者类别</w:t>
            </w:r>
            <w:r w:rsidRPr="00FF6B9A">
              <w:rPr>
                <w:color w:val="000000"/>
                <w:kern w:val="0"/>
              </w:rPr>
              <w:t xml:space="preserve">  </w:t>
            </w:r>
          </w:p>
        </w:tc>
        <w:tc>
          <w:tcPr>
            <w:tcW w:w="5670" w:type="dxa"/>
            <w:gridSpan w:val="5"/>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报告期内持有基金份额变化情况</w:t>
            </w:r>
          </w:p>
        </w:tc>
        <w:tc>
          <w:tcPr>
            <w:tcW w:w="2549" w:type="dxa"/>
            <w:gridSpan w:val="2"/>
            <w:vAlign w:val="center"/>
          </w:tcPr>
          <w:p w:rsidR="00D06738" w:rsidRPr="00FF6B9A" w:rsidRDefault="00454D20">
            <w:pPr>
              <w:autoSpaceDE w:val="0"/>
              <w:autoSpaceDN w:val="0"/>
              <w:adjustRightInd w:val="0"/>
              <w:jc w:val="center"/>
              <w:rPr>
                <w:b/>
                <w:bCs/>
                <w:color w:val="000000"/>
                <w:kern w:val="0"/>
              </w:rPr>
            </w:pPr>
            <w:r w:rsidRPr="00FF6B9A">
              <w:rPr>
                <w:color w:val="000000"/>
                <w:kern w:val="0"/>
              </w:rPr>
              <w:t>报告期末持有基金情况</w:t>
            </w:r>
          </w:p>
        </w:tc>
      </w:tr>
      <w:tr w:rsidR="00D06738" w:rsidRPr="00FF6B9A">
        <w:tc>
          <w:tcPr>
            <w:tcW w:w="993" w:type="dxa"/>
            <w:vMerge/>
            <w:vAlign w:val="center"/>
          </w:tcPr>
          <w:p w:rsidR="00D06738" w:rsidRPr="00FF6B9A" w:rsidRDefault="00D06738">
            <w:pPr>
              <w:autoSpaceDE w:val="0"/>
              <w:autoSpaceDN w:val="0"/>
              <w:adjustRightInd w:val="0"/>
              <w:jc w:val="center"/>
              <w:rPr>
                <w:b/>
                <w:bCs/>
                <w:color w:val="000000"/>
                <w:kern w:val="0"/>
              </w:rPr>
            </w:pPr>
          </w:p>
        </w:tc>
        <w:tc>
          <w:tcPr>
            <w:tcW w:w="992"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序号</w:t>
            </w:r>
          </w:p>
        </w:tc>
        <w:tc>
          <w:tcPr>
            <w:tcW w:w="1843"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持有基金份额比例达到或者超过</w:t>
            </w:r>
            <w:r w:rsidRPr="00FF6B9A">
              <w:rPr>
                <w:color w:val="000000"/>
                <w:kern w:val="0"/>
              </w:rPr>
              <w:t>20%</w:t>
            </w:r>
            <w:r w:rsidRPr="00FF6B9A">
              <w:rPr>
                <w:color w:val="000000"/>
                <w:kern w:val="0"/>
              </w:rPr>
              <w:t>的时间区间</w:t>
            </w:r>
          </w:p>
        </w:tc>
        <w:tc>
          <w:tcPr>
            <w:tcW w:w="851" w:type="dxa"/>
            <w:vAlign w:val="center"/>
          </w:tcPr>
          <w:p w:rsidR="00D06738" w:rsidRPr="00FF6B9A" w:rsidRDefault="00454D20">
            <w:pPr>
              <w:widowControl/>
              <w:jc w:val="center"/>
              <w:rPr>
                <w:b/>
                <w:bCs/>
                <w:color w:val="000000"/>
                <w:kern w:val="0"/>
              </w:rPr>
            </w:pPr>
            <w:r w:rsidRPr="00FF6B9A">
              <w:rPr>
                <w:color w:val="000000"/>
                <w:kern w:val="0"/>
              </w:rPr>
              <w:t>期初份额</w:t>
            </w:r>
          </w:p>
        </w:tc>
        <w:tc>
          <w:tcPr>
            <w:tcW w:w="850" w:type="dxa"/>
            <w:vAlign w:val="center"/>
          </w:tcPr>
          <w:p w:rsidR="00D06738" w:rsidRPr="00FF6B9A" w:rsidRDefault="00454D20">
            <w:pPr>
              <w:widowControl/>
              <w:jc w:val="center"/>
              <w:rPr>
                <w:b/>
                <w:bCs/>
                <w:color w:val="000000"/>
                <w:kern w:val="0"/>
              </w:rPr>
            </w:pPr>
            <w:r w:rsidRPr="00FF6B9A">
              <w:rPr>
                <w:color w:val="000000"/>
                <w:kern w:val="0"/>
              </w:rPr>
              <w:t>申购份额</w:t>
            </w:r>
          </w:p>
        </w:tc>
        <w:tc>
          <w:tcPr>
            <w:tcW w:w="1134" w:type="dxa"/>
            <w:vAlign w:val="center"/>
          </w:tcPr>
          <w:p w:rsidR="00D06738" w:rsidRPr="00FF6B9A" w:rsidRDefault="00454D20">
            <w:pPr>
              <w:widowControl/>
              <w:jc w:val="center"/>
              <w:rPr>
                <w:b/>
                <w:bCs/>
                <w:color w:val="000000"/>
                <w:kern w:val="0"/>
              </w:rPr>
            </w:pPr>
            <w:r w:rsidRPr="00FF6B9A">
              <w:rPr>
                <w:color w:val="000000"/>
                <w:kern w:val="0"/>
              </w:rPr>
              <w:t>赎回份额</w:t>
            </w:r>
          </w:p>
        </w:tc>
        <w:tc>
          <w:tcPr>
            <w:tcW w:w="1419"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持有份额</w:t>
            </w:r>
          </w:p>
        </w:tc>
        <w:tc>
          <w:tcPr>
            <w:tcW w:w="1130" w:type="dxa"/>
            <w:vAlign w:val="center"/>
          </w:tcPr>
          <w:p w:rsidR="00D06738" w:rsidRPr="00FF6B9A" w:rsidRDefault="00454D20">
            <w:pPr>
              <w:autoSpaceDE w:val="0"/>
              <w:autoSpaceDN w:val="0"/>
              <w:adjustRightInd w:val="0"/>
              <w:jc w:val="center"/>
              <w:rPr>
                <w:b/>
                <w:bCs/>
                <w:color w:val="000000"/>
                <w:kern w:val="0"/>
              </w:rPr>
            </w:pPr>
            <w:r w:rsidRPr="00FF6B9A">
              <w:rPr>
                <w:color w:val="000000"/>
                <w:kern w:val="0"/>
              </w:rPr>
              <w:t>份额占比</w:t>
            </w:r>
          </w:p>
        </w:tc>
      </w:tr>
      <w:tr w:rsidR="0057611C">
        <w:tc>
          <w:tcPr>
            <w:tcW w:w="993" w:type="dxa"/>
            <w:vMerge w:val="restart"/>
            <w:vAlign w:val="center"/>
          </w:tcPr>
          <w:p w:rsidR="0057611C" w:rsidRDefault="00ED217C">
            <w:r>
              <w:rPr>
                <w:bCs/>
                <w:color w:val="000000"/>
                <w:kern w:val="0"/>
              </w:rPr>
              <w:t>机构</w:t>
            </w:r>
          </w:p>
        </w:tc>
        <w:tc>
          <w:tcPr>
            <w:tcW w:w="992" w:type="dxa"/>
            <w:vAlign w:val="center"/>
          </w:tcPr>
          <w:p w:rsidR="0057611C" w:rsidRDefault="00ED217C">
            <w:pPr>
              <w:jc w:val="center"/>
            </w:pPr>
            <w:r>
              <w:rPr>
                <w:color w:val="000000"/>
                <w:kern w:val="0"/>
              </w:rPr>
              <w:t>1</w:t>
            </w:r>
          </w:p>
        </w:tc>
        <w:tc>
          <w:tcPr>
            <w:tcW w:w="1843" w:type="dxa"/>
            <w:vAlign w:val="center"/>
          </w:tcPr>
          <w:p w:rsidR="0057611C" w:rsidRDefault="00ED217C">
            <w:pPr>
              <w:jc w:val="center"/>
            </w:pPr>
            <w:r>
              <w:rPr>
                <w:color w:val="000000"/>
                <w:kern w:val="0"/>
              </w:rPr>
              <w:t>20240101-20240331</w:t>
            </w:r>
          </w:p>
        </w:tc>
        <w:tc>
          <w:tcPr>
            <w:tcW w:w="851" w:type="dxa"/>
            <w:vAlign w:val="center"/>
          </w:tcPr>
          <w:p w:rsidR="0057611C" w:rsidRDefault="00ED217C">
            <w:pPr>
              <w:jc w:val="center"/>
            </w:pPr>
            <w:r>
              <w:rPr>
                <w:color w:val="000000"/>
                <w:kern w:val="0"/>
              </w:rPr>
              <w:t>60,010,500.00</w:t>
            </w:r>
          </w:p>
        </w:tc>
        <w:tc>
          <w:tcPr>
            <w:tcW w:w="850" w:type="dxa"/>
            <w:vAlign w:val="center"/>
          </w:tcPr>
          <w:p w:rsidR="0057611C" w:rsidRDefault="00ED217C">
            <w:pPr>
              <w:jc w:val="center"/>
            </w:pPr>
            <w:r>
              <w:rPr>
                <w:color w:val="000000"/>
                <w:kern w:val="0"/>
              </w:rPr>
              <w:t>0.00</w:t>
            </w:r>
          </w:p>
        </w:tc>
        <w:tc>
          <w:tcPr>
            <w:tcW w:w="1134" w:type="dxa"/>
            <w:vAlign w:val="center"/>
          </w:tcPr>
          <w:p w:rsidR="0057611C" w:rsidRDefault="00ED217C">
            <w:pPr>
              <w:jc w:val="center"/>
            </w:pPr>
            <w:r>
              <w:rPr>
                <w:color w:val="000000"/>
                <w:kern w:val="0"/>
              </w:rPr>
              <w:t>0.00</w:t>
            </w:r>
          </w:p>
        </w:tc>
        <w:tc>
          <w:tcPr>
            <w:tcW w:w="1419" w:type="dxa"/>
            <w:vAlign w:val="center"/>
          </w:tcPr>
          <w:p w:rsidR="0057611C" w:rsidRDefault="00ED217C">
            <w:pPr>
              <w:jc w:val="center"/>
            </w:pPr>
            <w:r>
              <w:rPr>
                <w:color w:val="000000"/>
                <w:kern w:val="0"/>
              </w:rPr>
              <w:t>60,010,500.00</w:t>
            </w:r>
          </w:p>
        </w:tc>
        <w:tc>
          <w:tcPr>
            <w:tcW w:w="1130" w:type="dxa"/>
            <w:vAlign w:val="center"/>
          </w:tcPr>
          <w:p w:rsidR="0057611C" w:rsidRDefault="00ED217C">
            <w:pPr>
              <w:jc w:val="center"/>
            </w:pPr>
            <w:r>
              <w:rPr>
                <w:color w:val="000000"/>
                <w:kern w:val="0"/>
              </w:rPr>
              <w:t>38.74%</w:t>
            </w:r>
          </w:p>
        </w:tc>
      </w:tr>
      <w:tr w:rsidR="00D06738" w:rsidRPr="00FF6B9A">
        <w:tc>
          <w:tcPr>
            <w:tcW w:w="9212" w:type="dxa"/>
            <w:gridSpan w:val="8"/>
            <w:vAlign w:val="center"/>
          </w:tcPr>
          <w:p w:rsidR="00D06738" w:rsidRPr="00FF6B9A" w:rsidRDefault="00454D20">
            <w:pPr>
              <w:autoSpaceDE w:val="0"/>
              <w:autoSpaceDN w:val="0"/>
              <w:adjustRightInd w:val="0"/>
              <w:jc w:val="center"/>
              <w:rPr>
                <w:kern w:val="0"/>
              </w:rPr>
            </w:pPr>
            <w:r w:rsidRPr="00FF6B9A">
              <w:rPr>
                <w:color w:val="000000"/>
                <w:kern w:val="0"/>
              </w:rPr>
              <w:t>产品特有风险</w:t>
            </w:r>
          </w:p>
        </w:tc>
      </w:tr>
      <w:tr w:rsidR="00D06738" w:rsidRPr="00FF6B9A">
        <w:tc>
          <w:tcPr>
            <w:tcW w:w="9212" w:type="dxa"/>
            <w:gridSpan w:val="8"/>
            <w:vAlign w:val="center"/>
          </w:tcPr>
          <w:p w:rsidR="00D06738" w:rsidRPr="00FF6B9A" w:rsidRDefault="00454D20">
            <w:pPr>
              <w:autoSpaceDE w:val="0"/>
              <w:autoSpaceDN w:val="0"/>
              <w:adjustRightInd w:val="0"/>
              <w:jc w:val="left"/>
              <w:rPr>
                <w:kern w:val="0"/>
              </w:rPr>
            </w:pPr>
            <w:r w:rsidRPr="00FF6B9A">
              <w:rPr>
                <w:kern w:val="0"/>
              </w:rPr>
              <w:t>本基金的集中度风险主要体现在有单一投资者持有基金份额比例达到或者超过</w:t>
            </w:r>
            <w:r w:rsidRPr="00FF6B9A">
              <w:rPr>
                <w:kern w:val="0"/>
              </w:rPr>
              <w:t>20%</w:t>
            </w:r>
            <w:r w:rsidRPr="00FF6B9A">
              <w:rPr>
                <w:kern w:val="0"/>
              </w:rPr>
              <w:t>，如果投资者发生大额赎回，可能出现基金可变现资产无法满足投资者赎回需要以及因为资产变现成本过高导致投资者的利益受到损害的风险。</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§9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9.1 </w:t>
      </w:r>
      <w:r w:rsidRPr="00FF6B9A">
        <w:rPr>
          <w:rFonts w:eastAsiaTheme="minorEastAsia"/>
          <w:b/>
          <w:bCs/>
          <w:color w:val="000000" w:themeColor="text1"/>
          <w:kern w:val="0"/>
          <w:sz w:val="24"/>
          <w:szCs w:val="24"/>
        </w:rPr>
        <w:t>备查文件目录</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中国证监会准予本基金募集注册的文件</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摩根鑫睿优选一年持有期混合型证券投资基金基金合同</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摩根鑫睿优选一年持有期混合型证券投资基金托管协议</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57611C" w:rsidRDefault="00ED217C">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9.3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二〇二四年四月二十二日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03" w:rsidRDefault="00376E03">
      <w:r>
        <w:separator/>
      </w:r>
    </w:p>
  </w:endnote>
  <w:endnote w:type="continuationSeparator" w:id="0">
    <w:p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9F1838" w:rsidRPr="009F1838">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9F1838">
      <w:rPr>
        <w:rStyle w:val="aff"/>
        <w:noProof/>
      </w:rPr>
      <w:t>13</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03" w:rsidRDefault="00376E03">
      <w:r>
        <w:separator/>
      </w:r>
    </w:p>
  </w:footnote>
  <w:footnote w:type="continuationSeparator" w:id="0">
    <w:p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摩根鑫睿优选一年持有期混合型证券投资基金</w:t>
    </w:r>
    <w:r>
      <w:rPr>
        <w:rFonts w:hint="eastAsia"/>
      </w:rPr>
      <w:t>2024</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1C"/>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1838"/>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217C"/>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675E4-2A0B-4865-966A-D7B3644A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271</cp:revision>
  <dcterms:created xsi:type="dcterms:W3CDTF">2012-10-16T06:07:00Z</dcterms:created>
  <dcterms:modified xsi:type="dcterms:W3CDTF">2024-04-19T05:44:00Z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