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摩根均衡优选混合型证券投资基金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基金托管人：招商银行股份有限公司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摩根均衡优选混合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013091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685,460,802.59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在严格的风险控制的前提下，采用定性与定量的分析，自上而下进行宏观分析和行业配置，自下而上精选个股，力争实现基金资产的长期增值。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资产配置策略</w:t>
            </w:r>
            <w:r>
              <w:rPr>
                <w:rFonts w:eastAsiaTheme="minorEastAsia"/>
                <w:color w:val="000000" w:themeColor="text1"/>
                <w:kern w:val="0"/>
                <w:szCs w:val="21"/>
              </w:rPr>
              <w:t xml:space="preserve"> </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w:t>
            </w:r>
            <w:r>
              <w:rPr>
                <w:rFonts w:eastAsiaTheme="minorEastAsia"/>
                <w:color w:val="000000" w:themeColor="text1"/>
                <w:kern w:val="0"/>
                <w:szCs w:val="21"/>
              </w:rPr>
              <w:lastRenderedPageBreak/>
              <w:t>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股票投资策略</w:t>
            </w:r>
            <w:r>
              <w:rPr>
                <w:rFonts w:eastAsiaTheme="minorEastAsia"/>
                <w:color w:val="000000" w:themeColor="text1"/>
                <w:kern w:val="0"/>
                <w:szCs w:val="21"/>
              </w:rPr>
              <w:t xml:space="preserve"> </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w:t>
            </w:r>
            <w:r>
              <w:rPr>
                <w:rFonts w:eastAsiaTheme="minorEastAsia"/>
                <w:color w:val="000000" w:themeColor="text1"/>
                <w:kern w:val="0"/>
                <w:szCs w:val="21"/>
              </w:rPr>
              <w:t>中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港股投资策略</w:t>
            </w:r>
            <w:r>
              <w:rPr>
                <w:rFonts w:eastAsiaTheme="minorEastAsia"/>
                <w:color w:val="000000" w:themeColor="text1"/>
                <w:kern w:val="0"/>
                <w:szCs w:val="21"/>
              </w:rPr>
              <w:t xml:space="preserve"> </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w:t>
            </w:r>
            <w:r>
              <w:rPr>
                <w:rFonts w:eastAsiaTheme="minorEastAsia"/>
                <w:color w:val="000000" w:themeColor="text1"/>
                <w:kern w:val="0"/>
                <w:szCs w:val="21"/>
              </w:rPr>
              <w:t>的稀缺行业和标的，与</w:t>
            </w:r>
            <w:r>
              <w:rPr>
                <w:rFonts w:eastAsiaTheme="minorEastAsia"/>
                <w:color w:val="000000" w:themeColor="text1"/>
                <w:kern w:val="0"/>
                <w:szCs w:val="21"/>
              </w:rPr>
              <w:t xml:space="preserve"> A </w:t>
            </w:r>
            <w:r>
              <w:rPr>
                <w:rFonts w:eastAsiaTheme="minorEastAsia"/>
                <w:color w:val="000000" w:themeColor="text1"/>
                <w:kern w:val="0"/>
                <w:szCs w:val="21"/>
              </w:rPr>
              <w:t>股形成互补。本基金将通过自下而上方法挖掘优质个股，结合各项定量和定性指标挑选出最具上涨潜力的标的。</w:t>
            </w:r>
            <w:r>
              <w:rPr>
                <w:rFonts w:eastAsiaTheme="minorEastAsia"/>
                <w:color w:val="000000" w:themeColor="text1"/>
                <w:kern w:val="0"/>
                <w:szCs w:val="21"/>
              </w:rPr>
              <w:t xml:space="preserve"> </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债券投资策略</w:t>
            </w:r>
            <w:r>
              <w:rPr>
                <w:rFonts w:eastAsiaTheme="minorEastAsia"/>
                <w:color w:val="000000" w:themeColor="text1"/>
                <w:kern w:val="0"/>
                <w:szCs w:val="21"/>
              </w:rPr>
              <w:t xml:space="preserve"> </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w:t>
            </w:r>
            <w:r>
              <w:rPr>
                <w:rFonts w:eastAsiaTheme="minorEastAsia"/>
                <w:color w:val="000000" w:themeColor="text1"/>
                <w:kern w:val="0"/>
                <w:szCs w:val="21"/>
              </w:rPr>
              <w:lastRenderedPageBreak/>
              <w:t>管理，并根据对债券收益率曲线形态、息差变化的预测，对债券组合进行动态调整。其中对于可转换债券</w:t>
            </w:r>
            <w:r>
              <w:rPr>
                <w:rFonts w:eastAsiaTheme="minorEastAsia"/>
                <w:color w:val="000000" w:themeColor="text1"/>
                <w:kern w:val="0"/>
                <w:szCs w:val="21"/>
              </w:rPr>
              <w:t>(</w:t>
            </w:r>
            <w:r>
              <w:rPr>
                <w:rFonts w:eastAsiaTheme="minorEastAsia"/>
                <w:color w:val="000000" w:themeColor="text1"/>
                <w:kern w:val="0"/>
                <w:szCs w:val="21"/>
              </w:rPr>
              <w:t>含可分离交易可转债</w:t>
            </w:r>
            <w:r>
              <w:rPr>
                <w:rFonts w:eastAsiaTheme="minorEastAsia"/>
                <w:color w:val="000000" w:themeColor="text1"/>
                <w:kern w:val="0"/>
                <w:szCs w:val="21"/>
              </w:rPr>
              <w:t>)</w:t>
            </w:r>
            <w:r>
              <w:rPr>
                <w:rFonts w:eastAsiaTheme="minorEastAsia"/>
                <w:color w:val="000000" w:themeColor="text1"/>
                <w:kern w:val="0"/>
                <w:szCs w:val="21"/>
              </w:rPr>
              <w:t>，考虑到其兼具权益类证券与固定收益类证券的特性，具有抵御下行风险、分享股票价格上涨收益的特点。对于可转债的选择将结合其债性和股性特征，在对公司基本面和转债条款深入研究的基础上进行估值分析，投资于公司基本面优良、具有较高安全边际和良好流动性的可转换债券，获取稳健的投资回报。</w:t>
            </w:r>
          </w:p>
          <w:p w:rsidR="00006E47" w:rsidRDefault="00FB29F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w:t>
            </w:r>
            <w:r>
              <w:rPr>
                <w:rFonts w:eastAsiaTheme="minorEastAsia"/>
                <w:color w:val="000000" w:themeColor="text1"/>
                <w:kern w:val="0"/>
                <w:szCs w:val="21"/>
              </w:rPr>
              <w:tab/>
            </w:r>
            <w:r>
              <w:rPr>
                <w:rFonts w:eastAsiaTheme="minorEastAsia"/>
                <w:color w:val="000000" w:themeColor="text1"/>
                <w:kern w:val="0"/>
                <w:szCs w:val="21"/>
              </w:rPr>
              <w:t>其他投资策略</w:t>
            </w:r>
            <w:r>
              <w:rPr>
                <w:rFonts w:eastAsiaTheme="minorEastAsia"/>
                <w:color w:val="000000" w:themeColor="text1"/>
                <w:kern w:val="0"/>
                <w:szCs w:val="21"/>
              </w:rPr>
              <w:t xml:space="preserve"> </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高于债券型基金和货币市场基金，低于股票型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招商银行股份有限公司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013092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630,800,601.04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54,660,201.55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-12,560,421.26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-1,118,265.91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15,364,296.96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1,250,608.65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0.0239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420,017,499.75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35,851,477.31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0.6658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0.6559</w:t>
            </w:r>
          </w:p>
        </w:tc>
      </w:tr>
    </w:tbl>
    <w:p w:rsidR="00006E47" w:rsidRDefault="00FB29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06E47">
        <w:tc>
          <w:tcPr>
            <w:tcW w:w="1290" w:type="dxa"/>
            <w:vAlign w:val="center"/>
          </w:tcPr>
          <w:p w:rsidR="00006E47" w:rsidRDefault="00FB29F1">
            <w:pPr>
              <w:jc w:val="left"/>
            </w:pPr>
            <w:r>
              <w:rPr>
                <w:rFonts w:eastAsiaTheme="minorEastAsia"/>
                <w:color w:val="000000" w:themeColor="text1"/>
                <w:szCs w:val="21"/>
              </w:rPr>
              <w:t>过去三个月</w:t>
            </w:r>
          </w:p>
        </w:tc>
        <w:tc>
          <w:tcPr>
            <w:tcW w:w="1291" w:type="dxa"/>
            <w:vAlign w:val="center"/>
          </w:tcPr>
          <w:p w:rsidR="00006E47" w:rsidRDefault="00FB29F1">
            <w:pPr>
              <w:jc w:val="right"/>
            </w:pPr>
            <w:r>
              <w:rPr>
                <w:rFonts w:eastAsiaTheme="minorEastAsia"/>
                <w:color w:val="000000" w:themeColor="text1"/>
                <w:szCs w:val="21"/>
              </w:rPr>
              <w:t>4.01%</w:t>
            </w:r>
          </w:p>
        </w:tc>
        <w:tc>
          <w:tcPr>
            <w:tcW w:w="1291" w:type="dxa"/>
            <w:vAlign w:val="center"/>
          </w:tcPr>
          <w:p w:rsidR="00006E47" w:rsidRDefault="00FB29F1">
            <w:pPr>
              <w:jc w:val="right"/>
            </w:pPr>
            <w:r>
              <w:rPr>
                <w:rFonts w:eastAsiaTheme="minorEastAsia"/>
                <w:color w:val="000000" w:themeColor="text1"/>
                <w:szCs w:val="21"/>
              </w:rPr>
              <w:t>1.29%</w:t>
            </w:r>
          </w:p>
        </w:tc>
        <w:tc>
          <w:tcPr>
            <w:tcW w:w="1291" w:type="dxa"/>
            <w:vAlign w:val="center"/>
          </w:tcPr>
          <w:p w:rsidR="00006E47" w:rsidRDefault="00FB29F1">
            <w:pPr>
              <w:jc w:val="right"/>
            </w:pPr>
            <w:r>
              <w:rPr>
                <w:rFonts w:eastAsiaTheme="minorEastAsia"/>
                <w:color w:val="000000" w:themeColor="text1"/>
                <w:szCs w:val="21"/>
              </w:rPr>
              <w:t>13.29%</w:t>
            </w:r>
          </w:p>
        </w:tc>
        <w:tc>
          <w:tcPr>
            <w:tcW w:w="1291" w:type="dxa"/>
            <w:vAlign w:val="center"/>
          </w:tcPr>
          <w:p w:rsidR="00006E47" w:rsidRDefault="00FB29F1">
            <w:pPr>
              <w:jc w:val="right"/>
            </w:pPr>
            <w:r>
              <w:rPr>
                <w:rFonts w:eastAsiaTheme="minorEastAsia"/>
                <w:color w:val="000000" w:themeColor="text1"/>
                <w:szCs w:val="21"/>
              </w:rPr>
              <w:t>1.29%</w:t>
            </w:r>
          </w:p>
        </w:tc>
        <w:tc>
          <w:tcPr>
            <w:tcW w:w="1291" w:type="dxa"/>
            <w:vAlign w:val="center"/>
          </w:tcPr>
          <w:p w:rsidR="00006E47" w:rsidRDefault="00FB29F1">
            <w:pPr>
              <w:jc w:val="right"/>
            </w:pPr>
            <w:r>
              <w:rPr>
                <w:rFonts w:eastAsiaTheme="minorEastAsia"/>
                <w:color w:val="000000" w:themeColor="text1"/>
                <w:szCs w:val="21"/>
              </w:rPr>
              <w:t>-9.28%</w:t>
            </w:r>
          </w:p>
        </w:tc>
        <w:tc>
          <w:tcPr>
            <w:tcW w:w="1291" w:type="dxa"/>
            <w:vAlign w:val="center"/>
          </w:tcPr>
          <w:p w:rsidR="00006E47" w:rsidRDefault="00FB29F1">
            <w:pPr>
              <w:jc w:val="right"/>
            </w:pPr>
            <w:r>
              <w:rPr>
                <w:rFonts w:eastAsiaTheme="minorEastAsia"/>
                <w:color w:val="000000" w:themeColor="text1"/>
                <w:szCs w:val="21"/>
              </w:rPr>
              <w:t>0.00%</w:t>
            </w:r>
          </w:p>
        </w:tc>
      </w:tr>
      <w:tr w:rsidR="00006E47">
        <w:tc>
          <w:tcPr>
            <w:tcW w:w="1290" w:type="dxa"/>
            <w:vAlign w:val="center"/>
          </w:tcPr>
          <w:p w:rsidR="00006E47" w:rsidRDefault="00FB29F1">
            <w:pPr>
              <w:jc w:val="left"/>
            </w:pPr>
            <w:r>
              <w:rPr>
                <w:rFonts w:eastAsiaTheme="minorEastAsia"/>
                <w:color w:val="000000" w:themeColor="text1"/>
                <w:szCs w:val="21"/>
              </w:rPr>
              <w:t>过去六个月</w:t>
            </w:r>
          </w:p>
        </w:tc>
        <w:tc>
          <w:tcPr>
            <w:tcW w:w="1291" w:type="dxa"/>
            <w:vAlign w:val="center"/>
          </w:tcPr>
          <w:p w:rsidR="00006E47" w:rsidRDefault="00FB29F1">
            <w:pPr>
              <w:jc w:val="right"/>
            </w:pPr>
            <w:r>
              <w:rPr>
                <w:rFonts w:eastAsiaTheme="minorEastAsia"/>
                <w:color w:val="000000" w:themeColor="text1"/>
                <w:szCs w:val="21"/>
              </w:rPr>
              <w:t>7.02%</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12.91%</w:t>
            </w:r>
          </w:p>
        </w:tc>
        <w:tc>
          <w:tcPr>
            <w:tcW w:w="1291" w:type="dxa"/>
            <w:vAlign w:val="center"/>
          </w:tcPr>
          <w:p w:rsidR="00006E47" w:rsidRDefault="00FB29F1">
            <w:pPr>
              <w:jc w:val="right"/>
            </w:pPr>
            <w:r>
              <w:rPr>
                <w:rFonts w:eastAsiaTheme="minorEastAsia"/>
                <w:color w:val="000000" w:themeColor="text1"/>
                <w:szCs w:val="21"/>
              </w:rPr>
              <w:t>1.04%</w:t>
            </w:r>
          </w:p>
        </w:tc>
        <w:tc>
          <w:tcPr>
            <w:tcW w:w="1291" w:type="dxa"/>
            <w:vAlign w:val="center"/>
          </w:tcPr>
          <w:p w:rsidR="00006E47" w:rsidRDefault="00FB29F1">
            <w:pPr>
              <w:jc w:val="right"/>
            </w:pPr>
            <w:r>
              <w:rPr>
                <w:rFonts w:eastAsiaTheme="minorEastAsia"/>
                <w:color w:val="000000" w:themeColor="text1"/>
                <w:szCs w:val="21"/>
              </w:rPr>
              <w:t>-5.89%</w:t>
            </w:r>
          </w:p>
        </w:tc>
        <w:tc>
          <w:tcPr>
            <w:tcW w:w="1291" w:type="dxa"/>
            <w:vAlign w:val="center"/>
          </w:tcPr>
          <w:p w:rsidR="00006E47" w:rsidRDefault="00FB29F1">
            <w:pPr>
              <w:jc w:val="right"/>
            </w:pPr>
            <w:r>
              <w:rPr>
                <w:rFonts w:eastAsiaTheme="minorEastAsia"/>
                <w:color w:val="000000" w:themeColor="text1"/>
                <w:szCs w:val="21"/>
              </w:rPr>
              <w:t>0.04%</w:t>
            </w:r>
          </w:p>
        </w:tc>
      </w:tr>
      <w:tr w:rsidR="00006E47">
        <w:tc>
          <w:tcPr>
            <w:tcW w:w="1290" w:type="dxa"/>
            <w:vAlign w:val="center"/>
          </w:tcPr>
          <w:p w:rsidR="00006E47" w:rsidRDefault="00FB29F1">
            <w:pPr>
              <w:jc w:val="left"/>
            </w:pPr>
            <w:r>
              <w:rPr>
                <w:rFonts w:eastAsiaTheme="minorEastAsia"/>
                <w:color w:val="000000" w:themeColor="text1"/>
                <w:szCs w:val="21"/>
              </w:rPr>
              <w:t>过去一年</w:t>
            </w:r>
          </w:p>
        </w:tc>
        <w:tc>
          <w:tcPr>
            <w:tcW w:w="1291" w:type="dxa"/>
            <w:vAlign w:val="center"/>
          </w:tcPr>
          <w:p w:rsidR="00006E47" w:rsidRDefault="00FB29F1">
            <w:pPr>
              <w:jc w:val="right"/>
            </w:pPr>
            <w:r>
              <w:rPr>
                <w:rFonts w:eastAsiaTheme="minorEastAsia"/>
                <w:color w:val="000000" w:themeColor="text1"/>
                <w:szCs w:val="21"/>
              </w:rPr>
              <w:t>6.63%</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7.76%</w:t>
            </w:r>
          </w:p>
        </w:tc>
        <w:tc>
          <w:tcPr>
            <w:tcW w:w="1291" w:type="dxa"/>
            <w:vAlign w:val="center"/>
          </w:tcPr>
          <w:p w:rsidR="00006E47" w:rsidRDefault="00FB29F1">
            <w:pPr>
              <w:jc w:val="right"/>
            </w:pPr>
            <w:r>
              <w:rPr>
                <w:rFonts w:eastAsiaTheme="minorEastAsia"/>
                <w:color w:val="000000" w:themeColor="text1"/>
                <w:szCs w:val="21"/>
              </w:rPr>
              <w:t>0.95%</w:t>
            </w:r>
          </w:p>
        </w:tc>
        <w:tc>
          <w:tcPr>
            <w:tcW w:w="1291" w:type="dxa"/>
            <w:vAlign w:val="center"/>
          </w:tcPr>
          <w:p w:rsidR="00006E47" w:rsidRDefault="00FB29F1">
            <w:pPr>
              <w:jc w:val="right"/>
            </w:pPr>
            <w:r>
              <w:rPr>
                <w:rFonts w:eastAsiaTheme="minorEastAsia"/>
                <w:color w:val="000000" w:themeColor="text1"/>
                <w:szCs w:val="21"/>
              </w:rPr>
              <w:t>-1.13%</w:t>
            </w:r>
          </w:p>
        </w:tc>
        <w:tc>
          <w:tcPr>
            <w:tcW w:w="1291" w:type="dxa"/>
            <w:vAlign w:val="center"/>
          </w:tcPr>
          <w:p w:rsidR="00006E47" w:rsidRDefault="00FB29F1">
            <w:pPr>
              <w:jc w:val="right"/>
            </w:pPr>
            <w:r>
              <w:rPr>
                <w:rFonts w:eastAsiaTheme="minorEastAsia"/>
                <w:color w:val="000000" w:themeColor="text1"/>
                <w:szCs w:val="21"/>
              </w:rPr>
              <w:t>0.13%</w:t>
            </w:r>
          </w:p>
        </w:tc>
      </w:tr>
      <w:tr w:rsidR="00006E47">
        <w:tc>
          <w:tcPr>
            <w:tcW w:w="1290" w:type="dxa"/>
            <w:vAlign w:val="center"/>
          </w:tcPr>
          <w:p w:rsidR="00006E47" w:rsidRDefault="00FB29F1">
            <w:pPr>
              <w:jc w:val="left"/>
            </w:pPr>
            <w:r>
              <w:rPr>
                <w:rFonts w:eastAsiaTheme="minorEastAsia"/>
                <w:color w:val="000000" w:themeColor="text1"/>
                <w:szCs w:val="21"/>
              </w:rPr>
              <w:t>过去三年</w:t>
            </w:r>
          </w:p>
        </w:tc>
        <w:tc>
          <w:tcPr>
            <w:tcW w:w="1291" w:type="dxa"/>
            <w:vAlign w:val="center"/>
          </w:tcPr>
          <w:p w:rsidR="00006E47" w:rsidRDefault="00FB29F1">
            <w:pPr>
              <w:jc w:val="right"/>
            </w:pPr>
            <w:r>
              <w:rPr>
                <w:rFonts w:eastAsiaTheme="minorEastAsia"/>
                <w:color w:val="000000" w:themeColor="text1"/>
                <w:szCs w:val="21"/>
              </w:rPr>
              <w:t>-33.44%</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-11.97%</w:t>
            </w:r>
          </w:p>
        </w:tc>
        <w:tc>
          <w:tcPr>
            <w:tcW w:w="1291" w:type="dxa"/>
            <w:vAlign w:val="center"/>
          </w:tcPr>
          <w:p w:rsidR="00006E47" w:rsidRDefault="00FB29F1">
            <w:pPr>
              <w:jc w:val="right"/>
            </w:pPr>
            <w:r>
              <w:rPr>
                <w:rFonts w:eastAsiaTheme="minorEastAsia"/>
                <w:color w:val="000000" w:themeColor="text1"/>
                <w:szCs w:val="21"/>
              </w:rPr>
              <w:t>0.93%</w:t>
            </w:r>
          </w:p>
        </w:tc>
        <w:tc>
          <w:tcPr>
            <w:tcW w:w="1291" w:type="dxa"/>
            <w:vAlign w:val="center"/>
          </w:tcPr>
          <w:p w:rsidR="00006E47" w:rsidRDefault="00FB29F1">
            <w:pPr>
              <w:jc w:val="right"/>
            </w:pPr>
            <w:r>
              <w:rPr>
                <w:rFonts w:eastAsiaTheme="minorEastAsia"/>
                <w:color w:val="000000" w:themeColor="text1"/>
                <w:szCs w:val="21"/>
              </w:rPr>
              <w:t>-21.47%</w:t>
            </w:r>
          </w:p>
        </w:tc>
        <w:tc>
          <w:tcPr>
            <w:tcW w:w="1291" w:type="dxa"/>
            <w:vAlign w:val="center"/>
          </w:tcPr>
          <w:p w:rsidR="00006E47" w:rsidRDefault="00FB29F1">
            <w:pPr>
              <w:jc w:val="right"/>
            </w:pPr>
            <w:r>
              <w:rPr>
                <w:rFonts w:eastAsiaTheme="minorEastAsia"/>
                <w:color w:val="000000" w:themeColor="text1"/>
                <w:szCs w:val="21"/>
              </w:rPr>
              <w:t>0.15%</w:t>
            </w:r>
          </w:p>
        </w:tc>
      </w:tr>
      <w:tr w:rsidR="00006E47">
        <w:tc>
          <w:tcPr>
            <w:tcW w:w="1290" w:type="dxa"/>
            <w:vAlign w:val="center"/>
          </w:tcPr>
          <w:p w:rsidR="00006E47" w:rsidRDefault="00FB29F1">
            <w:pPr>
              <w:jc w:val="left"/>
            </w:pPr>
            <w:r>
              <w:rPr>
                <w:rFonts w:eastAsiaTheme="minorEastAsia"/>
                <w:color w:val="000000" w:themeColor="text1"/>
                <w:szCs w:val="21"/>
              </w:rPr>
              <w:t>过去五年</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r>
      <w:tr w:rsidR="00006E47">
        <w:tc>
          <w:tcPr>
            <w:tcW w:w="1290" w:type="dxa"/>
            <w:vAlign w:val="center"/>
          </w:tcPr>
          <w:p w:rsidR="00006E47" w:rsidRDefault="00FB29F1">
            <w:pPr>
              <w:jc w:val="left"/>
            </w:pPr>
            <w:r>
              <w:rPr>
                <w:rFonts w:eastAsiaTheme="minorEastAsia"/>
                <w:color w:val="000000" w:themeColor="text1"/>
                <w:szCs w:val="21"/>
              </w:rPr>
              <w:t>自基金合同生效起至今</w:t>
            </w:r>
          </w:p>
        </w:tc>
        <w:tc>
          <w:tcPr>
            <w:tcW w:w="1291" w:type="dxa"/>
            <w:vAlign w:val="center"/>
          </w:tcPr>
          <w:p w:rsidR="00006E47" w:rsidRDefault="00FB29F1">
            <w:pPr>
              <w:jc w:val="right"/>
            </w:pPr>
            <w:r>
              <w:rPr>
                <w:rFonts w:eastAsiaTheme="minorEastAsia"/>
                <w:color w:val="000000" w:themeColor="text1"/>
                <w:szCs w:val="21"/>
              </w:rPr>
              <w:t>-33.42%</w:t>
            </w:r>
          </w:p>
        </w:tc>
        <w:tc>
          <w:tcPr>
            <w:tcW w:w="1291" w:type="dxa"/>
            <w:vAlign w:val="center"/>
          </w:tcPr>
          <w:p w:rsidR="00006E47" w:rsidRDefault="00FB29F1">
            <w:pPr>
              <w:jc w:val="right"/>
            </w:pPr>
            <w:r>
              <w:rPr>
                <w:rFonts w:eastAsiaTheme="minorEastAsia"/>
                <w:color w:val="000000" w:themeColor="text1"/>
                <w:szCs w:val="21"/>
              </w:rPr>
              <w:t>1.07%</w:t>
            </w:r>
          </w:p>
        </w:tc>
        <w:tc>
          <w:tcPr>
            <w:tcW w:w="1291" w:type="dxa"/>
            <w:vAlign w:val="center"/>
          </w:tcPr>
          <w:p w:rsidR="00006E47" w:rsidRDefault="00FB29F1">
            <w:pPr>
              <w:jc w:val="right"/>
            </w:pPr>
            <w:r>
              <w:rPr>
                <w:rFonts w:eastAsiaTheme="minorEastAsia"/>
                <w:color w:val="000000" w:themeColor="text1"/>
                <w:szCs w:val="21"/>
              </w:rPr>
              <w:t>-12.11%</w:t>
            </w:r>
          </w:p>
        </w:tc>
        <w:tc>
          <w:tcPr>
            <w:tcW w:w="1291" w:type="dxa"/>
            <w:vAlign w:val="center"/>
          </w:tcPr>
          <w:p w:rsidR="00006E47" w:rsidRDefault="00FB29F1">
            <w:pPr>
              <w:jc w:val="right"/>
            </w:pPr>
            <w:r>
              <w:rPr>
                <w:rFonts w:eastAsiaTheme="minorEastAsia"/>
                <w:color w:val="000000" w:themeColor="text1"/>
                <w:szCs w:val="21"/>
              </w:rPr>
              <w:t>0.93%</w:t>
            </w:r>
          </w:p>
        </w:tc>
        <w:tc>
          <w:tcPr>
            <w:tcW w:w="1291" w:type="dxa"/>
            <w:vAlign w:val="center"/>
          </w:tcPr>
          <w:p w:rsidR="00006E47" w:rsidRDefault="00FB29F1">
            <w:pPr>
              <w:jc w:val="right"/>
            </w:pPr>
            <w:r>
              <w:rPr>
                <w:rFonts w:eastAsiaTheme="minorEastAsia"/>
                <w:color w:val="000000" w:themeColor="text1"/>
                <w:szCs w:val="21"/>
              </w:rPr>
              <w:t>-21.31%</w:t>
            </w:r>
          </w:p>
        </w:tc>
        <w:tc>
          <w:tcPr>
            <w:tcW w:w="1291" w:type="dxa"/>
            <w:vAlign w:val="center"/>
          </w:tcPr>
          <w:p w:rsidR="00006E47" w:rsidRDefault="00FB29F1">
            <w:pPr>
              <w:jc w:val="right"/>
            </w:pPr>
            <w:r>
              <w:rPr>
                <w:rFonts w:eastAsiaTheme="minorEastAsia"/>
                <w:color w:val="000000" w:themeColor="text1"/>
                <w:szCs w:val="21"/>
              </w:rPr>
              <w:t>0.14%</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摩根均衡优选混合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06E47">
        <w:tc>
          <w:tcPr>
            <w:tcW w:w="1290" w:type="dxa"/>
            <w:vAlign w:val="center"/>
          </w:tcPr>
          <w:p w:rsidR="00006E47" w:rsidRDefault="00FB29F1">
            <w:pPr>
              <w:jc w:val="left"/>
            </w:pPr>
            <w:r>
              <w:rPr>
                <w:rFonts w:eastAsiaTheme="minorEastAsia"/>
                <w:color w:val="000000" w:themeColor="text1"/>
                <w:szCs w:val="21"/>
              </w:rPr>
              <w:t>过去三个月</w:t>
            </w:r>
          </w:p>
        </w:tc>
        <w:tc>
          <w:tcPr>
            <w:tcW w:w="1291" w:type="dxa"/>
            <w:vAlign w:val="center"/>
          </w:tcPr>
          <w:p w:rsidR="00006E47" w:rsidRDefault="00FB29F1">
            <w:pPr>
              <w:jc w:val="right"/>
            </w:pPr>
            <w:r>
              <w:rPr>
                <w:rFonts w:eastAsiaTheme="minorEastAsia"/>
                <w:color w:val="000000" w:themeColor="text1"/>
                <w:szCs w:val="21"/>
              </w:rPr>
              <w:t>3.88%</w:t>
            </w:r>
          </w:p>
        </w:tc>
        <w:tc>
          <w:tcPr>
            <w:tcW w:w="1291" w:type="dxa"/>
            <w:vAlign w:val="center"/>
          </w:tcPr>
          <w:p w:rsidR="00006E47" w:rsidRDefault="00FB29F1">
            <w:pPr>
              <w:jc w:val="right"/>
            </w:pPr>
            <w:r>
              <w:rPr>
                <w:rFonts w:eastAsiaTheme="minorEastAsia"/>
                <w:color w:val="000000" w:themeColor="text1"/>
                <w:szCs w:val="21"/>
              </w:rPr>
              <w:t>1.29%</w:t>
            </w:r>
          </w:p>
        </w:tc>
        <w:tc>
          <w:tcPr>
            <w:tcW w:w="1291" w:type="dxa"/>
            <w:vAlign w:val="center"/>
          </w:tcPr>
          <w:p w:rsidR="00006E47" w:rsidRDefault="00FB29F1">
            <w:pPr>
              <w:jc w:val="right"/>
            </w:pPr>
            <w:r>
              <w:rPr>
                <w:rFonts w:eastAsiaTheme="minorEastAsia"/>
                <w:color w:val="000000" w:themeColor="text1"/>
                <w:szCs w:val="21"/>
              </w:rPr>
              <w:t>13.29%</w:t>
            </w:r>
          </w:p>
        </w:tc>
        <w:tc>
          <w:tcPr>
            <w:tcW w:w="1291" w:type="dxa"/>
            <w:vAlign w:val="center"/>
          </w:tcPr>
          <w:p w:rsidR="00006E47" w:rsidRDefault="00FB29F1">
            <w:pPr>
              <w:jc w:val="right"/>
            </w:pPr>
            <w:r>
              <w:rPr>
                <w:rFonts w:eastAsiaTheme="minorEastAsia"/>
                <w:color w:val="000000" w:themeColor="text1"/>
                <w:szCs w:val="21"/>
              </w:rPr>
              <w:t>1.29%</w:t>
            </w:r>
          </w:p>
        </w:tc>
        <w:tc>
          <w:tcPr>
            <w:tcW w:w="1291" w:type="dxa"/>
            <w:vAlign w:val="center"/>
          </w:tcPr>
          <w:p w:rsidR="00006E47" w:rsidRDefault="00FB29F1">
            <w:pPr>
              <w:jc w:val="right"/>
            </w:pPr>
            <w:r>
              <w:rPr>
                <w:rFonts w:eastAsiaTheme="minorEastAsia"/>
                <w:color w:val="000000" w:themeColor="text1"/>
                <w:szCs w:val="21"/>
              </w:rPr>
              <w:t>-9.41%</w:t>
            </w:r>
          </w:p>
        </w:tc>
        <w:tc>
          <w:tcPr>
            <w:tcW w:w="1291" w:type="dxa"/>
            <w:vAlign w:val="center"/>
          </w:tcPr>
          <w:p w:rsidR="00006E47" w:rsidRDefault="00FB29F1">
            <w:pPr>
              <w:jc w:val="right"/>
            </w:pPr>
            <w:r>
              <w:rPr>
                <w:rFonts w:eastAsiaTheme="minorEastAsia"/>
                <w:color w:val="000000" w:themeColor="text1"/>
                <w:szCs w:val="21"/>
              </w:rPr>
              <w:t>0.00%</w:t>
            </w:r>
          </w:p>
        </w:tc>
      </w:tr>
      <w:tr w:rsidR="00006E47">
        <w:tc>
          <w:tcPr>
            <w:tcW w:w="1290" w:type="dxa"/>
            <w:vAlign w:val="center"/>
          </w:tcPr>
          <w:p w:rsidR="00006E47" w:rsidRDefault="00FB29F1">
            <w:pPr>
              <w:jc w:val="left"/>
            </w:pPr>
            <w:r>
              <w:rPr>
                <w:rFonts w:eastAsiaTheme="minorEastAsia"/>
                <w:color w:val="000000" w:themeColor="text1"/>
                <w:szCs w:val="21"/>
              </w:rPr>
              <w:t>过去六个月</w:t>
            </w:r>
          </w:p>
        </w:tc>
        <w:tc>
          <w:tcPr>
            <w:tcW w:w="1291" w:type="dxa"/>
            <w:vAlign w:val="center"/>
          </w:tcPr>
          <w:p w:rsidR="00006E47" w:rsidRDefault="00FB29F1">
            <w:pPr>
              <w:jc w:val="right"/>
            </w:pPr>
            <w:r>
              <w:rPr>
                <w:rFonts w:eastAsiaTheme="minorEastAsia"/>
                <w:color w:val="000000" w:themeColor="text1"/>
                <w:szCs w:val="21"/>
              </w:rPr>
              <w:t>6.77%</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12.91%</w:t>
            </w:r>
          </w:p>
        </w:tc>
        <w:tc>
          <w:tcPr>
            <w:tcW w:w="1291" w:type="dxa"/>
            <w:vAlign w:val="center"/>
          </w:tcPr>
          <w:p w:rsidR="00006E47" w:rsidRDefault="00FB29F1">
            <w:pPr>
              <w:jc w:val="right"/>
            </w:pPr>
            <w:r>
              <w:rPr>
                <w:rFonts w:eastAsiaTheme="minorEastAsia"/>
                <w:color w:val="000000" w:themeColor="text1"/>
                <w:szCs w:val="21"/>
              </w:rPr>
              <w:t>1.04%</w:t>
            </w:r>
          </w:p>
        </w:tc>
        <w:tc>
          <w:tcPr>
            <w:tcW w:w="1291" w:type="dxa"/>
            <w:vAlign w:val="center"/>
          </w:tcPr>
          <w:p w:rsidR="00006E47" w:rsidRDefault="00FB29F1">
            <w:pPr>
              <w:jc w:val="right"/>
            </w:pPr>
            <w:r>
              <w:rPr>
                <w:rFonts w:eastAsiaTheme="minorEastAsia"/>
                <w:color w:val="000000" w:themeColor="text1"/>
                <w:szCs w:val="21"/>
              </w:rPr>
              <w:t>-6.14%</w:t>
            </w:r>
          </w:p>
        </w:tc>
        <w:tc>
          <w:tcPr>
            <w:tcW w:w="1291" w:type="dxa"/>
            <w:vAlign w:val="center"/>
          </w:tcPr>
          <w:p w:rsidR="00006E47" w:rsidRDefault="00FB29F1">
            <w:pPr>
              <w:jc w:val="right"/>
            </w:pPr>
            <w:r>
              <w:rPr>
                <w:rFonts w:eastAsiaTheme="minorEastAsia"/>
                <w:color w:val="000000" w:themeColor="text1"/>
                <w:szCs w:val="21"/>
              </w:rPr>
              <w:t>0.04%</w:t>
            </w:r>
          </w:p>
        </w:tc>
      </w:tr>
      <w:tr w:rsidR="00006E47">
        <w:tc>
          <w:tcPr>
            <w:tcW w:w="1290" w:type="dxa"/>
            <w:vAlign w:val="center"/>
          </w:tcPr>
          <w:p w:rsidR="00006E47" w:rsidRDefault="00FB29F1">
            <w:pPr>
              <w:jc w:val="left"/>
            </w:pPr>
            <w:r>
              <w:rPr>
                <w:rFonts w:eastAsiaTheme="minorEastAsia"/>
                <w:color w:val="000000" w:themeColor="text1"/>
                <w:szCs w:val="21"/>
              </w:rPr>
              <w:lastRenderedPageBreak/>
              <w:t>过去一年</w:t>
            </w:r>
          </w:p>
        </w:tc>
        <w:tc>
          <w:tcPr>
            <w:tcW w:w="1291" w:type="dxa"/>
            <w:vAlign w:val="center"/>
          </w:tcPr>
          <w:p w:rsidR="00006E47" w:rsidRDefault="00FB29F1">
            <w:pPr>
              <w:jc w:val="right"/>
            </w:pPr>
            <w:r>
              <w:rPr>
                <w:rFonts w:eastAsiaTheme="minorEastAsia"/>
                <w:color w:val="000000" w:themeColor="text1"/>
                <w:szCs w:val="21"/>
              </w:rPr>
              <w:t>6.12%</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7.76%</w:t>
            </w:r>
          </w:p>
        </w:tc>
        <w:tc>
          <w:tcPr>
            <w:tcW w:w="1291" w:type="dxa"/>
            <w:vAlign w:val="center"/>
          </w:tcPr>
          <w:p w:rsidR="00006E47" w:rsidRDefault="00FB29F1">
            <w:pPr>
              <w:jc w:val="right"/>
            </w:pPr>
            <w:r>
              <w:rPr>
                <w:rFonts w:eastAsiaTheme="minorEastAsia"/>
                <w:color w:val="000000" w:themeColor="text1"/>
                <w:szCs w:val="21"/>
              </w:rPr>
              <w:t>0.95%</w:t>
            </w:r>
          </w:p>
        </w:tc>
        <w:tc>
          <w:tcPr>
            <w:tcW w:w="1291" w:type="dxa"/>
            <w:vAlign w:val="center"/>
          </w:tcPr>
          <w:p w:rsidR="00006E47" w:rsidRDefault="00FB29F1">
            <w:pPr>
              <w:jc w:val="right"/>
            </w:pPr>
            <w:r>
              <w:rPr>
                <w:rFonts w:eastAsiaTheme="minorEastAsia"/>
                <w:color w:val="000000" w:themeColor="text1"/>
                <w:szCs w:val="21"/>
              </w:rPr>
              <w:t>-1.64%</w:t>
            </w:r>
          </w:p>
        </w:tc>
        <w:tc>
          <w:tcPr>
            <w:tcW w:w="1291" w:type="dxa"/>
            <w:vAlign w:val="center"/>
          </w:tcPr>
          <w:p w:rsidR="00006E47" w:rsidRDefault="00FB29F1">
            <w:pPr>
              <w:jc w:val="right"/>
            </w:pPr>
            <w:r>
              <w:rPr>
                <w:rFonts w:eastAsiaTheme="minorEastAsia"/>
                <w:color w:val="000000" w:themeColor="text1"/>
                <w:szCs w:val="21"/>
              </w:rPr>
              <w:t>0.13%</w:t>
            </w:r>
          </w:p>
        </w:tc>
      </w:tr>
      <w:tr w:rsidR="00006E47">
        <w:tc>
          <w:tcPr>
            <w:tcW w:w="1290" w:type="dxa"/>
            <w:vAlign w:val="center"/>
          </w:tcPr>
          <w:p w:rsidR="00006E47" w:rsidRDefault="00FB29F1">
            <w:pPr>
              <w:jc w:val="left"/>
            </w:pPr>
            <w:r>
              <w:rPr>
                <w:rFonts w:eastAsiaTheme="minorEastAsia"/>
                <w:color w:val="000000" w:themeColor="text1"/>
                <w:szCs w:val="21"/>
              </w:rPr>
              <w:t>过去三年</w:t>
            </w:r>
          </w:p>
        </w:tc>
        <w:tc>
          <w:tcPr>
            <w:tcW w:w="1291" w:type="dxa"/>
            <w:vAlign w:val="center"/>
          </w:tcPr>
          <w:p w:rsidR="00006E47" w:rsidRDefault="00FB29F1">
            <w:pPr>
              <w:jc w:val="right"/>
            </w:pPr>
            <w:r>
              <w:rPr>
                <w:rFonts w:eastAsiaTheme="minorEastAsia"/>
                <w:color w:val="000000" w:themeColor="text1"/>
                <w:szCs w:val="21"/>
              </w:rPr>
              <w:t>-34.42%</w:t>
            </w:r>
          </w:p>
        </w:tc>
        <w:tc>
          <w:tcPr>
            <w:tcW w:w="1291" w:type="dxa"/>
            <w:vAlign w:val="center"/>
          </w:tcPr>
          <w:p w:rsidR="00006E47" w:rsidRDefault="00FB29F1">
            <w:pPr>
              <w:jc w:val="right"/>
            </w:pPr>
            <w:r>
              <w:rPr>
                <w:rFonts w:eastAsiaTheme="minorEastAsia"/>
                <w:color w:val="000000" w:themeColor="text1"/>
                <w:szCs w:val="21"/>
              </w:rPr>
              <w:t>1.08%</w:t>
            </w:r>
          </w:p>
        </w:tc>
        <w:tc>
          <w:tcPr>
            <w:tcW w:w="1291" w:type="dxa"/>
            <w:vAlign w:val="center"/>
          </w:tcPr>
          <w:p w:rsidR="00006E47" w:rsidRDefault="00FB29F1">
            <w:pPr>
              <w:jc w:val="right"/>
            </w:pPr>
            <w:r>
              <w:rPr>
                <w:rFonts w:eastAsiaTheme="minorEastAsia"/>
                <w:color w:val="000000" w:themeColor="text1"/>
                <w:szCs w:val="21"/>
              </w:rPr>
              <w:t>-11.97%</w:t>
            </w:r>
          </w:p>
        </w:tc>
        <w:tc>
          <w:tcPr>
            <w:tcW w:w="1291" w:type="dxa"/>
            <w:vAlign w:val="center"/>
          </w:tcPr>
          <w:p w:rsidR="00006E47" w:rsidRDefault="00FB29F1">
            <w:pPr>
              <w:jc w:val="right"/>
            </w:pPr>
            <w:r>
              <w:rPr>
                <w:rFonts w:eastAsiaTheme="minorEastAsia"/>
                <w:color w:val="000000" w:themeColor="text1"/>
                <w:szCs w:val="21"/>
              </w:rPr>
              <w:t>0.93%</w:t>
            </w:r>
          </w:p>
        </w:tc>
        <w:tc>
          <w:tcPr>
            <w:tcW w:w="1291" w:type="dxa"/>
            <w:vAlign w:val="center"/>
          </w:tcPr>
          <w:p w:rsidR="00006E47" w:rsidRDefault="00FB29F1">
            <w:pPr>
              <w:jc w:val="right"/>
            </w:pPr>
            <w:r>
              <w:rPr>
                <w:rFonts w:eastAsiaTheme="minorEastAsia"/>
                <w:color w:val="000000" w:themeColor="text1"/>
                <w:szCs w:val="21"/>
              </w:rPr>
              <w:t>-22.45%</w:t>
            </w:r>
          </w:p>
        </w:tc>
        <w:tc>
          <w:tcPr>
            <w:tcW w:w="1291" w:type="dxa"/>
            <w:vAlign w:val="center"/>
          </w:tcPr>
          <w:p w:rsidR="00006E47" w:rsidRDefault="00FB29F1">
            <w:pPr>
              <w:jc w:val="right"/>
            </w:pPr>
            <w:r>
              <w:rPr>
                <w:rFonts w:eastAsiaTheme="minorEastAsia"/>
                <w:color w:val="000000" w:themeColor="text1"/>
                <w:szCs w:val="21"/>
              </w:rPr>
              <w:t>0.15%</w:t>
            </w:r>
          </w:p>
        </w:tc>
      </w:tr>
      <w:tr w:rsidR="00006E47">
        <w:tc>
          <w:tcPr>
            <w:tcW w:w="1290" w:type="dxa"/>
            <w:vAlign w:val="center"/>
          </w:tcPr>
          <w:p w:rsidR="00006E47" w:rsidRDefault="00FB29F1">
            <w:pPr>
              <w:jc w:val="left"/>
            </w:pPr>
            <w:r>
              <w:rPr>
                <w:rFonts w:eastAsiaTheme="minorEastAsia"/>
                <w:color w:val="000000" w:themeColor="text1"/>
                <w:szCs w:val="21"/>
              </w:rPr>
              <w:t>过去五年</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c>
          <w:tcPr>
            <w:tcW w:w="1291" w:type="dxa"/>
            <w:vAlign w:val="center"/>
          </w:tcPr>
          <w:p w:rsidR="00006E47" w:rsidRDefault="00FB29F1">
            <w:pPr>
              <w:jc w:val="right"/>
            </w:pPr>
            <w:r>
              <w:rPr>
                <w:rFonts w:eastAsiaTheme="minorEastAsia"/>
                <w:color w:val="000000" w:themeColor="text1"/>
                <w:szCs w:val="21"/>
              </w:rPr>
              <w:t>-</w:t>
            </w:r>
          </w:p>
        </w:tc>
      </w:tr>
      <w:tr w:rsidR="00006E47">
        <w:tc>
          <w:tcPr>
            <w:tcW w:w="1290" w:type="dxa"/>
            <w:vAlign w:val="center"/>
          </w:tcPr>
          <w:p w:rsidR="00006E47" w:rsidRDefault="00FB29F1">
            <w:pPr>
              <w:jc w:val="left"/>
            </w:pPr>
            <w:r>
              <w:rPr>
                <w:rFonts w:eastAsiaTheme="minorEastAsia"/>
                <w:color w:val="000000" w:themeColor="text1"/>
                <w:szCs w:val="21"/>
              </w:rPr>
              <w:t>自基金合同生效起至今</w:t>
            </w:r>
          </w:p>
        </w:tc>
        <w:tc>
          <w:tcPr>
            <w:tcW w:w="1291" w:type="dxa"/>
            <w:vAlign w:val="center"/>
          </w:tcPr>
          <w:p w:rsidR="00006E47" w:rsidRDefault="00FB29F1">
            <w:pPr>
              <w:jc w:val="right"/>
            </w:pPr>
            <w:r>
              <w:rPr>
                <w:rFonts w:eastAsiaTheme="minorEastAsia"/>
                <w:color w:val="000000" w:themeColor="text1"/>
                <w:szCs w:val="21"/>
              </w:rPr>
              <w:t>-34.41%</w:t>
            </w:r>
          </w:p>
        </w:tc>
        <w:tc>
          <w:tcPr>
            <w:tcW w:w="1291" w:type="dxa"/>
            <w:vAlign w:val="center"/>
          </w:tcPr>
          <w:p w:rsidR="00006E47" w:rsidRDefault="00FB29F1">
            <w:pPr>
              <w:jc w:val="right"/>
            </w:pPr>
            <w:r>
              <w:rPr>
                <w:rFonts w:eastAsiaTheme="minorEastAsia"/>
                <w:color w:val="000000" w:themeColor="text1"/>
                <w:szCs w:val="21"/>
              </w:rPr>
              <w:t>1.07%</w:t>
            </w:r>
          </w:p>
        </w:tc>
        <w:tc>
          <w:tcPr>
            <w:tcW w:w="1291" w:type="dxa"/>
            <w:vAlign w:val="center"/>
          </w:tcPr>
          <w:p w:rsidR="00006E47" w:rsidRDefault="00FB29F1">
            <w:pPr>
              <w:jc w:val="right"/>
            </w:pPr>
            <w:r>
              <w:rPr>
                <w:rFonts w:eastAsiaTheme="minorEastAsia"/>
                <w:color w:val="000000" w:themeColor="text1"/>
                <w:szCs w:val="21"/>
              </w:rPr>
              <w:t>-12.11%</w:t>
            </w:r>
          </w:p>
        </w:tc>
        <w:tc>
          <w:tcPr>
            <w:tcW w:w="1291" w:type="dxa"/>
            <w:vAlign w:val="center"/>
          </w:tcPr>
          <w:p w:rsidR="00006E47" w:rsidRDefault="00FB29F1">
            <w:pPr>
              <w:jc w:val="right"/>
            </w:pPr>
            <w:r>
              <w:rPr>
                <w:rFonts w:eastAsiaTheme="minorEastAsia"/>
                <w:color w:val="000000" w:themeColor="text1"/>
                <w:szCs w:val="21"/>
              </w:rPr>
              <w:t>0.93%</w:t>
            </w:r>
          </w:p>
        </w:tc>
        <w:tc>
          <w:tcPr>
            <w:tcW w:w="1291" w:type="dxa"/>
            <w:vAlign w:val="center"/>
          </w:tcPr>
          <w:p w:rsidR="00006E47" w:rsidRDefault="00FB29F1">
            <w:pPr>
              <w:jc w:val="right"/>
            </w:pPr>
            <w:r>
              <w:rPr>
                <w:rFonts w:eastAsiaTheme="minorEastAsia"/>
                <w:color w:val="000000" w:themeColor="text1"/>
                <w:szCs w:val="21"/>
              </w:rPr>
              <w:t>-22.30%</w:t>
            </w:r>
          </w:p>
        </w:tc>
        <w:tc>
          <w:tcPr>
            <w:tcW w:w="1291" w:type="dxa"/>
            <w:vAlign w:val="center"/>
          </w:tcPr>
          <w:p w:rsidR="00006E47" w:rsidRDefault="00FB29F1">
            <w:pPr>
              <w:jc w:val="right"/>
            </w:pPr>
            <w:r>
              <w:rPr>
                <w:rFonts w:eastAsiaTheme="minorEastAsia"/>
                <w:color w:val="000000" w:themeColor="text1"/>
                <w:szCs w:val="21"/>
              </w:rPr>
              <w:t>0.14%</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摩根均衡优选混合型证券投资基金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．摩根均衡优选混合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．摩根均衡优选混合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06E47">
        <w:tc>
          <w:tcPr>
            <w:tcW w:w="952" w:type="dxa"/>
            <w:vAlign w:val="center"/>
          </w:tcPr>
          <w:p w:rsidR="00006E47" w:rsidRDefault="00FB29F1">
            <w:pPr>
              <w:jc w:val="center"/>
            </w:pPr>
            <w:r>
              <w:rPr>
                <w:rFonts w:eastAsiaTheme="minorEastAsia"/>
                <w:color w:val="000000" w:themeColor="text1"/>
                <w:szCs w:val="21"/>
              </w:rPr>
              <w:t>倪权生</w:t>
            </w:r>
          </w:p>
        </w:tc>
        <w:tc>
          <w:tcPr>
            <w:tcW w:w="930" w:type="dxa"/>
            <w:vAlign w:val="center"/>
          </w:tcPr>
          <w:p w:rsidR="00006E47" w:rsidRDefault="00FB29F1">
            <w:pPr>
              <w:jc w:val="center"/>
            </w:pPr>
            <w:r>
              <w:rPr>
                <w:rFonts w:eastAsiaTheme="minorEastAsia"/>
                <w:color w:val="000000" w:themeColor="text1"/>
                <w:szCs w:val="21"/>
              </w:rPr>
              <w:t>本基金基金经理</w:t>
            </w:r>
          </w:p>
        </w:tc>
        <w:tc>
          <w:tcPr>
            <w:tcW w:w="1210" w:type="dxa"/>
            <w:vAlign w:val="center"/>
          </w:tcPr>
          <w:p w:rsidR="00006E47" w:rsidRDefault="00FB29F1">
            <w:pPr>
              <w:jc w:val="center"/>
            </w:pPr>
            <w:r>
              <w:rPr>
                <w:rFonts w:eastAsiaTheme="minorEastAsia"/>
                <w:color w:val="000000" w:themeColor="text1"/>
                <w:szCs w:val="21"/>
              </w:rPr>
              <w:t>2021-09-27</w:t>
            </w:r>
          </w:p>
        </w:tc>
        <w:tc>
          <w:tcPr>
            <w:tcW w:w="1309" w:type="dxa"/>
            <w:vAlign w:val="center"/>
          </w:tcPr>
          <w:p w:rsidR="00006E47" w:rsidRDefault="00FB29F1">
            <w:pPr>
              <w:jc w:val="center"/>
            </w:pPr>
            <w:r>
              <w:rPr>
                <w:rFonts w:eastAsiaTheme="minorEastAsia"/>
                <w:color w:val="000000" w:themeColor="text1"/>
                <w:szCs w:val="21"/>
              </w:rPr>
              <w:t>-</w:t>
            </w:r>
          </w:p>
        </w:tc>
        <w:tc>
          <w:tcPr>
            <w:tcW w:w="1254" w:type="dxa"/>
            <w:vAlign w:val="center"/>
          </w:tcPr>
          <w:p w:rsidR="00006E47" w:rsidRDefault="00FB29F1">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006E47" w:rsidRDefault="00FB29F1">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006E47" w:rsidRDefault="00FB29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006E47" w:rsidRDefault="00FB29F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倪权生先生为本基金首任基金经理，其任职日期指本基金基金合同生效之日。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w:t>
      </w:r>
      <w:r>
        <w:rPr>
          <w:rFonts w:eastAsiaTheme="minorEastAsia"/>
          <w:color w:val="000000" w:themeColor="text1"/>
          <w:szCs w:val="21"/>
        </w:rPr>
        <w:t>行交易执行和监控分析，以确保本公司管理的不同投资组合在授权、研究分析、投资决策、交易执行、业绩评估等投资管理活动相关的环节均得到公平对待。</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三季度市场出现较为明显的反转，一方面，各部门提振实体经济和股市的政策持续推出，对于市场信心有了明显提振。另一方面，经过前期的下跌，股票市场的估值已经处于历史低位，无</w:t>
      </w:r>
      <w:r>
        <w:rPr>
          <w:rFonts w:eastAsiaTheme="minorEastAsia"/>
          <w:color w:val="000000" w:themeColor="text1"/>
          <w:szCs w:val="21"/>
        </w:rPr>
        <w:lastRenderedPageBreak/>
        <w:t>论是和历史比较还是和海外市场比较，</w:t>
      </w:r>
      <w:r>
        <w:rPr>
          <w:rFonts w:eastAsiaTheme="minorEastAsia"/>
          <w:color w:val="000000" w:themeColor="text1"/>
          <w:szCs w:val="21"/>
        </w:rPr>
        <w:t>A</w:t>
      </w:r>
      <w:r>
        <w:rPr>
          <w:rFonts w:eastAsiaTheme="minorEastAsia"/>
          <w:color w:val="000000" w:themeColor="text1"/>
          <w:szCs w:val="21"/>
        </w:rPr>
        <w:t>股和港股市场均有显著的估值优势。在经济、金融政策的推动下，三季度末市场止跌回涨，且涨幅较大。</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我们在布局业绩确定性高的板块的同时，逐步增加估值低位，性价比较高的龙头个股。行业角度来讲，电力设备及新能源仍是组合重配，一部分是今年以来持续配置的电网设备，这部分资产内需和出口均有较好需求，另一部分是锂电</w:t>
      </w:r>
      <w:r>
        <w:rPr>
          <w:rFonts w:eastAsiaTheme="minorEastAsia"/>
          <w:color w:val="000000" w:themeColor="text1"/>
          <w:szCs w:val="21"/>
        </w:rPr>
        <w:t>池、储能等领域的新能源龙头，随着估值的消化，这些龙头公司的估值已经极具性价比。而港股的互联网龙头估值也处于较低位置，随着的经济需求预期的改善，这类资产的估值有望修复。消费电子也是三季度组合增加配置的领域，随着内外需筑底企稳，未来在</w:t>
      </w:r>
      <w:r>
        <w:rPr>
          <w:rFonts w:eastAsiaTheme="minorEastAsia"/>
          <w:color w:val="000000" w:themeColor="text1"/>
          <w:szCs w:val="21"/>
        </w:rPr>
        <w:t>AI</w:t>
      </w:r>
      <w:r>
        <w:rPr>
          <w:rFonts w:eastAsiaTheme="minorEastAsia"/>
          <w:color w:val="000000" w:themeColor="text1"/>
          <w:szCs w:val="21"/>
        </w:rPr>
        <w:t>等创新技术的引入下，消费电子的需求有望抬升，行业内股票的估值又处于较低位置。光模块为代表的算力和造船为代表的机械也是组合内持续保持的配置，看好这些领域在未来一段时间景气度的持续上行。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尽管短期宏观基本面仍显疲软，但随着货币、财政、产业政策等各项政策的陆续推出，股票市场有望提前于经济基本面表现。而从组合管理的角度来说，我们仍然重点基于上市公司的价值判断进行配置，结合对上市公司未来盈利、现金流、资产质量以及估值的角度寻找更有性价比的资产。</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本报告期摩根均衡优选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:4.01%</w:t>
      </w:r>
      <w:r>
        <w:rPr>
          <w:rFonts w:eastAsiaTheme="minorEastAsia"/>
          <w:color w:val="000000" w:themeColor="text1"/>
          <w:szCs w:val="21"/>
        </w:rPr>
        <w:t>，同期业绩比较基准收益率为</w:t>
      </w:r>
      <w:r>
        <w:rPr>
          <w:rFonts w:eastAsiaTheme="minorEastAsia"/>
          <w:color w:val="000000" w:themeColor="text1"/>
          <w:szCs w:val="21"/>
        </w:rPr>
        <w:t>:13.29%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摩根均衡优选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:3.88%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:13.29%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392,939,273.67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392,939,273.67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85.13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65,118,802.55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14.11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3,518,983.68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461,577,059.90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49,820,836.0</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10.93%</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5,788,790.00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279,923,126.19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61.40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9,878,717.48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3,632,454.00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17,821,147.20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3.91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26,074,202.80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343,118,437.67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75.27</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006E47" w:rsidRDefault="00FB29F1">
            <w:pPr>
              <w:jc w:val="center"/>
            </w:pPr>
            <w:r>
              <w:rPr>
                <w:rFonts w:eastAsiaTheme="minorEastAsia"/>
                <w:color w:val="000000" w:themeColor="text1"/>
                <w:szCs w:val="21"/>
              </w:rPr>
              <w:t>2,105,460.00</w:t>
            </w:r>
          </w:p>
        </w:tc>
        <w:tc>
          <w:tcPr>
            <w:tcW w:w="3118" w:type="dxa"/>
            <w:vAlign w:val="center"/>
          </w:tcPr>
          <w:p w:rsidR="00006E47" w:rsidRDefault="00FB29F1">
            <w:pPr>
              <w:jc w:val="center"/>
            </w:pPr>
            <w:r>
              <w:rPr>
                <w:rFonts w:eastAsiaTheme="minorEastAsia"/>
                <w:color w:val="000000" w:themeColor="text1"/>
                <w:szCs w:val="21"/>
              </w:rPr>
              <w:t>0.46</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006E47" w:rsidRDefault="00FB29F1">
            <w:pPr>
              <w:jc w:val="center"/>
            </w:pPr>
            <w:r>
              <w:rPr>
                <w:rFonts w:eastAsiaTheme="minorEastAsia"/>
                <w:color w:val="000000" w:themeColor="text1"/>
                <w:szCs w:val="21"/>
              </w:rPr>
              <w:t>13,181,958.00</w:t>
            </w:r>
          </w:p>
        </w:tc>
        <w:tc>
          <w:tcPr>
            <w:tcW w:w="3118" w:type="dxa"/>
            <w:vAlign w:val="center"/>
          </w:tcPr>
          <w:p w:rsidR="00006E47" w:rsidRDefault="00FB29F1">
            <w:pPr>
              <w:jc w:val="center"/>
            </w:pPr>
            <w:r>
              <w:rPr>
                <w:rFonts w:eastAsiaTheme="minorEastAsia"/>
                <w:color w:val="000000" w:themeColor="text1"/>
                <w:szCs w:val="21"/>
              </w:rPr>
              <w:t>2.89</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006E47" w:rsidRDefault="00FB29F1">
            <w:pPr>
              <w:jc w:val="center"/>
            </w:pPr>
            <w:r>
              <w:rPr>
                <w:rFonts w:eastAsiaTheme="minorEastAsia"/>
                <w:color w:val="000000" w:themeColor="text1"/>
                <w:szCs w:val="21"/>
              </w:rPr>
              <w:t>7,112,250.00</w:t>
            </w:r>
          </w:p>
        </w:tc>
        <w:tc>
          <w:tcPr>
            <w:tcW w:w="3118" w:type="dxa"/>
            <w:vAlign w:val="center"/>
          </w:tcPr>
          <w:p w:rsidR="00006E47" w:rsidRDefault="00FB29F1">
            <w:pPr>
              <w:jc w:val="center"/>
            </w:pPr>
            <w:r>
              <w:rPr>
                <w:rFonts w:eastAsiaTheme="minorEastAsia"/>
                <w:color w:val="000000" w:themeColor="text1"/>
                <w:szCs w:val="21"/>
              </w:rPr>
              <w:t>1.56</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006E47" w:rsidRDefault="00FB29F1">
            <w:pPr>
              <w:jc w:val="center"/>
            </w:pPr>
            <w:r>
              <w:rPr>
                <w:rFonts w:eastAsiaTheme="minorEastAsia"/>
                <w:color w:val="000000" w:themeColor="text1"/>
                <w:szCs w:val="21"/>
              </w:rPr>
              <w:t>27,421,168.00</w:t>
            </w:r>
          </w:p>
        </w:tc>
        <w:tc>
          <w:tcPr>
            <w:tcW w:w="3118" w:type="dxa"/>
            <w:vAlign w:val="center"/>
          </w:tcPr>
          <w:p w:rsidR="00006E47" w:rsidRDefault="00FB29F1">
            <w:pPr>
              <w:jc w:val="center"/>
            </w:pPr>
            <w:r>
              <w:rPr>
                <w:rFonts w:eastAsiaTheme="minorEastAsia"/>
                <w:color w:val="000000" w:themeColor="text1"/>
                <w:szCs w:val="21"/>
              </w:rPr>
              <w:t>6.02</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006E47">
        <w:trPr>
          <w:jc w:val="center"/>
        </w:trPr>
        <w:tc>
          <w:tcPr>
            <w:tcW w:w="2397" w:type="dxa"/>
            <w:vAlign w:val="center"/>
          </w:tcPr>
          <w:p w:rsidR="00006E47" w:rsidRDefault="00FB29F1">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006E47" w:rsidRDefault="00FB29F1">
            <w:pPr>
              <w:jc w:val="center"/>
            </w:pPr>
            <w:r>
              <w:rPr>
                <w:rFonts w:eastAsiaTheme="minorEastAsia"/>
                <w:color w:val="000000" w:themeColor="text1"/>
                <w:szCs w:val="21"/>
              </w:rPr>
              <w:t>-</w:t>
            </w:r>
          </w:p>
        </w:tc>
        <w:tc>
          <w:tcPr>
            <w:tcW w:w="3118" w:type="dxa"/>
            <w:vAlign w:val="center"/>
          </w:tcPr>
          <w:p w:rsidR="00006E47" w:rsidRDefault="00FB29F1">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49,820,836.00</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10.93</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06E47">
        <w:tc>
          <w:tcPr>
            <w:tcW w:w="817" w:type="dxa"/>
            <w:vAlign w:val="center"/>
          </w:tcPr>
          <w:p w:rsidR="00006E47" w:rsidRDefault="00FB29F1">
            <w:pPr>
              <w:jc w:val="center"/>
            </w:pPr>
            <w:r>
              <w:rPr>
                <w:rFonts w:eastAsiaTheme="minorEastAsia"/>
                <w:kern w:val="0"/>
                <w:szCs w:val="21"/>
              </w:rPr>
              <w:t>1</w:t>
            </w:r>
          </w:p>
        </w:tc>
        <w:tc>
          <w:tcPr>
            <w:tcW w:w="1276" w:type="dxa"/>
            <w:vAlign w:val="center"/>
          </w:tcPr>
          <w:p w:rsidR="00006E47" w:rsidRDefault="00FB29F1">
            <w:pPr>
              <w:jc w:val="center"/>
            </w:pPr>
            <w:r>
              <w:rPr>
                <w:rFonts w:eastAsiaTheme="minorEastAsia"/>
                <w:kern w:val="0"/>
                <w:szCs w:val="21"/>
              </w:rPr>
              <w:t>300750</w:t>
            </w:r>
          </w:p>
        </w:tc>
        <w:tc>
          <w:tcPr>
            <w:tcW w:w="1701" w:type="dxa"/>
            <w:vAlign w:val="center"/>
          </w:tcPr>
          <w:p w:rsidR="00006E47" w:rsidRDefault="00FB29F1">
            <w:pPr>
              <w:jc w:val="center"/>
            </w:pPr>
            <w:r>
              <w:rPr>
                <w:rFonts w:eastAsiaTheme="minorEastAsia"/>
                <w:kern w:val="0"/>
                <w:szCs w:val="21"/>
              </w:rPr>
              <w:t>宁德时代</w:t>
            </w:r>
          </w:p>
        </w:tc>
        <w:tc>
          <w:tcPr>
            <w:tcW w:w="1276" w:type="dxa"/>
            <w:vAlign w:val="center"/>
          </w:tcPr>
          <w:p w:rsidR="00006E47" w:rsidRDefault="00FB29F1">
            <w:pPr>
              <w:jc w:val="right"/>
            </w:pPr>
            <w:r>
              <w:rPr>
                <w:rFonts w:eastAsiaTheme="minorEastAsia"/>
                <w:kern w:val="0"/>
                <w:szCs w:val="21"/>
              </w:rPr>
              <w:t>96,800.00</w:t>
            </w:r>
          </w:p>
        </w:tc>
        <w:tc>
          <w:tcPr>
            <w:tcW w:w="1842" w:type="dxa"/>
            <w:vAlign w:val="center"/>
          </w:tcPr>
          <w:p w:rsidR="00006E47" w:rsidRDefault="00FB29F1">
            <w:pPr>
              <w:jc w:val="right"/>
            </w:pPr>
            <w:r>
              <w:rPr>
                <w:rFonts w:eastAsiaTheme="minorEastAsia"/>
                <w:kern w:val="0"/>
                <w:szCs w:val="21"/>
              </w:rPr>
              <w:t>24,382,952.00</w:t>
            </w:r>
          </w:p>
        </w:tc>
        <w:tc>
          <w:tcPr>
            <w:tcW w:w="1616" w:type="dxa"/>
            <w:vAlign w:val="center"/>
          </w:tcPr>
          <w:p w:rsidR="00006E47" w:rsidRDefault="00FB29F1">
            <w:pPr>
              <w:jc w:val="right"/>
            </w:pPr>
            <w:r>
              <w:rPr>
                <w:rFonts w:eastAsiaTheme="minorEastAsia"/>
                <w:kern w:val="0"/>
                <w:szCs w:val="21"/>
              </w:rPr>
              <w:t>5.35</w:t>
            </w:r>
          </w:p>
        </w:tc>
      </w:tr>
      <w:tr w:rsidR="00006E47">
        <w:tc>
          <w:tcPr>
            <w:tcW w:w="817" w:type="dxa"/>
            <w:vAlign w:val="center"/>
          </w:tcPr>
          <w:p w:rsidR="00006E47" w:rsidRDefault="00FB29F1">
            <w:pPr>
              <w:jc w:val="center"/>
            </w:pPr>
            <w:r>
              <w:rPr>
                <w:rFonts w:eastAsiaTheme="minorEastAsia"/>
                <w:kern w:val="0"/>
                <w:szCs w:val="21"/>
              </w:rPr>
              <w:t>2</w:t>
            </w:r>
          </w:p>
        </w:tc>
        <w:tc>
          <w:tcPr>
            <w:tcW w:w="1276" w:type="dxa"/>
            <w:vAlign w:val="center"/>
          </w:tcPr>
          <w:p w:rsidR="00006E47" w:rsidRDefault="00FB29F1">
            <w:pPr>
              <w:jc w:val="center"/>
            </w:pPr>
            <w:r>
              <w:rPr>
                <w:rFonts w:eastAsiaTheme="minorEastAsia"/>
                <w:kern w:val="0"/>
                <w:szCs w:val="21"/>
              </w:rPr>
              <w:t>300274</w:t>
            </w:r>
          </w:p>
        </w:tc>
        <w:tc>
          <w:tcPr>
            <w:tcW w:w="1701" w:type="dxa"/>
            <w:vAlign w:val="center"/>
          </w:tcPr>
          <w:p w:rsidR="00006E47" w:rsidRDefault="00FB29F1">
            <w:pPr>
              <w:jc w:val="center"/>
            </w:pPr>
            <w:r>
              <w:rPr>
                <w:rFonts w:eastAsiaTheme="minorEastAsia"/>
                <w:kern w:val="0"/>
                <w:szCs w:val="21"/>
              </w:rPr>
              <w:t>阳光电源</w:t>
            </w:r>
          </w:p>
        </w:tc>
        <w:tc>
          <w:tcPr>
            <w:tcW w:w="1276" w:type="dxa"/>
            <w:vAlign w:val="center"/>
          </w:tcPr>
          <w:p w:rsidR="00006E47" w:rsidRDefault="00FB29F1">
            <w:pPr>
              <w:jc w:val="right"/>
            </w:pPr>
            <w:r>
              <w:rPr>
                <w:rFonts w:eastAsiaTheme="minorEastAsia"/>
                <w:kern w:val="0"/>
                <w:szCs w:val="21"/>
              </w:rPr>
              <w:t>166,500.00</w:t>
            </w:r>
          </w:p>
        </w:tc>
        <w:tc>
          <w:tcPr>
            <w:tcW w:w="1842" w:type="dxa"/>
            <w:vAlign w:val="center"/>
          </w:tcPr>
          <w:p w:rsidR="00006E47" w:rsidRDefault="00FB29F1">
            <w:pPr>
              <w:jc w:val="right"/>
            </w:pPr>
            <w:r>
              <w:rPr>
                <w:rFonts w:eastAsiaTheme="minorEastAsia"/>
                <w:kern w:val="0"/>
                <w:szCs w:val="21"/>
              </w:rPr>
              <w:t>16,580,070.00</w:t>
            </w:r>
          </w:p>
        </w:tc>
        <w:tc>
          <w:tcPr>
            <w:tcW w:w="1616" w:type="dxa"/>
            <w:vAlign w:val="center"/>
          </w:tcPr>
          <w:p w:rsidR="00006E47" w:rsidRDefault="00FB29F1">
            <w:pPr>
              <w:jc w:val="right"/>
            </w:pPr>
            <w:r>
              <w:rPr>
                <w:rFonts w:eastAsiaTheme="minorEastAsia"/>
                <w:kern w:val="0"/>
                <w:szCs w:val="21"/>
              </w:rPr>
              <w:t>3.64</w:t>
            </w:r>
          </w:p>
        </w:tc>
      </w:tr>
      <w:tr w:rsidR="00006E47">
        <w:tc>
          <w:tcPr>
            <w:tcW w:w="817" w:type="dxa"/>
            <w:vAlign w:val="center"/>
          </w:tcPr>
          <w:p w:rsidR="00006E47" w:rsidRDefault="00FB29F1">
            <w:pPr>
              <w:jc w:val="center"/>
            </w:pPr>
            <w:r>
              <w:rPr>
                <w:rFonts w:eastAsiaTheme="minorEastAsia"/>
                <w:kern w:val="0"/>
                <w:szCs w:val="21"/>
              </w:rPr>
              <w:t>3</w:t>
            </w:r>
          </w:p>
        </w:tc>
        <w:tc>
          <w:tcPr>
            <w:tcW w:w="1276" w:type="dxa"/>
            <w:vAlign w:val="center"/>
          </w:tcPr>
          <w:p w:rsidR="00006E47" w:rsidRDefault="00FB29F1">
            <w:pPr>
              <w:jc w:val="center"/>
            </w:pPr>
            <w:r>
              <w:rPr>
                <w:rFonts w:eastAsiaTheme="minorEastAsia"/>
                <w:kern w:val="0"/>
                <w:szCs w:val="21"/>
              </w:rPr>
              <w:t>000651</w:t>
            </w:r>
          </w:p>
        </w:tc>
        <w:tc>
          <w:tcPr>
            <w:tcW w:w="1701" w:type="dxa"/>
            <w:vAlign w:val="center"/>
          </w:tcPr>
          <w:p w:rsidR="00006E47" w:rsidRDefault="00FB29F1">
            <w:pPr>
              <w:jc w:val="center"/>
            </w:pPr>
            <w:r>
              <w:rPr>
                <w:rFonts w:eastAsiaTheme="minorEastAsia"/>
                <w:kern w:val="0"/>
                <w:szCs w:val="21"/>
              </w:rPr>
              <w:t>格力电器</w:t>
            </w:r>
          </w:p>
        </w:tc>
        <w:tc>
          <w:tcPr>
            <w:tcW w:w="1276" w:type="dxa"/>
            <w:vAlign w:val="center"/>
          </w:tcPr>
          <w:p w:rsidR="00006E47" w:rsidRDefault="00FB29F1">
            <w:pPr>
              <w:jc w:val="right"/>
            </w:pPr>
            <w:r>
              <w:rPr>
                <w:rFonts w:eastAsiaTheme="minorEastAsia"/>
                <w:kern w:val="0"/>
                <w:szCs w:val="21"/>
              </w:rPr>
              <w:t>286,965.00</w:t>
            </w:r>
          </w:p>
        </w:tc>
        <w:tc>
          <w:tcPr>
            <w:tcW w:w="1842" w:type="dxa"/>
            <w:vAlign w:val="center"/>
          </w:tcPr>
          <w:p w:rsidR="00006E47" w:rsidRDefault="00FB29F1">
            <w:pPr>
              <w:jc w:val="right"/>
            </w:pPr>
            <w:r>
              <w:rPr>
                <w:rFonts w:eastAsiaTheme="minorEastAsia"/>
                <w:kern w:val="0"/>
                <w:szCs w:val="21"/>
              </w:rPr>
              <w:t>13,757,102.10</w:t>
            </w:r>
          </w:p>
        </w:tc>
        <w:tc>
          <w:tcPr>
            <w:tcW w:w="1616" w:type="dxa"/>
            <w:vAlign w:val="center"/>
          </w:tcPr>
          <w:p w:rsidR="00006E47" w:rsidRDefault="00FB29F1">
            <w:pPr>
              <w:jc w:val="right"/>
            </w:pPr>
            <w:r>
              <w:rPr>
                <w:rFonts w:eastAsiaTheme="minorEastAsia"/>
                <w:kern w:val="0"/>
                <w:szCs w:val="21"/>
              </w:rPr>
              <w:t>3.02</w:t>
            </w:r>
          </w:p>
        </w:tc>
      </w:tr>
      <w:tr w:rsidR="00006E47">
        <w:tc>
          <w:tcPr>
            <w:tcW w:w="817" w:type="dxa"/>
            <w:vAlign w:val="center"/>
          </w:tcPr>
          <w:p w:rsidR="00006E47" w:rsidRDefault="00FB29F1">
            <w:pPr>
              <w:jc w:val="center"/>
            </w:pPr>
            <w:r>
              <w:rPr>
                <w:rFonts w:eastAsiaTheme="minorEastAsia"/>
                <w:kern w:val="0"/>
                <w:szCs w:val="21"/>
              </w:rPr>
              <w:t>4</w:t>
            </w:r>
          </w:p>
        </w:tc>
        <w:tc>
          <w:tcPr>
            <w:tcW w:w="1276" w:type="dxa"/>
            <w:vAlign w:val="center"/>
          </w:tcPr>
          <w:p w:rsidR="00006E47" w:rsidRDefault="00FB29F1">
            <w:pPr>
              <w:jc w:val="center"/>
            </w:pPr>
            <w:r>
              <w:rPr>
                <w:rFonts w:eastAsiaTheme="minorEastAsia"/>
                <w:kern w:val="0"/>
                <w:szCs w:val="21"/>
              </w:rPr>
              <w:t>002384</w:t>
            </w:r>
          </w:p>
        </w:tc>
        <w:tc>
          <w:tcPr>
            <w:tcW w:w="1701" w:type="dxa"/>
            <w:vAlign w:val="center"/>
          </w:tcPr>
          <w:p w:rsidR="00006E47" w:rsidRDefault="00FB29F1">
            <w:pPr>
              <w:jc w:val="center"/>
            </w:pPr>
            <w:r>
              <w:rPr>
                <w:rFonts w:eastAsiaTheme="minorEastAsia"/>
                <w:kern w:val="0"/>
                <w:szCs w:val="21"/>
              </w:rPr>
              <w:t>东山精密</w:t>
            </w:r>
          </w:p>
        </w:tc>
        <w:tc>
          <w:tcPr>
            <w:tcW w:w="1276" w:type="dxa"/>
            <w:vAlign w:val="center"/>
          </w:tcPr>
          <w:p w:rsidR="00006E47" w:rsidRDefault="00FB29F1">
            <w:pPr>
              <w:jc w:val="right"/>
            </w:pPr>
            <w:r>
              <w:rPr>
                <w:rFonts w:eastAsiaTheme="minorEastAsia"/>
                <w:kern w:val="0"/>
                <w:szCs w:val="21"/>
              </w:rPr>
              <w:t>556,000.00</w:t>
            </w:r>
          </w:p>
        </w:tc>
        <w:tc>
          <w:tcPr>
            <w:tcW w:w="1842" w:type="dxa"/>
            <w:vAlign w:val="center"/>
          </w:tcPr>
          <w:p w:rsidR="00006E47" w:rsidRDefault="00FB29F1">
            <w:pPr>
              <w:jc w:val="right"/>
            </w:pPr>
            <w:r>
              <w:rPr>
                <w:rFonts w:eastAsiaTheme="minorEastAsia"/>
                <w:kern w:val="0"/>
                <w:szCs w:val="21"/>
              </w:rPr>
              <w:t>13,088,240.00</w:t>
            </w:r>
          </w:p>
        </w:tc>
        <w:tc>
          <w:tcPr>
            <w:tcW w:w="1616" w:type="dxa"/>
            <w:vAlign w:val="center"/>
          </w:tcPr>
          <w:p w:rsidR="00006E47" w:rsidRDefault="00FB29F1">
            <w:pPr>
              <w:jc w:val="right"/>
            </w:pPr>
            <w:r>
              <w:rPr>
                <w:rFonts w:eastAsiaTheme="minorEastAsia"/>
                <w:kern w:val="0"/>
                <w:szCs w:val="21"/>
              </w:rPr>
              <w:t>2.87</w:t>
            </w:r>
          </w:p>
        </w:tc>
      </w:tr>
      <w:tr w:rsidR="00006E47">
        <w:tc>
          <w:tcPr>
            <w:tcW w:w="817" w:type="dxa"/>
            <w:vAlign w:val="center"/>
          </w:tcPr>
          <w:p w:rsidR="00006E47" w:rsidRDefault="00FB29F1">
            <w:pPr>
              <w:jc w:val="center"/>
            </w:pPr>
            <w:r>
              <w:rPr>
                <w:rFonts w:eastAsiaTheme="minorEastAsia"/>
                <w:kern w:val="0"/>
                <w:szCs w:val="21"/>
              </w:rPr>
              <w:t>5</w:t>
            </w:r>
          </w:p>
        </w:tc>
        <w:tc>
          <w:tcPr>
            <w:tcW w:w="1276" w:type="dxa"/>
            <w:vAlign w:val="center"/>
          </w:tcPr>
          <w:p w:rsidR="00006E47" w:rsidRDefault="00FB29F1">
            <w:pPr>
              <w:jc w:val="center"/>
            </w:pPr>
            <w:r>
              <w:rPr>
                <w:rFonts w:eastAsiaTheme="minorEastAsia"/>
                <w:kern w:val="0"/>
                <w:szCs w:val="21"/>
              </w:rPr>
              <w:t>300308</w:t>
            </w:r>
          </w:p>
        </w:tc>
        <w:tc>
          <w:tcPr>
            <w:tcW w:w="1701" w:type="dxa"/>
            <w:vAlign w:val="center"/>
          </w:tcPr>
          <w:p w:rsidR="00006E47" w:rsidRDefault="00FB29F1">
            <w:pPr>
              <w:jc w:val="center"/>
            </w:pPr>
            <w:r>
              <w:rPr>
                <w:rFonts w:eastAsiaTheme="minorEastAsia"/>
                <w:kern w:val="0"/>
                <w:szCs w:val="21"/>
              </w:rPr>
              <w:t>中际旭创</w:t>
            </w:r>
          </w:p>
        </w:tc>
        <w:tc>
          <w:tcPr>
            <w:tcW w:w="1276" w:type="dxa"/>
            <w:vAlign w:val="center"/>
          </w:tcPr>
          <w:p w:rsidR="00006E47" w:rsidRDefault="00FB29F1">
            <w:pPr>
              <w:jc w:val="right"/>
            </w:pPr>
            <w:r>
              <w:rPr>
                <w:rFonts w:eastAsiaTheme="minorEastAsia"/>
                <w:kern w:val="0"/>
                <w:szCs w:val="21"/>
              </w:rPr>
              <w:t>83,561.00</w:t>
            </w:r>
          </w:p>
        </w:tc>
        <w:tc>
          <w:tcPr>
            <w:tcW w:w="1842" w:type="dxa"/>
            <w:vAlign w:val="center"/>
          </w:tcPr>
          <w:p w:rsidR="00006E47" w:rsidRDefault="00FB29F1">
            <w:pPr>
              <w:jc w:val="right"/>
            </w:pPr>
            <w:r>
              <w:rPr>
                <w:rFonts w:eastAsiaTheme="minorEastAsia"/>
                <w:kern w:val="0"/>
                <w:szCs w:val="21"/>
              </w:rPr>
              <w:t>12,940,256.46</w:t>
            </w:r>
          </w:p>
        </w:tc>
        <w:tc>
          <w:tcPr>
            <w:tcW w:w="1616" w:type="dxa"/>
            <w:vAlign w:val="center"/>
          </w:tcPr>
          <w:p w:rsidR="00006E47" w:rsidRDefault="00FB29F1">
            <w:pPr>
              <w:jc w:val="right"/>
            </w:pPr>
            <w:r>
              <w:rPr>
                <w:rFonts w:eastAsiaTheme="minorEastAsia"/>
                <w:kern w:val="0"/>
                <w:szCs w:val="21"/>
              </w:rPr>
              <w:t>2.84</w:t>
            </w:r>
          </w:p>
        </w:tc>
      </w:tr>
      <w:tr w:rsidR="00006E47">
        <w:tc>
          <w:tcPr>
            <w:tcW w:w="817" w:type="dxa"/>
            <w:vAlign w:val="center"/>
          </w:tcPr>
          <w:p w:rsidR="00006E47" w:rsidRDefault="00FB29F1">
            <w:pPr>
              <w:jc w:val="center"/>
            </w:pPr>
            <w:r>
              <w:rPr>
                <w:rFonts w:eastAsiaTheme="minorEastAsia"/>
                <w:kern w:val="0"/>
                <w:szCs w:val="21"/>
              </w:rPr>
              <w:t>6</w:t>
            </w:r>
          </w:p>
        </w:tc>
        <w:tc>
          <w:tcPr>
            <w:tcW w:w="1276" w:type="dxa"/>
            <w:vAlign w:val="center"/>
          </w:tcPr>
          <w:p w:rsidR="00006E47" w:rsidRDefault="00FB29F1">
            <w:pPr>
              <w:jc w:val="center"/>
            </w:pPr>
            <w:r>
              <w:rPr>
                <w:rFonts w:eastAsiaTheme="minorEastAsia"/>
                <w:kern w:val="0"/>
                <w:szCs w:val="21"/>
              </w:rPr>
              <w:t>00941</w:t>
            </w:r>
          </w:p>
        </w:tc>
        <w:tc>
          <w:tcPr>
            <w:tcW w:w="1701" w:type="dxa"/>
            <w:vAlign w:val="center"/>
          </w:tcPr>
          <w:p w:rsidR="00006E47" w:rsidRDefault="00FB29F1">
            <w:pPr>
              <w:jc w:val="center"/>
            </w:pPr>
            <w:r>
              <w:rPr>
                <w:rFonts w:eastAsiaTheme="minorEastAsia"/>
                <w:kern w:val="0"/>
                <w:szCs w:val="21"/>
              </w:rPr>
              <w:t>中国移动</w:t>
            </w:r>
          </w:p>
        </w:tc>
        <w:tc>
          <w:tcPr>
            <w:tcW w:w="1276" w:type="dxa"/>
            <w:vAlign w:val="center"/>
          </w:tcPr>
          <w:p w:rsidR="00006E47" w:rsidRDefault="00FB29F1">
            <w:pPr>
              <w:jc w:val="right"/>
            </w:pPr>
            <w:r>
              <w:rPr>
                <w:rFonts w:eastAsiaTheme="minorEastAsia"/>
                <w:kern w:val="0"/>
                <w:szCs w:val="21"/>
              </w:rPr>
              <w:t>182,500.00</w:t>
            </w:r>
          </w:p>
        </w:tc>
        <w:tc>
          <w:tcPr>
            <w:tcW w:w="1842" w:type="dxa"/>
            <w:vAlign w:val="center"/>
          </w:tcPr>
          <w:p w:rsidR="00006E47" w:rsidRDefault="00FB29F1">
            <w:pPr>
              <w:jc w:val="right"/>
            </w:pPr>
            <w:r>
              <w:rPr>
                <w:rFonts w:eastAsiaTheme="minorEastAsia"/>
                <w:kern w:val="0"/>
                <w:szCs w:val="21"/>
              </w:rPr>
              <w:t>12,088,800.00</w:t>
            </w:r>
          </w:p>
        </w:tc>
        <w:tc>
          <w:tcPr>
            <w:tcW w:w="1616" w:type="dxa"/>
            <w:vAlign w:val="center"/>
          </w:tcPr>
          <w:p w:rsidR="00006E47" w:rsidRDefault="00FB29F1">
            <w:pPr>
              <w:jc w:val="right"/>
            </w:pPr>
            <w:r>
              <w:rPr>
                <w:rFonts w:eastAsiaTheme="minorEastAsia"/>
                <w:kern w:val="0"/>
                <w:szCs w:val="21"/>
              </w:rPr>
              <w:t>2.65</w:t>
            </w:r>
          </w:p>
        </w:tc>
      </w:tr>
      <w:tr w:rsidR="00006E47">
        <w:tc>
          <w:tcPr>
            <w:tcW w:w="817" w:type="dxa"/>
            <w:vAlign w:val="center"/>
          </w:tcPr>
          <w:p w:rsidR="00006E47" w:rsidRDefault="00FB29F1">
            <w:pPr>
              <w:jc w:val="center"/>
            </w:pPr>
            <w:r>
              <w:rPr>
                <w:rFonts w:eastAsiaTheme="minorEastAsia"/>
                <w:kern w:val="0"/>
                <w:szCs w:val="21"/>
              </w:rPr>
              <w:t>7</w:t>
            </w:r>
          </w:p>
        </w:tc>
        <w:tc>
          <w:tcPr>
            <w:tcW w:w="1276" w:type="dxa"/>
            <w:vAlign w:val="center"/>
          </w:tcPr>
          <w:p w:rsidR="00006E47" w:rsidRDefault="00FB29F1">
            <w:pPr>
              <w:jc w:val="center"/>
            </w:pPr>
            <w:r>
              <w:rPr>
                <w:rFonts w:eastAsiaTheme="minorEastAsia"/>
                <w:kern w:val="0"/>
                <w:szCs w:val="21"/>
              </w:rPr>
              <w:t>688100</w:t>
            </w:r>
          </w:p>
        </w:tc>
        <w:tc>
          <w:tcPr>
            <w:tcW w:w="1701" w:type="dxa"/>
            <w:vAlign w:val="center"/>
          </w:tcPr>
          <w:p w:rsidR="00006E47" w:rsidRDefault="00FB29F1">
            <w:pPr>
              <w:jc w:val="center"/>
            </w:pPr>
            <w:r>
              <w:rPr>
                <w:rFonts w:eastAsiaTheme="minorEastAsia"/>
                <w:kern w:val="0"/>
                <w:szCs w:val="21"/>
              </w:rPr>
              <w:t>威胜信息</w:t>
            </w:r>
          </w:p>
        </w:tc>
        <w:tc>
          <w:tcPr>
            <w:tcW w:w="1276" w:type="dxa"/>
            <w:vAlign w:val="center"/>
          </w:tcPr>
          <w:p w:rsidR="00006E47" w:rsidRDefault="00FB29F1">
            <w:pPr>
              <w:jc w:val="right"/>
            </w:pPr>
            <w:r>
              <w:rPr>
                <w:rFonts w:eastAsiaTheme="minorEastAsia"/>
                <w:kern w:val="0"/>
                <w:szCs w:val="21"/>
              </w:rPr>
              <w:t>268,077.00</w:t>
            </w:r>
          </w:p>
        </w:tc>
        <w:tc>
          <w:tcPr>
            <w:tcW w:w="1842" w:type="dxa"/>
            <w:vAlign w:val="center"/>
          </w:tcPr>
          <w:p w:rsidR="00006E47" w:rsidRDefault="00FB29F1">
            <w:pPr>
              <w:jc w:val="right"/>
            </w:pPr>
            <w:r>
              <w:rPr>
                <w:rFonts w:eastAsiaTheme="minorEastAsia"/>
                <w:kern w:val="0"/>
                <w:szCs w:val="21"/>
              </w:rPr>
              <w:t>11,849,003.40</w:t>
            </w:r>
          </w:p>
        </w:tc>
        <w:tc>
          <w:tcPr>
            <w:tcW w:w="1616" w:type="dxa"/>
            <w:vAlign w:val="center"/>
          </w:tcPr>
          <w:p w:rsidR="00006E47" w:rsidRDefault="00FB29F1">
            <w:pPr>
              <w:jc w:val="right"/>
            </w:pPr>
            <w:r>
              <w:rPr>
                <w:rFonts w:eastAsiaTheme="minorEastAsia"/>
                <w:kern w:val="0"/>
                <w:szCs w:val="21"/>
              </w:rPr>
              <w:t>2.60</w:t>
            </w:r>
          </w:p>
        </w:tc>
      </w:tr>
      <w:tr w:rsidR="00006E47">
        <w:tc>
          <w:tcPr>
            <w:tcW w:w="817" w:type="dxa"/>
            <w:vAlign w:val="center"/>
          </w:tcPr>
          <w:p w:rsidR="00006E47" w:rsidRDefault="00FB29F1">
            <w:pPr>
              <w:jc w:val="center"/>
            </w:pPr>
            <w:r>
              <w:rPr>
                <w:rFonts w:eastAsiaTheme="minorEastAsia"/>
                <w:kern w:val="0"/>
                <w:szCs w:val="21"/>
              </w:rPr>
              <w:t>8</w:t>
            </w:r>
          </w:p>
        </w:tc>
        <w:tc>
          <w:tcPr>
            <w:tcW w:w="1276" w:type="dxa"/>
            <w:vAlign w:val="center"/>
          </w:tcPr>
          <w:p w:rsidR="00006E47" w:rsidRDefault="00FB29F1">
            <w:pPr>
              <w:jc w:val="center"/>
            </w:pPr>
            <w:r>
              <w:rPr>
                <w:rFonts w:eastAsiaTheme="minorEastAsia"/>
                <w:kern w:val="0"/>
                <w:szCs w:val="21"/>
              </w:rPr>
              <w:t>000400</w:t>
            </w:r>
          </w:p>
        </w:tc>
        <w:tc>
          <w:tcPr>
            <w:tcW w:w="1701" w:type="dxa"/>
            <w:vAlign w:val="center"/>
          </w:tcPr>
          <w:p w:rsidR="00006E47" w:rsidRDefault="00FB29F1">
            <w:pPr>
              <w:jc w:val="center"/>
            </w:pPr>
            <w:r>
              <w:rPr>
                <w:rFonts w:eastAsiaTheme="minorEastAsia"/>
                <w:kern w:val="0"/>
                <w:szCs w:val="21"/>
              </w:rPr>
              <w:t>许继电气</w:t>
            </w:r>
          </w:p>
        </w:tc>
        <w:tc>
          <w:tcPr>
            <w:tcW w:w="1276" w:type="dxa"/>
            <w:vAlign w:val="center"/>
          </w:tcPr>
          <w:p w:rsidR="00006E47" w:rsidRDefault="00FB29F1">
            <w:pPr>
              <w:jc w:val="right"/>
            </w:pPr>
            <w:r>
              <w:rPr>
                <w:rFonts w:eastAsiaTheme="minorEastAsia"/>
                <w:kern w:val="0"/>
                <w:szCs w:val="21"/>
              </w:rPr>
              <w:t>336,248.00</w:t>
            </w:r>
          </w:p>
        </w:tc>
        <w:tc>
          <w:tcPr>
            <w:tcW w:w="1842" w:type="dxa"/>
            <w:vAlign w:val="center"/>
          </w:tcPr>
          <w:p w:rsidR="00006E47" w:rsidRDefault="00FB29F1">
            <w:pPr>
              <w:jc w:val="right"/>
            </w:pPr>
            <w:r>
              <w:rPr>
                <w:rFonts w:eastAsiaTheme="minorEastAsia"/>
                <w:kern w:val="0"/>
                <w:szCs w:val="21"/>
              </w:rPr>
              <w:t>11,496,319.12</w:t>
            </w:r>
          </w:p>
        </w:tc>
        <w:tc>
          <w:tcPr>
            <w:tcW w:w="1616" w:type="dxa"/>
            <w:vAlign w:val="center"/>
          </w:tcPr>
          <w:p w:rsidR="00006E47" w:rsidRDefault="00FB29F1">
            <w:pPr>
              <w:jc w:val="right"/>
            </w:pPr>
            <w:r>
              <w:rPr>
                <w:rFonts w:eastAsiaTheme="minorEastAsia"/>
                <w:kern w:val="0"/>
                <w:szCs w:val="21"/>
              </w:rPr>
              <w:t>2.52</w:t>
            </w:r>
          </w:p>
        </w:tc>
      </w:tr>
      <w:tr w:rsidR="00006E47">
        <w:tc>
          <w:tcPr>
            <w:tcW w:w="817" w:type="dxa"/>
            <w:vAlign w:val="center"/>
          </w:tcPr>
          <w:p w:rsidR="00006E47" w:rsidRDefault="00FB29F1">
            <w:pPr>
              <w:jc w:val="center"/>
            </w:pPr>
            <w:r>
              <w:rPr>
                <w:rFonts w:eastAsiaTheme="minorEastAsia"/>
                <w:kern w:val="0"/>
                <w:szCs w:val="21"/>
              </w:rPr>
              <w:t>9</w:t>
            </w:r>
          </w:p>
        </w:tc>
        <w:tc>
          <w:tcPr>
            <w:tcW w:w="1276" w:type="dxa"/>
            <w:vAlign w:val="center"/>
          </w:tcPr>
          <w:p w:rsidR="00006E47" w:rsidRDefault="00FB29F1">
            <w:pPr>
              <w:jc w:val="center"/>
            </w:pPr>
            <w:r>
              <w:rPr>
                <w:rFonts w:eastAsiaTheme="minorEastAsia"/>
                <w:kern w:val="0"/>
                <w:szCs w:val="21"/>
              </w:rPr>
              <w:t>600096</w:t>
            </w:r>
          </w:p>
        </w:tc>
        <w:tc>
          <w:tcPr>
            <w:tcW w:w="1701" w:type="dxa"/>
            <w:vAlign w:val="center"/>
          </w:tcPr>
          <w:p w:rsidR="00006E47" w:rsidRDefault="00FB29F1">
            <w:pPr>
              <w:jc w:val="center"/>
            </w:pPr>
            <w:r>
              <w:rPr>
                <w:rFonts w:eastAsiaTheme="minorEastAsia"/>
                <w:kern w:val="0"/>
                <w:szCs w:val="21"/>
              </w:rPr>
              <w:t>云天化</w:t>
            </w:r>
          </w:p>
        </w:tc>
        <w:tc>
          <w:tcPr>
            <w:tcW w:w="1276" w:type="dxa"/>
            <w:vAlign w:val="center"/>
          </w:tcPr>
          <w:p w:rsidR="00006E47" w:rsidRDefault="00FB29F1">
            <w:pPr>
              <w:jc w:val="right"/>
            </w:pPr>
            <w:r>
              <w:rPr>
                <w:rFonts w:eastAsiaTheme="minorEastAsia"/>
                <w:kern w:val="0"/>
                <w:szCs w:val="21"/>
              </w:rPr>
              <w:t>500,300.00</w:t>
            </w:r>
          </w:p>
        </w:tc>
        <w:tc>
          <w:tcPr>
            <w:tcW w:w="1842" w:type="dxa"/>
            <w:vAlign w:val="center"/>
          </w:tcPr>
          <w:p w:rsidR="00006E47" w:rsidRDefault="00FB29F1">
            <w:pPr>
              <w:jc w:val="right"/>
            </w:pPr>
            <w:r>
              <w:rPr>
                <w:rFonts w:eastAsiaTheme="minorEastAsia"/>
                <w:kern w:val="0"/>
                <w:szCs w:val="21"/>
              </w:rPr>
              <w:t>11,321,789.00</w:t>
            </w:r>
          </w:p>
        </w:tc>
        <w:tc>
          <w:tcPr>
            <w:tcW w:w="1616" w:type="dxa"/>
            <w:vAlign w:val="center"/>
          </w:tcPr>
          <w:p w:rsidR="00006E47" w:rsidRDefault="00FB29F1">
            <w:pPr>
              <w:jc w:val="right"/>
            </w:pPr>
            <w:r>
              <w:rPr>
                <w:rFonts w:eastAsiaTheme="minorEastAsia"/>
                <w:kern w:val="0"/>
                <w:szCs w:val="21"/>
              </w:rPr>
              <w:t>2.48</w:t>
            </w:r>
          </w:p>
        </w:tc>
      </w:tr>
      <w:tr w:rsidR="00006E47">
        <w:tc>
          <w:tcPr>
            <w:tcW w:w="817" w:type="dxa"/>
            <w:vAlign w:val="center"/>
          </w:tcPr>
          <w:p w:rsidR="00006E47" w:rsidRDefault="00FB29F1">
            <w:pPr>
              <w:jc w:val="center"/>
            </w:pPr>
            <w:r>
              <w:rPr>
                <w:rFonts w:eastAsiaTheme="minorEastAsia"/>
                <w:kern w:val="0"/>
                <w:szCs w:val="21"/>
              </w:rPr>
              <w:t>10</w:t>
            </w:r>
          </w:p>
        </w:tc>
        <w:tc>
          <w:tcPr>
            <w:tcW w:w="1276" w:type="dxa"/>
            <w:vAlign w:val="center"/>
          </w:tcPr>
          <w:p w:rsidR="00006E47" w:rsidRDefault="00FB29F1">
            <w:pPr>
              <w:jc w:val="center"/>
            </w:pPr>
            <w:r>
              <w:rPr>
                <w:rFonts w:eastAsiaTheme="minorEastAsia"/>
                <w:kern w:val="0"/>
                <w:szCs w:val="21"/>
              </w:rPr>
              <w:t>603283</w:t>
            </w:r>
          </w:p>
        </w:tc>
        <w:tc>
          <w:tcPr>
            <w:tcW w:w="1701" w:type="dxa"/>
            <w:vAlign w:val="center"/>
          </w:tcPr>
          <w:p w:rsidR="00006E47" w:rsidRDefault="00FB29F1">
            <w:pPr>
              <w:jc w:val="center"/>
            </w:pPr>
            <w:r>
              <w:rPr>
                <w:rFonts w:eastAsiaTheme="minorEastAsia"/>
                <w:kern w:val="0"/>
                <w:szCs w:val="21"/>
              </w:rPr>
              <w:t>赛腾股份</w:t>
            </w:r>
          </w:p>
        </w:tc>
        <w:tc>
          <w:tcPr>
            <w:tcW w:w="1276" w:type="dxa"/>
            <w:vAlign w:val="center"/>
          </w:tcPr>
          <w:p w:rsidR="00006E47" w:rsidRDefault="00FB29F1">
            <w:pPr>
              <w:jc w:val="right"/>
            </w:pPr>
            <w:r>
              <w:rPr>
                <w:rFonts w:eastAsiaTheme="minorEastAsia"/>
                <w:kern w:val="0"/>
                <w:szCs w:val="21"/>
              </w:rPr>
              <w:t>158,200.00</w:t>
            </w:r>
          </w:p>
        </w:tc>
        <w:tc>
          <w:tcPr>
            <w:tcW w:w="1842" w:type="dxa"/>
            <w:vAlign w:val="center"/>
          </w:tcPr>
          <w:p w:rsidR="00006E47" w:rsidRDefault="00FB29F1">
            <w:pPr>
              <w:jc w:val="right"/>
            </w:pPr>
            <w:r>
              <w:rPr>
                <w:rFonts w:eastAsiaTheme="minorEastAsia"/>
                <w:kern w:val="0"/>
                <w:szCs w:val="21"/>
              </w:rPr>
              <w:t>11,232,200.00</w:t>
            </w:r>
          </w:p>
        </w:tc>
        <w:tc>
          <w:tcPr>
            <w:tcW w:w="1616" w:type="dxa"/>
            <w:vAlign w:val="center"/>
          </w:tcPr>
          <w:p w:rsidR="00006E47" w:rsidRDefault="00FB29F1">
            <w:pPr>
              <w:jc w:val="right"/>
            </w:pPr>
            <w:r>
              <w:rPr>
                <w:rFonts w:eastAsiaTheme="minorEastAsia"/>
                <w:kern w:val="0"/>
                <w:szCs w:val="21"/>
              </w:rPr>
              <w:t>2.46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95,512.33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3,319,032.00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84,008.48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20,430.87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3,518,983.68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654,822,467.85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56,831,634.44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260,793.28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267,994.44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24,282,660.09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2,439,427.33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630,800,601.04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54,660,201.55</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摩根均衡优选混合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517,641.00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517,641.00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摩根均衡优选混合型证券投资基金基金合同</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摩根均衡优选混合型证券投资基金托管协议</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006E47" w:rsidRDefault="00FB29F1">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B29F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B29F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B29F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摩根均衡优选混合型证券投资基金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6E47"/>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29F1"/>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AAA57B-4888-41B4-AA9D-CA3EFD14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1239</Words>
  <Characters>7066</Characters>
  <Application>Microsoft Office Word</Application>
  <DocSecurity>0</DocSecurity>
  <Lines>58</Lines>
  <Paragraphs>16</Paragraphs>
  <ScaleCrop>false</ScaleCrop>
  <Company>TRT. Ltd. Co.</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2024-10-24T07:16:00Z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