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摩根沃享远见一年持有期混合型证券投资基金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摩根沃享远见一年持有期混合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1,320,932,502.68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以行业和公司研究为基础，精选基本面优秀、成长潜力大的上市公司进行重点投资，基于严格的风险控制，力争实现基金资产的长期增值。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71049" w:rsidRDefault="000B62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F71049" w:rsidRDefault="000B62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增速、固定资产征的相对变化，适度的调整确定基金资产在股票、债券及现金等类别资产间的分配比例，动态</w:t>
            </w:r>
            <w:r>
              <w:rPr>
                <w:rFonts w:eastAsiaTheme="minorEastAsia"/>
                <w:color w:val="000000" w:themeColor="text1"/>
                <w:kern w:val="0"/>
                <w:szCs w:val="21"/>
              </w:rPr>
              <w:lastRenderedPageBreak/>
              <w:t>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F71049" w:rsidRDefault="000B62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F71049" w:rsidRDefault="000B62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挖掘优势行业高成长个股</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F71049" w:rsidRDefault="000B62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w:t>
            </w:r>
            <w:r>
              <w:rPr>
                <w:rFonts w:eastAsiaTheme="minorEastAsia"/>
                <w:color w:val="000000" w:themeColor="text1"/>
                <w:kern w:val="0"/>
                <w:szCs w:val="21"/>
              </w:rPr>
              <w:t xml:space="preserve"> </w:t>
            </w:r>
          </w:p>
          <w:p w:rsidR="00F71049" w:rsidRDefault="000B62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p w:rsidR="00F71049" w:rsidRDefault="000B62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F71049" w:rsidRDefault="000B62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本基金可通过内地与香港股票市场交易互联互通机制投资于香港股票市场。</w:t>
            </w:r>
            <w:r>
              <w:rPr>
                <w:rFonts w:eastAsiaTheme="minorEastAsia"/>
                <w:color w:val="000000" w:themeColor="text1"/>
                <w:kern w:val="0"/>
                <w:szCs w:val="21"/>
              </w:rPr>
              <w:t xml:space="preserve"> </w:t>
            </w:r>
            <w:r>
              <w:rPr>
                <w:rFonts w:eastAsiaTheme="minorEastAsia"/>
                <w:color w:val="000000" w:themeColor="text1"/>
                <w:kern w:val="0"/>
                <w:szCs w:val="21"/>
              </w:rPr>
              <w:t>对于港股投资，本基金将结合宏观基本面，包含资金流向等对香港上市公司进行初步判断，并结合产业趋势以及公司发展前景自下而上进行布局，从</w:t>
            </w:r>
            <w:r>
              <w:rPr>
                <w:rFonts w:eastAsiaTheme="minorEastAsia"/>
                <w:color w:val="000000" w:themeColor="text1"/>
                <w:kern w:val="0"/>
                <w:szCs w:val="21"/>
              </w:rPr>
              <w:lastRenderedPageBreak/>
              <w:t>公司商业模式、产品创新及竞争力、主营业务收入来源和区域分布等多维度进行考量，挖掘优质企业。本基金将自上而下地甄选行业，通过对行业政策、景气度、估值吸引力比较、市场预期等标准确定行业配置方案，并通过自下而上方法分析个股，结合各项定量和定性指标挑选出最具上涨潜力的标的。</w:t>
            </w:r>
          </w:p>
          <w:p w:rsidR="00F71049" w:rsidRDefault="000B62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债券投资策略</w:t>
            </w:r>
          </w:p>
          <w:p w:rsidR="00F71049" w:rsidRDefault="000B62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F71049" w:rsidRDefault="000B62D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014262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1,247,447,078.88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73,485,423.80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-65,540,322.62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-3,912,239.63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-184,630,627.55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-10,817,519.32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-0.1448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-0.1444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866,329,531.66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50,353,970.08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0.6945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0.6852</w:t>
            </w:r>
          </w:p>
        </w:tc>
      </w:tr>
    </w:tbl>
    <w:p w:rsidR="00F71049" w:rsidRDefault="000B62D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C2CED">
        <w:tc>
          <w:tcPr>
            <w:tcW w:w="1290" w:type="dxa"/>
            <w:vAlign w:val="center"/>
          </w:tcPr>
          <w:p w:rsidR="002C2CED" w:rsidRDefault="002C2CED" w:rsidP="002C2CED">
            <w:pPr>
              <w:jc w:val="left"/>
            </w:pPr>
            <w:r>
              <w:rPr>
                <w:rFonts w:eastAsiaTheme="minorEastAsia"/>
                <w:color w:val="000000" w:themeColor="text1"/>
                <w:szCs w:val="21"/>
              </w:rPr>
              <w:t>过去三个月</w:t>
            </w:r>
          </w:p>
        </w:tc>
        <w:tc>
          <w:tcPr>
            <w:tcW w:w="1291" w:type="dxa"/>
            <w:vAlign w:val="center"/>
          </w:tcPr>
          <w:p w:rsidR="002C2CED" w:rsidRDefault="002C2CED" w:rsidP="002C2CED">
            <w:pPr>
              <w:jc w:val="right"/>
            </w:pPr>
            <w:r>
              <w:rPr>
                <w:rFonts w:eastAsiaTheme="minorEastAsia"/>
                <w:color w:val="000000" w:themeColor="text1"/>
                <w:szCs w:val="21"/>
              </w:rPr>
              <w:t>-17.15%</w:t>
            </w:r>
          </w:p>
        </w:tc>
        <w:tc>
          <w:tcPr>
            <w:tcW w:w="1291" w:type="dxa"/>
            <w:vAlign w:val="center"/>
          </w:tcPr>
          <w:p w:rsidR="002C2CED" w:rsidRDefault="002C2CED" w:rsidP="002C2CED">
            <w:pPr>
              <w:jc w:val="right"/>
            </w:pPr>
            <w:r>
              <w:rPr>
                <w:rFonts w:eastAsiaTheme="minorEastAsia"/>
                <w:color w:val="000000" w:themeColor="text1"/>
                <w:szCs w:val="21"/>
              </w:rPr>
              <w:t>1.66%</w:t>
            </w:r>
          </w:p>
        </w:tc>
        <w:tc>
          <w:tcPr>
            <w:tcW w:w="1291" w:type="dxa"/>
            <w:vAlign w:val="center"/>
          </w:tcPr>
          <w:p w:rsidR="002C2CED" w:rsidRDefault="002C2CED" w:rsidP="002C2CED">
            <w:pPr>
              <w:jc w:val="right"/>
            </w:pPr>
            <w:r>
              <w:rPr>
                <w:rFonts w:eastAsiaTheme="minorEastAsia"/>
                <w:color w:val="000000" w:themeColor="text1"/>
                <w:szCs w:val="21"/>
              </w:rPr>
              <w:t>-3.73%</w:t>
            </w:r>
          </w:p>
        </w:tc>
        <w:tc>
          <w:tcPr>
            <w:tcW w:w="1291" w:type="dxa"/>
            <w:vAlign w:val="center"/>
          </w:tcPr>
          <w:p w:rsidR="002C2CED" w:rsidRDefault="002C2CED" w:rsidP="002C2CED">
            <w:pPr>
              <w:jc w:val="right"/>
            </w:pPr>
            <w:r>
              <w:rPr>
                <w:rFonts w:eastAsiaTheme="minorEastAsia"/>
                <w:color w:val="000000" w:themeColor="text1"/>
                <w:szCs w:val="21"/>
              </w:rPr>
              <w:t>0.76%</w:t>
            </w:r>
          </w:p>
        </w:tc>
        <w:tc>
          <w:tcPr>
            <w:tcW w:w="1291" w:type="dxa"/>
            <w:vAlign w:val="center"/>
          </w:tcPr>
          <w:p w:rsidR="002C2CED" w:rsidRDefault="002C2CED" w:rsidP="002C2CED">
            <w:pPr>
              <w:jc w:val="right"/>
            </w:pPr>
            <w:r>
              <w:rPr>
                <w:rFonts w:eastAsiaTheme="minorEastAsia"/>
                <w:color w:val="000000" w:themeColor="text1"/>
                <w:szCs w:val="21"/>
              </w:rPr>
              <w:t>-13.42%</w:t>
            </w:r>
          </w:p>
        </w:tc>
        <w:tc>
          <w:tcPr>
            <w:tcW w:w="1291" w:type="dxa"/>
            <w:vAlign w:val="center"/>
          </w:tcPr>
          <w:p w:rsidR="002C2CED" w:rsidRDefault="002C2CED" w:rsidP="002C2CED">
            <w:pPr>
              <w:jc w:val="right"/>
            </w:pPr>
            <w:r>
              <w:rPr>
                <w:rFonts w:eastAsiaTheme="minorEastAsia"/>
                <w:color w:val="000000" w:themeColor="text1"/>
                <w:szCs w:val="21"/>
              </w:rPr>
              <w:t>0.90%</w:t>
            </w:r>
          </w:p>
        </w:tc>
      </w:tr>
      <w:tr w:rsidR="002C2CED">
        <w:tc>
          <w:tcPr>
            <w:tcW w:w="1290" w:type="dxa"/>
            <w:vAlign w:val="center"/>
          </w:tcPr>
          <w:p w:rsidR="002C2CED" w:rsidRDefault="002C2CED" w:rsidP="002C2CED">
            <w:pPr>
              <w:jc w:val="left"/>
            </w:pPr>
            <w:r>
              <w:rPr>
                <w:rFonts w:eastAsiaTheme="minorEastAsia"/>
                <w:color w:val="000000" w:themeColor="text1"/>
                <w:szCs w:val="21"/>
              </w:rPr>
              <w:t>过去六个月</w:t>
            </w:r>
          </w:p>
        </w:tc>
        <w:tc>
          <w:tcPr>
            <w:tcW w:w="1291" w:type="dxa"/>
            <w:vAlign w:val="center"/>
          </w:tcPr>
          <w:p w:rsidR="002C2CED" w:rsidRDefault="002C2CED" w:rsidP="002C2CED">
            <w:pPr>
              <w:jc w:val="right"/>
            </w:pPr>
            <w:r>
              <w:rPr>
                <w:rFonts w:eastAsiaTheme="minorEastAsia"/>
                <w:color w:val="000000" w:themeColor="text1"/>
                <w:szCs w:val="21"/>
              </w:rPr>
              <w:t>-10.77%</w:t>
            </w:r>
          </w:p>
        </w:tc>
        <w:tc>
          <w:tcPr>
            <w:tcW w:w="1291" w:type="dxa"/>
            <w:vAlign w:val="center"/>
          </w:tcPr>
          <w:p w:rsidR="002C2CED" w:rsidRDefault="002C2CED" w:rsidP="002C2CED">
            <w:pPr>
              <w:jc w:val="right"/>
            </w:pPr>
            <w:r>
              <w:rPr>
                <w:rFonts w:eastAsiaTheme="minorEastAsia"/>
                <w:color w:val="000000" w:themeColor="text1"/>
                <w:szCs w:val="21"/>
              </w:rPr>
              <w:t>1.73%</w:t>
            </w:r>
          </w:p>
        </w:tc>
        <w:tc>
          <w:tcPr>
            <w:tcW w:w="1291" w:type="dxa"/>
            <w:vAlign w:val="center"/>
          </w:tcPr>
          <w:p w:rsidR="002C2CED" w:rsidRDefault="002C2CED" w:rsidP="002C2CED">
            <w:pPr>
              <w:jc w:val="right"/>
            </w:pPr>
            <w:r>
              <w:rPr>
                <w:rFonts w:eastAsiaTheme="minorEastAsia"/>
                <w:color w:val="000000" w:themeColor="text1"/>
                <w:szCs w:val="21"/>
              </w:rPr>
              <w:t>-7.00%</w:t>
            </w:r>
          </w:p>
        </w:tc>
        <w:tc>
          <w:tcPr>
            <w:tcW w:w="1291" w:type="dxa"/>
            <w:vAlign w:val="center"/>
          </w:tcPr>
          <w:p w:rsidR="002C2CED" w:rsidRDefault="002C2CED" w:rsidP="002C2CED">
            <w:pPr>
              <w:jc w:val="right"/>
            </w:pPr>
            <w:r>
              <w:rPr>
                <w:rFonts w:eastAsiaTheme="minorEastAsia"/>
                <w:color w:val="000000" w:themeColor="text1"/>
                <w:szCs w:val="21"/>
              </w:rPr>
              <w:t>0.73%</w:t>
            </w:r>
          </w:p>
        </w:tc>
        <w:tc>
          <w:tcPr>
            <w:tcW w:w="1291" w:type="dxa"/>
            <w:vAlign w:val="center"/>
          </w:tcPr>
          <w:p w:rsidR="002C2CED" w:rsidRDefault="002C2CED" w:rsidP="002C2CED">
            <w:pPr>
              <w:jc w:val="right"/>
            </w:pPr>
            <w:r>
              <w:rPr>
                <w:rFonts w:eastAsiaTheme="minorEastAsia"/>
                <w:color w:val="000000" w:themeColor="text1"/>
                <w:szCs w:val="21"/>
              </w:rPr>
              <w:t>-3.77%</w:t>
            </w:r>
          </w:p>
        </w:tc>
        <w:tc>
          <w:tcPr>
            <w:tcW w:w="1291" w:type="dxa"/>
            <w:vAlign w:val="center"/>
          </w:tcPr>
          <w:p w:rsidR="002C2CED" w:rsidRDefault="002C2CED" w:rsidP="002C2CED">
            <w:pPr>
              <w:jc w:val="right"/>
            </w:pPr>
            <w:r>
              <w:rPr>
                <w:rFonts w:eastAsiaTheme="minorEastAsia"/>
                <w:color w:val="000000" w:themeColor="text1"/>
                <w:szCs w:val="21"/>
              </w:rPr>
              <w:t>1.00%</w:t>
            </w:r>
          </w:p>
        </w:tc>
      </w:tr>
      <w:tr w:rsidR="002C2CED">
        <w:tc>
          <w:tcPr>
            <w:tcW w:w="1290" w:type="dxa"/>
            <w:vAlign w:val="center"/>
          </w:tcPr>
          <w:p w:rsidR="002C2CED" w:rsidRDefault="002C2CED" w:rsidP="002C2CED">
            <w:pPr>
              <w:jc w:val="left"/>
            </w:pPr>
            <w:r>
              <w:rPr>
                <w:rFonts w:eastAsiaTheme="minorEastAsia"/>
                <w:color w:val="000000" w:themeColor="text1"/>
                <w:szCs w:val="21"/>
              </w:rPr>
              <w:t>过去一年</w:t>
            </w:r>
          </w:p>
        </w:tc>
        <w:tc>
          <w:tcPr>
            <w:tcW w:w="1291" w:type="dxa"/>
            <w:vAlign w:val="center"/>
          </w:tcPr>
          <w:p w:rsidR="002C2CED" w:rsidRDefault="002C2CED" w:rsidP="002C2CED">
            <w:pPr>
              <w:jc w:val="right"/>
            </w:pPr>
            <w:r>
              <w:rPr>
                <w:rFonts w:eastAsiaTheme="minorEastAsia"/>
                <w:color w:val="000000" w:themeColor="text1"/>
                <w:szCs w:val="21"/>
              </w:rPr>
              <w:t>-16.66%</w:t>
            </w:r>
          </w:p>
        </w:tc>
        <w:tc>
          <w:tcPr>
            <w:tcW w:w="1291" w:type="dxa"/>
            <w:vAlign w:val="center"/>
          </w:tcPr>
          <w:p w:rsidR="002C2CED" w:rsidRDefault="002C2CED" w:rsidP="002C2CED">
            <w:pPr>
              <w:jc w:val="right"/>
            </w:pPr>
            <w:r>
              <w:rPr>
                <w:rFonts w:eastAsiaTheme="minorEastAsia"/>
                <w:color w:val="000000" w:themeColor="text1"/>
                <w:szCs w:val="21"/>
              </w:rPr>
              <w:t>1.50%</w:t>
            </w:r>
          </w:p>
        </w:tc>
        <w:tc>
          <w:tcPr>
            <w:tcW w:w="1291" w:type="dxa"/>
            <w:vAlign w:val="center"/>
          </w:tcPr>
          <w:p w:rsidR="002C2CED" w:rsidRDefault="002C2CED" w:rsidP="002C2CED">
            <w:pPr>
              <w:jc w:val="right"/>
            </w:pPr>
            <w:r>
              <w:rPr>
                <w:rFonts w:eastAsiaTheme="minorEastAsia"/>
                <w:color w:val="000000" w:themeColor="text1"/>
                <w:szCs w:val="21"/>
              </w:rPr>
              <w:t>0.48%</w:t>
            </w:r>
          </w:p>
        </w:tc>
        <w:tc>
          <w:tcPr>
            <w:tcW w:w="1291" w:type="dxa"/>
            <w:vAlign w:val="center"/>
          </w:tcPr>
          <w:p w:rsidR="002C2CED" w:rsidRDefault="002C2CED" w:rsidP="002C2CED">
            <w:pPr>
              <w:jc w:val="right"/>
            </w:pPr>
            <w:r>
              <w:rPr>
                <w:rFonts w:eastAsiaTheme="minorEastAsia"/>
                <w:color w:val="000000" w:themeColor="text1"/>
                <w:szCs w:val="21"/>
              </w:rPr>
              <w:t>0.83%</w:t>
            </w:r>
          </w:p>
        </w:tc>
        <w:tc>
          <w:tcPr>
            <w:tcW w:w="1291" w:type="dxa"/>
            <w:vAlign w:val="center"/>
          </w:tcPr>
          <w:p w:rsidR="002C2CED" w:rsidRDefault="002C2CED" w:rsidP="002C2CED">
            <w:pPr>
              <w:jc w:val="right"/>
            </w:pPr>
            <w:r>
              <w:rPr>
                <w:rFonts w:eastAsiaTheme="minorEastAsia"/>
                <w:color w:val="000000" w:themeColor="text1"/>
                <w:szCs w:val="21"/>
              </w:rPr>
              <w:t>-17.14%</w:t>
            </w:r>
          </w:p>
        </w:tc>
        <w:tc>
          <w:tcPr>
            <w:tcW w:w="1291" w:type="dxa"/>
            <w:vAlign w:val="center"/>
          </w:tcPr>
          <w:p w:rsidR="002C2CED" w:rsidRDefault="002C2CED" w:rsidP="002C2CED">
            <w:pPr>
              <w:jc w:val="right"/>
            </w:pPr>
            <w:r>
              <w:rPr>
                <w:rFonts w:eastAsiaTheme="minorEastAsia"/>
                <w:color w:val="000000" w:themeColor="text1"/>
                <w:szCs w:val="21"/>
              </w:rPr>
              <w:t>0.67%</w:t>
            </w:r>
          </w:p>
        </w:tc>
      </w:tr>
      <w:tr w:rsidR="002C2CED">
        <w:tc>
          <w:tcPr>
            <w:tcW w:w="1290" w:type="dxa"/>
            <w:vAlign w:val="center"/>
          </w:tcPr>
          <w:p w:rsidR="002C2CED" w:rsidRDefault="002C2CED" w:rsidP="002C2CED">
            <w:pPr>
              <w:jc w:val="left"/>
            </w:pPr>
            <w:r>
              <w:rPr>
                <w:rFonts w:eastAsiaTheme="minorEastAsia"/>
                <w:color w:val="000000" w:themeColor="text1"/>
                <w:szCs w:val="21"/>
              </w:rPr>
              <w:t>过去三年</w:t>
            </w:r>
          </w:p>
        </w:tc>
        <w:tc>
          <w:tcPr>
            <w:tcW w:w="1291" w:type="dxa"/>
            <w:vAlign w:val="center"/>
          </w:tcPr>
          <w:p w:rsidR="002C2CED" w:rsidRDefault="002C2CED" w:rsidP="002C2CED">
            <w:pPr>
              <w:jc w:val="right"/>
            </w:pPr>
            <w:r>
              <w:rPr>
                <w:rFonts w:eastAsiaTheme="minorEastAsia"/>
                <w:color w:val="000000" w:themeColor="text1"/>
                <w:szCs w:val="21"/>
              </w:rPr>
              <w:t>-</w:t>
            </w:r>
          </w:p>
        </w:tc>
        <w:tc>
          <w:tcPr>
            <w:tcW w:w="1291" w:type="dxa"/>
            <w:vAlign w:val="center"/>
          </w:tcPr>
          <w:p w:rsidR="002C2CED" w:rsidRDefault="002C2CED" w:rsidP="002C2CED">
            <w:pPr>
              <w:jc w:val="right"/>
            </w:pPr>
            <w:r>
              <w:rPr>
                <w:rFonts w:eastAsiaTheme="minorEastAsia"/>
                <w:color w:val="000000" w:themeColor="text1"/>
                <w:szCs w:val="21"/>
              </w:rPr>
              <w:t>-</w:t>
            </w:r>
          </w:p>
        </w:tc>
        <w:tc>
          <w:tcPr>
            <w:tcW w:w="1291" w:type="dxa"/>
            <w:vAlign w:val="center"/>
          </w:tcPr>
          <w:p w:rsidR="002C2CED" w:rsidRDefault="002C2CED" w:rsidP="002C2CED">
            <w:pPr>
              <w:jc w:val="right"/>
            </w:pPr>
            <w:r>
              <w:rPr>
                <w:rFonts w:eastAsiaTheme="minorEastAsia"/>
                <w:color w:val="000000" w:themeColor="text1"/>
                <w:szCs w:val="21"/>
              </w:rPr>
              <w:t>-</w:t>
            </w:r>
          </w:p>
        </w:tc>
        <w:tc>
          <w:tcPr>
            <w:tcW w:w="1291" w:type="dxa"/>
            <w:vAlign w:val="center"/>
          </w:tcPr>
          <w:p w:rsidR="002C2CED" w:rsidRDefault="002C2CED" w:rsidP="002C2CED">
            <w:pPr>
              <w:jc w:val="right"/>
            </w:pPr>
            <w:r>
              <w:rPr>
                <w:rFonts w:eastAsiaTheme="minorEastAsia"/>
                <w:color w:val="000000" w:themeColor="text1"/>
                <w:szCs w:val="21"/>
              </w:rPr>
              <w:t>-</w:t>
            </w:r>
          </w:p>
        </w:tc>
        <w:tc>
          <w:tcPr>
            <w:tcW w:w="1291" w:type="dxa"/>
            <w:vAlign w:val="center"/>
          </w:tcPr>
          <w:p w:rsidR="002C2CED" w:rsidRDefault="002C2CED" w:rsidP="002C2CED">
            <w:pPr>
              <w:jc w:val="right"/>
            </w:pPr>
            <w:r>
              <w:rPr>
                <w:rFonts w:eastAsiaTheme="minorEastAsia"/>
                <w:color w:val="000000" w:themeColor="text1"/>
                <w:szCs w:val="21"/>
              </w:rPr>
              <w:t>-</w:t>
            </w:r>
          </w:p>
        </w:tc>
        <w:tc>
          <w:tcPr>
            <w:tcW w:w="1291" w:type="dxa"/>
            <w:vAlign w:val="center"/>
          </w:tcPr>
          <w:p w:rsidR="002C2CED" w:rsidRDefault="002C2CED" w:rsidP="002C2CED">
            <w:pPr>
              <w:jc w:val="right"/>
            </w:pPr>
            <w:r>
              <w:rPr>
                <w:rFonts w:eastAsiaTheme="minorEastAsia"/>
                <w:color w:val="000000" w:themeColor="text1"/>
                <w:szCs w:val="21"/>
              </w:rPr>
              <w:t>-</w:t>
            </w:r>
          </w:p>
        </w:tc>
      </w:tr>
      <w:tr w:rsidR="002C2CED">
        <w:tc>
          <w:tcPr>
            <w:tcW w:w="1290" w:type="dxa"/>
            <w:vAlign w:val="center"/>
          </w:tcPr>
          <w:p w:rsidR="002C2CED" w:rsidRDefault="002C2CED" w:rsidP="002C2CED">
            <w:pPr>
              <w:jc w:val="left"/>
            </w:pPr>
            <w:r>
              <w:rPr>
                <w:rFonts w:eastAsiaTheme="minorEastAsia"/>
                <w:color w:val="000000" w:themeColor="text1"/>
                <w:szCs w:val="21"/>
              </w:rPr>
              <w:lastRenderedPageBreak/>
              <w:t>过去五年</w:t>
            </w:r>
          </w:p>
        </w:tc>
        <w:tc>
          <w:tcPr>
            <w:tcW w:w="1291" w:type="dxa"/>
            <w:vAlign w:val="center"/>
          </w:tcPr>
          <w:p w:rsidR="002C2CED" w:rsidRDefault="002C2CED" w:rsidP="002C2CED">
            <w:pPr>
              <w:jc w:val="right"/>
            </w:pPr>
            <w:r>
              <w:rPr>
                <w:rFonts w:eastAsiaTheme="minorEastAsia"/>
                <w:color w:val="000000" w:themeColor="text1"/>
                <w:szCs w:val="21"/>
              </w:rPr>
              <w:t>-</w:t>
            </w:r>
          </w:p>
        </w:tc>
        <w:tc>
          <w:tcPr>
            <w:tcW w:w="1291" w:type="dxa"/>
            <w:vAlign w:val="center"/>
          </w:tcPr>
          <w:p w:rsidR="002C2CED" w:rsidRDefault="002C2CED" w:rsidP="002C2CED">
            <w:pPr>
              <w:jc w:val="right"/>
            </w:pPr>
            <w:r>
              <w:rPr>
                <w:rFonts w:eastAsiaTheme="minorEastAsia"/>
                <w:color w:val="000000" w:themeColor="text1"/>
                <w:szCs w:val="21"/>
              </w:rPr>
              <w:t>-</w:t>
            </w:r>
          </w:p>
        </w:tc>
        <w:tc>
          <w:tcPr>
            <w:tcW w:w="1291" w:type="dxa"/>
            <w:vAlign w:val="center"/>
          </w:tcPr>
          <w:p w:rsidR="002C2CED" w:rsidRDefault="002C2CED" w:rsidP="002C2CED">
            <w:pPr>
              <w:jc w:val="right"/>
            </w:pPr>
            <w:r>
              <w:rPr>
                <w:rFonts w:eastAsiaTheme="minorEastAsia"/>
                <w:color w:val="000000" w:themeColor="text1"/>
                <w:szCs w:val="21"/>
              </w:rPr>
              <w:t>-</w:t>
            </w:r>
          </w:p>
        </w:tc>
        <w:tc>
          <w:tcPr>
            <w:tcW w:w="1291" w:type="dxa"/>
            <w:vAlign w:val="center"/>
          </w:tcPr>
          <w:p w:rsidR="002C2CED" w:rsidRDefault="002C2CED" w:rsidP="002C2CED">
            <w:pPr>
              <w:jc w:val="right"/>
            </w:pPr>
            <w:r>
              <w:rPr>
                <w:rFonts w:eastAsiaTheme="minorEastAsia"/>
                <w:color w:val="000000" w:themeColor="text1"/>
                <w:szCs w:val="21"/>
              </w:rPr>
              <w:t>-</w:t>
            </w:r>
          </w:p>
        </w:tc>
        <w:tc>
          <w:tcPr>
            <w:tcW w:w="1291" w:type="dxa"/>
            <w:vAlign w:val="center"/>
          </w:tcPr>
          <w:p w:rsidR="002C2CED" w:rsidRDefault="002C2CED" w:rsidP="002C2CED">
            <w:pPr>
              <w:jc w:val="right"/>
            </w:pPr>
            <w:r>
              <w:rPr>
                <w:rFonts w:eastAsiaTheme="minorEastAsia"/>
                <w:color w:val="000000" w:themeColor="text1"/>
                <w:szCs w:val="21"/>
              </w:rPr>
              <w:t>-</w:t>
            </w:r>
          </w:p>
        </w:tc>
        <w:tc>
          <w:tcPr>
            <w:tcW w:w="1291" w:type="dxa"/>
            <w:vAlign w:val="center"/>
          </w:tcPr>
          <w:p w:rsidR="002C2CED" w:rsidRDefault="002C2CED" w:rsidP="002C2CED">
            <w:pPr>
              <w:jc w:val="right"/>
            </w:pPr>
            <w:r>
              <w:rPr>
                <w:rFonts w:eastAsiaTheme="minorEastAsia"/>
                <w:color w:val="000000" w:themeColor="text1"/>
                <w:szCs w:val="21"/>
              </w:rPr>
              <w:t>-</w:t>
            </w:r>
          </w:p>
        </w:tc>
      </w:tr>
      <w:tr w:rsidR="002C2CED">
        <w:tc>
          <w:tcPr>
            <w:tcW w:w="1290" w:type="dxa"/>
            <w:vAlign w:val="center"/>
          </w:tcPr>
          <w:p w:rsidR="002C2CED" w:rsidRDefault="002C2CED" w:rsidP="002C2CED">
            <w:pPr>
              <w:jc w:val="left"/>
            </w:pPr>
            <w:r>
              <w:rPr>
                <w:rFonts w:eastAsiaTheme="minorEastAsia"/>
                <w:color w:val="000000" w:themeColor="text1"/>
                <w:szCs w:val="21"/>
              </w:rPr>
              <w:t>自基金合同生效起至今</w:t>
            </w:r>
          </w:p>
        </w:tc>
        <w:tc>
          <w:tcPr>
            <w:tcW w:w="1291" w:type="dxa"/>
            <w:vAlign w:val="center"/>
          </w:tcPr>
          <w:p w:rsidR="002C2CED" w:rsidRDefault="002C2CED" w:rsidP="002C2CED">
            <w:pPr>
              <w:jc w:val="right"/>
            </w:pPr>
            <w:r>
              <w:rPr>
                <w:rFonts w:eastAsiaTheme="minorEastAsia"/>
                <w:color w:val="000000" w:themeColor="text1"/>
                <w:szCs w:val="21"/>
              </w:rPr>
              <w:t>-30.55%</w:t>
            </w:r>
          </w:p>
        </w:tc>
        <w:tc>
          <w:tcPr>
            <w:tcW w:w="1291" w:type="dxa"/>
            <w:vAlign w:val="center"/>
          </w:tcPr>
          <w:p w:rsidR="002C2CED" w:rsidRDefault="002C2CED" w:rsidP="002C2CED">
            <w:pPr>
              <w:jc w:val="right"/>
            </w:pPr>
            <w:r>
              <w:rPr>
                <w:rFonts w:eastAsiaTheme="minorEastAsia"/>
                <w:color w:val="000000" w:themeColor="text1"/>
                <w:szCs w:val="21"/>
              </w:rPr>
              <w:t>1.40%</w:t>
            </w:r>
          </w:p>
        </w:tc>
        <w:tc>
          <w:tcPr>
            <w:tcW w:w="1291" w:type="dxa"/>
            <w:vAlign w:val="center"/>
          </w:tcPr>
          <w:p w:rsidR="002C2CED" w:rsidRDefault="002C2CED" w:rsidP="002C2CED">
            <w:pPr>
              <w:jc w:val="right"/>
            </w:pPr>
            <w:r>
              <w:rPr>
                <w:rFonts w:eastAsiaTheme="minorEastAsia"/>
                <w:color w:val="000000" w:themeColor="text1"/>
                <w:szCs w:val="21"/>
              </w:rPr>
              <w:t>-17.10%</w:t>
            </w:r>
          </w:p>
        </w:tc>
        <w:tc>
          <w:tcPr>
            <w:tcW w:w="1291" w:type="dxa"/>
            <w:vAlign w:val="center"/>
          </w:tcPr>
          <w:p w:rsidR="002C2CED" w:rsidRDefault="002C2CED" w:rsidP="002C2CED">
            <w:pPr>
              <w:jc w:val="right"/>
            </w:pPr>
            <w:r>
              <w:rPr>
                <w:rFonts w:eastAsiaTheme="minorEastAsia"/>
                <w:color w:val="000000" w:themeColor="text1"/>
                <w:szCs w:val="21"/>
              </w:rPr>
              <w:t>0.97%</w:t>
            </w:r>
          </w:p>
        </w:tc>
        <w:tc>
          <w:tcPr>
            <w:tcW w:w="1291" w:type="dxa"/>
            <w:vAlign w:val="center"/>
          </w:tcPr>
          <w:p w:rsidR="002C2CED" w:rsidRDefault="002C2CED" w:rsidP="002C2CED">
            <w:pPr>
              <w:jc w:val="right"/>
            </w:pPr>
            <w:r>
              <w:rPr>
                <w:rFonts w:eastAsiaTheme="minorEastAsia"/>
                <w:color w:val="000000" w:themeColor="text1"/>
                <w:szCs w:val="21"/>
              </w:rPr>
              <w:t>-13.45%</w:t>
            </w:r>
          </w:p>
        </w:tc>
        <w:tc>
          <w:tcPr>
            <w:tcW w:w="1291" w:type="dxa"/>
            <w:vAlign w:val="center"/>
          </w:tcPr>
          <w:p w:rsidR="002C2CED" w:rsidRDefault="002C2CED" w:rsidP="002C2CED">
            <w:pPr>
              <w:jc w:val="right"/>
            </w:pPr>
            <w:r>
              <w:rPr>
                <w:rFonts w:eastAsiaTheme="minorEastAsia"/>
                <w:color w:val="000000" w:themeColor="text1"/>
                <w:szCs w:val="21"/>
              </w:rPr>
              <w:t>0.43%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摩根沃享远见一年持有期混合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A6719">
        <w:tc>
          <w:tcPr>
            <w:tcW w:w="1290" w:type="dxa"/>
            <w:vAlign w:val="center"/>
          </w:tcPr>
          <w:p w:rsidR="006A6719" w:rsidRDefault="006A6719" w:rsidP="006A6719">
            <w:pPr>
              <w:jc w:val="left"/>
            </w:pPr>
            <w:r>
              <w:rPr>
                <w:rFonts w:eastAsiaTheme="minorEastAsia"/>
                <w:color w:val="000000" w:themeColor="text1"/>
                <w:szCs w:val="21"/>
              </w:rPr>
              <w:t>过去三个月</w:t>
            </w:r>
          </w:p>
        </w:tc>
        <w:tc>
          <w:tcPr>
            <w:tcW w:w="1291" w:type="dxa"/>
            <w:vAlign w:val="center"/>
          </w:tcPr>
          <w:p w:rsidR="006A6719" w:rsidRDefault="006A6719" w:rsidP="006A6719">
            <w:pPr>
              <w:jc w:val="right"/>
            </w:pPr>
            <w:r>
              <w:rPr>
                <w:rFonts w:eastAsiaTheme="minorEastAsia"/>
                <w:color w:val="000000" w:themeColor="text1"/>
                <w:szCs w:val="21"/>
              </w:rPr>
              <w:t>-17.33%</w:t>
            </w:r>
          </w:p>
        </w:tc>
        <w:tc>
          <w:tcPr>
            <w:tcW w:w="1291" w:type="dxa"/>
            <w:vAlign w:val="center"/>
          </w:tcPr>
          <w:p w:rsidR="006A6719" w:rsidRDefault="006A6719" w:rsidP="006A6719">
            <w:pPr>
              <w:jc w:val="right"/>
            </w:pPr>
            <w:r>
              <w:rPr>
                <w:rFonts w:eastAsiaTheme="minorEastAsia"/>
                <w:color w:val="000000" w:themeColor="text1"/>
                <w:szCs w:val="21"/>
              </w:rPr>
              <w:t>1.66%</w:t>
            </w:r>
          </w:p>
        </w:tc>
        <w:tc>
          <w:tcPr>
            <w:tcW w:w="1291" w:type="dxa"/>
            <w:vAlign w:val="center"/>
          </w:tcPr>
          <w:p w:rsidR="006A6719" w:rsidRDefault="006A6719" w:rsidP="006A6719">
            <w:pPr>
              <w:jc w:val="right"/>
            </w:pPr>
            <w:r>
              <w:rPr>
                <w:rFonts w:eastAsiaTheme="minorEastAsia"/>
                <w:color w:val="000000" w:themeColor="text1"/>
                <w:szCs w:val="21"/>
              </w:rPr>
              <w:t>-3.73%</w:t>
            </w:r>
          </w:p>
        </w:tc>
        <w:tc>
          <w:tcPr>
            <w:tcW w:w="1291" w:type="dxa"/>
            <w:vAlign w:val="center"/>
          </w:tcPr>
          <w:p w:rsidR="006A6719" w:rsidRDefault="006A6719" w:rsidP="006A6719">
            <w:pPr>
              <w:jc w:val="right"/>
            </w:pPr>
            <w:r>
              <w:rPr>
                <w:rFonts w:eastAsiaTheme="minorEastAsia"/>
                <w:color w:val="000000" w:themeColor="text1"/>
                <w:szCs w:val="21"/>
              </w:rPr>
              <w:t>0.76%</w:t>
            </w:r>
          </w:p>
        </w:tc>
        <w:tc>
          <w:tcPr>
            <w:tcW w:w="1291" w:type="dxa"/>
            <w:vAlign w:val="center"/>
          </w:tcPr>
          <w:p w:rsidR="006A6719" w:rsidRDefault="006A6719" w:rsidP="006A6719">
            <w:pPr>
              <w:jc w:val="right"/>
            </w:pPr>
            <w:r>
              <w:rPr>
                <w:rFonts w:eastAsiaTheme="minorEastAsia"/>
                <w:color w:val="000000" w:themeColor="text1"/>
                <w:szCs w:val="21"/>
              </w:rPr>
              <w:t>-13.60%</w:t>
            </w:r>
          </w:p>
        </w:tc>
        <w:tc>
          <w:tcPr>
            <w:tcW w:w="1291" w:type="dxa"/>
            <w:vAlign w:val="center"/>
          </w:tcPr>
          <w:p w:rsidR="006A6719" w:rsidRDefault="006A6719" w:rsidP="006A6719">
            <w:pPr>
              <w:jc w:val="right"/>
            </w:pPr>
            <w:r>
              <w:rPr>
                <w:rFonts w:eastAsiaTheme="minorEastAsia"/>
                <w:color w:val="000000" w:themeColor="text1"/>
                <w:szCs w:val="21"/>
              </w:rPr>
              <w:t>0.90%</w:t>
            </w:r>
          </w:p>
        </w:tc>
      </w:tr>
      <w:tr w:rsidR="006A6719">
        <w:tc>
          <w:tcPr>
            <w:tcW w:w="1290" w:type="dxa"/>
            <w:vAlign w:val="center"/>
          </w:tcPr>
          <w:p w:rsidR="006A6719" w:rsidRDefault="006A6719" w:rsidP="006A6719">
            <w:pPr>
              <w:jc w:val="left"/>
            </w:pPr>
            <w:r>
              <w:rPr>
                <w:rFonts w:eastAsiaTheme="minorEastAsia"/>
                <w:color w:val="000000" w:themeColor="text1"/>
                <w:szCs w:val="21"/>
              </w:rPr>
              <w:t>过去六个月</w:t>
            </w:r>
          </w:p>
        </w:tc>
        <w:tc>
          <w:tcPr>
            <w:tcW w:w="1291" w:type="dxa"/>
            <w:vAlign w:val="center"/>
          </w:tcPr>
          <w:p w:rsidR="006A6719" w:rsidRDefault="006A6719" w:rsidP="006A6719">
            <w:pPr>
              <w:jc w:val="right"/>
            </w:pPr>
            <w:r>
              <w:rPr>
                <w:rFonts w:eastAsiaTheme="minorEastAsia"/>
                <w:color w:val="000000" w:themeColor="text1"/>
                <w:szCs w:val="21"/>
              </w:rPr>
              <w:t>-11.13%</w:t>
            </w:r>
          </w:p>
        </w:tc>
        <w:tc>
          <w:tcPr>
            <w:tcW w:w="1291" w:type="dxa"/>
            <w:vAlign w:val="center"/>
          </w:tcPr>
          <w:p w:rsidR="006A6719" w:rsidRDefault="006A6719" w:rsidP="006A6719">
            <w:pPr>
              <w:jc w:val="right"/>
            </w:pPr>
            <w:r>
              <w:rPr>
                <w:rFonts w:eastAsiaTheme="minorEastAsia"/>
                <w:color w:val="000000" w:themeColor="text1"/>
                <w:szCs w:val="21"/>
              </w:rPr>
              <w:t>1.73%</w:t>
            </w:r>
          </w:p>
        </w:tc>
        <w:tc>
          <w:tcPr>
            <w:tcW w:w="1291" w:type="dxa"/>
            <w:vAlign w:val="center"/>
          </w:tcPr>
          <w:p w:rsidR="006A6719" w:rsidRDefault="006A6719" w:rsidP="006A6719">
            <w:pPr>
              <w:jc w:val="right"/>
            </w:pPr>
            <w:r>
              <w:rPr>
                <w:rFonts w:eastAsiaTheme="minorEastAsia"/>
                <w:color w:val="000000" w:themeColor="text1"/>
                <w:szCs w:val="21"/>
              </w:rPr>
              <w:t>-7.00%</w:t>
            </w:r>
          </w:p>
        </w:tc>
        <w:tc>
          <w:tcPr>
            <w:tcW w:w="1291" w:type="dxa"/>
            <w:vAlign w:val="center"/>
          </w:tcPr>
          <w:p w:rsidR="006A6719" w:rsidRDefault="006A6719" w:rsidP="006A6719">
            <w:pPr>
              <w:jc w:val="right"/>
            </w:pPr>
            <w:r>
              <w:rPr>
                <w:rFonts w:eastAsiaTheme="minorEastAsia"/>
                <w:color w:val="000000" w:themeColor="text1"/>
                <w:szCs w:val="21"/>
              </w:rPr>
              <w:t>0.73%</w:t>
            </w:r>
          </w:p>
        </w:tc>
        <w:tc>
          <w:tcPr>
            <w:tcW w:w="1291" w:type="dxa"/>
            <w:vAlign w:val="center"/>
          </w:tcPr>
          <w:p w:rsidR="006A6719" w:rsidRDefault="006A6719" w:rsidP="006A6719">
            <w:pPr>
              <w:jc w:val="right"/>
            </w:pPr>
            <w:r>
              <w:rPr>
                <w:rFonts w:eastAsiaTheme="minorEastAsia"/>
                <w:color w:val="000000" w:themeColor="text1"/>
                <w:szCs w:val="21"/>
              </w:rPr>
              <w:t>-4.13%</w:t>
            </w:r>
          </w:p>
        </w:tc>
        <w:tc>
          <w:tcPr>
            <w:tcW w:w="1291" w:type="dxa"/>
            <w:vAlign w:val="center"/>
          </w:tcPr>
          <w:p w:rsidR="006A6719" w:rsidRDefault="006A6719" w:rsidP="006A6719">
            <w:pPr>
              <w:jc w:val="right"/>
            </w:pPr>
            <w:r>
              <w:rPr>
                <w:rFonts w:eastAsiaTheme="minorEastAsia"/>
                <w:color w:val="000000" w:themeColor="text1"/>
                <w:szCs w:val="21"/>
              </w:rPr>
              <w:t>1.00%</w:t>
            </w:r>
          </w:p>
        </w:tc>
      </w:tr>
      <w:tr w:rsidR="006A6719">
        <w:tc>
          <w:tcPr>
            <w:tcW w:w="1290" w:type="dxa"/>
            <w:vAlign w:val="center"/>
          </w:tcPr>
          <w:p w:rsidR="006A6719" w:rsidRDefault="006A6719" w:rsidP="006A6719">
            <w:pPr>
              <w:jc w:val="left"/>
            </w:pPr>
            <w:r>
              <w:rPr>
                <w:rFonts w:eastAsiaTheme="minorEastAsia"/>
                <w:color w:val="000000" w:themeColor="text1"/>
                <w:szCs w:val="21"/>
              </w:rPr>
              <w:t>过去一年</w:t>
            </w:r>
          </w:p>
        </w:tc>
        <w:tc>
          <w:tcPr>
            <w:tcW w:w="1291" w:type="dxa"/>
            <w:vAlign w:val="center"/>
          </w:tcPr>
          <w:p w:rsidR="006A6719" w:rsidRDefault="006A6719" w:rsidP="006A6719">
            <w:pPr>
              <w:jc w:val="right"/>
            </w:pPr>
            <w:r>
              <w:rPr>
                <w:rFonts w:eastAsiaTheme="minorEastAsia"/>
                <w:color w:val="000000" w:themeColor="text1"/>
                <w:szCs w:val="21"/>
              </w:rPr>
              <w:t>-17.33%</w:t>
            </w:r>
          </w:p>
        </w:tc>
        <w:tc>
          <w:tcPr>
            <w:tcW w:w="1291" w:type="dxa"/>
            <w:vAlign w:val="center"/>
          </w:tcPr>
          <w:p w:rsidR="006A6719" w:rsidRDefault="006A6719" w:rsidP="006A6719">
            <w:pPr>
              <w:jc w:val="right"/>
            </w:pPr>
            <w:r>
              <w:rPr>
                <w:rFonts w:eastAsiaTheme="minorEastAsia"/>
                <w:color w:val="000000" w:themeColor="text1"/>
                <w:szCs w:val="21"/>
              </w:rPr>
              <w:t>1.50%</w:t>
            </w:r>
          </w:p>
        </w:tc>
        <w:tc>
          <w:tcPr>
            <w:tcW w:w="1291" w:type="dxa"/>
            <w:vAlign w:val="center"/>
          </w:tcPr>
          <w:p w:rsidR="006A6719" w:rsidRDefault="006A6719" w:rsidP="006A6719">
            <w:pPr>
              <w:jc w:val="right"/>
            </w:pPr>
            <w:r>
              <w:rPr>
                <w:rFonts w:eastAsiaTheme="minorEastAsia"/>
                <w:color w:val="000000" w:themeColor="text1"/>
                <w:szCs w:val="21"/>
              </w:rPr>
              <w:t>0.48%</w:t>
            </w:r>
          </w:p>
        </w:tc>
        <w:tc>
          <w:tcPr>
            <w:tcW w:w="1291" w:type="dxa"/>
            <w:vAlign w:val="center"/>
          </w:tcPr>
          <w:p w:rsidR="006A6719" w:rsidRDefault="006A6719" w:rsidP="006A6719">
            <w:pPr>
              <w:jc w:val="right"/>
            </w:pPr>
            <w:r>
              <w:rPr>
                <w:rFonts w:eastAsiaTheme="minorEastAsia"/>
                <w:color w:val="000000" w:themeColor="text1"/>
                <w:szCs w:val="21"/>
              </w:rPr>
              <w:t>0.83%</w:t>
            </w:r>
          </w:p>
        </w:tc>
        <w:tc>
          <w:tcPr>
            <w:tcW w:w="1291" w:type="dxa"/>
            <w:vAlign w:val="center"/>
          </w:tcPr>
          <w:p w:rsidR="006A6719" w:rsidRDefault="006A6719" w:rsidP="006A6719">
            <w:pPr>
              <w:jc w:val="right"/>
            </w:pPr>
            <w:r>
              <w:rPr>
                <w:rFonts w:eastAsiaTheme="minorEastAsia"/>
                <w:color w:val="000000" w:themeColor="text1"/>
                <w:szCs w:val="21"/>
              </w:rPr>
              <w:t>-17.81%</w:t>
            </w:r>
          </w:p>
        </w:tc>
        <w:tc>
          <w:tcPr>
            <w:tcW w:w="1291" w:type="dxa"/>
            <w:vAlign w:val="center"/>
          </w:tcPr>
          <w:p w:rsidR="006A6719" w:rsidRDefault="006A6719" w:rsidP="006A6719">
            <w:pPr>
              <w:jc w:val="right"/>
            </w:pPr>
            <w:r>
              <w:rPr>
                <w:rFonts w:eastAsiaTheme="minorEastAsia"/>
                <w:color w:val="000000" w:themeColor="text1"/>
                <w:szCs w:val="21"/>
              </w:rPr>
              <w:t>0.67%</w:t>
            </w:r>
          </w:p>
        </w:tc>
      </w:tr>
      <w:tr w:rsidR="006A6719">
        <w:tc>
          <w:tcPr>
            <w:tcW w:w="1290" w:type="dxa"/>
            <w:vAlign w:val="center"/>
          </w:tcPr>
          <w:p w:rsidR="006A6719" w:rsidRDefault="006A6719" w:rsidP="006A6719">
            <w:pPr>
              <w:jc w:val="left"/>
            </w:pPr>
            <w:r>
              <w:rPr>
                <w:rFonts w:eastAsiaTheme="minorEastAsia"/>
                <w:color w:val="000000" w:themeColor="text1"/>
                <w:szCs w:val="21"/>
              </w:rPr>
              <w:t>过去三年</w:t>
            </w:r>
          </w:p>
        </w:tc>
        <w:tc>
          <w:tcPr>
            <w:tcW w:w="1291" w:type="dxa"/>
            <w:vAlign w:val="center"/>
          </w:tcPr>
          <w:p w:rsidR="006A6719" w:rsidRDefault="006A6719" w:rsidP="006A6719">
            <w:pPr>
              <w:jc w:val="right"/>
            </w:pPr>
            <w:r>
              <w:rPr>
                <w:rFonts w:eastAsiaTheme="minorEastAsia"/>
                <w:color w:val="000000" w:themeColor="text1"/>
                <w:szCs w:val="21"/>
              </w:rPr>
              <w:t>-</w:t>
            </w:r>
          </w:p>
        </w:tc>
        <w:tc>
          <w:tcPr>
            <w:tcW w:w="1291" w:type="dxa"/>
            <w:vAlign w:val="center"/>
          </w:tcPr>
          <w:p w:rsidR="006A6719" w:rsidRDefault="006A6719" w:rsidP="006A6719">
            <w:pPr>
              <w:jc w:val="right"/>
            </w:pPr>
            <w:r>
              <w:rPr>
                <w:rFonts w:eastAsiaTheme="minorEastAsia"/>
                <w:color w:val="000000" w:themeColor="text1"/>
                <w:szCs w:val="21"/>
              </w:rPr>
              <w:t>-</w:t>
            </w:r>
          </w:p>
        </w:tc>
        <w:tc>
          <w:tcPr>
            <w:tcW w:w="1291" w:type="dxa"/>
            <w:vAlign w:val="center"/>
          </w:tcPr>
          <w:p w:rsidR="006A6719" w:rsidRDefault="006A6719" w:rsidP="006A6719">
            <w:pPr>
              <w:jc w:val="right"/>
            </w:pPr>
            <w:r>
              <w:rPr>
                <w:rFonts w:eastAsiaTheme="minorEastAsia"/>
                <w:color w:val="000000" w:themeColor="text1"/>
                <w:szCs w:val="21"/>
              </w:rPr>
              <w:t>-</w:t>
            </w:r>
          </w:p>
        </w:tc>
        <w:tc>
          <w:tcPr>
            <w:tcW w:w="1291" w:type="dxa"/>
            <w:vAlign w:val="center"/>
          </w:tcPr>
          <w:p w:rsidR="006A6719" w:rsidRDefault="006A6719" w:rsidP="006A6719">
            <w:pPr>
              <w:jc w:val="right"/>
            </w:pPr>
            <w:r>
              <w:rPr>
                <w:rFonts w:eastAsiaTheme="minorEastAsia"/>
                <w:color w:val="000000" w:themeColor="text1"/>
                <w:szCs w:val="21"/>
              </w:rPr>
              <w:t>-</w:t>
            </w:r>
          </w:p>
        </w:tc>
        <w:tc>
          <w:tcPr>
            <w:tcW w:w="1291" w:type="dxa"/>
            <w:vAlign w:val="center"/>
          </w:tcPr>
          <w:p w:rsidR="006A6719" w:rsidRDefault="006A6719" w:rsidP="006A6719">
            <w:pPr>
              <w:jc w:val="right"/>
            </w:pPr>
            <w:r>
              <w:rPr>
                <w:rFonts w:eastAsiaTheme="minorEastAsia"/>
                <w:color w:val="000000" w:themeColor="text1"/>
                <w:szCs w:val="21"/>
              </w:rPr>
              <w:t>-</w:t>
            </w:r>
          </w:p>
        </w:tc>
        <w:tc>
          <w:tcPr>
            <w:tcW w:w="1291" w:type="dxa"/>
            <w:vAlign w:val="center"/>
          </w:tcPr>
          <w:p w:rsidR="006A6719" w:rsidRDefault="006A6719" w:rsidP="006A6719">
            <w:pPr>
              <w:jc w:val="right"/>
            </w:pPr>
            <w:r>
              <w:rPr>
                <w:rFonts w:eastAsiaTheme="minorEastAsia"/>
                <w:color w:val="000000" w:themeColor="text1"/>
                <w:szCs w:val="21"/>
              </w:rPr>
              <w:t>-</w:t>
            </w:r>
          </w:p>
        </w:tc>
      </w:tr>
      <w:tr w:rsidR="006A6719">
        <w:tc>
          <w:tcPr>
            <w:tcW w:w="1290" w:type="dxa"/>
            <w:vAlign w:val="center"/>
          </w:tcPr>
          <w:p w:rsidR="006A6719" w:rsidRDefault="006A6719" w:rsidP="006A6719">
            <w:pPr>
              <w:jc w:val="left"/>
            </w:pPr>
            <w:r>
              <w:rPr>
                <w:rFonts w:eastAsiaTheme="minorEastAsia"/>
                <w:color w:val="000000" w:themeColor="text1"/>
                <w:szCs w:val="21"/>
              </w:rPr>
              <w:t>过去五年</w:t>
            </w:r>
          </w:p>
        </w:tc>
        <w:tc>
          <w:tcPr>
            <w:tcW w:w="1291" w:type="dxa"/>
            <w:vAlign w:val="center"/>
          </w:tcPr>
          <w:p w:rsidR="006A6719" w:rsidRDefault="006A6719" w:rsidP="006A6719">
            <w:pPr>
              <w:jc w:val="right"/>
            </w:pPr>
            <w:r>
              <w:rPr>
                <w:rFonts w:eastAsiaTheme="minorEastAsia"/>
                <w:color w:val="000000" w:themeColor="text1"/>
                <w:szCs w:val="21"/>
              </w:rPr>
              <w:t>-</w:t>
            </w:r>
          </w:p>
        </w:tc>
        <w:tc>
          <w:tcPr>
            <w:tcW w:w="1291" w:type="dxa"/>
            <w:vAlign w:val="center"/>
          </w:tcPr>
          <w:p w:rsidR="006A6719" w:rsidRDefault="006A6719" w:rsidP="006A6719">
            <w:pPr>
              <w:jc w:val="right"/>
            </w:pPr>
            <w:r>
              <w:rPr>
                <w:rFonts w:eastAsiaTheme="minorEastAsia"/>
                <w:color w:val="000000" w:themeColor="text1"/>
                <w:szCs w:val="21"/>
              </w:rPr>
              <w:t>-</w:t>
            </w:r>
          </w:p>
        </w:tc>
        <w:tc>
          <w:tcPr>
            <w:tcW w:w="1291" w:type="dxa"/>
            <w:vAlign w:val="center"/>
          </w:tcPr>
          <w:p w:rsidR="006A6719" w:rsidRDefault="006A6719" w:rsidP="006A6719">
            <w:pPr>
              <w:jc w:val="right"/>
            </w:pPr>
            <w:r>
              <w:rPr>
                <w:rFonts w:eastAsiaTheme="minorEastAsia"/>
                <w:color w:val="000000" w:themeColor="text1"/>
                <w:szCs w:val="21"/>
              </w:rPr>
              <w:t>-</w:t>
            </w:r>
          </w:p>
        </w:tc>
        <w:tc>
          <w:tcPr>
            <w:tcW w:w="1291" w:type="dxa"/>
            <w:vAlign w:val="center"/>
          </w:tcPr>
          <w:p w:rsidR="006A6719" w:rsidRDefault="006A6719" w:rsidP="006A6719">
            <w:pPr>
              <w:jc w:val="right"/>
            </w:pPr>
            <w:r>
              <w:rPr>
                <w:rFonts w:eastAsiaTheme="minorEastAsia"/>
                <w:color w:val="000000" w:themeColor="text1"/>
                <w:szCs w:val="21"/>
              </w:rPr>
              <w:t>-</w:t>
            </w:r>
          </w:p>
        </w:tc>
        <w:tc>
          <w:tcPr>
            <w:tcW w:w="1291" w:type="dxa"/>
            <w:vAlign w:val="center"/>
          </w:tcPr>
          <w:p w:rsidR="006A6719" w:rsidRDefault="006A6719" w:rsidP="006A6719">
            <w:pPr>
              <w:jc w:val="right"/>
            </w:pPr>
            <w:r>
              <w:rPr>
                <w:rFonts w:eastAsiaTheme="minorEastAsia"/>
                <w:color w:val="000000" w:themeColor="text1"/>
                <w:szCs w:val="21"/>
              </w:rPr>
              <w:t>-</w:t>
            </w:r>
          </w:p>
        </w:tc>
        <w:tc>
          <w:tcPr>
            <w:tcW w:w="1291" w:type="dxa"/>
            <w:vAlign w:val="center"/>
          </w:tcPr>
          <w:p w:rsidR="006A6719" w:rsidRDefault="006A6719" w:rsidP="006A6719">
            <w:pPr>
              <w:jc w:val="right"/>
            </w:pPr>
            <w:r>
              <w:rPr>
                <w:rFonts w:eastAsiaTheme="minorEastAsia"/>
                <w:color w:val="000000" w:themeColor="text1"/>
                <w:szCs w:val="21"/>
              </w:rPr>
              <w:t>-</w:t>
            </w:r>
          </w:p>
        </w:tc>
      </w:tr>
      <w:tr w:rsidR="006A6719">
        <w:tc>
          <w:tcPr>
            <w:tcW w:w="1290" w:type="dxa"/>
            <w:vAlign w:val="center"/>
          </w:tcPr>
          <w:p w:rsidR="006A6719" w:rsidRDefault="006A6719" w:rsidP="006A6719">
            <w:pPr>
              <w:jc w:val="left"/>
            </w:pPr>
            <w:r>
              <w:rPr>
                <w:rFonts w:eastAsiaTheme="minorEastAsia"/>
                <w:color w:val="000000" w:themeColor="text1"/>
                <w:szCs w:val="21"/>
              </w:rPr>
              <w:t>自基金合同生效起至今</w:t>
            </w:r>
          </w:p>
        </w:tc>
        <w:tc>
          <w:tcPr>
            <w:tcW w:w="1291" w:type="dxa"/>
            <w:vAlign w:val="center"/>
          </w:tcPr>
          <w:p w:rsidR="006A6719" w:rsidRDefault="006A6719" w:rsidP="006A6719">
            <w:pPr>
              <w:jc w:val="right"/>
            </w:pPr>
            <w:r>
              <w:rPr>
                <w:rFonts w:eastAsiaTheme="minorEastAsia"/>
                <w:color w:val="000000" w:themeColor="text1"/>
                <w:szCs w:val="21"/>
              </w:rPr>
              <w:t>-31.48%</w:t>
            </w:r>
          </w:p>
        </w:tc>
        <w:tc>
          <w:tcPr>
            <w:tcW w:w="1291" w:type="dxa"/>
            <w:vAlign w:val="center"/>
          </w:tcPr>
          <w:p w:rsidR="006A6719" w:rsidRDefault="006A6719" w:rsidP="006A6719">
            <w:pPr>
              <w:jc w:val="right"/>
            </w:pPr>
            <w:r>
              <w:rPr>
                <w:rFonts w:eastAsiaTheme="minorEastAsia"/>
                <w:color w:val="000000" w:themeColor="text1"/>
                <w:szCs w:val="21"/>
              </w:rPr>
              <w:t>1.40%</w:t>
            </w:r>
          </w:p>
        </w:tc>
        <w:tc>
          <w:tcPr>
            <w:tcW w:w="1291" w:type="dxa"/>
            <w:vAlign w:val="center"/>
          </w:tcPr>
          <w:p w:rsidR="006A6719" w:rsidRDefault="006A6719" w:rsidP="006A6719">
            <w:pPr>
              <w:jc w:val="right"/>
            </w:pPr>
            <w:r>
              <w:rPr>
                <w:rFonts w:eastAsiaTheme="minorEastAsia"/>
                <w:color w:val="000000" w:themeColor="text1"/>
                <w:szCs w:val="21"/>
              </w:rPr>
              <w:t>-17.10%</w:t>
            </w:r>
          </w:p>
        </w:tc>
        <w:tc>
          <w:tcPr>
            <w:tcW w:w="1291" w:type="dxa"/>
            <w:vAlign w:val="center"/>
          </w:tcPr>
          <w:p w:rsidR="006A6719" w:rsidRDefault="006A6719" w:rsidP="006A6719">
            <w:pPr>
              <w:jc w:val="right"/>
            </w:pPr>
            <w:r>
              <w:rPr>
                <w:rFonts w:eastAsiaTheme="minorEastAsia"/>
                <w:color w:val="000000" w:themeColor="text1"/>
                <w:szCs w:val="21"/>
              </w:rPr>
              <w:t>0.97%</w:t>
            </w:r>
          </w:p>
        </w:tc>
        <w:tc>
          <w:tcPr>
            <w:tcW w:w="1291" w:type="dxa"/>
            <w:vAlign w:val="center"/>
          </w:tcPr>
          <w:p w:rsidR="006A6719" w:rsidRDefault="006A6719" w:rsidP="006A6719">
            <w:pPr>
              <w:jc w:val="right"/>
            </w:pPr>
            <w:r>
              <w:rPr>
                <w:rFonts w:eastAsiaTheme="minorEastAsia"/>
                <w:color w:val="000000" w:themeColor="text1"/>
                <w:szCs w:val="21"/>
              </w:rPr>
              <w:t>-14.38%</w:t>
            </w:r>
          </w:p>
        </w:tc>
        <w:tc>
          <w:tcPr>
            <w:tcW w:w="1291" w:type="dxa"/>
            <w:vAlign w:val="center"/>
          </w:tcPr>
          <w:p w:rsidR="006A6719" w:rsidRDefault="006A6719" w:rsidP="006A6719">
            <w:pPr>
              <w:jc w:val="right"/>
            </w:pPr>
            <w:r>
              <w:rPr>
                <w:rFonts w:eastAsiaTheme="minorEastAsia"/>
                <w:color w:val="000000" w:themeColor="text1"/>
                <w:szCs w:val="21"/>
              </w:rPr>
              <w:t>0.43%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摩根沃享远见一年持有期混合型证券投资基金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EB3960">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107D72F" wp14:editId="54D70874">
            <wp:extent cx="5591175" cy="32766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EB3960">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26F2C2D" wp14:editId="3DFE9B01">
            <wp:extent cx="5591175" cy="3276600"/>
            <wp:effectExtent l="0" t="0" r="0" b="0"/>
            <wp:docPr id="6" name="图片 6"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71049">
        <w:tc>
          <w:tcPr>
            <w:tcW w:w="952" w:type="dxa"/>
            <w:vAlign w:val="center"/>
          </w:tcPr>
          <w:p w:rsidR="00F71049" w:rsidRDefault="000B62DD">
            <w:pPr>
              <w:jc w:val="center"/>
            </w:pPr>
            <w:r>
              <w:rPr>
                <w:rFonts w:eastAsiaTheme="minorEastAsia"/>
                <w:color w:val="000000" w:themeColor="text1"/>
                <w:szCs w:val="21"/>
              </w:rPr>
              <w:t>杜猛</w:t>
            </w:r>
          </w:p>
        </w:tc>
        <w:tc>
          <w:tcPr>
            <w:tcW w:w="930" w:type="dxa"/>
            <w:vAlign w:val="center"/>
          </w:tcPr>
          <w:p w:rsidR="00F71049" w:rsidRDefault="000B62DD">
            <w:pPr>
              <w:jc w:val="center"/>
            </w:pPr>
            <w:r>
              <w:rPr>
                <w:rFonts w:eastAsiaTheme="minorEastAsia"/>
                <w:color w:val="000000" w:themeColor="text1"/>
                <w:szCs w:val="21"/>
              </w:rPr>
              <w:t>本基金基金经理、副总经理兼投资总监</w:t>
            </w:r>
          </w:p>
        </w:tc>
        <w:tc>
          <w:tcPr>
            <w:tcW w:w="1210" w:type="dxa"/>
            <w:vAlign w:val="center"/>
          </w:tcPr>
          <w:p w:rsidR="00F71049" w:rsidRDefault="000B62DD">
            <w:pPr>
              <w:jc w:val="center"/>
            </w:pPr>
            <w:r>
              <w:rPr>
                <w:rFonts w:eastAsiaTheme="minorEastAsia"/>
                <w:color w:val="000000" w:themeColor="text1"/>
                <w:szCs w:val="21"/>
              </w:rPr>
              <w:t>2022-01-25</w:t>
            </w:r>
          </w:p>
        </w:tc>
        <w:tc>
          <w:tcPr>
            <w:tcW w:w="1309" w:type="dxa"/>
            <w:vAlign w:val="center"/>
          </w:tcPr>
          <w:p w:rsidR="00F71049" w:rsidRDefault="000B62DD">
            <w:pPr>
              <w:jc w:val="center"/>
            </w:pPr>
            <w:r>
              <w:rPr>
                <w:rFonts w:eastAsiaTheme="minorEastAsia"/>
                <w:color w:val="000000" w:themeColor="text1"/>
                <w:szCs w:val="21"/>
              </w:rPr>
              <w:t>-</w:t>
            </w:r>
          </w:p>
        </w:tc>
        <w:tc>
          <w:tcPr>
            <w:tcW w:w="1254" w:type="dxa"/>
            <w:vAlign w:val="center"/>
          </w:tcPr>
          <w:p w:rsidR="00F71049" w:rsidRDefault="000B62DD">
            <w:pPr>
              <w:jc w:val="center"/>
            </w:pPr>
            <w:r>
              <w:rPr>
                <w:rFonts w:eastAsiaTheme="minorEastAsia"/>
                <w:color w:val="000000" w:themeColor="text1"/>
                <w:szCs w:val="21"/>
              </w:rPr>
              <w:t>21</w:t>
            </w:r>
            <w:r>
              <w:rPr>
                <w:rFonts w:eastAsiaTheme="minorEastAsia"/>
                <w:color w:val="000000" w:themeColor="text1"/>
                <w:szCs w:val="21"/>
              </w:rPr>
              <w:t>年</w:t>
            </w:r>
          </w:p>
        </w:tc>
        <w:tc>
          <w:tcPr>
            <w:tcW w:w="3276" w:type="dxa"/>
            <w:vAlign w:val="center"/>
          </w:tcPr>
          <w:p w:rsidR="00F71049" w:rsidRDefault="000B62DD">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w:t>
            </w:r>
            <w:r>
              <w:rPr>
                <w:rFonts w:eastAsiaTheme="minorEastAsia"/>
                <w:color w:val="000000" w:themeColor="text1"/>
                <w:szCs w:val="21"/>
              </w:rPr>
              <w:lastRenderedPageBreak/>
              <w:t>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国内权益投资一部投资总监兼资深基金经理，现任副总经理兼投资总监。</w:t>
            </w:r>
          </w:p>
        </w:tc>
      </w:tr>
    </w:tbl>
    <w:p w:rsidR="00F71049" w:rsidRDefault="000B62D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F71049" w:rsidRDefault="000B62D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年三季度受内外部环境的影响市场继续下行，沪深</w:t>
      </w:r>
      <w:r>
        <w:rPr>
          <w:rFonts w:eastAsiaTheme="minorEastAsia"/>
          <w:color w:val="000000" w:themeColor="text1"/>
          <w:szCs w:val="21"/>
        </w:rPr>
        <w:t>300</w:t>
      </w:r>
      <w:r>
        <w:rPr>
          <w:rFonts w:eastAsiaTheme="minorEastAsia"/>
          <w:color w:val="000000" w:themeColor="text1"/>
          <w:szCs w:val="21"/>
        </w:rPr>
        <w:t>、创业板等指数均创出年内新低，市场成交量也出现萎缩。对于经济复苏的担忧应当是主要原因，另外叠加美国高利率的影响造成了部分资金流出。在三季度政府出台了地产的放松政策，一些经济刺激政策也是可预期的。从市场交易行为看，投资者在缩短自己的投资久期，体现为投资行为更趋短期和对高股息的偏好，对于长期的成长股表现出信心不足。我们认为这种现象的出现可能是阶段性的，也无法对长期投资形成有效的指导，但是也增加了部分低估值高分红股票。本基金基于长期成长的选股逻辑，重点投资了各个产业中的优质公司。</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有些高开低走，其实可能是符合正常规律的。经济的见底回升和复苏不可能一蹴而就，需要有一个过程，市场在年初过于乐观，但当前又过度地悲观。随着经济和社会的逐步正常化，不同的行业会回到自身的运行规律中去，当然合理有效的经济政策可以更好的推动这一进程，我们已经看到一些提前出清的行业开始出现向上的趋势。对于权益市场，经过两年多的回调股票估值已经到了相当有吸引力的位置，当下是非常好的长期布局时点，信心在目前的情况下是非常重要的。</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人工智能在上半年获得了市场的高度关注，但在三季度有大幅度的回落，这里面有交易层面的因素，也有行业发展的因素。但是作为未来可能深刻影响人类社会的技术，人工智能的发展才刚刚起步，仍然值得我们持续关注。医药行业的吸引力也越来越大，经过两年多的回调，医药股的估值已经回到历史极低区间。虽然有医疗反腐的负面影响，但是我们认为不会改变行业长期发展的逻辑，中国进入老龄化社会对医药的需求是明确。此外医药创新也为医药行业的持续增长提供了极大的动力，对此我们会持续跟踪和研究。</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我们会努力在市场中挑选估值和成长性匹配的优质品种，寻找各个产业中长期成长的公司，力争为基金持有人创造持续稳定收益。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本报告期摩根沃享远见一年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:-17.15%</w:t>
      </w:r>
      <w:r>
        <w:rPr>
          <w:rFonts w:eastAsiaTheme="minorEastAsia"/>
          <w:color w:val="000000" w:themeColor="text1"/>
          <w:szCs w:val="21"/>
        </w:rPr>
        <w:t>，同期业绩比较基准收益率为</w:t>
      </w:r>
      <w:r>
        <w:rPr>
          <w:rFonts w:eastAsiaTheme="minorEastAsia"/>
          <w:color w:val="000000" w:themeColor="text1"/>
          <w:szCs w:val="21"/>
        </w:rPr>
        <w:t>:-3.73%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摩根沃享远见一年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:-17.33%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:-3.73%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805,235,638.62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805,235,638.62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1,384,601.21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1,384,601.21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92,754,613.54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18,880,225.40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918,255,078.77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47,722,085.00</w:t>
      </w:r>
      <w:r w:rsidRPr="00B27A29">
        <w:rPr>
          <w:rFonts w:eastAsiaTheme="minorEastAsia"/>
          <w:color w:val="000000" w:themeColor="text1"/>
          <w:szCs w:val="21"/>
        </w:rPr>
        <w:t>元，占期末净值比例为</w:t>
      </w:r>
      <w:r w:rsidRPr="00B27A29">
        <w:rPr>
          <w:rFonts w:eastAsiaTheme="minorEastAsia"/>
          <w:color w:val="000000" w:themeColor="text1"/>
          <w:szCs w:val="21"/>
        </w:rPr>
        <w:t>5.21%</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w:t>
            </w:r>
            <w:r w:rsidRPr="00B27A29">
              <w:rPr>
                <w:rFonts w:eastAsiaTheme="minorEastAsia"/>
                <w:color w:val="000000" w:themeColor="text1"/>
                <w:szCs w:val="21"/>
              </w:rPr>
              <w:lastRenderedPageBreak/>
              <w:t>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10,711,579.72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2,536,905.70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0.28</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704,540,562.90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76.86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2,791,530.00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22,836,104.30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7,507,773.00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5,662,026.00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927,072.00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757,513,553.62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82.64</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F71049">
        <w:trPr>
          <w:jc w:val="center"/>
        </w:trPr>
        <w:tc>
          <w:tcPr>
            <w:tcW w:w="2397" w:type="dxa"/>
            <w:vAlign w:val="center"/>
          </w:tcPr>
          <w:p w:rsidR="00F71049" w:rsidRDefault="000B62DD">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F71049" w:rsidRDefault="000B62DD">
            <w:pPr>
              <w:jc w:val="center"/>
            </w:pPr>
            <w:r>
              <w:rPr>
                <w:rFonts w:eastAsiaTheme="minorEastAsia"/>
                <w:color w:val="000000" w:themeColor="text1"/>
                <w:szCs w:val="21"/>
              </w:rPr>
              <w:t>-</w:t>
            </w:r>
          </w:p>
        </w:tc>
        <w:tc>
          <w:tcPr>
            <w:tcW w:w="3118" w:type="dxa"/>
            <w:vAlign w:val="center"/>
          </w:tcPr>
          <w:p w:rsidR="00F71049" w:rsidRDefault="000B62DD">
            <w:pPr>
              <w:jc w:val="center"/>
            </w:pPr>
            <w:r>
              <w:rPr>
                <w:rFonts w:eastAsiaTheme="minorEastAsia"/>
                <w:color w:val="000000" w:themeColor="text1"/>
                <w:szCs w:val="21"/>
              </w:rPr>
              <w:t>-</w:t>
            </w:r>
          </w:p>
        </w:tc>
      </w:tr>
      <w:tr w:rsidR="00F71049">
        <w:trPr>
          <w:jc w:val="center"/>
        </w:trPr>
        <w:tc>
          <w:tcPr>
            <w:tcW w:w="2397" w:type="dxa"/>
            <w:vAlign w:val="center"/>
          </w:tcPr>
          <w:p w:rsidR="00F71049" w:rsidRDefault="000B62DD">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F71049" w:rsidRDefault="000B62DD">
            <w:pPr>
              <w:jc w:val="center"/>
            </w:pPr>
            <w:r>
              <w:rPr>
                <w:rFonts w:eastAsiaTheme="minorEastAsia"/>
                <w:color w:val="000000" w:themeColor="text1"/>
                <w:szCs w:val="21"/>
              </w:rPr>
              <w:t>6,418,274.02</w:t>
            </w:r>
          </w:p>
        </w:tc>
        <w:tc>
          <w:tcPr>
            <w:tcW w:w="3118" w:type="dxa"/>
            <w:vAlign w:val="center"/>
          </w:tcPr>
          <w:p w:rsidR="00F71049" w:rsidRDefault="000B62DD">
            <w:pPr>
              <w:jc w:val="center"/>
            </w:pPr>
            <w:r>
              <w:rPr>
                <w:rFonts w:eastAsiaTheme="minorEastAsia"/>
                <w:color w:val="000000" w:themeColor="text1"/>
                <w:szCs w:val="21"/>
              </w:rPr>
              <w:t>0.70</w:t>
            </w:r>
          </w:p>
        </w:tc>
      </w:tr>
      <w:tr w:rsidR="00F71049">
        <w:trPr>
          <w:jc w:val="center"/>
        </w:trPr>
        <w:tc>
          <w:tcPr>
            <w:tcW w:w="2397" w:type="dxa"/>
            <w:vAlign w:val="center"/>
          </w:tcPr>
          <w:p w:rsidR="00F71049" w:rsidRDefault="000B62DD">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F71049" w:rsidRDefault="000B62DD">
            <w:pPr>
              <w:jc w:val="center"/>
            </w:pPr>
            <w:r>
              <w:rPr>
                <w:rFonts w:eastAsiaTheme="minorEastAsia"/>
                <w:color w:val="000000" w:themeColor="text1"/>
                <w:szCs w:val="21"/>
              </w:rPr>
              <w:t>-</w:t>
            </w:r>
          </w:p>
        </w:tc>
        <w:tc>
          <w:tcPr>
            <w:tcW w:w="3118" w:type="dxa"/>
            <w:vAlign w:val="center"/>
          </w:tcPr>
          <w:p w:rsidR="00F71049" w:rsidRDefault="000B62DD">
            <w:pPr>
              <w:jc w:val="center"/>
            </w:pPr>
            <w:r>
              <w:rPr>
                <w:rFonts w:eastAsiaTheme="minorEastAsia"/>
                <w:color w:val="000000" w:themeColor="text1"/>
                <w:szCs w:val="21"/>
              </w:rPr>
              <w:t>-</w:t>
            </w:r>
          </w:p>
        </w:tc>
      </w:tr>
      <w:tr w:rsidR="00F71049">
        <w:trPr>
          <w:jc w:val="center"/>
        </w:trPr>
        <w:tc>
          <w:tcPr>
            <w:tcW w:w="2397" w:type="dxa"/>
            <w:vAlign w:val="center"/>
          </w:tcPr>
          <w:p w:rsidR="00F71049" w:rsidRDefault="000B62DD">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F71049" w:rsidRDefault="000B62DD">
            <w:pPr>
              <w:jc w:val="center"/>
            </w:pPr>
            <w:r>
              <w:rPr>
                <w:rFonts w:eastAsiaTheme="minorEastAsia"/>
                <w:color w:val="000000" w:themeColor="text1"/>
                <w:szCs w:val="21"/>
              </w:rPr>
              <w:t>-</w:t>
            </w:r>
          </w:p>
        </w:tc>
        <w:tc>
          <w:tcPr>
            <w:tcW w:w="3118" w:type="dxa"/>
            <w:vAlign w:val="center"/>
          </w:tcPr>
          <w:p w:rsidR="00F71049" w:rsidRDefault="000B62DD">
            <w:pPr>
              <w:jc w:val="center"/>
            </w:pPr>
            <w:r>
              <w:rPr>
                <w:rFonts w:eastAsiaTheme="minorEastAsia"/>
                <w:color w:val="000000" w:themeColor="text1"/>
                <w:szCs w:val="21"/>
              </w:rPr>
              <w:t>-</w:t>
            </w:r>
          </w:p>
        </w:tc>
      </w:tr>
      <w:tr w:rsidR="00F71049">
        <w:trPr>
          <w:jc w:val="center"/>
        </w:trPr>
        <w:tc>
          <w:tcPr>
            <w:tcW w:w="2397" w:type="dxa"/>
            <w:vAlign w:val="center"/>
          </w:tcPr>
          <w:p w:rsidR="00F71049" w:rsidRDefault="000B62DD">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F71049" w:rsidRDefault="000B62DD">
            <w:pPr>
              <w:jc w:val="center"/>
            </w:pPr>
            <w:r>
              <w:rPr>
                <w:rFonts w:eastAsiaTheme="minorEastAsia"/>
                <w:color w:val="000000" w:themeColor="text1"/>
                <w:szCs w:val="21"/>
              </w:rPr>
              <w:t>-</w:t>
            </w:r>
          </w:p>
        </w:tc>
        <w:tc>
          <w:tcPr>
            <w:tcW w:w="3118" w:type="dxa"/>
            <w:vAlign w:val="center"/>
          </w:tcPr>
          <w:p w:rsidR="00F71049" w:rsidRDefault="000B62DD">
            <w:pPr>
              <w:jc w:val="center"/>
            </w:pPr>
            <w:r>
              <w:rPr>
                <w:rFonts w:eastAsiaTheme="minorEastAsia"/>
                <w:color w:val="000000" w:themeColor="text1"/>
                <w:szCs w:val="21"/>
              </w:rPr>
              <w:t>-</w:t>
            </w:r>
          </w:p>
        </w:tc>
      </w:tr>
      <w:tr w:rsidR="00F71049">
        <w:trPr>
          <w:jc w:val="center"/>
        </w:trPr>
        <w:tc>
          <w:tcPr>
            <w:tcW w:w="2397" w:type="dxa"/>
            <w:vAlign w:val="center"/>
          </w:tcPr>
          <w:p w:rsidR="00F71049" w:rsidRDefault="000B62DD">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F71049" w:rsidRDefault="000B62DD">
            <w:pPr>
              <w:jc w:val="center"/>
            </w:pPr>
            <w:r>
              <w:rPr>
                <w:rFonts w:eastAsiaTheme="minorEastAsia"/>
                <w:color w:val="000000" w:themeColor="text1"/>
                <w:szCs w:val="21"/>
              </w:rPr>
              <w:t>-</w:t>
            </w:r>
          </w:p>
        </w:tc>
        <w:tc>
          <w:tcPr>
            <w:tcW w:w="3118" w:type="dxa"/>
            <w:vAlign w:val="center"/>
          </w:tcPr>
          <w:p w:rsidR="00F71049" w:rsidRDefault="000B62DD">
            <w:pPr>
              <w:jc w:val="center"/>
            </w:pPr>
            <w:r>
              <w:rPr>
                <w:rFonts w:eastAsiaTheme="minorEastAsia"/>
                <w:color w:val="000000" w:themeColor="text1"/>
                <w:szCs w:val="21"/>
              </w:rPr>
              <w:t>-</w:t>
            </w:r>
          </w:p>
        </w:tc>
      </w:tr>
      <w:tr w:rsidR="00F71049">
        <w:trPr>
          <w:jc w:val="center"/>
        </w:trPr>
        <w:tc>
          <w:tcPr>
            <w:tcW w:w="2397" w:type="dxa"/>
            <w:vAlign w:val="center"/>
          </w:tcPr>
          <w:p w:rsidR="00F71049" w:rsidRDefault="000B62DD">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F71049" w:rsidRDefault="000B62DD">
            <w:pPr>
              <w:jc w:val="center"/>
            </w:pPr>
            <w:r>
              <w:rPr>
                <w:rFonts w:eastAsiaTheme="minorEastAsia"/>
                <w:color w:val="000000" w:themeColor="text1"/>
                <w:szCs w:val="21"/>
              </w:rPr>
              <w:t>-</w:t>
            </w:r>
          </w:p>
        </w:tc>
        <w:tc>
          <w:tcPr>
            <w:tcW w:w="3118" w:type="dxa"/>
            <w:vAlign w:val="center"/>
          </w:tcPr>
          <w:p w:rsidR="00F71049" w:rsidRDefault="000B62DD">
            <w:pPr>
              <w:jc w:val="center"/>
            </w:pPr>
            <w:r>
              <w:rPr>
                <w:rFonts w:eastAsiaTheme="minorEastAsia"/>
                <w:color w:val="000000" w:themeColor="text1"/>
                <w:szCs w:val="21"/>
              </w:rPr>
              <w:t>-</w:t>
            </w:r>
          </w:p>
        </w:tc>
      </w:tr>
      <w:tr w:rsidR="00F71049">
        <w:trPr>
          <w:jc w:val="center"/>
        </w:trPr>
        <w:tc>
          <w:tcPr>
            <w:tcW w:w="2397" w:type="dxa"/>
            <w:vAlign w:val="center"/>
          </w:tcPr>
          <w:p w:rsidR="00F71049" w:rsidRDefault="000B62DD">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F71049" w:rsidRDefault="000B62DD">
            <w:pPr>
              <w:jc w:val="center"/>
            </w:pPr>
            <w:r>
              <w:rPr>
                <w:rFonts w:eastAsiaTheme="minorEastAsia"/>
                <w:color w:val="000000" w:themeColor="text1"/>
                <w:szCs w:val="21"/>
              </w:rPr>
              <w:t>-</w:t>
            </w:r>
          </w:p>
        </w:tc>
        <w:tc>
          <w:tcPr>
            <w:tcW w:w="3118" w:type="dxa"/>
            <w:vAlign w:val="center"/>
          </w:tcPr>
          <w:p w:rsidR="00F71049" w:rsidRDefault="000B62DD">
            <w:pPr>
              <w:jc w:val="center"/>
            </w:pPr>
            <w:r>
              <w:rPr>
                <w:rFonts w:eastAsiaTheme="minorEastAsia"/>
                <w:color w:val="000000" w:themeColor="text1"/>
                <w:szCs w:val="21"/>
              </w:rPr>
              <w:t>-</w:t>
            </w:r>
          </w:p>
        </w:tc>
      </w:tr>
      <w:tr w:rsidR="00F71049">
        <w:trPr>
          <w:jc w:val="center"/>
        </w:trPr>
        <w:tc>
          <w:tcPr>
            <w:tcW w:w="2397" w:type="dxa"/>
            <w:vAlign w:val="center"/>
          </w:tcPr>
          <w:p w:rsidR="00F71049" w:rsidRDefault="000B62DD">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F71049" w:rsidRDefault="000B62DD">
            <w:pPr>
              <w:jc w:val="center"/>
            </w:pPr>
            <w:r>
              <w:rPr>
                <w:rFonts w:eastAsiaTheme="minorEastAsia"/>
                <w:color w:val="000000" w:themeColor="text1"/>
                <w:szCs w:val="21"/>
              </w:rPr>
              <w:t>41,303,810.98</w:t>
            </w:r>
          </w:p>
        </w:tc>
        <w:tc>
          <w:tcPr>
            <w:tcW w:w="3118" w:type="dxa"/>
            <w:vAlign w:val="center"/>
          </w:tcPr>
          <w:p w:rsidR="00F71049" w:rsidRDefault="000B62DD">
            <w:pPr>
              <w:jc w:val="center"/>
            </w:pPr>
            <w:r>
              <w:rPr>
                <w:rFonts w:eastAsiaTheme="minorEastAsia"/>
                <w:color w:val="000000" w:themeColor="text1"/>
                <w:szCs w:val="21"/>
              </w:rPr>
              <w:t>4.51</w:t>
            </w:r>
          </w:p>
        </w:tc>
      </w:tr>
      <w:tr w:rsidR="00F71049">
        <w:trPr>
          <w:jc w:val="center"/>
        </w:trPr>
        <w:tc>
          <w:tcPr>
            <w:tcW w:w="2397" w:type="dxa"/>
            <w:vAlign w:val="center"/>
          </w:tcPr>
          <w:p w:rsidR="00F71049" w:rsidRDefault="000B62DD">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F71049" w:rsidRDefault="000B62DD">
            <w:pPr>
              <w:jc w:val="center"/>
            </w:pPr>
            <w:r>
              <w:rPr>
                <w:rFonts w:eastAsiaTheme="minorEastAsia"/>
                <w:color w:val="000000" w:themeColor="text1"/>
                <w:szCs w:val="21"/>
              </w:rPr>
              <w:t>-</w:t>
            </w:r>
          </w:p>
        </w:tc>
        <w:tc>
          <w:tcPr>
            <w:tcW w:w="3118" w:type="dxa"/>
            <w:vAlign w:val="center"/>
          </w:tcPr>
          <w:p w:rsidR="00F71049" w:rsidRDefault="000B62DD">
            <w:pPr>
              <w:jc w:val="center"/>
            </w:pPr>
            <w:r>
              <w:rPr>
                <w:rFonts w:eastAsiaTheme="minorEastAsia"/>
                <w:color w:val="000000" w:themeColor="text1"/>
                <w:szCs w:val="21"/>
              </w:rPr>
              <w:t>-</w:t>
            </w:r>
          </w:p>
        </w:tc>
      </w:tr>
      <w:tr w:rsidR="00F71049">
        <w:trPr>
          <w:jc w:val="center"/>
        </w:trPr>
        <w:tc>
          <w:tcPr>
            <w:tcW w:w="2397" w:type="dxa"/>
            <w:vAlign w:val="center"/>
          </w:tcPr>
          <w:p w:rsidR="00F71049" w:rsidRDefault="000B62DD">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F71049" w:rsidRDefault="000B62DD">
            <w:pPr>
              <w:jc w:val="center"/>
            </w:pPr>
            <w:r>
              <w:rPr>
                <w:rFonts w:eastAsiaTheme="minorEastAsia"/>
                <w:color w:val="000000" w:themeColor="text1"/>
                <w:szCs w:val="21"/>
              </w:rPr>
              <w:t>-</w:t>
            </w:r>
          </w:p>
        </w:tc>
        <w:tc>
          <w:tcPr>
            <w:tcW w:w="3118" w:type="dxa"/>
            <w:vAlign w:val="center"/>
          </w:tcPr>
          <w:p w:rsidR="00F71049" w:rsidRDefault="000B62DD">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47,722,085.00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5.21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71049">
        <w:tc>
          <w:tcPr>
            <w:tcW w:w="817" w:type="dxa"/>
            <w:vAlign w:val="center"/>
          </w:tcPr>
          <w:p w:rsidR="00F71049" w:rsidRDefault="000B62DD">
            <w:pPr>
              <w:jc w:val="center"/>
            </w:pPr>
            <w:r>
              <w:rPr>
                <w:rFonts w:eastAsiaTheme="minorEastAsia"/>
                <w:kern w:val="0"/>
                <w:szCs w:val="21"/>
              </w:rPr>
              <w:t>1</w:t>
            </w:r>
          </w:p>
        </w:tc>
        <w:tc>
          <w:tcPr>
            <w:tcW w:w="1276" w:type="dxa"/>
            <w:vAlign w:val="center"/>
          </w:tcPr>
          <w:p w:rsidR="00F71049" w:rsidRDefault="000B62DD">
            <w:pPr>
              <w:jc w:val="center"/>
            </w:pPr>
            <w:r>
              <w:rPr>
                <w:rFonts w:eastAsiaTheme="minorEastAsia"/>
                <w:kern w:val="0"/>
                <w:szCs w:val="21"/>
              </w:rPr>
              <w:t>002236</w:t>
            </w:r>
          </w:p>
        </w:tc>
        <w:tc>
          <w:tcPr>
            <w:tcW w:w="1701" w:type="dxa"/>
            <w:vAlign w:val="center"/>
          </w:tcPr>
          <w:p w:rsidR="00F71049" w:rsidRDefault="000B62DD">
            <w:pPr>
              <w:jc w:val="center"/>
            </w:pPr>
            <w:r>
              <w:rPr>
                <w:rFonts w:eastAsiaTheme="minorEastAsia"/>
                <w:kern w:val="0"/>
                <w:szCs w:val="21"/>
              </w:rPr>
              <w:t>大华股份</w:t>
            </w:r>
          </w:p>
        </w:tc>
        <w:tc>
          <w:tcPr>
            <w:tcW w:w="1276" w:type="dxa"/>
            <w:vAlign w:val="center"/>
          </w:tcPr>
          <w:p w:rsidR="00F71049" w:rsidRDefault="000B62DD">
            <w:pPr>
              <w:jc w:val="right"/>
            </w:pPr>
            <w:r>
              <w:rPr>
                <w:rFonts w:eastAsiaTheme="minorEastAsia"/>
                <w:kern w:val="0"/>
                <w:szCs w:val="21"/>
              </w:rPr>
              <w:t>3,944,860.00</w:t>
            </w:r>
          </w:p>
        </w:tc>
        <w:tc>
          <w:tcPr>
            <w:tcW w:w="1842" w:type="dxa"/>
            <w:vAlign w:val="center"/>
          </w:tcPr>
          <w:p w:rsidR="00F71049" w:rsidRDefault="000B62DD">
            <w:pPr>
              <w:jc w:val="right"/>
            </w:pPr>
            <w:r>
              <w:rPr>
                <w:rFonts w:eastAsiaTheme="minorEastAsia"/>
                <w:kern w:val="0"/>
                <w:szCs w:val="21"/>
              </w:rPr>
              <w:t>87,852,032.20</w:t>
            </w:r>
          </w:p>
        </w:tc>
        <w:tc>
          <w:tcPr>
            <w:tcW w:w="1616" w:type="dxa"/>
            <w:vAlign w:val="center"/>
          </w:tcPr>
          <w:p w:rsidR="00F71049" w:rsidRDefault="000B62DD">
            <w:pPr>
              <w:jc w:val="right"/>
            </w:pPr>
            <w:r>
              <w:rPr>
                <w:rFonts w:eastAsiaTheme="minorEastAsia"/>
                <w:kern w:val="0"/>
                <w:szCs w:val="21"/>
              </w:rPr>
              <w:t>9.58</w:t>
            </w:r>
          </w:p>
        </w:tc>
      </w:tr>
      <w:tr w:rsidR="00F71049">
        <w:tc>
          <w:tcPr>
            <w:tcW w:w="817" w:type="dxa"/>
            <w:vAlign w:val="center"/>
          </w:tcPr>
          <w:p w:rsidR="00F71049" w:rsidRDefault="000B62DD">
            <w:pPr>
              <w:jc w:val="center"/>
            </w:pPr>
            <w:r>
              <w:rPr>
                <w:rFonts w:eastAsiaTheme="minorEastAsia"/>
                <w:kern w:val="0"/>
                <w:szCs w:val="21"/>
              </w:rPr>
              <w:t>2</w:t>
            </w:r>
          </w:p>
        </w:tc>
        <w:tc>
          <w:tcPr>
            <w:tcW w:w="1276" w:type="dxa"/>
            <w:vAlign w:val="center"/>
          </w:tcPr>
          <w:p w:rsidR="00F71049" w:rsidRDefault="000B62DD">
            <w:pPr>
              <w:jc w:val="center"/>
            </w:pPr>
            <w:r>
              <w:rPr>
                <w:rFonts w:eastAsiaTheme="minorEastAsia"/>
                <w:kern w:val="0"/>
                <w:szCs w:val="21"/>
              </w:rPr>
              <w:t>300308</w:t>
            </w:r>
          </w:p>
        </w:tc>
        <w:tc>
          <w:tcPr>
            <w:tcW w:w="1701" w:type="dxa"/>
            <w:vAlign w:val="center"/>
          </w:tcPr>
          <w:p w:rsidR="00F71049" w:rsidRDefault="000B62DD">
            <w:pPr>
              <w:jc w:val="center"/>
            </w:pPr>
            <w:r>
              <w:rPr>
                <w:rFonts w:eastAsiaTheme="minorEastAsia"/>
                <w:kern w:val="0"/>
                <w:szCs w:val="21"/>
              </w:rPr>
              <w:t>中际旭创</w:t>
            </w:r>
          </w:p>
        </w:tc>
        <w:tc>
          <w:tcPr>
            <w:tcW w:w="1276" w:type="dxa"/>
            <w:vAlign w:val="center"/>
          </w:tcPr>
          <w:p w:rsidR="00F71049" w:rsidRDefault="000B62DD">
            <w:pPr>
              <w:jc w:val="right"/>
            </w:pPr>
            <w:r>
              <w:rPr>
                <w:rFonts w:eastAsiaTheme="minorEastAsia"/>
                <w:kern w:val="0"/>
                <w:szCs w:val="21"/>
              </w:rPr>
              <w:t>734,008.00</w:t>
            </w:r>
          </w:p>
        </w:tc>
        <w:tc>
          <w:tcPr>
            <w:tcW w:w="1842" w:type="dxa"/>
            <w:vAlign w:val="center"/>
          </w:tcPr>
          <w:p w:rsidR="00F71049" w:rsidRDefault="000B62DD">
            <w:pPr>
              <w:jc w:val="right"/>
            </w:pPr>
            <w:r>
              <w:rPr>
                <w:rFonts w:eastAsiaTheme="minorEastAsia"/>
                <w:kern w:val="0"/>
                <w:szCs w:val="21"/>
              </w:rPr>
              <w:t>84,998,126.40</w:t>
            </w:r>
          </w:p>
        </w:tc>
        <w:tc>
          <w:tcPr>
            <w:tcW w:w="1616" w:type="dxa"/>
            <w:vAlign w:val="center"/>
          </w:tcPr>
          <w:p w:rsidR="00F71049" w:rsidRDefault="000B62DD">
            <w:pPr>
              <w:jc w:val="right"/>
            </w:pPr>
            <w:r>
              <w:rPr>
                <w:rFonts w:eastAsiaTheme="minorEastAsia"/>
                <w:kern w:val="0"/>
                <w:szCs w:val="21"/>
              </w:rPr>
              <w:t>9.27</w:t>
            </w:r>
          </w:p>
        </w:tc>
      </w:tr>
      <w:tr w:rsidR="00F71049">
        <w:tc>
          <w:tcPr>
            <w:tcW w:w="817" w:type="dxa"/>
            <w:vAlign w:val="center"/>
          </w:tcPr>
          <w:p w:rsidR="00F71049" w:rsidRDefault="000B62DD">
            <w:pPr>
              <w:jc w:val="center"/>
            </w:pPr>
            <w:r>
              <w:rPr>
                <w:rFonts w:eastAsiaTheme="minorEastAsia"/>
                <w:kern w:val="0"/>
                <w:szCs w:val="21"/>
              </w:rPr>
              <w:t>3</w:t>
            </w:r>
          </w:p>
        </w:tc>
        <w:tc>
          <w:tcPr>
            <w:tcW w:w="1276" w:type="dxa"/>
            <w:vAlign w:val="center"/>
          </w:tcPr>
          <w:p w:rsidR="00F71049" w:rsidRDefault="000B62DD">
            <w:pPr>
              <w:jc w:val="center"/>
            </w:pPr>
            <w:r>
              <w:rPr>
                <w:rFonts w:eastAsiaTheme="minorEastAsia"/>
                <w:kern w:val="0"/>
                <w:szCs w:val="21"/>
              </w:rPr>
              <w:t>300750</w:t>
            </w:r>
          </w:p>
        </w:tc>
        <w:tc>
          <w:tcPr>
            <w:tcW w:w="1701" w:type="dxa"/>
            <w:vAlign w:val="center"/>
          </w:tcPr>
          <w:p w:rsidR="00F71049" w:rsidRDefault="000B62DD">
            <w:pPr>
              <w:jc w:val="center"/>
            </w:pPr>
            <w:r>
              <w:rPr>
                <w:rFonts w:eastAsiaTheme="minorEastAsia"/>
                <w:kern w:val="0"/>
                <w:szCs w:val="21"/>
              </w:rPr>
              <w:t>宁德时代</w:t>
            </w:r>
          </w:p>
        </w:tc>
        <w:tc>
          <w:tcPr>
            <w:tcW w:w="1276" w:type="dxa"/>
            <w:vAlign w:val="center"/>
          </w:tcPr>
          <w:p w:rsidR="00F71049" w:rsidRDefault="000B62DD">
            <w:pPr>
              <w:jc w:val="right"/>
            </w:pPr>
            <w:r>
              <w:rPr>
                <w:rFonts w:eastAsiaTheme="minorEastAsia"/>
                <w:kern w:val="0"/>
                <w:szCs w:val="21"/>
              </w:rPr>
              <w:t>364,960.00</w:t>
            </w:r>
          </w:p>
        </w:tc>
        <w:tc>
          <w:tcPr>
            <w:tcW w:w="1842" w:type="dxa"/>
            <w:vAlign w:val="center"/>
          </w:tcPr>
          <w:p w:rsidR="00F71049" w:rsidRDefault="000B62DD">
            <w:pPr>
              <w:jc w:val="right"/>
            </w:pPr>
            <w:r>
              <w:rPr>
                <w:rFonts w:eastAsiaTheme="minorEastAsia"/>
                <w:kern w:val="0"/>
                <w:szCs w:val="21"/>
              </w:rPr>
              <w:t>74,097,828.80</w:t>
            </w:r>
          </w:p>
        </w:tc>
        <w:tc>
          <w:tcPr>
            <w:tcW w:w="1616" w:type="dxa"/>
            <w:vAlign w:val="center"/>
          </w:tcPr>
          <w:p w:rsidR="00F71049" w:rsidRDefault="000B62DD">
            <w:pPr>
              <w:jc w:val="right"/>
            </w:pPr>
            <w:r>
              <w:rPr>
                <w:rFonts w:eastAsiaTheme="minorEastAsia"/>
                <w:kern w:val="0"/>
                <w:szCs w:val="21"/>
              </w:rPr>
              <w:t>8.08</w:t>
            </w:r>
          </w:p>
        </w:tc>
      </w:tr>
      <w:tr w:rsidR="00F71049">
        <w:tc>
          <w:tcPr>
            <w:tcW w:w="817" w:type="dxa"/>
            <w:vAlign w:val="center"/>
          </w:tcPr>
          <w:p w:rsidR="00F71049" w:rsidRDefault="000B62DD">
            <w:pPr>
              <w:jc w:val="center"/>
            </w:pPr>
            <w:r>
              <w:rPr>
                <w:rFonts w:eastAsiaTheme="minorEastAsia"/>
                <w:kern w:val="0"/>
                <w:szCs w:val="21"/>
              </w:rPr>
              <w:t>4</w:t>
            </w:r>
          </w:p>
        </w:tc>
        <w:tc>
          <w:tcPr>
            <w:tcW w:w="1276" w:type="dxa"/>
            <w:vAlign w:val="center"/>
          </w:tcPr>
          <w:p w:rsidR="00F71049" w:rsidRDefault="000B62DD">
            <w:pPr>
              <w:jc w:val="center"/>
            </w:pPr>
            <w:r>
              <w:rPr>
                <w:rFonts w:eastAsiaTheme="minorEastAsia"/>
                <w:kern w:val="0"/>
                <w:szCs w:val="21"/>
              </w:rPr>
              <w:t>300394</w:t>
            </w:r>
          </w:p>
        </w:tc>
        <w:tc>
          <w:tcPr>
            <w:tcW w:w="1701" w:type="dxa"/>
            <w:vAlign w:val="center"/>
          </w:tcPr>
          <w:p w:rsidR="00F71049" w:rsidRDefault="000B62DD">
            <w:pPr>
              <w:jc w:val="center"/>
            </w:pPr>
            <w:r>
              <w:rPr>
                <w:rFonts w:eastAsiaTheme="minorEastAsia"/>
                <w:kern w:val="0"/>
                <w:szCs w:val="21"/>
              </w:rPr>
              <w:t>天孚通信</w:t>
            </w:r>
          </w:p>
        </w:tc>
        <w:tc>
          <w:tcPr>
            <w:tcW w:w="1276" w:type="dxa"/>
            <w:vAlign w:val="center"/>
          </w:tcPr>
          <w:p w:rsidR="00F71049" w:rsidRDefault="000B62DD">
            <w:pPr>
              <w:jc w:val="right"/>
            </w:pPr>
            <w:r>
              <w:rPr>
                <w:rFonts w:eastAsiaTheme="minorEastAsia"/>
                <w:kern w:val="0"/>
                <w:szCs w:val="21"/>
              </w:rPr>
              <w:t>719,462.00</w:t>
            </w:r>
          </w:p>
        </w:tc>
        <w:tc>
          <w:tcPr>
            <w:tcW w:w="1842" w:type="dxa"/>
            <w:vAlign w:val="center"/>
          </w:tcPr>
          <w:p w:rsidR="00F71049" w:rsidRDefault="000B62DD">
            <w:pPr>
              <w:jc w:val="right"/>
            </w:pPr>
            <w:r>
              <w:rPr>
                <w:rFonts w:eastAsiaTheme="minorEastAsia"/>
                <w:kern w:val="0"/>
                <w:szCs w:val="21"/>
              </w:rPr>
              <w:t>68,348,890.00</w:t>
            </w:r>
          </w:p>
        </w:tc>
        <w:tc>
          <w:tcPr>
            <w:tcW w:w="1616" w:type="dxa"/>
            <w:vAlign w:val="center"/>
          </w:tcPr>
          <w:p w:rsidR="00F71049" w:rsidRDefault="000B62DD">
            <w:pPr>
              <w:jc w:val="right"/>
            </w:pPr>
            <w:r>
              <w:rPr>
                <w:rFonts w:eastAsiaTheme="minorEastAsia"/>
                <w:kern w:val="0"/>
                <w:szCs w:val="21"/>
              </w:rPr>
              <w:t>7.46</w:t>
            </w:r>
          </w:p>
        </w:tc>
      </w:tr>
      <w:tr w:rsidR="00F71049">
        <w:tc>
          <w:tcPr>
            <w:tcW w:w="817" w:type="dxa"/>
            <w:vAlign w:val="center"/>
          </w:tcPr>
          <w:p w:rsidR="00F71049" w:rsidRDefault="000B62DD">
            <w:pPr>
              <w:jc w:val="center"/>
            </w:pPr>
            <w:r>
              <w:rPr>
                <w:rFonts w:eastAsiaTheme="minorEastAsia"/>
                <w:kern w:val="0"/>
                <w:szCs w:val="21"/>
              </w:rPr>
              <w:t>5</w:t>
            </w:r>
          </w:p>
        </w:tc>
        <w:tc>
          <w:tcPr>
            <w:tcW w:w="1276" w:type="dxa"/>
            <w:vAlign w:val="center"/>
          </w:tcPr>
          <w:p w:rsidR="00F71049" w:rsidRDefault="000B62DD">
            <w:pPr>
              <w:jc w:val="center"/>
            </w:pPr>
            <w:r>
              <w:rPr>
                <w:rFonts w:eastAsiaTheme="minorEastAsia"/>
                <w:kern w:val="0"/>
                <w:szCs w:val="21"/>
              </w:rPr>
              <w:t>601138</w:t>
            </w:r>
          </w:p>
        </w:tc>
        <w:tc>
          <w:tcPr>
            <w:tcW w:w="1701" w:type="dxa"/>
            <w:vAlign w:val="center"/>
          </w:tcPr>
          <w:p w:rsidR="00F71049" w:rsidRDefault="000B62DD">
            <w:pPr>
              <w:jc w:val="center"/>
            </w:pPr>
            <w:r>
              <w:rPr>
                <w:rFonts w:eastAsiaTheme="minorEastAsia"/>
                <w:kern w:val="0"/>
                <w:szCs w:val="21"/>
              </w:rPr>
              <w:t>工业富联</w:t>
            </w:r>
          </w:p>
        </w:tc>
        <w:tc>
          <w:tcPr>
            <w:tcW w:w="1276" w:type="dxa"/>
            <w:vAlign w:val="center"/>
          </w:tcPr>
          <w:p w:rsidR="00F71049" w:rsidRDefault="000B62DD">
            <w:pPr>
              <w:jc w:val="right"/>
            </w:pPr>
            <w:r>
              <w:rPr>
                <w:rFonts w:eastAsiaTheme="minorEastAsia"/>
                <w:kern w:val="0"/>
                <w:szCs w:val="21"/>
              </w:rPr>
              <w:t>2,734,000.00</w:t>
            </w:r>
          </w:p>
        </w:tc>
        <w:tc>
          <w:tcPr>
            <w:tcW w:w="1842" w:type="dxa"/>
            <w:vAlign w:val="center"/>
          </w:tcPr>
          <w:p w:rsidR="00F71049" w:rsidRDefault="000B62DD">
            <w:pPr>
              <w:jc w:val="right"/>
            </w:pPr>
            <w:r>
              <w:rPr>
                <w:rFonts w:eastAsiaTheme="minorEastAsia"/>
                <w:kern w:val="0"/>
                <w:szCs w:val="21"/>
              </w:rPr>
              <w:t>53,859,800.00</w:t>
            </w:r>
          </w:p>
        </w:tc>
        <w:tc>
          <w:tcPr>
            <w:tcW w:w="1616" w:type="dxa"/>
            <w:vAlign w:val="center"/>
          </w:tcPr>
          <w:p w:rsidR="00F71049" w:rsidRDefault="000B62DD">
            <w:pPr>
              <w:jc w:val="right"/>
            </w:pPr>
            <w:r>
              <w:rPr>
                <w:rFonts w:eastAsiaTheme="minorEastAsia"/>
                <w:kern w:val="0"/>
                <w:szCs w:val="21"/>
              </w:rPr>
              <w:t>5.88</w:t>
            </w:r>
          </w:p>
        </w:tc>
      </w:tr>
      <w:tr w:rsidR="00F71049">
        <w:tc>
          <w:tcPr>
            <w:tcW w:w="817" w:type="dxa"/>
            <w:vAlign w:val="center"/>
          </w:tcPr>
          <w:p w:rsidR="00F71049" w:rsidRDefault="000B62DD">
            <w:pPr>
              <w:jc w:val="center"/>
            </w:pPr>
            <w:r>
              <w:rPr>
                <w:rFonts w:eastAsiaTheme="minorEastAsia"/>
                <w:kern w:val="0"/>
                <w:szCs w:val="21"/>
              </w:rPr>
              <w:t>6</w:t>
            </w:r>
          </w:p>
        </w:tc>
        <w:tc>
          <w:tcPr>
            <w:tcW w:w="1276" w:type="dxa"/>
            <w:vAlign w:val="center"/>
          </w:tcPr>
          <w:p w:rsidR="00F71049" w:rsidRDefault="000B62DD">
            <w:pPr>
              <w:jc w:val="center"/>
            </w:pPr>
            <w:r>
              <w:rPr>
                <w:rFonts w:eastAsiaTheme="minorEastAsia"/>
                <w:kern w:val="0"/>
                <w:szCs w:val="21"/>
              </w:rPr>
              <w:t>002475</w:t>
            </w:r>
          </w:p>
        </w:tc>
        <w:tc>
          <w:tcPr>
            <w:tcW w:w="1701" w:type="dxa"/>
            <w:vAlign w:val="center"/>
          </w:tcPr>
          <w:p w:rsidR="00F71049" w:rsidRDefault="000B62DD">
            <w:pPr>
              <w:jc w:val="center"/>
            </w:pPr>
            <w:r>
              <w:rPr>
                <w:rFonts w:eastAsiaTheme="minorEastAsia"/>
                <w:kern w:val="0"/>
                <w:szCs w:val="21"/>
              </w:rPr>
              <w:t>立讯精密</w:t>
            </w:r>
          </w:p>
        </w:tc>
        <w:tc>
          <w:tcPr>
            <w:tcW w:w="1276" w:type="dxa"/>
            <w:vAlign w:val="center"/>
          </w:tcPr>
          <w:p w:rsidR="00F71049" w:rsidRDefault="000B62DD">
            <w:pPr>
              <w:jc w:val="right"/>
            </w:pPr>
            <w:r>
              <w:rPr>
                <w:rFonts w:eastAsiaTheme="minorEastAsia"/>
                <w:kern w:val="0"/>
                <w:szCs w:val="21"/>
              </w:rPr>
              <w:t>1,550,400.00</w:t>
            </w:r>
          </w:p>
        </w:tc>
        <w:tc>
          <w:tcPr>
            <w:tcW w:w="1842" w:type="dxa"/>
            <w:vAlign w:val="center"/>
          </w:tcPr>
          <w:p w:rsidR="00F71049" w:rsidRDefault="000B62DD">
            <w:pPr>
              <w:jc w:val="right"/>
            </w:pPr>
            <w:r>
              <w:rPr>
                <w:rFonts w:eastAsiaTheme="minorEastAsia"/>
                <w:kern w:val="0"/>
                <w:szCs w:val="21"/>
              </w:rPr>
              <w:t>46,232,928.00</w:t>
            </w:r>
          </w:p>
        </w:tc>
        <w:tc>
          <w:tcPr>
            <w:tcW w:w="1616" w:type="dxa"/>
            <w:vAlign w:val="center"/>
          </w:tcPr>
          <w:p w:rsidR="00F71049" w:rsidRDefault="000B62DD">
            <w:pPr>
              <w:jc w:val="right"/>
            </w:pPr>
            <w:r>
              <w:rPr>
                <w:rFonts w:eastAsiaTheme="minorEastAsia"/>
                <w:kern w:val="0"/>
                <w:szCs w:val="21"/>
              </w:rPr>
              <w:t>5.04</w:t>
            </w:r>
          </w:p>
        </w:tc>
      </w:tr>
      <w:tr w:rsidR="00F71049">
        <w:tc>
          <w:tcPr>
            <w:tcW w:w="817" w:type="dxa"/>
            <w:vAlign w:val="center"/>
          </w:tcPr>
          <w:p w:rsidR="00F71049" w:rsidRDefault="000B62DD">
            <w:pPr>
              <w:jc w:val="center"/>
            </w:pPr>
            <w:r>
              <w:rPr>
                <w:rFonts w:eastAsiaTheme="minorEastAsia"/>
                <w:kern w:val="0"/>
                <w:szCs w:val="21"/>
              </w:rPr>
              <w:t>7</w:t>
            </w:r>
          </w:p>
        </w:tc>
        <w:tc>
          <w:tcPr>
            <w:tcW w:w="1276" w:type="dxa"/>
            <w:vAlign w:val="center"/>
          </w:tcPr>
          <w:p w:rsidR="00F71049" w:rsidRDefault="000B62DD">
            <w:pPr>
              <w:jc w:val="center"/>
            </w:pPr>
            <w:r>
              <w:rPr>
                <w:rFonts w:eastAsiaTheme="minorEastAsia"/>
                <w:kern w:val="0"/>
                <w:szCs w:val="21"/>
              </w:rPr>
              <w:t>00700</w:t>
            </w:r>
          </w:p>
        </w:tc>
        <w:tc>
          <w:tcPr>
            <w:tcW w:w="1701" w:type="dxa"/>
            <w:vAlign w:val="center"/>
          </w:tcPr>
          <w:p w:rsidR="00F71049" w:rsidRDefault="000B62DD">
            <w:pPr>
              <w:jc w:val="center"/>
            </w:pPr>
            <w:r>
              <w:rPr>
                <w:rFonts w:eastAsiaTheme="minorEastAsia"/>
                <w:kern w:val="0"/>
                <w:szCs w:val="21"/>
              </w:rPr>
              <w:t>腾讯控股</w:t>
            </w:r>
          </w:p>
        </w:tc>
        <w:tc>
          <w:tcPr>
            <w:tcW w:w="1276" w:type="dxa"/>
            <w:vAlign w:val="center"/>
          </w:tcPr>
          <w:p w:rsidR="00F71049" w:rsidRDefault="000B62DD">
            <w:pPr>
              <w:jc w:val="right"/>
            </w:pPr>
            <w:r>
              <w:rPr>
                <w:rFonts w:eastAsiaTheme="minorEastAsia"/>
                <w:kern w:val="0"/>
                <w:szCs w:val="21"/>
              </w:rPr>
              <w:t>147,000.00</w:t>
            </w:r>
          </w:p>
        </w:tc>
        <w:tc>
          <w:tcPr>
            <w:tcW w:w="1842" w:type="dxa"/>
            <w:vAlign w:val="center"/>
          </w:tcPr>
          <w:p w:rsidR="00F71049" w:rsidRDefault="000B62DD">
            <w:pPr>
              <w:jc w:val="right"/>
            </w:pPr>
            <w:r>
              <w:rPr>
                <w:rFonts w:eastAsiaTheme="minorEastAsia"/>
                <w:kern w:val="0"/>
                <w:szCs w:val="21"/>
              </w:rPr>
              <w:t>41,303,810.98</w:t>
            </w:r>
          </w:p>
        </w:tc>
        <w:tc>
          <w:tcPr>
            <w:tcW w:w="1616" w:type="dxa"/>
            <w:vAlign w:val="center"/>
          </w:tcPr>
          <w:p w:rsidR="00F71049" w:rsidRDefault="000B62DD">
            <w:pPr>
              <w:jc w:val="right"/>
            </w:pPr>
            <w:r>
              <w:rPr>
                <w:rFonts w:eastAsiaTheme="minorEastAsia"/>
                <w:kern w:val="0"/>
                <w:szCs w:val="21"/>
              </w:rPr>
              <w:t>4.51</w:t>
            </w:r>
          </w:p>
        </w:tc>
      </w:tr>
      <w:tr w:rsidR="00F71049">
        <w:tc>
          <w:tcPr>
            <w:tcW w:w="817" w:type="dxa"/>
            <w:vAlign w:val="center"/>
          </w:tcPr>
          <w:p w:rsidR="00F71049" w:rsidRDefault="000B62DD">
            <w:pPr>
              <w:jc w:val="center"/>
            </w:pPr>
            <w:r>
              <w:rPr>
                <w:rFonts w:eastAsiaTheme="minorEastAsia"/>
                <w:kern w:val="0"/>
                <w:szCs w:val="21"/>
              </w:rPr>
              <w:t>8</w:t>
            </w:r>
          </w:p>
        </w:tc>
        <w:tc>
          <w:tcPr>
            <w:tcW w:w="1276" w:type="dxa"/>
            <w:vAlign w:val="center"/>
          </w:tcPr>
          <w:p w:rsidR="00F71049" w:rsidRDefault="000B62DD">
            <w:pPr>
              <w:jc w:val="center"/>
            </w:pPr>
            <w:r>
              <w:rPr>
                <w:rFonts w:eastAsiaTheme="minorEastAsia"/>
                <w:kern w:val="0"/>
                <w:szCs w:val="21"/>
              </w:rPr>
              <w:t>688472</w:t>
            </w:r>
          </w:p>
        </w:tc>
        <w:tc>
          <w:tcPr>
            <w:tcW w:w="1701" w:type="dxa"/>
            <w:vAlign w:val="center"/>
          </w:tcPr>
          <w:p w:rsidR="00F71049" w:rsidRDefault="000B62DD">
            <w:pPr>
              <w:jc w:val="center"/>
            </w:pPr>
            <w:r>
              <w:rPr>
                <w:rFonts w:eastAsiaTheme="minorEastAsia"/>
                <w:kern w:val="0"/>
                <w:szCs w:val="21"/>
              </w:rPr>
              <w:t>阿特斯</w:t>
            </w:r>
          </w:p>
        </w:tc>
        <w:tc>
          <w:tcPr>
            <w:tcW w:w="1276" w:type="dxa"/>
            <w:vAlign w:val="center"/>
          </w:tcPr>
          <w:p w:rsidR="00F71049" w:rsidRDefault="000B62DD">
            <w:pPr>
              <w:jc w:val="right"/>
            </w:pPr>
            <w:r>
              <w:rPr>
                <w:rFonts w:eastAsiaTheme="minorEastAsia"/>
                <w:kern w:val="0"/>
                <w:szCs w:val="21"/>
              </w:rPr>
              <w:t>1,887,518.00</w:t>
            </w:r>
          </w:p>
        </w:tc>
        <w:tc>
          <w:tcPr>
            <w:tcW w:w="1842" w:type="dxa"/>
            <w:vAlign w:val="center"/>
          </w:tcPr>
          <w:p w:rsidR="00F71049" w:rsidRDefault="000B62DD">
            <w:pPr>
              <w:jc w:val="right"/>
            </w:pPr>
            <w:r>
              <w:rPr>
                <w:rFonts w:eastAsiaTheme="minorEastAsia"/>
                <w:kern w:val="0"/>
                <w:szCs w:val="21"/>
              </w:rPr>
              <w:t>26,840,505.96</w:t>
            </w:r>
          </w:p>
        </w:tc>
        <w:tc>
          <w:tcPr>
            <w:tcW w:w="1616" w:type="dxa"/>
            <w:vAlign w:val="center"/>
          </w:tcPr>
          <w:p w:rsidR="00F71049" w:rsidRDefault="000B62DD">
            <w:pPr>
              <w:jc w:val="right"/>
            </w:pPr>
            <w:r>
              <w:rPr>
                <w:rFonts w:eastAsiaTheme="minorEastAsia"/>
                <w:kern w:val="0"/>
                <w:szCs w:val="21"/>
              </w:rPr>
              <w:t>2.93</w:t>
            </w:r>
          </w:p>
        </w:tc>
      </w:tr>
      <w:tr w:rsidR="00F71049">
        <w:tc>
          <w:tcPr>
            <w:tcW w:w="817" w:type="dxa"/>
            <w:vAlign w:val="center"/>
          </w:tcPr>
          <w:p w:rsidR="00F71049" w:rsidRDefault="000B62DD">
            <w:pPr>
              <w:jc w:val="center"/>
            </w:pPr>
            <w:r>
              <w:rPr>
                <w:rFonts w:eastAsiaTheme="minorEastAsia"/>
                <w:kern w:val="0"/>
                <w:szCs w:val="21"/>
              </w:rPr>
              <w:t>9</w:t>
            </w:r>
          </w:p>
        </w:tc>
        <w:tc>
          <w:tcPr>
            <w:tcW w:w="1276" w:type="dxa"/>
            <w:vAlign w:val="center"/>
          </w:tcPr>
          <w:p w:rsidR="00F71049" w:rsidRDefault="000B62DD">
            <w:pPr>
              <w:jc w:val="center"/>
            </w:pPr>
            <w:r>
              <w:rPr>
                <w:rFonts w:eastAsiaTheme="minorEastAsia"/>
                <w:kern w:val="0"/>
                <w:szCs w:val="21"/>
              </w:rPr>
              <w:t>300014</w:t>
            </w:r>
          </w:p>
        </w:tc>
        <w:tc>
          <w:tcPr>
            <w:tcW w:w="1701" w:type="dxa"/>
            <w:vAlign w:val="center"/>
          </w:tcPr>
          <w:p w:rsidR="00F71049" w:rsidRDefault="000B62DD">
            <w:pPr>
              <w:jc w:val="center"/>
            </w:pPr>
            <w:r>
              <w:rPr>
                <w:rFonts w:eastAsiaTheme="minorEastAsia"/>
                <w:kern w:val="0"/>
                <w:szCs w:val="21"/>
              </w:rPr>
              <w:t>亿纬锂能</w:t>
            </w:r>
          </w:p>
        </w:tc>
        <w:tc>
          <w:tcPr>
            <w:tcW w:w="1276" w:type="dxa"/>
            <w:vAlign w:val="center"/>
          </w:tcPr>
          <w:p w:rsidR="00F71049" w:rsidRDefault="000B62DD">
            <w:pPr>
              <w:jc w:val="right"/>
            </w:pPr>
            <w:r>
              <w:rPr>
                <w:rFonts w:eastAsiaTheme="minorEastAsia"/>
                <w:kern w:val="0"/>
                <w:szCs w:val="21"/>
              </w:rPr>
              <w:t>590,800.00</w:t>
            </w:r>
          </w:p>
        </w:tc>
        <w:tc>
          <w:tcPr>
            <w:tcW w:w="1842" w:type="dxa"/>
            <w:vAlign w:val="center"/>
          </w:tcPr>
          <w:p w:rsidR="00F71049" w:rsidRDefault="000B62DD">
            <w:pPr>
              <w:jc w:val="right"/>
            </w:pPr>
            <w:r>
              <w:rPr>
                <w:rFonts w:eastAsiaTheme="minorEastAsia"/>
                <w:kern w:val="0"/>
                <w:szCs w:val="21"/>
              </w:rPr>
              <w:t>26,656,896.00</w:t>
            </w:r>
          </w:p>
        </w:tc>
        <w:tc>
          <w:tcPr>
            <w:tcW w:w="1616" w:type="dxa"/>
            <w:vAlign w:val="center"/>
          </w:tcPr>
          <w:p w:rsidR="00F71049" w:rsidRDefault="000B62DD">
            <w:pPr>
              <w:jc w:val="right"/>
            </w:pPr>
            <w:r>
              <w:rPr>
                <w:rFonts w:eastAsiaTheme="minorEastAsia"/>
                <w:kern w:val="0"/>
                <w:szCs w:val="21"/>
              </w:rPr>
              <w:t>2.91</w:t>
            </w:r>
          </w:p>
        </w:tc>
      </w:tr>
      <w:tr w:rsidR="00F71049">
        <w:tc>
          <w:tcPr>
            <w:tcW w:w="817" w:type="dxa"/>
            <w:vAlign w:val="center"/>
          </w:tcPr>
          <w:p w:rsidR="00F71049" w:rsidRDefault="000B62DD">
            <w:pPr>
              <w:jc w:val="center"/>
            </w:pPr>
            <w:r>
              <w:rPr>
                <w:rFonts w:eastAsiaTheme="minorEastAsia"/>
                <w:kern w:val="0"/>
                <w:szCs w:val="21"/>
              </w:rPr>
              <w:t>10</w:t>
            </w:r>
          </w:p>
        </w:tc>
        <w:tc>
          <w:tcPr>
            <w:tcW w:w="1276" w:type="dxa"/>
            <w:vAlign w:val="center"/>
          </w:tcPr>
          <w:p w:rsidR="00F71049" w:rsidRDefault="000B62DD">
            <w:pPr>
              <w:jc w:val="center"/>
            </w:pPr>
            <w:r>
              <w:rPr>
                <w:rFonts w:eastAsiaTheme="minorEastAsia"/>
                <w:kern w:val="0"/>
                <w:szCs w:val="21"/>
              </w:rPr>
              <w:t>300274</w:t>
            </w:r>
          </w:p>
        </w:tc>
        <w:tc>
          <w:tcPr>
            <w:tcW w:w="1701" w:type="dxa"/>
            <w:vAlign w:val="center"/>
          </w:tcPr>
          <w:p w:rsidR="00F71049" w:rsidRDefault="000B62DD">
            <w:pPr>
              <w:jc w:val="center"/>
            </w:pPr>
            <w:r>
              <w:rPr>
                <w:rFonts w:eastAsiaTheme="minorEastAsia"/>
                <w:kern w:val="0"/>
                <w:szCs w:val="21"/>
              </w:rPr>
              <w:t>阳光电源</w:t>
            </w:r>
          </w:p>
        </w:tc>
        <w:tc>
          <w:tcPr>
            <w:tcW w:w="1276" w:type="dxa"/>
            <w:vAlign w:val="center"/>
          </w:tcPr>
          <w:p w:rsidR="00F71049" w:rsidRDefault="000B62DD">
            <w:pPr>
              <w:jc w:val="right"/>
            </w:pPr>
            <w:r>
              <w:rPr>
                <w:rFonts w:eastAsiaTheme="minorEastAsia"/>
                <w:kern w:val="0"/>
                <w:szCs w:val="21"/>
              </w:rPr>
              <w:t>292,615.00</w:t>
            </w:r>
          </w:p>
        </w:tc>
        <w:tc>
          <w:tcPr>
            <w:tcW w:w="1842" w:type="dxa"/>
            <w:vAlign w:val="center"/>
          </w:tcPr>
          <w:p w:rsidR="00F71049" w:rsidRDefault="000B62DD">
            <w:pPr>
              <w:jc w:val="right"/>
            </w:pPr>
            <w:r>
              <w:rPr>
                <w:rFonts w:eastAsiaTheme="minorEastAsia"/>
                <w:kern w:val="0"/>
                <w:szCs w:val="21"/>
              </w:rPr>
              <w:t>26,191,968.65</w:t>
            </w:r>
          </w:p>
        </w:tc>
        <w:tc>
          <w:tcPr>
            <w:tcW w:w="1616" w:type="dxa"/>
            <w:vAlign w:val="center"/>
          </w:tcPr>
          <w:p w:rsidR="00F71049" w:rsidRDefault="000B62DD">
            <w:pPr>
              <w:jc w:val="right"/>
            </w:pPr>
            <w:r>
              <w:rPr>
                <w:rFonts w:eastAsiaTheme="minorEastAsia"/>
                <w:kern w:val="0"/>
                <w:szCs w:val="21"/>
              </w:rPr>
              <w:t>2.86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1,384,601.21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1,384,601.21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F71049">
        <w:tc>
          <w:tcPr>
            <w:tcW w:w="1504" w:type="dxa"/>
            <w:vAlign w:val="center"/>
          </w:tcPr>
          <w:p w:rsidR="00F71049" w:rsidRDefault="000B62DD">
            <w:pPr>
              <w:jc w:val="center"/>
            </w:pPr>
            <w:r>
              <w:rPr>
                <w:rFonts w:eastAsiaTheme="minorEastAsia"/>
                <w:color w:val="000000" w:themeColor="text1"/>
                <w:szCs w:val="21"/>
              </w:rPr>
              <w:t>1</w:t>
            </w:r>
          </w:p>
        </w:tc>
        <w:tc>
          <w:tcPr>
            <w:tcW w:w="1504" w:type="dxa"/>
            <w:vAlign w:val="center"/>
          </w:tcPr>
          <w:p w:rsidR="00F71049" w:rsidRDefault="000B62DD">
            <w:pPr>
              <w:jc w:val="center"/>
            </w:pPr>
            <w:r>
              <w:rPr>
                <w:rFonts w:eastAsiaTheme="minorEastAsia"/>
                <w:color w:val="000000" w:themeColor="text1"/>
                <w:szCs w:val="21"/>
              </w:rPr>
              <w:t>110095</w:t>
            </w:r>
          </w:p>
        </w:tc>
        <w:tc>
          <w:tcPr>
            <w:tcW w:w="1504" w:type="dxa"/>
            <w:vAlign w:val="center"/>
          </w:tcPr>
          <w:p w:rsidR="00F71049" w:rsidRDefault="000B62DD">
            <w:pPr>
              <w:jc w:val="center"/>
            </w:pPr>
            <w:r>
              <w:rPr>
                <w:rFonts w:eastAsiaTheme="minorEastAsia"/>
                <w:color w:val="000000" w:themeColor="text1"/>
                <w:szCs w:val="21"/>
              </w:rPr>
              <w:t>双良转债</w:t>
            </w:r>
          </w:p>
        </w:tc>
        <w:tc>
          <w:tcPr>
            <w:tcW w:w="1503" w:type="dxa"/>
            <w:vAlign w:val="center"/>
          </w:tcPr>
          <w:p w:rsidR="00F71049" w:rsidRDefault="000B62DD">
            <w:pPr>
              <w:jc w:val="right"/>
            </w:pPr>
            <w:r>
              <w:rPr>
                <w:rFonts w:eastAsiaTheme="minorEastAsia"/>
                <w:color w:val="000000" w:themeColor="text1"/>
                <w:szCs w:val="21"/>
              </w:rPr>
              <w:t>11,630</w:t>
            </w:r>
          </w:p>
        </w:tc>
        <w:tc>
          <w:tcPr>
            <w:tcW w:w="1503" w:type="dxa"/>
            <w:vAlign w:val="center"/>
          </w:tcPr>
          <w:p w:rsidR="00F71049" w:rsidRDefault="000B62DD">
            <w:pPr>
              <w:jc w:val="right"/>
            </w:pPr>
            <w:r>
              <w:rPr>
                <w:rFonts w:eastAsiaTheme="minorEastAsia"/>
                <w:color w:val="000000" w:themeColor="text1"/>
                <w:szCs w:val="21"/>
              </w:rPr>
              <w:t>1,368,544.80</w:t>
            </w:r>
          </w:p>
        </w:tc>
        <w:tc>
          <w:tcPr>
            <w:tcW w:w="1503" w:type="dxa"/>
            <w:vAlign w:val="center"/>
          </w:tcPr>
          <w:p w:rsidR="00F71049" w:rsidRDefault="000B62DD">
            <w:pPr>
              <w:jc w:val="right"/>
            </w:pPr>
            <w:r>
              <w:rPr>
                <w:rFonts w:eastAsiaTheme="minorEastAsia"/>
                <w:color w:val="000000" w:themeColor="text1"/>
                <w:szCs w:val="21"/>
              </w:rPr>
              <w:t>0.15</w:t>
            </w:r>
          </w:p>
        </w:tc>
      </w:tr>
      <w:tr w:rsidR="00F71049">
        <w:tc>
          <w:tcPr>
            <w:tcW w:w="1504" w:type="dxa"/>
            <w:vAlign w:val="center"/>
          </w:tcPr>
          <w:p w:rsidR="00F71049" w:rsidRDefault="000B62DD">
            <w:pPr>
              <w:jc w:val="center"/>
            </w:pPr>
            <w:r>
              <w:rPr>
                <w:rFonts w:eastAsiaTheme="minorEastAsia"/>
                <w:color w:val="000000" w:themeColor="text1"/>
                <w:szCs w:val="21"/>
              </w:rPr>
              <w:t>2</w:t>
            </w:r>
          </w:p>
        </w:tc>
        <w:tc>
          <w:tcPr>
            <w:tcW w:w="1504" w:type="dxa"/>
            <w:vAlign w:val="center"/>
          </w:tcPr>
          <w:p w:rsidR="00F71049" w:rsidRDefault="000B62DD">
            <w:pPr>
              <w:jc w:val="center"/>
            </w:pPr>
            <w:r>
              <w:rPr>
                <w:rFonts w:eastAsiaTheme="minorEastAsia"/>
                <w:color w:val="000000" w:themeColor="text1"/>
                <w:szCs w:val="21"/>
              </w:rPr>
              <w:t>127089</w:t>
            </w:r>
          </w:p>
        </w:tc>
        <w:tc>
          <w:tcPr>
            <w:tcW w:w="1504" w:type="dxa"/>
            <w:vAlign w:val="center"/>
          </w:tcPr>
          <w:p w:rsidR="00F71049" w:rsidRDefault="000B62DD">
            <w:pPr>
              <w:jc w:val="center"/>
            </w:pPr>
            <w:r>
              <w:rPr>
                <w:rFonts w:eastAsiaTheme="minorEastAsia"/>
                <w:color w:val="000000" w:themeColor="text1"/>
                <w:szCs w:val="21"/>
              </w:rPr>
              <w:t>晶澳转债</w:t>
            </w:r>
          </w:p>
        </w:tc>
        <w:tc>
          <w:tcPr>
            <w:tcW w:w="1503" w:type="dxa"/>
            <w:vAlign w:val="center"/>
          </w:tcPr>
          <w:p w:rsidR="00F71049" w:rsidRDefault="000B62DD">
            <w:pPr>
              <w:jc w:val="right"/>
            </w:pPr>
            <w:r>
              <w:rPr>
                <w:rFonts w:eastAsiaTheme="minorEastAsia"/>
                <w:color w:val="000000" w:themeColor="text1"/>
                <w:szCs w:val="21"/>
              </w:rPr>
              <w:t>144</w:t>
            </w:r>
          </w:p>
        </w:tc>
        <w:tc>
          <w:tcPr>
            <w:tcW w:w="1503" w:type="dxa"/>
            <w:vAlign w:val="center"/>
          </w:tcPr>
          <w:p w:rsidR="00F71049" w:rsidRDefault="000B62DD">
            <w:pPr>
              <w:jc w:val="right"/>
            </w:pPr>
            <w:r>
              <w:rPr>
                <w:rFonts w:eastAsiaTheme="minorEastAsia"/>
                <w:color w:val="000000" w:themeColor="text1"/>
                <w:szCs w:val="21"/>
              </w:rPr>
              <w:t>16,056.41</w:t>
            </w:r>
          </w:p>
        </w:tc>
        <w:tc>
          <w:tcPr>
            <w:tcW w:w="1503" w:type="dxa"/>
            <w:vAlign w:val="center"/>
          </w:tcPr>
          <w:p w:rsidR="00F71049" w:rsidRDefault="000B62DD">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18,853,902.86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26,322.54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18,880,225.40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摩根沃享远见一年持有期混合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1,301,895,631.05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76,326,853.17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4,892,214.84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752,692.63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59,340,767.01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3,594,122.00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1,247,447,078.88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73,485,423.80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摩根沃享远见一年持有期混合型证券投资基金基金合同</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摩根沃享远见一年持有期混合型证券投资基金托管协议</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F71049" w:rsidRDefault="000B62D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411B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411BB">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411B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摩根沃享远见一年持有期混合型证券投资基金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2DD"/>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349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2CED"/>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04C2"/>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6719"/>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29F8"/>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BCC"/>
    <w:rsid w:val="00D3134D"/>
    <w:rsid w:val="00D3194F"/>
    <w:rsid w:val="00D33751"/>
    <w:rsid w:val="00D37343"/>
    <w:rsid w:val="00D37495"/>
    <w:rsid w:val="00D411BB"/>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3960"/>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49"/>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FD189-2B86-4563-9548-7C21A71B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27</TotalTime>
  <Pages>15</Pages>
  <Words>1337</Words>
  <Characters>7625</Characters>
  <Application>Microsoft Office Word</Application>
  <DocSecurity>0</DocSecurity>
  <Lines>63</Lines>
  <Paragraphs>17</Paragraphs>
  <ScaleCrop>false</ScaleCrop>
  <Company>TRT. Ltd. Co.</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228</cp:revision>
  <cp:lastPrinted>2007-07-19T00:46:00Z</cp:lastPrinted>
  <dcterms:created xsi:type="dcterms:W3CDTF">2013-06-21T06:56:00Z</dcterms:created>
  <dcterms:modified xsi:type="dcterms:W3CDTF">2023-10-24T06:59:00Z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