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摩根慧享成长混合型证券投资基金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摩根慧享成长混合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471,876,853.42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本基金将采用定量及定性研究方法，通过自上而下行业配置与自下而上精选个股相结合，基于严格的风险控制，力争实现基金资产的长期增值。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szCs w:val="21"/>
              </w:rPr>
              <w:t>A</w:t>
            </w:r>
            <w:r>
              <w:rPr>
                <w:rFonts w:eastAsiaTheme="minorEastAsia"/>
                <w:color w:val="000000" w:themeColor="text1"/>
                <w:kern w:val="0"/>
                <w:szCs w:val="21"/>
              </w:rPr>
              <w:t>股形成互补。</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本基金将通过自下而上方法挖掘优质个股，结合各项定量和定性指标挑选出最具上涨潜力的标的。</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w:t>
            </w:r>
            <w:r>
              <w:rPr>
                <w:rFonts w:eastAsiaTheme="minorEastAsia"/>
                <w:color w:val="000000" w:themeColor="text1"/>
                <w:kern w:val="0"/>
                <w:szCs w:val="21"/>
              </w:rPr>
              <w:lastRenderedPageBreak/>
              <w:t>策略、可转债策略等多种投资策略，实施积极主动的组合管理，并根据对债券收益率曲线形态、息差变化的预测，对债券组合进行动态调整。</w:t>
            </w:r>
          </w:p>
          <w:p w:rsidR="00C068CD" w:rsidRDefault="003171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207,263,103.58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264,613,749.84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-11,984,617.91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-15,896,674.16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-11,300,230.89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-15,087,415.76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174,942,203.78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221,530,056.66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0.8441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0.8372</w:t>
            </w:r>
          </w:p>
        </w:tc>
      </w:tr>
    </w:tbl>
    <w:p w:rsidR="00C068CD" w:rsidRDefault="0031719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摩根慧享成长混合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068CD">
        <w:tc>
          <w:tcPr>
            <w:tcW w:w="1290" w:type="dxa"/>
            <w:vAlign w:val="center"/>
          </w:tcPr>
          <w:p w:rsidR="00C068CD" w:rsidRDefault="00317191">
            <w:pPr>
              <w:jc w:val="left"/>
            </w:pPr>
            <w:r>
              <w:rPr>
                <w:rFonts w:eastAsiaTheme="minorEastAsia"/>
                <w:color w:val="000000" w:themeColor="text1"/>
                <w:szCs w:val="21"/>
              </w:rPr>
              <w:t>过去三个月</w:t>
            </w:r>
          </w:p>
        </w:tc>
        <w:tc>
          <w:tcPr>
            <w:tcW w:w="1291" w:type="dxa"/>
            <w:vAlign w:val="center"/>
          </w:tcPr>
          <w:p w:rsidR="00C068CD" w:rsidRDefault="00317191">
            <w:pPr>
              <w:jc w:val="right"/>
            </w:pPr>
            <w:r>
              <w:rPr>
                <w:rFonts w:eastAsiaTheme="minorEastAsia"/>
                <w:color w:val="000000" w:themeColor="text1"/>
                <w:szCs w:val="21"/>
              </w:rPr>
              <w:t>-5.92%</w:t>
            </w:r>
          </w:p>
        </w:tc>
        <w:tc>
          <w:tcPr>
            <w:tcW w:w="1291" w:type="dxa"/>
            <w:vAlign w:val="center"/>
          </w:tcPr>
          <w:p w:rsidR="00C068CD" w:rsidRDefault="00317191">
            <w:pPr>
              <w:jc w:val="right"/>
            </w:pPr>
            <w:r>
              <w:rPr>
                <w:rFonts w:eastAsiaTheme="minorEastAsia"/>
                <w:color w:val="000000" w:themeColor="text1"/>
                <w:szCs w:val="21"/>
              </w:rPr>
              <w:t>0.59%</w:t>
            </w:r>
          </w:p>
        </w:tc>
        <w:tc>
          <w:tcPr>
            <w:tcW w:w="1291" w:type="dxa"/>
            <w:vAlign w:val="center"/>
          </w:tcPr>
          <w:p w:rsidR="00C068CD" w:rsidRDefault="00317191">
            <w:pPr>
              <w:jc w:val="right"/>
            </w:pPr>
            <w:r>
              <w:rPr>
                <w:rFonts w:eastAsiaTheme="minorEastAsia"/>
                <w:color w:val="000000" w:themeColor="text1"/>
                <w:szCs w:val="21"/>
              </w:rPr>
              <w:t>-5.37%</w:t>
            </w:r>
          </w:p>
        </w:tc>
        <w:tc>
          <w:tcPr>
            <w:tcW w:w="1291" w:type="dxa"/>
            <w:vAlign w:val="center"/>
          </w:tcPr>
          <w:p w:rsidR="00C068CD" w:rsidRDefault="00317191">
            <w:pPr>
              <w:jc w:val="right"/>
            </w:pPr>
            <w:r>
              <w:rPr>
                <w:rFonts w:eastAsiaTheme="minorEastAsia"/>
                <w:color w:val="000000" w:themeColor="text1"/>
                <w:szCs w:val="21"/>
              </w:rPr>
              <w:t>0.68%</w:t>
            </w:r>
          </w:p>
        </w:tc>
        <w:tc>
          <w:tcPr>
            <w:tcW w:w="1291" w:type="dxa"/>
            <w:vAlign w:val="center"/>
          </w:tcPr>
          <w:p w:rsidR="00C068CD" w:rsidRDefault="00317191">
            <w:pPr>
              <w:jc w:val="right"/>
            </w:pPr>
            <w:r>
              <w:rPr>
                <w:rFonts w:eastAsiaTheme="minorEastAsia"/>
                <w:color w:val="000000" w:themeColor="text1"/>
                <w:szCs w:val="21"/>
              </w:rPr>
              <w:t>-0.55%</w:t>
            </w:r>
          </w:p>
        </w:tc>
        <w:tc>
          <w:tcPr>
            <w:tcW w:w="1291" w:type="dxa"/>
            <w:vAlign w:val="center"/>
          </w:tcPr>
          <w:p w:rsidR="00C068CD" w:rsidRDefault="00317191">
            <w:pPr>
              <w:jc w:val="right"/>
            </w:pPr>
            <w:r>
              <w:rPr>
                <w:rFonts w:eastAsiaTheme="minorEastAsia"/>
                <w:color w:val="000000" w:themeColor="text1"/>
                <w:szCs w:val="21"/>
              </w:rPr>
              <w:t>-0.09%</w:t>
            </w:r>
          </w:p>
        </w:tc>
      </w:tr>
      <w:tr w:rsidR="00C068CD">
        <w:tc>
          <w:tcPr>
            <w:tcW w:w="1290" w:type="dxa"/>
            <w:vAlign w:val="center"/>
          </w:tcPr>
          <w:p w:rsidR="00C068CD" w:rsidRDefault="00317191">
            <w:pPr>
              <w:jc w:val="left"/>
            </w:pPr>
            <w:r>
              <w:rPr>
                <w:rFonts w:eastAsiaTheme="minorEastAsia"/>
                <w:color w:val="000000" w:themeColor="text1"/>
                <w:szCs w:val="21"/>
              </w:rPr>
              <w:t>过去六个月</w:t>
            </w:r>
          </w:p>
        </w:tc>
        <w:tc>
          <w:tcPr>
            <w:tcW w:w="1291" w:type="dxa"/>
            <w:vAlign w:val="center"/>
          </w:tcPr>
          <w:p w:rsidR="00C068CD" w:rsidRDefault="00317191">
            <w:pPr>
              <w:jc w:val="right"/>
            </w:pPr>
            <w:r>
              <w:rPr>
                <w:rFonts w:eastAsiaTheme="minorEastAsia"/>
                <w:color w:val="000000" w:themeColor="text1"/>
                <w:szCs w:val="21"/>
              </w:rPr>
              <w:t>-12.95%</w:t>
            </w:r>
          </w:p>
        </w:tc>
        <w:tc>
          <w:tcPr>
            <w:tcW w:w="1291" w:type="dxa"/>
            <w:vAlign w:val="center"/>
          </w:tcPr>
          <w:p w:rsidR="00C068CD" w:rsidRDefault="00317191">
            <w:pPr>
              <w:jc w:val="right"/>
            </w:pPr>
            <w:r>
              <w:rPr>
                <w:rFonts w:eastAsiaTheme="minorEastAsia"/>
                <w:color w:val="000000" w:themeColor="text1"/>
                <w:szCs w:val="21"/>
              </w:rPr>
              <w:t>0.72%</w:t>
            </w:r>
          </w:p>
        </w:tc>
        <w:tc>
          <w:tcPr>
            <w:tcW w:w="1291" w:type="dxa"/>
            <w:vAlign w:val="center"/>
          </w:tcPr>
          <w:p w:rsidR="00C068CD" w:rsidRDefault="00317191">
            <w:pPr>
              <w:jc w:val="right"/>
            </w:pPr>
            <w:r>
              <w:rPr>
                <w:rFonts w:eastAsiaTheme="minorEastAsia"/>
                <w:color w:val="000000" w:themeColor="text1"/>
                <w:szCs w:val="21"/>
              </w:rPr>
              <w:t>-8.85%</w:t>
            </w:r>
          </w:p>
        </w:tc>
        <w:tc>
          <w:tcPr>
            <w:tcW w:w="1291" w:type="dxa"/>
            <w:vAlign w:val="center"/>
          </w:tcPr>
          <w:p w:rsidR="00C068CD" w:rsidRDefault="00317191">
            <w:pPr>
              <w:jc w:val="right"/>
            </w:pPr>
            <w:r>
              <w:rPr>
                <w:rFonts w:eastAsiaTheme="minorEastAsia"/>
                <w:color w:val="000000" w:themeColor="text1"/>
                <w:szCs w:val="21"/>
              </w:rPr>
              <w:t>0.72%</w:t>
            </w:r>
          </w:p>
        </w:tc>
        <w:tc>
          <w:tcPr>
            <w:tcW w:w="1291" w:type="dxa"/>
            <w:vAlign w:val="center"/>
          </w:tcPr>
          <w:p w:rsidR="00C068CD" w:rsidRDefault="00317191">
            <w:pPr>
              <w:jc w:val="right"/>
            </w:pPr>
            <w:r>
              <w:rPr>
                <w:rFonts w:eastAsiaTheme="minorEastAsia"/>
                <w:color w:val="000000" w:themeColor="text1"/>
                <w:szCs w:val="21"/>
              </w:rPr>
              <w:t>-4.10%</w:t>
            </w:r>
          </w:p>
        </w:tc>
        <w:tc>
          <w:tcPr>
            <w:tcW w:w="1291" w:type="dxa"/>
            <w:vAlign w:val="center"/>
          </w:tcPr>
          <w:p w:rsidR="00C068CD" w:rsidRDefault="00317191">
            <w:pPr>
              <w:jc w:val="right"/>
            </w:pPr>
            <w:r>
              <w:rPr>
                <w:rFonts w:eastAsiaTheme="minorEastAsia"/>
                <w:color w:val="000000" w:themeColor="text1"/>
                <w:szCs w:val="21"/>
              </w:rPr>
              <w:t>0.00%</w:t>
            </w:r>
          </w:p>
        </w:tc>
      </w:tr>
      <w:tr w:rsidR="00C068CD">
        <w:tc>
          <w:tcPr>
            <w:tcW w:w="1290" w:type="dxa"/>
            <w:vAlign w:val="center"/>
          </w:tcPr>
          <w:p w:rsidR="00C068CD" w:rsidRDefault="00317191">
            <w:pPr>
              <w:jc w:val="left"/>
            </w:pPr>
            <w:r>
              <w:rPr>
                <w:rFonts w:eastAsiaTheme="minorEastAsia"/>
                <w:color w:val="000000" w:themeColor="text1"/>
                <w:szCs w:val="21"/>
              </w:rPr>
              <w:t>过去一年</w:t>
            </w:r>
          </w:p>
        </w:tc>
        <w:tc>
          <w:tcPr>
            <w:tcW w:w="1291" w:type="dxa"/>
            <w:vAlign w:val="center"/>
          </w:tcPr>
          <w:p w:rsidR="00C068CD" w:rsidRDefault="00317191">
            <w:pPr>
              <w:jc w:val="right"/>
            </w:pPr>
            <w:r>
              <w:rPr>
                <w:rFonts w:eastAsiaTheme="minorEastAsia"/>
                <w:color w:val="000000" w:themeColor="text1"/>
                <w:szCs w:val="21"/>
              </w:rPr>
              <w:t>-8.87%</w:t>
            </w:r>
          </w:p>
        </w:tc>
        <w:tc>
          <w:tcPr>
            <w:tcW w:w="1291" w:type="dxa"/>
            <w:vAlign w:val="center"/>
          </w:tcPr>
          <w:p w:rsidR="00C068CD" w:rsidRDefault="00317191">
            <w:pPr>
              <w:jc w:val="right"/>
            </w:pPr>
            <w:r>
              <w:rPr>
                <w:rFonts w:eastAsiaTheme="minorEastAsia"/>
                <w:color w:val="000000" w:themeColor="text1"/>
                <w:szCs w:val="21"/>
              </w:rPr>
              <w:t>0.96%</w:t>
            </w:r>
          </w:p>
        </w:tc>
        <w:tc>
          <w:tcPr>
            <w:tcW w:w="1291" w:type="dxa"/>
            <w:vAlign w:val="center"/>
          </w:tcPr>
          <w:p w:rsidR="00C068CD" w:rsidRDefault="00317191">
            <w:pPr>
              <w:jc w:val="right"/>
            </w:pPr>
            <w:r>
              <w:rPr>
                <w:rFonts w:eastAsiaTheme="minorEastAsia"/>
                <w:color w:val="000000" w:themeColor="text1"/>
                <w:szCs w:val="21"/>
              </w:rPr>
              <w:t>-8.76%</w:t>
            </w:r>
          </w:p>
        </w:tc>
        <w:tc>
          <w:tcPr>
            <w:tcW w:w="1291" w:type="dxa"/>
            <w:vAlign w:val="center"/>
          </w:tcPr>
          <w:p w:rsidR="00C068CD" w:rsidRDefault="00317191">
            <w:pPr>
              <w:jc w:val="right"/>
            </w:pPr>
            <w:r>
              <w:rPr>
                <w:rFonts w:eastAsiaTheme="minorEastAsia"/>
                <w:color w:val="000000" w:themeColor="text1"/>
                <w:szCs w:val="21"/>
              </w:rPr>
              <w:t>0.71%</w:t>
            </w:r>
          </w:p>
        </w:tc>
        <w:tc>
          <w:tcPr>
            <w:tcW w:w="1291" w:type="dxa"/>
            <w:vAlign w:val="center"/>
          </w:tcPr>
          <w:p w:rsidR="00C068CD" w:rsidRDefault="00317191">
            <w:pPr>
              <w:jc w:val="right"/>
            </w:pPr>
            <w:r>
              <w:rPr>
                <w:rFonts w:eastAsiaTheme="minorEastAsia"/>
                <w:color w:val="000000" w:themeColor="text1"/>
                <w:szCs w:val="21"/>
              </w:rPr>
              <w:t>-0.11%</w:t>
            </w:r>
          </w:p>
        </w:tc>
        <w:tc>
          <w:tcPr>
            <w:tcW w:w="1291" w:type="dxa"/>
            <w:vAlign w:val="center"/>
          </w:tcPr>
          <w:p w:rsidR="00C068CD" w:rsidRDefault="00317191">
            <w:pPr>
              <w:jc w:val="right"/>
            </w:pPr>
            <w:r>
              <w:rPr>
                <w:rFonts w:eastAsiaTheme="minorEastAsia"/>
                <w:color w:val="000000" w:themeColor="text1"/>
                <w:szCs w:val="21"/>
              </w:rPr>
              <w:t>0.25%</w:t>
            </w:r>
          </w:p>
        </w:tc>
      </w:tr>
      <w:tr w:rsidR="00C068CD">
        <w:tc>
          <w:tcPr>
            <w:tcW w:w="1290" w:type="dxa"/>
            <w:vAlign w:val="center"/>
          </w:tcPr>
          <w:p w:rsidR="00C068CD" w:rsidRDefault="00317191">
            <w:pPr>
              <w:jc w:val="left"/>
            </w:pPr>
            <w:r>
              <w:rPr>
                <w:rFonts w:eastAsiaTheme="minorEastAsia"/>
                <w:color w:val="000000" w:themeColor="text1"/>
                <w:szCs w:val="21"/>
              </w:rPr>
              <w:t>过去三年</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r>
      <w:tr w:rsidR="00C068CD">
        <w:tc>
          <w:tcPr>
            <w:tcW w:w="1290" w:type="dxa"/>
            <w:vAlign w:val="center"/>
          </w:tcPr>
          <w:p w:rsidR="00C068CD" w:rsidRDefault="00317191">
            <w:pPr>
              <w:jc w:val="left"/>
            </w:pPr>
            <w:r>
              <w:rPr>
                <w:rFonts w:eastAsiaTheme="minorEastAsia"/>
                <w:color w:val="000000" w:themeColor="text1"/>
                <w:szCs w:val="21"/>
              </w:rPr>
              <w:t>过去五年</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r>
      <w:tr w:rsidR="00C068CD">
        <w:tc>
          <w:tcPr>
            <w:tcW w:w="1290" w:type="dxa"/>
            <w:vAlign w:val="center"/>
          </w:tcPr>
          <w:p w:rsidR="00C068CD" w:rsidRDefault="00317191">
            <w:pPr>
              <w:jc w:val="left"/>
            </w:pPr>
            <w:r>
              <w:rPr>
                <w:rFonts w:eastAsiaTheme="minorEastAsia"/>
                <w:color w:val="000000" w:themeColor="text1"/>
                <w:szCs w:val="21"/>
              </w:rPr>
              <w:t>自基金合同生效起至今</w:t>
            </w:r>
          </w:p>
        </w:tc>
        <w:tc>
          <w:tcPr>
            <w:tcW w:w="1291" w:type="dxa"/>
            <w:vAlign w:val="center"/>
          </w:tcPr>
          <w:p w:rsidR="00C068CD" w:rsidRDefault="00317191">
            <w:pPr>
              <w:jc w:val="right"/>
            </w:pPr>
            <w:r>
              <w:rPr>
                <w:rFonts w:eastAsiaTheme="minorEastAsia"/>
                <w:color w:val="000000" w:themeColor="text1"/>
                <w:szCs w:val="21"/>
              </w:rPr>
              <w:t>-15.59%</w:t>
            </w:r>
          </w:p>
        </w:tc>
        <w:tc>
          <w:tcPr>
            <w:tcW w:w="1291" w:type="dxa"/>
            <w:vAlign w:val="center"/>
          </w:tcPr>
          <w:p w:rsidR="00C068CD" w:rsidRDefault="00317191">
            <w:pPr>
              <w:jc w:val="right"/>
            </w:pPr>
            <w:r>
              <w:rPr>
                <w:rFonts w:eastAsiaTheme="minorEastAsia"/>
                <w:color w:val="000000" w:themeColor="text1"/>
                <w:szCs w:val="21"/>
              </w:rPr>
              <w:t>0.86%</w:t>
            </w:r>
          </w:p>
        </w:tc>
        <w:tc>
          <w:tcPr>
            <w:tcW w:w="1291" w:type="dxa"/>
            <w:vAlign w:val="center"/>
          </w:tcPr>
          <w:p w:rsidR="00C068CD" w:rsidRDefault="00317191">
            <w:pPr>
              <w:jc w:val="right"/>
            </w:pPr>
            <w:r>
              <w:rPr>
                <w:rFonts w:eastAsiaTheme="minorEastAsia"/>
                <w:color w:val="000000" w:themeColor="text1"/>
                <w:szCs w:val="21"/>
              </w:rPr>
              <w:t>-12.74%</w:t>
            </w:r>
          </w:p>
        </w:tc>
        <w:tc>
          <w:tcPr>
            <w:tcW w:w="1291" w:type="dxa"/>
            <w:vAlign w:val="center"/>
          </w:tcPr>
          <w:p w:rsidR="00C068CD" w:rsidRDefault="00317191">
            <w:pPr>
              <w:jc w:val="right"/>
            </w:pPr>
            <w:r>
              <w:rPr>
                <w:rFonts w:eastAsiaTheme="minorEastAsia"/>
                <w:color w:val="000000" w:themeColor="text1"/>
                <w:szCs w:val="21"/>
              </w:rPr>
              <w:t>0.80%</w:t>
            </w:r>
          </w:p>
        </w:tc>
        <w:tc>
          <w:tcPr>
            <w:tcW w:w="1291" w:type="dxa"/>
            <w:vAlign w:val="center"/>
          </w:tcPr>
          <w:p w:rsidR="00C068CD" w:rsidRDefault="00317191">
            <w:pPr>
              <w:jc w:val="right"/>
            </w:pPr>
            <w:r>
              <w:rPr>
                <w:rFonts w:eastAsiaTheme="minorEastAsia"/>
                <w:color w:val="000000" w:themeColor="text1"/>
                <w:szCs w:val="21"/>
              </w:rPr>
              <w:t>-2.85%</w:t>
            </w:r>
          </w:p>
        </w:tc>
        <w:tc>
          <w:tcPr>
            <w:tcW w:w="1291" w:type="dxa"/>
            <w:vAlign w:val="center"/>
          </w:tcPr>
          <w:p w:rsidR="00C068CD" w:rsidRDefault="00317191">
            <w:pPr>
              <w:jc w:val="right"/>
            </w:pPr>
            <w:r>
              <w:rPr>
                <w:rFonts w:eastAsiaTheme="minorEastAsia"/>
                <w:color w:val="000000" w:themeColor="text1"/>
                <w:szCs w:val="21"/>
              </w:rPr>
              <w:t>0.06%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摩根慧享成长混合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068CD">
        <w:tc>
          <w:tcPr>
            <w:tcW w:w="1290" w:type="dxa"/>
            <w:vAlign w:val="center"/>
          </w:tcPr>
          <w:p w:rsidR="00C068CD" w:rsidRDefault="00317191">
            <w:pPr>
              <w:jc w:val="left"/>
            </w:pPr>
            <w:r>
              <w:rPr>
                <w:rFonts w:eastAsiaTheme="minorEastAsia"/>
                <w:color w:val="000000" w:themeColor="text1"/>
                <w:szCs w:val="21"/>
              </w:rPr>
              <w:t>过去三个月</w:t>
            </w:r>
          </w:p>
        </w:tc>
        <w:tc>
          <w:tcPr>
            <w:tcW w:w="1291" w:type="dxa"/>
            <w:vAlign w:val="center"/>
          </w:tcPr>
          <w:p w:rsidR="00C068CD" w:rsidRDefault="00317191">
            <w:pPr>
              <w:jc w:val="right"/>
            </w:pPr>
            <w:r>
              <w:rPr>
                <w:rFonts w:eastAsiaTheme="minorEastAsia"/>
                <w:color w:val="000000" w:themeColor="text1"/>
                <w:szCs w:val="21"/>
              </w:rPr>
              <w:t>-6.07%</w:t>
            </w:r>
          </w:p>
        </w:tc>
        <w:tc>
          <w:tcPr>
            <w:tcW w:w="1291" w:type="dxa"/>
            <w:vAlign w:val="center"/>
          </w:tcPr>
          <w:p w:rsidR="00C068CD" w:rsidRDefault="00317191">
            <w:pPr>
              <w:jc w:val="right"/>
            </w:pPr>
            <w:r>
              <w:rPr>
                <w:rFonts w:eastAsiaTheme="minorEastAsia"/>
                <w:color w:val="000000" w:themeColor="text1"/>
                <w:szCs w:val="21"/>
              </w:rPr>
              <w:t>0.59%</w:t>
            </w:r>
          </w:p>
        </w:tc>
        <w:tc>
          <w:tcPr>
            <w:tcW w:w="1291" w:type="dxa"/>
            <w:vAlign w:val="center"/>
          </w:tcPr>
          <w:p w:rsidR="00C068CD" w:rsidRDefault="00317191">
            <w:pPr>
              <w:jc w:val="right"/>
            </w:pPr>
            <w:r>
              <w:rPr>
                <w:rFonts w:eastAsiaTheme="minorEastAsia"/>
                <w:color w:val="000000" w:themeColor="text1"/>
                <w:szCs w:val="21"/>
              </w:rPr>
              <w:t>-5.37%</w:t>
            </w:r>
          </w:p>
        </w:tc>
        <w:tc>
          <w:tcPr>
            <w:tcW w:w="1291" w:type="dxa"/>
            <w:vAlign w:val="center"/>
          </w:tcPr>
          <w:p w:rsidR="00C068CD" w:rsidRDefault="00317191">
            <w:pPr>
              <w:jc w:val="right"/>
            </w:pPr>
            <w:r>
              <w:rPr>
                <w:rFonts w:eastAsiaTheme="minorEastAsia"/>
                <w:color w:val="000000" w:themeColor="text1"/>
                <w:szCs w:val="21"/>
              </w:rPr>
              <w:t>0.68%</w:t>
            </w:r>
          </w:p>
        </w:tc>
        <w:tc>
          <w:tcPr>
            <w:tcW w:w="1291" w:type="dxa"/>
            <w:vAlign w:val="center"/>
          </w:tcPr>
          <w:p w:rsidR="00C068CD" w:rsidRDefault="00317191">
            <w:pPr>
              <w:jc w:val="right"/>
            </w:pPr>
            <w:r>
              <w:rPr>
                <w:rFonts w:eastAsiaTheme="minorEastAsia"/>
                <w:color w:val="000000" w:themeColor="text1"/>
                <w:szCs w:val="21"/>
              </w:rPr>
              <w:t>-0.70%</w:t>
            </w:r>
          </w:p>
        </w:tc>
        <w:tc>
          <w:tcPr>
            <w:tcW w:w="1291" w:type="dxa"/>
            <w:vAlign w:val="center"/>
          </w:tcPr>
          <w:p w:rsidR="00C068CD" w:rsidRDefault="00317191">
            <w:pPr>
              <w:jc w:val="right"/>
            </w:pPr>
            <w:r>
              <w:rPr>
                <w:rFonts w:eastAsiaTheme="minorEastAsia"/>
                <w:color w:val="000000" w:themeColor="text1"/>
                <w:szCs w:val="21"/>
              </w:rPr>
              <w:t>-0.09%</w:t>
            </w:r>
          </w:p>
        </w:tc>
      </w:tr>
      <w:tr w:rsidR="00C068CD">
        <w:tc>
          <w:tcPr>
            <w:tcW w:w="1290" w:type="dxa"/>
            <w:vAlign w:val="center"/>
          </w:tcPr>
          <w:p w:rsidR="00C068CD" w:rsidRDefault="00317191">
            <w:pPr>
              <w:jc w:val="left"/>
            </w:pPr>
            <w:r>
              <w:rPr>
                <w:rFonts w:eastAsiaTheme="minorEastAsia"/>
                <w:color w:val="000000" w:themeColor="text1"/>
                <w:szCs w:val="21"/>
              </w:rPr>
              <w:t>过去六个月</w:t>
            </w:r>
          </w:p>
        </w:tc>
        <w:tc>
          <w:tcPr>
            <w:tcW w:w="1291" w:type="dxa"/>
            <w:vAlign w:val="center"/>
          </w:tcPr>
          <w:p w:rsidR="00C068CD" w:rsidRDefault="00317191">
            <w:pPr>
              <w:jc w:val="right"/>
            </w:pPr>
            <w:r>
              <w:rPr>
                <w:rFonts w:eastAsiaTheme="minorEastAsia"/>
                <w:color w:val="000000" w:themeColor="text1"/>
                <w:szCs w:val="21"/>
              </w:rPr>
              <w:t>-13.22%</w:t>
            </w:r>
          </w:p>
        </w:tc>
        <w:tc>
          <w:tcPr>
            <w:tcW w:w="1291" w:type="dxa"/>
            <w:vAlign w:val="center"/>
          </w:tcPr>
          <w:p w:rsidR="00C068CD" w:rsidRDefault="00317191">
            <w:pPr>
              <w:jc w:val="right"/>
            </w:pPr>
            <w:r>
              <w:rPr>
                <w:rFonts w:eastAsiaTheme="minorEastAsia"/>
                <w:color w:val="000000" w:themeColor="text1"/>
                <w:szCs w:val="21"/>
              </w:rPr>
              <w:t>0.72%</w:t>
            </w:r>
          </w:p>
        </w:tc>
        <w:tc>
          <w:tcPr>
            <w:tcW w:w="1291" w:type="dxa"/>
            <w:vAlign w:val="center"/>
          </w:tcPr>
          <w:p w:rsidR="00C068CD" w:rsidRDefault="00317191">
            <w:pPr>
              <w:jc w:val="right"/>
            </w:pPr>
            <w:r>
              <w:rPr>
                <w:rFonts w:eastAsiaTheme="minorEastAsia"/>
                <w:color w:val="000000" w:themeColor="text1"/>
                <w:szCs w:val="21"/>
              </w:rPr>
              <w:t>-8.85%</w:t>
            </w:r>
          </w:p>
        </w:tc>
        <w:tc>
          <w:tcPr>
            <w:tcW w:w="1291" w:type="dxa"/>
            <w:vAlign w:val="center"/>
          </w:tcPr>
          <w:p w:rsidR="00C068CD" w:rsidRDefault="00317191">
            <w:pPr>
              <w:jc w:val="right"/>
            </w:pPr>
            <w:r>
              <w:rPr>
                <w:rFonts w:eastAsiaTheme="minorEastAsia"/>
                <w:color w:val="000000" w:themeColor="text1"/>
                <w:szCs w:val="21"/>
              </w:rPr>
              <w:t>0.72%</w:t>
            </w:r>
          </w:p>
        </w:tc>
        <w:tc>
          <w:tcPr>
            <w:tcW w:w="1291" w:type="dxa"/>
            <w:vAlign w:val="center"/>
          </w:tcPr>
          <w:p w:rsidR="00C068CD" w:rsidRDefault="00317191">
            <w:pPr>
              <w:jc w:val="right"/>
            </w:pPr>
            <w:r>
              <w:rPr>
                <w:rFonts w:eastAsiaTheme="minorEastAsia"/>
                <w:color w:val="000000" w:themeColor="text1"/>
                <w:szCs w:val="21"/>
              </w:rPr>
              <w:t>-4.37%</w:t>
            </w:r>
          </w:p>
        </w:tc>
        <w:tc>
          <w:tcPr>
            <w:tcW w:w="1291" w:type="dxa"/>
            <w:vAlign w:val="center"/>
          </w:tcPr>
          <w:p w:rsidR="00C068CD" w:rsidRDefault="00317191">
            <w:pPr>
              <w:jc w:val="right"/>
            </w:pPr>
            <w:r>
              <w:rPr>
                <w:rFonts w:eastAsiaTheme="minorEastAsia"/>
                <w:color w:val="000000" w:themeColor="text1"/>
                <w:szCs w:val="21"/>
              </w:rPr>
              <w:t>0.00%</w:t>
            </w:r>
          </w:p>
        </w:tc>
      </w:tr>
      <w:tr w:rsidR="00C068CD">
        <w:tc>
          <w:tcPr>
            <w:tcW w:w="1290" w:type="dxa"/>
            <w:vAlign w:val="center"/>
          </w:tcPr>
          <w:p w:rsidR="00C068CD" w:rsidRDefault="00317191">
            <w:pPr>
              <w:jc w:val="left"/>
            </w:pPr>
            <w:r>
              <w:rPr>
                <w:rFonts w:eastAsiaTheme="minorEastAsia"/>
                <w:color w:val="000000" w:themeColor="text1"/>
                <w:szCs w:val="21"/>
              </w:rPr>
              <w:t>过去一年</w:t>
            </w:r>
          </w:p>
        </w:tc>
        <w:tc>
          <w:tcPr>
            <w:tcW w:w="1291" w:type="dxa"/>
            <w:vAlign w:val="center"/>
          </w:tcPr>
          <w:p w:rsidR="00C068CD" w:rsidRDefault="00317191">
            <w:pPr>
              <w:jc w:val="right"/>
            </w:pPr>
            <w:r>
              <w:rPr>
                <w:rFonts w:eastAsiaTheme="minorEastAsia"/>
                <w:color w:val="000000" w:themeColor="text1"/>
                <w:szCs w:val="21"/>
              </w:rPr>
              <w:t>-9.42%</w:t>
            </w:r>
          </w:p>
        </w:tc>
        <w:tc>
          <w:tcPr>
            <w:tcW w:w="1291" w:type="dxa"/>
            <w:vAlign w:val="center"/>
          </w:tcPr>
          <w:p w:rsidR="00C068CD" w:rsidRDefault="00317191">
            <w:pPr>
              <w:jc w:val="right"/>
            </w:pPr>
            <w:r>
              <w:rPr>
                <w:rFonts w:eastAsiaTheme="minorEastAsia"/>
                <w:color w:val="000000" w:themeColor="text1"/>
                <w:szCs w:val="21"/>
              </w:rPr>
              <w:t>0.96%</w:t>
            </w:r>
          </w:p>
        </w:tc>
        <w:tc>
          <w:tcPr>
            <w:tcW w:w="1291" w:type="dxa"/>
            <w:vAlign w:val="center"/>
          </w:tcPr>
          <w:p w:rsidR="00C068CD" w:rsidRDefault="00317191">
            <w:pPr>
              <w:jc w:val="right"/>
            </w:pPr>
            <w:r>
              <w:rPr>
                <w:rFonts w:eastAsiaTheme="minorEastAsia"/>
                <w:color w:val="000000" w:themeColor="text1"/>
                <w:szCs w:val="21"/>
              </w:rPr>
              <w:t>-8.76%</w:t>
            </w:r>
          </w:p>
        </w:tc>
        <w:tc>
          <w:tcPr>
            <w:tcW w:w="1291" w:type="dxa"/>
            <w:vAlign w:val="center"/>
          </w:tcPr>
          <w:p w:rsidR="00C068CD" w:rsidRDefault="00317191">
            <w:pPr>
              <w:jc w:val="right"/>
            </w:pPr>
            <w:r>
              <w:rPr>
                <w:rFonts w:eastAsiaTheme="minorEastAsia"/>
                <w:color w:val="000000" w:themeColor="text1"/>
                <w:szCs w:val="21"/>
              </w:rPr>
              <w:t>0.71%</w:t>
            </w:r>
          </w:p>
        </w:tc>
        <w:tc>
          <w:tcPr>
            <w:tcW w:w="1291" w:type="dxa"/>
            <w:vAlign w:val="center"/>
          </w:tcPr>
          <w:p w:rsidR="00C068CD" w:rsidRDefault="00317191">
            <w:pPr>
              <w:jc w:val="right"/>
            </w:pPr>
            <w:r>
              <w:rPr>
                <w:rFonts w:eastAsiaTheme="minorEastAsia"/>
                <w:color w:val="000000" w:themeColor="text1"/>
                <w:szCs w:val="21"/>
              </w:rPr>
              <w:t>-0.66%</w:t>
            </w:r>
          </w:p>
        </w:tc>
        <w:tc>
          <w:tcPr>
            <w:tcW w:w="1291" w:type="dxa"/>
            <w:vAlign w:val="center"/>
          </w:tcPr>
          <w:p w:rsidR="00C068CD" w:rsidRDefault="00317191">
            <w:pPr>
              <w:jc w:val="right"/>
            </w:pPr>
            <w:r>
              <w:rPr>
                <w:rFonts w:eastAsiaTheme="minorEastAsia"/>
                <w:color w:val="000000" w:themeColor="text1"/>
                <w:szCs w:val="21"/>
              </w:rPr>
              <w:t>0.25%</w:t>
            </w:r>
          </w:p>
        </w:tc>
      </w:tr>
      <w:tr w:rsidR="00C068CD">
        <w:tc>
          <w:tcPr>
            <w:tcW w:w="1290" w:type="dxa"/>
            <w:vAlign w:val="center"/>
          </w:tcPr>
          <w:p w:rsidR="00C068CD" w:rsidRDefault="00317191">
            <w:pPr>
              <w:jc w:val="left"/>
            </w:pPr>
            <w:r>
              <w:rPr>
                <w:rFonts w:eastAsiaTheme="minorEastAsia"/>
                <w:color w:val="000000" w:themeColor="text1"/>
                <w:szCs w:val="21"/>
              </w:rPr>
              <w:t>过去三年</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r>
      <w:tr w:rsidR="00C068CD">
        <w:tc>
          <w:tcPr>
            <w:tcW w:w="1290" w:type="dxa"/>
            <w:vAlign w:val="center"/>
          </w:tcPr>
          <w:p w:rsidR="00C068CD" w:rsidRDefault="00317191">
            <w:pPr>
              <w:jc w:val="left"/>
            </w:pPr>
            <w:r>
              <w:rPr>
                <w:rFonts w:eastAsiaTheme="minorEastAsia"/>
                <w:color w:val="000000" w:themeColor="text1"/>
                <w:szCs w:val="21"/>
              </w:rPr>
              <w:t>过去五年</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c>
          <w:tcPr>
            <w:tcW w:w="1291" w:type="dxa"/>
            <w:vAlign w:val="center"/>
          </w:tcPr>
          <w:p w:rsidR="00C068CD" w:rsidRDefault="00317191">
            <w:pPr>
              <w:jc w:val="right"/>
            </w:pPr>
            <w:r>
              <w:rPr>
                <w:rFonts w:eastAsiaTheme="minorEastAsia"/>
                <w:color w:val="000000" w:themeColor="text1"/>
                <w:szCs w:val="21"/>
              </w:rPr>
              <w:t>-</w:t>
            </w:r>
          </w:p>
        </w:tc>
      </w:tr>
      <w:tr w:rsidR="00C068CD">
        <w:tc>
          <w:tcPr>
            <w:tcW w:w="1290" w:type="dxa"/>
            <w:vAlign w:val="center"/>
          </w:tcPr>
          <w:p w:rsidR="00C068CD" w:rsidRDefault="00317191">
            <w:pPr>
              <w:jc w:val="left"/>
            </w:pPr>
            <w:r>
              <w:rPr>
                <w:rFonts w:eastAsiaTheme="minorEastAsia"/>
                <w:color w:val="000000" w:themeColor="text1"/>
                <w:szCs w:val="21"/>
              </w:rPr>
              <w:t>自基金合同生效起至今</w:t>
            </w:r>
          </w:p>
        </w:tc>
        <w:tc>
          <w:tcPr>
            <w:tcW w:w="1291" w:type="dxa"/>
            <w:vAlign w:val="center"/>
          </w:tcPr>
          <w:p w:rsidR="00C068CD" w:rsidRDefault="00317191">
            <w:pPr>
              <w:jc w:val="right"/>
            </w:pPr>
            <w:r>
              <w:rPr>
                <w:rFonts w:eastAsiaTheme="minorEastAsia"/>
                <w:color w:val="000000" w:themeColor="text1"/>
                <w:szCs w:val="21"/>
              </w:rPr>
              <w:t>-16.28%</w:t>
            </w:r>
          </w:p>
        </w:tc>
        <w:tc>
          <w:tcPr>
            <w:tcW w:w="1291" w:type="dxa"/>
            <w:vAlign w:val="center"/>
          </w:tcPr>
          <w:p w:rsidR="00C068CD" w:rsidRDefault="00317191">
            <w:pPr>
              <w:jc w:val="right"/>
            </w:pPr>
            <w:r>
              <w:rPr>
                <w:rFonts w:eastAsiaTheme="minorEastAsia"/>
                <w:color w:val="000000" w:themeColor="text1"/>
                <w:szCs w:val="21"/>
              </w:rPr>
              <w:t>0.86%</w:t>
            </w:r>
          </w:p>
        </w:tc>
        <w:tc>
          <w:tcPr>
            <w:tcW w:w="1291" w:type="dxa"/>
            <w:vAlign w:val="center"/>
          </w:tcPr>
          <w:p w:rsidR="00C068CD" w:rsidRDefault="00317191">
            <w:pPr>
              <w:jc w:val="right"/>
            </w:pPr>
            <w:r>
              <w:rPr>
                <w:rFonts w:eastAsiaTheme="minorEastAsia"/>
                <w:color w:val="000000" w:themeColor="text1"/>
                <w:szCs w:val="21"/>
              </w:rPr>
              <w:t>-12.74%</w:t>
            </w:r>
          </w:p>
        </w:tc>
        <w:tc>
          <w:tcPr>
            <w:tcW w:w="1291" w:type="dxa"/>
            <w:vAlign w:val="center"/>
          </w:tcPr>
          <w:p w:rsidR="00C068CD" w:rsidRDefault="00317191">
            <w:pPr>
              <w:jc w:val="right"/>
            </w:pPr>
            <w:r>
              <w:rPr>
                <w:rFonts w:eastAsiaTheme="minorEastAsia"/>
                <w:color w:val="000000" w:themeColor="text1"/>
                <w:szCs w:val="21"/>
              </w:rPr>
              <w:t>0.80%</w:t>
            </w:r>
          </w:p>
        </w:tc>
        <w:tc>
          <w:tcPr>
            <w:tcW w:w="1291" w:type="dxa"/>
            <w:vAlign w:val="center"/>
          </w:tcPr>
          <w:p w:rsidR="00C068CD" w:rsidRDefault="00317191">
            <w:pPr>
              <w:jc w:val="right"/>
            </w:pPr>
            <w:r>
              <w:rPr>
                <w:rFonts w:eastAsiaTheme="minorEastAsia"/>
                <w:color w:val="000000" w:themeColor="text1"/>
                <w:szCs w:val="21"/>
              </w:rPr>
              <w:t>-3.54%</w:t>
            </w:r>
          </w:p>
        </w:tc>
        <w:tc>
          <w:tcPr>
            <w:tcW w:w="1291" w:type="dxa"/>
            <w:vAlign w:val="center"/>
          </w:tcPr>
          <w:p w:rsidR="00C068CD" w:rsidRDefault="00317191">
            <w:pPr>
              <w:jc w:val="right"/>
            </w:pPr>
            <w:r>
              <w:rPr>
                <w:rFonts w:eastAsiaTheme="minorEastAsia"/>
                <w:color w:val="000000" w:themeColor="text1"/>
                <w:szCs w:val="21"/>
              </w:rPr>
              <w:t>0.06%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摩根慧享成长混合型证券投资基金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．摩根慧享成长混合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．摩根慧享成长混合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068CD">
        <w:tc>
          <w:tcPr>
            <w:tcW w:w="952" w:type="dxa"/>
            <w:vAlign w:val="center"/>
          </w:tcPr>
          <w:p w:rsidR="00C068CD" w:rsidRDefault="00317191">
            <w:pPr>
              <w:jc w:val="center"/>
            </w:pPr>
            <w:r>
              <w:rPr>
                <w:rFonts w:eastAsiaTheme="minorEastAsia"/>
                <w:color w:val="000000" w:themeColor="text1"/>
                <w:szCs w:val="21"/>
              </w:rPr>
              <w:t>李德辉</w:t>
            </w:r>
          </w:p>
        </w:tc>
        <w:tc>
          <w:tcPr>
            <w:tcW w:w="930" w:type="dxa"/>
            <w:vAlign w:val="center"/>
          </w:tcPr>
          <w:p w:rsidR="00C068CD" w:rsidRDefault="00317191">
            <w:pPr>
              <w:jc w:val="center"/>
            </w:pPr>
            <w:r>
              <w:rPr>
                <w:rFonts w:eastAsiaTheme="minorEastAsia"/>
                <w:color w:val="000000" w:themeColor="text1"/>
                <w:szCs w:val="21"/>
              </w:rPr>
              <w:t>本基金基金经理</w:t>
            </w:r>
          </w:p>
        </w:tc>
        <w:tc>
          <w:tcPr>
            <w:tcW w:w="1210" w:type="dxa"/>
            <w:vAlign w:val="center"/>
          </w:tcPr>
          <w:p w:rsidR="00C068CD" w:rsidRDefault="00317191">
            <w:pPr>
              <w:jc w:val="center"/>
            </w:pPr>
            <w:r>
              <w:rPr>
                <w:rFonts w:eastAsiaTheme="minorEastAsia"/>
                <w:color w:val="000000" w:themeColor="text1"/>
                <w:szCs w:val="21"/>
              </w:rPr>
              <w:t>2022-08-23</w:t>
            </w:r>
          </w:p>
        </w:tc>
        <w:tc>
          <w:tcPr>
            <w:tcW w:w="1309" w:type="dxa"/>
            <w:vAlign w:val="center"/>
          </w:tcPr>
          <w:p w:rsidR="00C068CD" w:rsidRDefault="00317191">
            <w:pPr>
              <w:jc w:val="center"/>
            </w:pPr>
            <w:r>
              <w:rPr>
                <w:rFonts w:eastAsiaTheme="minorEastAsia"/>
                <w:color w:val="000000" w:themeColor="text1"/>
                <w:szCs w:val="21"/>
              </w:rPr>
              <w:t>-</w:t>
            </w:r>
          </w:p>
        </w:tc>
        <w:tc>
          <w:tcPr>
            <w:tcW w:w="1254" w:type="dxa"/>
            <w:vAlign w:val="center"/>
          </w:tcPr>
          <w:p w:rsidR="00C068CD" w:rsidRDefault="00317191">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C068CD" w:rsidRDefault="00317191">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C068CD" w:rsidRDefault="0031719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C068CD" w:rsidRDefault="0031719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7,143,127,006.04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17,584,470.11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7,160,711,476.15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四季度市场仍普跌，</w:t>
      </w:r>
      <w:r>
        <w:rPr>
          <w:rFonts w:eastAsiaTheme="minorEastAsia"/>
          <w:color w:val="000000" w:themeColor="text1"/>
          <w:szCs w:val="21"/>
        </w:rPr>
        <w:t>wind</w:t>
      </w:r>
      <w:r>
        <w:rPr>
          <w:rFonts w:eastAsiaTheme="minorEastAsia"/>
          <w:color w:val="000000" w:themeColor="text1"/>
          <w:szCs w:val="21"/>
        </w:rPr>
        <w:t>全</w:t>
      </w:r>
      <w:r>
        <w:rPr>
          <w:rFonts w:eastAsiaTheme="minorEastAsia"/>
          <w:color w:val="000000" w:themeColor="text1"/>
          <w:szCs w:val="21"/>
        </w:rPr>
        <w:t>A</w:t>
      </w:r>
      <w:r>
        <w:rPr>
          <w:rFonts w:eastAsiaTheme="minorEastAsia"/>
          <w:color w:val="000000" w:themeColor="text1"/>
          <w:szCs w:val="21"/>
        </w:rPr>
        <w:t>指数下跌</w:t>
      </w:r>
      <w:r>
        <w:rPr>
          <w:rFonts w:eastAsiaTheme="minorEastAsia"/>
          <w:color w:val="000000" w:themeColor="text1"/>
          <w:szCs w:val="21"/>
        </w:rPr>
        <w:t>3.84%</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7.00%</w:t>
      </w:r>
      <w:r>
        <w:rPr>
          <w:rFonts w:eastAsiaTheme="minorEastAsia"/>
          <w:color w:val="000000" w:themeColor="text1"/>
          <w:szCs w:val="21"/>
        </w:rPr>
        <w:t>，创业板指数下跌</w:t>
      </w:r>
      <w:r>
        <w:rPr>
          <w:rFonts w:eastAsiaTheme="minorEastAsia"/>
          <w:color w:val="000000" w:themeColor="text1"/>
          <w:szCs w:val="21"/>
        </w:rPr>
        <w:t>5.62%</w:t>
      </w:r>
      <w:r>
        <w:rPr>
          <w:rFonts w:eastAsiaTheme="minorEastAsia"/>
          <w:color w:val="000000" w:themeColor="text1"/>
          <w:szCs w:val="21"/>
        </w:rPr>
        <w:t>，本基金下跌幅度接近创业板指，优于沪深</w:t>
      </w:r>
      <w:r>
        <w:rPr>
          <w:rFonts w:eastAsiaTheme="minorEastAsia"/>
          <w:color w:val="000000" w:themeColor="text1"/>
          <w:szCs w:val="21"/>
        </w:rPr>
        <w:t>300</w:t>
      </w:r>
      <w:r>
        <w:rPr>
          <w:rFonts w:eastAsiaTheme="minorEastAsia"/>
          <w:color w:val="000000" w:themeColor="text1"/>
          <w:szCs w:val="21"/>
        </w:rPr>
        <w:t>。四季度以来市场加速下调各行业的成长预期，市场进一步转为防守，煤炭等资源类资产表现较好，受益于老龄化的医药表现尚可，其余类制造、科技、消费均表现较弱。本基金基于微观的行业和公司基本面跟踪，减持了新能源车、消费等顺周期类资产，增持了医药、资源等基本面坚挺的行业，取得一定积极效果。</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整个市场目前处于低盈利预测，低估值状态，以沪深</w:t>
      </w:r>
      <w:r>
        <w:rPr>
          <w:rFonts w:eastAsiaTheme="minorEastAsia"/>
          <w:color w:val="000000" w:themeColor="text1"/>
          <w:szCs w:val="21"/>
        </w:rPr>
        <w:t>300</w:t>
      </w:r>
      <w:r>
        <w:rPr>
          <w:rFonts w:eastAsiaTheme="minorEastAsia"/>
          <w:color w:val="000000" w:themeColor="text1"/>
          <w:szCs w:val="21"/>
        </w:rPr>
        <w:t>为例，</w:t>
      </w:r>
      <w:r>
        <w:rPr>
          <w:rFonts w:eastAsiaTheme="minorEastAsia"/>
          <w:color w:val="000000" w:themeColor="text1"/>
          <w:szCs w:val="21"/>
        </w:rPr>
        <w:t>wind</w:t>
      </w:r>
      <w:r>
        <w:rPr>
          <w:rFonts w:eastAsiaTheme="minorEastAsia"/>
          <w:color w:val="000000" w:themeColor="text1"/>
          <w:szCs w:val="21"/>
        </w:rPr>
        <w:t>一致预期</w:t>
      </w:r>
      <w:r>
        <w:rPr>
          <w:rFonts w:eastAsiaTheme="minorEastAsia"/>
          <w:color w:val="000000" w:themeColor="text1"/>
          <w:szCs w:val="21"/>
        </w:rPr>
        <w:t>24</w:t>
      </w:r>
      <w:r>
        <w:rPr>
          <w:rFonts w:eastAsiaTheme="minorEastAsia"/>
          <w:color w:val="000000" w:themeColor="text1"/>
          <w:szCs w:val="21"/>
        </w:rPr>
        <w:t>年盈利增长</w:t>
      </w:r>
      <w:r>
        <w:rPr>
          <w:rFonts w:eastAsiaTheme="minorEastAsia"/>
          <w:color w:val="000000" w:themeColor="text1"/>
          <w:szCs w:val="21"/>
        </w:rPr>
        <w:t>13%</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市盈率</w:t>
      </w:r>
      <w:r>
        <w:rPr>
          <w:rFonts w:eastAsiaTheme="minorEastAsia"/>
          <w:color w:val="000000" w:themeColor="text1"/>
          <w:szCs w:val="21"/>
        </w:rPr>
        <w:t>10.8xPE</w:t>
      </w:r>
      <w:r>
        <w:rPr>
          <w:rFonts w:eastAsiaTheme="minorEastAsia"/>
          <w:color w:val="000000" w:themeColor="text1"/>
          <w:szCs w:val="21"/>
        </w:rPr>
        <w:t>，估值处于历史</w:t>
      </w:r>
      <w:r>
        <w:rPr>
          <w:rFonts w:eastAsiaTheme="minorEastAsia"/>
          <w:color w:val="000000" w:themeColor="text1"/>
          <w:szCs w:val="21"/>
        </w:rPr>
        <w:t>13%</w:t>
      </w:r>
      <w:r>
        <w:rPr>
          <w:rFonts w:eastAsiaTheme="minorEastAsia"/>
          <w:color w:val="000000" w:themeColor="text1"/>
          <w:szCs w:val="21"/>
        </w:rPr>
        <w:t>分位。受制于房地产行业的下滑，宏观经济向上弹性不足，但是我们观察到经济逐步企稳的迹象，以及市场有不少结构性的机会。</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我们看好科技、医药、资源的机会。科技：</w:t>
      </w:r>
      <w:r>
        <w:rPr>
          <w:rFonts w:eastAsiaTheme="minorEastAsia"/>
          <w:color w:val="000000" w:themeColor="text1"/>
          <w:szCs w:val="21"/>
        </w:rPr>
        <w:t>2023</w:t>
      </w:r>
      <w:r>
        <w:rPr>
          <w:rFonts w:eastAsiaTheme="minorEastAsia"/>
          <w:color w:val="000000" w:themeColor="text1"/>
          <w:szCs w:val="21"/>
        </w:rPr>
        <w:t>年人工智能（</w:t>
      </w:r>
      <w:r>
        <w:rPr>
          <w:rFonts w:eastAsiaTheme="minorEastAsia"/>
          <w:color w:val="000000" w:themeColor="text1"/>
          <w:szCs w:val="21"/>
        </w:rPr>
        <w:t>AI</w:t>
      </w:r>
      <w:r>
        <w:rPr>
          <w:rFonts w:eastAsiaTheme="minorEastAsia"/>
          <w:color w:val="000000" w:themeColor="text1"/>
          <w:szCs w:val="21"/>
        </w:rPr>
        <w:t>）的兴起带来算力板块巨大的投资机会，</w:t>
      </w:r>
      <w:r>
        <w:rPr>
          <w:rFonts w:eastAsiaTheme="minorEastAsia"/>
          <w:color w:val="000000" w:themeColor="text1"/>
          <w:szCs w:val="21"/>
        </w:rPr>
        <w:t>2024</w:t>
      </w:r>
      <w:r>
        <w:rPr>
          <w:rFonts w:eastAsiaTheme="minorEastAsia"/>
          <w:color w:val="000000" w:themeColor="text1"/>
          <w:szCs w:val="21"/>
        </w:rPr>
        <w:t>年我们更加看好</w:t>
      </w:r>
      <w:r>
        <w:rPr>
          <w:rFonts w:eastAsiaTheme="minorEastAsia"/>
          <w:color w:val="000000" w:themeColor="text1"/>
          <w:szCs w:val="21"/>
        </w:rPr>
        <w:t>AI</w:t>
      </w:r>
      <w:r>
        <w:rPr>
          <w:rFonts w:eastAsiaTheme="minorEastAsia"/>
          <w:color w:val="000000" w:themeColor="text1"/>
          <w:szCs w:val="21"/>
        </w:rPr>
        <w:t>应用的落地，尤其在</w:t>
      </w:r>
      <w:r>
        <w:rPr>
          <w:rFonts w:eastAsiaTheme="minorEastAsia"/>
          <w:color w:val="000000" w:themeColor="text1"/>
          <w:szCs w:val="21"/>
        </w:rPr>
        <w:t>AI</w:t>
      </w:r>
      <w:r>
        <w:rPr>
          <w:rFonts w:eastAsiaTheme="minorEastAsia"/>
          <w:color w:val="000000" w:themeColor="text1"/>
          <w:szCs w:val="21"/>
        </w:rPr>
        <w:t>手机、智能驾驶中的普及，将带来产业巨大的变革。如果消费电子复苏，整个半导体将有望走出周期低谷。医药：到</w:t>
      </w:r>
      <w:r>
        <w:rPr>
          <w:rFonts w:eastAsiaTheme="minorEastAsia"/>
          <w:color w:val="000000" w:themeColor="text1"/>
          <w:szCs w:val="21"/>
        </w:rPr>
        <w:t>2035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，相比现在的</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资源：资源多数是供需双弱状态，盈利中枢较稳定，其中焦煤供给端约束较强，供给未来几年净减少，而需求相对平稳，所以焦煤价格可能有向上弹性。铜作为全球定价的工业金属，整体也偏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年我们兼顾成长和价值，自下而上选择景气度向上的行业和个股，争取获得超额收益。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本报告期摩根慧享成长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:-5.92%</w:t>
      </w:r>
      <w:r>
        <w:rPr>
          <w:rFonts w:eastAsiaTheme="minorEastAsia"/>
          <w:color w:val="000000" w:themeColor="text1"/>
          <w:szCs w:val="21"/>
        </w:rPr>
        <w:t>，同期业绩比较基准收益率为</w:t>
      </w:r>
      <w:r>
        <w:rPr>
          <w:rFonts w:eastAsiaTheme="minorEastAsia"/>
          <w:color w:val="000000" w:themeColor="text1"/>
          <w:szCs w:val="21"/>
        </w:rPr>
        <w:t>:-5.37%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摩根慧享成长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:-6.07%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w:t>
            </w:r>
            <w:r w:rsidRPr="00B27A29">
              <w:rPr>
                <w:rFonts w:eastAsiaTheme="minorEastAsia"/>
                <w:color w:val="000000" w:themeColor="text1"/>
                <w:szCs w:val="21"/>
              </w:rPr>
              <w:lastRenderedPageBreak/>
              <w:t>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310,482,730.69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310,482,730.69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82,191,939.49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5,334,598.45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398,009,268.63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14,959,188.40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3.77%</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35,469,157.76</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228,371,768.59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57.60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12,043,440.00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87,343.44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14,746,379.50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4,343,772.00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461,681.00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295,523,542.29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74.54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068CD" w:rsidRDefault="00317191">
            <w:pPr>
              <w:jc w:val="center"/>
            </w:pPr>
            <w:r>
              <w:rPr>
                <w:rFonts w:eastAsiaTheme="minorEastAsia"/>
                <w:color w:val="000000" w:themeColor="text1"/>
                <w:szCs w:val="21"/>
              </w:rPr>
              <w:t>-</w:t>
            </w:r>
          </w:p>
        </w:tc>
        <w:tc>
          <w:tcPr>
            <w:tcW w:w="3118" w:type="dxa"/>
            <w:vAlign w:val="center"/>
          </w:tcPr>
          <w:p w:rsidR="00C068CD" w:rsidRDefault="00317191">
            <w:pPr>
              <w:jc w:val="center"/>
            </w:pPr>
            <w:r>
              <w:rPr>
                <w:rFonts w:eastAsiaTheme="minorEastAsia"/>
                <w:color w:val="000000" w:themeColor="text1"/>
                <w:szCs w:val="21"/>
              </w:rPr>
              <w:t>-</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068CD" w:rsidRDefault="00317191">
            <w:pPr>
              <w:jc w:val="center"/>
            </w:pPr>
            <w:r>
              <w:rPr>
                <w:rFonts w:eastAsiaTheme="minorEastAsia"/>
                <w:color w:val="000000" w:themeColor="text1"/>
                <w:szCs w:val="21"/>
              </w:rPr>
              <w:t>631,968.40</w:t>
            </w:r>
          </w:p>
        </w:tc>
        <w:tc>
          <w:tcPr>
            <w:tcW w:w="3118" w:type="dxa"/>
            <w:vAlign w:val="center"/>
          </w:tcPr>
          <w:p w:rsidR="00C068CD" w:rsidRDefault="00317191">
            <w:pPr>
              <w:jc w:val="center"/>
            </w:pPr>
            <w:r>
              <w:rPr>
                <w:rFonts w:eastAsiaTheme="minorEastAsia"/>
                <w:color w:val="000000" w:themeColor="text1"/>
                <w:szCs w:val="21"/>
              </w:rPr>
              <w:t>0.16</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068CD" w:rsidRDefault="00317191">
            <w:pPr>
              <w:jc w:val="center"/>
            </w:pPr>
            <w:r>
              <w:rPr>
                <w:rFonts w:eastAsiaTheme="minorEastAsia"/>
                <w:color w:val="000000" w:themeColor="text1"/>
                <w:szCs w:val="21"/>
              </w:rPr>
              <w:t>-</w:t>
            </w:r>
          </w:p>
        </w:tc>
        <w:tc>
          <w:tcPr>
            <w:tcW w:w="3118" w:type="dxa"/>
            <w:vAlign w:val="center"/>
          </w:tcPr>
          <w:p w:rsidR="00C068CD" w:rsidRDefault="00317191">
            <w:pPr>
              <w:jc w:val="center"/>
            </w:pPr>
            <w:r>
              <w:rPr>
                <w:rFonts w:eastAsiaTheme="minorEastAsia"/>
                <w:color w:val="000000" w:themeColor="text1"/>
                <w:szCs w:val="21"/>
              </w:rPr>
              <w:t>-</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068CD" w:rsidRDefault="00317191">
            <w:pPr>
              <w:jc w:val="center"/>
            </w:pPr>
            <w:r>
              <w:rPr>
                <w:rFonts w:eastAsiaTheme="minorEastAsia"/>
                <w:color w:val="000000" w:themeColor="text1"/>
                <w:szCs w:val="21"/>
              </w:rPr>
              <w:t>-</w:t>
            </w:r>
          </w:p>
        </w:tc>
        <w:tc>
          <w:tcPr>
            <w:tcW w:w="3118" w:type="dxa"/>
            <w:vAlign w:val="center"/>
          </w:tcPr>
          <w:p w:rsidR="00C068CD" w:rsidRDefault="00317191">
            <w:pPr>
              <w:jc w:val="center"/>
            </w:pPr>
            <w:r>
              <w:rPr>
                <w:rFonts w:eastAsiaTheme="minorEastAsia"/>
                <w:color w:val="000000" w:themeColor="text1"/>
                <w:szCs w:val="21"/>
              </w:rPr>
              <w:t>-</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068CD" w:rsidRDefault="00317191">
            <w:pPr>
              <w:jc w:val="center"/>
            </w:pPr>
            <w:r>
              <w:rPr>
                <w:rFonts w:eastAsiaTheme="minorEastAsia"/>
                <w:color w:val="000000" w:themeColor="text1"/>
                <w:szCs w:val="21"/>
              </w:rPr>
              <w:t>-</w:t>
            </w:r>
          </w:p>
        </w:tc>
        <w:tc>
          <w:tcPr>
            <w:tcW w:w="3118" w:type="dxa"/>
            <w:vAlign w:val="center"/>
          </w:tcPr>
          <w:p w:rsidR="00C068CD" w:rsidRDefault="00317191">
            <w:pPr>
              <w:jc w:val="center"/>
            </w:pPr>
            <w:r>
              <w:rPr>
                <w:rFonts w:eastAsiaTheme="minorEastAsia"/>
                <w:color w:val="000000" w:themeColor="text1"/>
                <w:szCs w:val="21"/>
              </w:rPr>
              <w:t>-</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068CD" w:rsidRDefault="00317191">
            <w:pPr>
              <w:jc w:val="center"/>
            </w:pPr>
            <w:r>
              <w:rPr>
                <w:rFonts w:eastAsiaTheme="minorEastAsia"/>
                <w:color w:val="000000" w:themeColor="text1"/>
                <w:szCs w:val="21"/>
              </w:rPr>
              <w:t>-</w:t>
            </w:r>
          </w:p>
        </w:tc>
        <w:tc>
          <w:tcPr>
            <w:tcW w:w="3118" w:type="dxa"/>
            <w:vAlign w:val="center"/>
          </w:tcPr>
          <w:p w:rsidR="00C068CD" w:rsidRDefault="00317191">
            <w:pPr>
              <w:jc w:val="center"/>
            </w:pPr>
            <w:r>
              <w:rPr>
                <w:rFonts w:eastAsiaTheme="minorEastAsia"/>
                <w:color w:val="000000" w:themeColor="text1"/>
                <w:szCs w:val="21"/>
              </w:rPr>
              <w:t>-</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068CD" w:rsidRDefault="00317191">
            <w:pPr>
              <w:jc w:val="center"/>
            </w:pPr>
            <w:r>
              <w:rPr>
                <w:rFonts w:eastAsiaTheme="minorEastAsia"/>
                <w:color w:val="000000" w:themeColor="text1"/>
                <w:szCs w:val="21"/>
              </w:rPr>
              <w:t>76,340.00</w:t>
            </w:r>
          </w:p>
        </w:tc>
        <w:tc>
          <w:tcPr>
            <w:tcW w:w="3118" w:type="dxa"/>
            <w:vAlign w:val="center"/>
          </w:tcPr>
          <w:p w:rsidR="00C068CD" w:rsidRDefault="00317191">
            <w:pPr>
              <w:jc w:val="center"/>
            </w:pPr>
            <w:r>
              <w:rPr>
                <w:rFonts w:eastAsiaTheme="minorEastAsia"/>
                <w:color w:val="000000" w:themeColor="text1"/>
                <w:szCs w:val="21"/>
              </w:rPr>
              <w:t>0.02</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068CD" w:rsidRDefault="00317191">
            <w:pPr>
              <w:jc w:val="center"/>
            </w:pPr>
            <w:r>
              <w:rPr>
                <w:rFonts w:eastAsiaTheme="minorEastAsia"/>
                <w:color w:val="000000" w:themeColor="text1"/>
                <w:szCs w:val="21"/>
              </w:rPr>
              <w:t>1,456,420.00</w:t>
            </w:r>
          </w:p>
        </w:tc>
        <w:tc>
          <w:tcPr>
            <w:tcW w:w="3118" w:type="dxa"/>
            <w:vAlign w:val="center"/>
          </w:tcPr>
          <w:p w:rsidR="00C068CD" w:rsidRDefault="00317191">
            <w:pPr>
              <w:jc w:val="center"/>
            </w:pPr>
            <w:r>
              <w:rPr>
                <w:rFonts w:eastAsiaTheme="minorEastAsia"/>
                <w:color w:val="000000" w:themeColor="text1"/>
                <w:szCs w:val="21"/>
              </w:rPr>
              <w:t>0.37</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068CD" w:rsidRDefault="00317191">
            <w:pPr>
              <w:jc w:val="center"/>
            </w:pPr>
            <w:r>
              <w:rPr>
                <w:rFonts w:eastAsiaTheme="minorEastAsia"/>
                <w:color w:val="000000" w:themeColor="text1"/>
                <w:szCs w:val="21"/>
              </w:rPr>
              <w:t>12,066,960.00</w:t>
            </w:r>
          </w:p>
        </w:tc>
        <w:tc>
          <w:tcPr>
            <w:tcW w:w="3118" w:type="dxa"/>
            <w:vAlign w:val="center"/>
          </w:tcPr>
          <w:p w:rsidR="00C068CD" w:rsidRDefault="00317191">
            <w:pPr>
              <w:jc w:val="center"/>
            </w:pPr>
            <w:r>
              <w:rPr>
                <w:rFonts w:eastAsiaTheme="minorEastAsia"/>
                <w:color w:val="000000" w:themeColor="text1"/>
                <w:szCs w:val="21"/>
              </w:rPr>
              <w:t>3.04</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068CD" w:rsidRDefault="00317191">
            <w:pPr>
              <w:jc w:val="center"/>
            </w:pPr>
            <w:r>
              <w:rPr>
                <w:rFonts w:eastAsiaTheme="minorEastAsia"/>
                <w:color w:val="000000" w:themeColor="text1"/>
                <w:szCs w:val="21"/>
              </w:rPr>
              <w:t>727,500.00</w:t>
            </w:r>
          </w:p>
        </w:tc>
        <w:tc>
          <w:tcPr>
            <w:tcW w:w="3118" w:type="dxa"/>
            <w:vAlign w:val="center"/>
          </w:tcPr>
          <w:p w:rsidR="00C068CD" w:rsidRDefault="00317191">
            <w:pPr>
              <w:jc w:val="center"/>
            </w:pPr>
            <w:r>
              <w:rPr>
                <w:rFonts w:eastAsiaTheme="minorEastAsia"/>
                <w:color w:val="000000" w:themeColor="text1"/>
                <w:szCs w:val="21"/>
              </w:rPr>
              <w:t>0.18</w:t>
            </w:r>
          </w:p>
        </w:tc>
      </w:tr>
      <w:tr w:rsidR="00C068CD">
        <w:trPr>
          <w:jc w:val="center"/>
        </w:trPr>
        <w:tc>
          <w:tcPr>
            <w:tcW w:w="2397" w:type="dxa"/>
            <w:vAlign w:val="center"/>
          </w:tcPr>
          <w:p w:rsidR="00C068CD" w:rsidRDefault="0031719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068CD" w:rsidRDefault="00317191">
            <w:pPr>
              <w:jc w:val="center"/>
            </w:pPr>
            <w:r>
              <w:rPr>
                <w:rFonts w:eastAsiaTheme="minorEastAsia"/>
                <w:color w:val="000000" w:themeColor="text1"/>
                <w:szCs w:val="21"/>
              </w:rPr>
              <w:t>-</w:t>
            </w:r>
          </w:p>
        </w:tc>
        <w:tc>
          <w:tcPr>
            <w:tcW w:w="3118" w:type="dxa"/>
            <w:vAlign w:val="center"/>
          </w:tcPr>
          <w:p w:rsidR="00C068CD" w:rsidRDefault="00317191">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14,959,188.40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3.77</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068CD">
        <w:tc>
          <w:tcPr>
            <w:tcW w:w="817" w:type="dxa"/>
            <w:vAlign w:val="center"/>
          </w:tcPr>
          <w:p w:rsidR="00C068CD" w:rsidRDefault="00317191">
            <w:pPr>
              <w:jc w:val="center"/>
            </w:pPr>
            <w:r>
              <w:rPr>
                <w:rFonts w:eastAsiaTheme="minorEastAsia"/>
                <w:kern w:val="0"/>
                <w:szCs w:val="21"/>
              </w:rPr>
              <w:t>1</w:t>
            </w:r>
          </w:p>
        </w:tc>
        <w:tc>
          <w:tcPr>
            <w:tcW w:w="1276" w:type="dxa"/>
            <w:vAlign w:val="center"/>
          </w:tcPr>
          <w:p w:rsidR="00C068CD" w:rsidRDefault="00317191">
            <w:pPr>
              <w:jc w:val="center"/>
            </w:pPr>
            <w:r>
              <w:rPr>
                <w:rFonts w:eastAsiaTheme="minorEastAsia"/>
                <w:kern w:val="0"/>
                <w:szCs w:val="21"/>
              </w:rPr>
              <w:t>002475</w:t>
            </w:r>
          </w:p>
        </w:tc>
        <w:tc>
          <w:tcPr>
            <w:tcW w:w="1701" w:type="dxa"/>
            <w:vAlign w:val="center"/>
          </w:tcPr>
          <w:p w:rsidR="00C068CD" w:rsidRDefault="00317191">
            <w:pPr>
              <w:jc w:val="center"/>
            </w:pPr>
            <w:r>
              <w:rPr>
                <w:rFonts w:eastAsiaTheme="minorEastAsia"/>
                <w:kern w:val="0"/>
                <w:szCs w:val="21"/>
              </w:rPr>
              <w:t>立讯精密</w:t>
            </w:r>
          </w:p>
        </w:tc>
        <w:tc>
          <w:tcPr>
            <w:tcW w:w="1276" w:type="dxa"/>
            <w:vAlign w:val="center"/>
          </w:tcPr>
          <w:p w:rsidR="00C068CD" w:rsidRDefault="00317191">
            <w:pPr>
              <w:jc w:val="right"/>
            </w:pPr>
            <w:r>
              <w:rPr>
                <w:rFonts w:eastAsiaTheme="minorEastAsia"/>
                <w:kern w:val="0"/>
                <w:szCs w:val="21"/>
              </w:rPr>
              <w:t>713,300.00</w:t>
            </w:r>
          </w:p>
        </w:tc>
        <w:tc>
          <w:tcPr>
            <w:tcW w:w="1842" w:type="dxa"/>
            <w:vAlign w:val="center"/>
          </w:tcPr>
          <w:p w:rsidR="00C068CD" w:rsidRDefault="00317191">
            <w:pPr>
              <w:jc w:val="right"/>
            </w:pPr>
            <w:r>
              <w:rPr>
                <w:rFonts w:eastAsiaTheme="minorEastAsia"/>
                <w:kern w:val="0"/>
                <w:szCs w:val="21"/>
              </w:rPr>
              <w:t>24,573,185.00</w:t>
            </w:r>
          </w:p>
        </w:tc>
        <w:tc>
          <w:tcPr>
            <w:tcW w:w="1616" w:type="dxa"/>
            <w:vAlign w:val="center"/>
          </w:tcPr>
          <w:p w:rsidR="00C068CD" w:rsidRDefault="00317191">
            <w:pPr>
              <w:jc w:val="right"/>
            </w:pPr>
            <w:r>
              <w:rPr>
                <w:rFonts w:eastAsiaTheme="minorEastAsia"/>
                <w:kern w:val="0"/>
                <w:szCs w:val="21"/>
              </w:rPr>
              <w:t>6.20</w:t>
            </w:r>
          </w:p>
        </w:tc>
      </w:tr>
      <w:tr w:rsidR="00C068CD">
        <w:tc>
          <w:tcPr>
            <w:tcW w:w="817" w:type="dxa"/>
            <w:vAlign w:val="center"/>
          </w:tcPr>
          <w:p w:rsidR="00C068CD" w:rsidRDefault="00317191">
            <w:pPr>
              <w:jc w:val="center"/>
            </w:pPr>
            <w:r>
              <w:rPr>
                <w:rFonts w:eastAsiaTheme="minorEastAsia"/>
                <w:kern w:val="0"/>
                <w:szCs w:val="21"/>
              </w:rPr>
              <w:t>2</w:t>
            </w:r>
          </w:p>
        </w:tc>
        <w:tc>
          <w:tcPr>
            <w:tcW w:w="1276" w:type="dxa"/>
            <w:vAlign w:val="center"/>
          </w:tcPr>
          <w:p w:rsidR="00C068CD" w:rsidRDefault="00317191">
            <w:pPr>
              <w:jc w:val="center"/>
            </w:pPr>
            <w:r>
              <w:rPr>
                <w:rFonts w:eastAsiaTheme="minorEastAsia"/>
                <w:kern w:val="0"/>
                <w:szCs w:val="21"/>
              </w:rPr>
              <w:t>00941</w:t>
            </w:r>
          </w:p>
        </w:tc>
        <w:tc>
          <w:tcPr>
            <w:tcW w:w="1701" w:type="dxa"/>
            <w:vAlign w:val="center"/>
          </w:tcPr>
          <w:p w:rsidR="00C068CD" w:rsidRDefault="00317191">
            <w:pPr>
              <w:jc w:val="center"/>
            </w:pPr>
            <w:r>
              <w:rPr>
                <w:rFonts w:eastAsiaTheme="minorEastAsia"/>
                <w:kern w:val="0"/>
                <w:szCs w:val="21"/>
              </w:rPr>
              <w:t>中国移动</w:t>
            </w:r>
          </w:p>
        </w:tc>
        <w:tc>
          <w:tcPr>
            <w:tcW w:w="1276" w:type="dxa"/>
            <w:vAlign w:val="center"/>
          </w:tcPr>
          <w:p w:rsidR="00C068CD" w:rsidRDefault="00317191">
            <w:pPr>
              <w:jc w:val="right"/>
            </w:pPr>
            <w:r>
              <w:rPr>
                <w:rFonts w:eastAsiaTheme="minorEastAsia"/>
                <w:kern w:val="0"/>
                <w:szCs w:val="21"/>
              </w:rPr>
              <w:t>205,500.00</w:t>
            </w:r>
          </w:p>
        </w:tc>
        <w:tc>
          <w:tcPr>
            <w:tcW w:w="1842" w:type="dxa"/>
            <w:vAlign w:val="center"/>
          </w:tcPr>
          <w:p w:rsidR="00C068CD" w:rsidRDefault="00317191">
            <w:pPr>
              <w:jc w:val="right"/>
            </w:pPr>
            <w:r>
              <w:rPr>
                <w:rFonts w:eastAsiaTheme="minorEastAsia"/>
                <w:kern w:val="0"/>
                <w:szCs w:val="21"/>
              </w:rPr>
              <w:t>12,066,960.00</w:t>
            </w:r>
          </w:p>
        </w:tc>
        <w:tc>
          <w:tcPr>
            <w:tcW w:w="1616" w:type="dxa"/>
            <w:vAlign w:val="center"/>
          </w:tcPr>
          <w:p w:rsidR="00C068CD" w:rsidRDefault="00317191">
            <w:pPr>
              <w:jc w:val="right"/>
            </w:pPr>
            <w:r>
              <w:rPr>
                <w:rFonts w:eastAsiaTheme="minorEastAsia"/>
                <w:kern w:val="0"/>
                <w:szCs w:val="21"/>
              </w:rPr>
              <w:t>3.04</w:t>
            </w:r>
          </w:p>
        </w:tc>
      </w:tr>
      <w:tr w:rsidR="00C068CD">
        <w:tc>
          <w:tcPr>
            <w:tcW w:w="817" w:type="dxa"/>
            <w:vAlign w:val="center"/>
          </w:tcPr>
          <w:p w:rsidR="00C068CD" w:rsidRDefault="00317191">
            <w:pPr>
              <w:jc w:val="center"/>
            </w:pPr>
            <w:r>
              <w:rPr>
                <w:rFonts w:eastAsiaTheme="minorEastAsia"/>
                <w:kern w:val="0"/>
                <w:szCs w:val="21"/>
              </w:rPr>
              <w:t>2</w:t>
            </w:r>
          </w:p>
        </w:tc>
        <w:tc>
          <w:tcPr>
            <w:tcW w:w="1276" w:type="dxa"/>
            <w:vAlign w:val="center"/>
          </w:tcPr>
          <w:p w:rsidR="00C068CD" w:rsidRDefault="00317191">
            <w:pPr>
              <w:jc w:val="center"/>
            </w:pPr>
            <w:r>
              <w:rPr>
                <w:rFonts w:eastAsiaTheme="minorEastAsia"/>
                <w:kern w:val="0"/>
                <w:szCs w:val="21"/>
              </w:rPr>
              <w:t>600941</w:t>
            </w:r>
          </w:p>
        </w:tc>
        <w:tc>
          <w:tcPr>
            <w:tcW w:w="1701" w:type="dxa"/>
            <w:vAlign w:val="center"/>
          </w:tcPr>
          <w:p w:rsidR="00C068CD" w:rsidRDefault="00317191">
            <w:pPr>
              <w:jc w:val="center"/>
            </w:pPr>
            <w:r>
              <w:rPr>
                <w:rFonts w:eastAsiaTheme="minorEastAsia"/>
                <w:kern w:val="0"/>
                <w:szCs w:val="21"/>
              </w:rPr>
              <w:t>中国移动</w:t>
            </w:r>
          </w:p>
        </w:tc>
        <w:tc>
          <w:tcPr>
            <w:tcW w:w="1276" w:type="dxa"/>
            <w:vAlign w:val="center"/>
          </w:tcPr>
          <w:p w:rsidR="00C068CD" w:rsidRDefault="00317191">
            <w:pPr>
              <w:jc w:val="right"/>
            </w:pPr>
            <w:r>
              <w:rPr>
                <w:rFonts w:eastAsiaTheme="minorEastAsia"/>
                <w:kern w:val="0"/>
                <w:szCs w:val="21"/>
              </w:rPr>
              <w:t>86,600.00</w:t>
            </w:r>
          </w:p>
        </w:tc>
        <w:tc>
          <w:tcPr>
            <w:tcW w:w="1842" w:type="dxa"/>
            <w:vAlign w:val="center"/>
          </w:tcPr>
          <w:p w:rsidR="00C068CD" w:rsidRDefault="00317191">
            <w:pPr>
              <w:jc w:val="right"/>
            </w:pPr>
            <w:r>
              <w:rPr>
                <w:rFonts w:eastAsiaTheme="minorEastAsia"/>
                <w:kern w:val="0"/>
                <w:szCs w:val="21"/>
              </w:rPr>
              <w:t>8,614,968.00</w:t>
            </w:r>
          </w:p>
        </w:tc>
        <w:tc>
          <w:tcPr>
            <w:tcW w:w="1616" w:type="dxa"/>
            <w:vAlign w:val="center"/>
          </w:tcPr>
          <w:p w:rsidR="00C068CD" w:rsidRDefault="00317191">
            <w:pPr>
              <w:jc w:val="right"/>
            </w:pPr>
            <w:r>
              <w:rPr>
                <w:rFonts w:eastAsiaTheme="minorEastAsia"/>
                <w:kern w:val="0"/>
                <w:szCs w:val="21"/>
              </w:rPr>
              <w:t>2.17</w:t>
            </w:r>
          </w:p>
        </w:tc>
      </w:tr>
      <w:tr w:rsidR="00C068CD">
        <w:tc>
          <w:tcPr>
            <w:tcW w:w="817" w:type="dxa"/>
            <w:vAlign w:val="center"/>
          </w:tcPr>
          <w:p w:rsidR="00C068CD" w:rsidRDefault="00317191">
            <w:pPr>
              <w:jc w:val="center"/>
            </w:pPr>
            <w:r>
              <w:rPr>
                <w:rFonts w:eastAsiaTheme="minorEastAsia"/>
                <w:kern w:val="0"/>
                <w:szCs w:val="21"/>
              </w:rPr>
              <w:t>3</w:t>
            </w:r>
          </w:p>
        </w:tc>
        <w:tc>
          <w:tcPr>
            <w:tcW w:w="1276" w:type="dxa"/>
            <w:vAlign w:val="center"/>
          </w:tcPr>
          <w:p w:rsidR="00C068CD" w:rsidRDefault="00317191">
            <w:pPr>
              <w:jc w:val="center"/>
            </w:pPr>
            <w:r>
              <w:rPr>
                <w:rFonts w:eastAsiaTheme="minorEastAsia"/>
                <w:kern w:val="0"/>
                <w:szCs w:val="21"/>
              </w:rPr>
              <w:t>600276</w:t>
            </w:r>
          </w:p>
        </w:tc>
        <w:tc>
          <w:tcPr>
            <w:tcW w:w="1701" w:type="dxa"/>
            <w:vAlign w:val="center"/>
          </w:tcPr>
          <w:p w:rsidR="00C068CD" w:rsidRDefault="00317191">
            <w:pPr>
              <w:jc w:val="center"/>
            </w:pPr>
            <w:r>
              <w:rPr>
                <w:rFonts w:eastAsiaTheme="minorEastAsia"/>
                <w:kern w:val="0"/>
                <w:szCs w:val="21"/>
              </w:rPr>
              <w:t>恒瑞医药</w:t>
            </w:r>
          </w:p>
        </w:tc>
        <w:tc>
          <w:tcPr>
            <w:tcW w:w="1276" w:type="dxa"/>
            <w:vAlign w:val="center"/>
          </w:tcPr>
          <w:p w:rsidR="00C068CD" w:rsidRDefault="00317191">
            <w:pPr>
              <w:jc w:val="right"/>
            </w:pPr>
            <w:r>
              <w:rPr>
                <w:rFonts w:eastAsiaTheme="minorEastAsia"/>
                <w:kern w:val="0"/>
                <w:szCs w:val="21"/>
              </w:rPr>
              <w:t>428,920.00</w:t>
            </w:r>
          </w:p>
        </w:tc>
        <w:tc>
          <w:tcPr>
            <w:tcW w:w="1842" w:type="dxa"/>
            <w:vAlign w:val="center"/>
          </w:tcPr>
          <w:p w:rsidR="00C068CD" w:rsidRDefault="00317191">
            <w:pPr>
              <w:jc w:val="right"/>
            </w:pPr>
            <w:r>
              <w:rPr>
                <w:rFonts w:eastAsiaTheme="minorEastAsia"/>
                <w:kern w:val="0"/>
                <w:szCs w:val="21"/>
              </w:rPr>
              <w:t>19,400,051.60</w:t>
            </w:r>
          </w:p>
        </w:tc>
        <w:tc>
          <w:tcPr>
            <w:tcW w:w="1616" w:type="dxa"/>
            <w:vAlign w:val="center"/>
          </w:tcPr>
          <w:p w:rsidR="00C068CD" w:rsidRDefault="00317191">
            <w:pPr>
              <w:jc w:val="right"/>
            </w:pPr>
            <w:r>
              <w:rPr>
                <w:rFonts w:eastAsiaTheme="minorEastAsia"/>
                <w:kern w:val="0"/>
                <w:szCs w:val="21"/>
              </w:rPr>
              <w:t>4.89</w:t>
            </w:r>
          </w:p>
        </w:tc>
      </w:tr>
      <w:tr w:rsidR="00C068CD">
        <w:tc>
          <w:tcPr>
            <w:tcW w:w="817" w:type="dxa"/>
            <w:vAlign w:val="center"/>
          </w:tcPr>
          <w:p w:rsidR="00C068CD" w:rsidRDefault="00317191">
            <w:pPr>
              <w:jc w:val="center"/>
            </w:pPr>
            <w:r>
              <w:rPr>
                <w:rFonts w:eastAsiaTheme="minorEastAsia"/>
                <w:kern w:val="0"/>
                <w:szCs w:val="21"/>
              </w:rPr>
              <w:t>4</w:t>
            </w:r>
          </w:p>
        </w:tc>
        <w:tc>
          <w:tcPr>
            <w:tcW w:w="1276" w:type="dxa"/>
            <w:vAlign w:val="center"/>
          </w:tcPr>
          <w:p w:rsidR="00C068CD" w:rsidRDefault="00317191">
            <w:pPr>
              <w:jc w:val="center"/>
            </w:pPr>
            <w:r>
              <w:rPr>
                <w:rFonts w:eastAsiaTheme="minorEastAsia"/>
                <w:kern w:val="0"/>
                <w:szCs w:val="21"/>
              </w:rPr>
              <w:t>000625</w:t>
            </w:r>
          </w:p>
        </w:tc>
        <w:tc>
          <w:tcPr>
            <w:tcW w:w="1701" w:type="dxa"/>
            <w:vAlign w:val="center"/>
          </w:tcPr>
          <w:p w:rsidR="00C068CD" w:rsidRDefault="00317191">
            <w:pPr>
              <w:jc w:val="center"/>
            </w:pPr>
            <w:r>
              <w:rPr>
                <w:rFonts w:eastAsiaTheme="minorEastAsia"/>
                <w:kern w:val="0"/>
                <w:szCs w:val="21"/>
              </w:rPr>
              <w:t>长安汽车</w:t>
            </w:r>
          </w:p>
        </w:tc>
        <w:tc>
          <w:tcPr>
            <w:tcW w:w="1276" w:type="dxa"/>
            <w:vAlign w:val="center"/>
          </w:tcPr>
          <w:p w:rsidR="00C068CD" w:rsidRDefault="00317191">
            <w:pPr>
              <w:jc w:val="right"/>
            </w:pPr>
            <w:r>
              <w:rPr>
                <w:rFonts w:eastAsiaTheme="minorEastAsia"/>
                <w:kern w:val="0"/>
                <w:szCs w:val="21"/>
              </w:rPr>
              <w:t>936,100.00</w:t>
            </w:r>
          </w:p>
        </w:tc>
        <w:tc>
          <w:tcPr>
            <w:tcW w:w="1842" w:type="dxa"/>
            <w:vAlign w:val="center"/>
          </w:tcPr>
          <w:p w:rsidR="00C068CD" w:rsidRDefault="00317191">
            <w:pPr>
              <w:jc w:val="right"/>
            </w:pPr>
            <w:r>
              <w:rPr>
                <w:rFonts w:eastAsiaTheme="minorEastAsia"/>
                <w:kern w:val="0"/>
                <w:szCs w:val="21"/>
              </w:rPr>
              <w:t>15,754,563.00</w:t>
            </w:r>
          </w:p>
        </w:tc>
        <w:tc>
          <w:tcPr>
            <w:tcW w:w="1616" w:type="dxa"/>
            <w:vAlign w:val="center"/>
          </w:tcPr>
          <w:p w:rsidR="00C068CD" w:rsidRDefault="00317191">
            <w:pPr>
              <w:jc w:val="right"/>
            </w:pPr>
            <w:r>
              <w:rPr>
                <w:rFonts w:eastAsiaTheme="minorEastAsia"/>
                <w:kern w:val="0"/>
                <w:szCs w:val="21"/>
              </w:rPr>
              <w:t>3.97</w:t>
            </w:r>
          </w:p>
        </w:tc>
      </w:tr>
      <w:tr w:rsidR="00C068CD">
        <w:tc>
          <w:tcPr>
            <w:tcW w:w="817" w:type="dxa"/>
            <w:vAlign w:val="center"/>
          </w:tcPr>
          <w:p w:rsidR="00C068CD" w:rsidRDefault="00317191">
            <w:pPr>
              <w:jc w:val="center"/>
            </w:pPr>
            <w:r>
              <w:rPr>
                <w:rFonts w:eastAsiaTheme="minorEastAsia"/>
                <w:kern w:val="0"/>
                <w:szCs w:val="21"/>
              </w:rPr>
              <w:t>5</w:t>
            </w:r>
          </w:p>
        </w:tc>
        <w:tc>
          <w:tcPr>
            <w:tcW w:w="1276" w:type="dxa"/>
            <w:vAlign w:val="center"/>
          </w:tcPr>
          <w:p w:rsidR="00C068CD" w:rsidRDefault="00317191">
            <w:pPr>
              <w:jc w:val="center"/>
            </w:pPr>
            <w:r>
              <w:rPr>
                <w:rFonts w:eastAsiaTheme="minorEastAsia"/>
                <w:kern w:val="0"/>
                <w:szCs w:val="21"/>
              </w:rPr>
              <w:t>300760</w:t>
            </w:r>
          </w:p>
        </w:tc>
        <w:tc>
          <w:tcPr>
            <w:tcW w:w="1701" w:type="dxa"/>
            <w:vAlign w:val="center"/>
          </w:tcPr>
          <w:p w:rsidR="00C068CD" w:rsidRDefault="00317191">
            <w:pPr>
              <w:jc w:val="center"/>
            </w:pPr>
            <w:r>
              <w:rPr>
                <w:rFonts w:eastAsiaTheme="minorEastAsia"/>
                <w:kern w:val="0"/>
                <w:szCs w:val="21"/>
              </w:rPr>
              <w:t>迈瑞医疗</w:t>
            </w:r>
          </w:p>
        </w:tc>
        <w:tc>
          <w:tcPr>
            <w:tcW w:w="1276" w:type="dxa"/>
            <w:vAlign w:val="center"/>
          </w:tcPr>
          <w:p w:rsidR="00C068CD" w:rsidRDefault="00317191">
            <w:pPr>
              <w:jc w:val="right"/>
            </w:pPr>
            <w:r>
              <w:rPr>
                <w:rFonts w:eastAsiaTheme="minorEastAsia"/>
                <w:kern w:val="0"/>
                <w:szCs w:val="21"/>
              </w:rPr>
              <w:t>51,600.00</w:t>
            </w:r>
          </w:p>
        </w:tc>
        <w:tc>
          <w:tcPr>
            <w:tcW w:w="1842" w:type="dxa"/>
            <w:vAlign w:val="center"/>
          </w:tcPr>
          <w:p w:rsidR="00C068CD" w:rsidRDefault="00317191">
            <w:pPr>
              <w:jc w:val="right"/>
            </w:pPr>
            <w:r>
              <w:rPr>
                <w:rFonts w:eastAsiaTheme="minorEastAsia"/>
                <w:kern w:val="0"/>
                <w:szCs w:val="21"/>
              </w:rPr>
              <w:t>14,994,960.00</w:t>
            </w:r>
          </w:p>
        </w:tc>
        <w:tc>
          <w:tcPr>
            <w:tcW w:w="1616" w:type="dxa"/>
            <w:vAlign w:val="center"/>
          </w:tcPr>
          <w:p w:rsidR="00C068CD" w:rsidRDefault="00317191">
            <w:pPr>
              <w:jc w:val="right"/>
            </w:pPr>
            <w:r>
              <w:rPr>
                <w:rFonts w:eastAsiaTheme="minorEastAsia"/>
                <w:kern w:val="0"/>
                <w:szCs w:val="21"/>
              </w:rPr>
              <w:t>3.78</w:t>
            </w:r>
          </w:p>
        </w:tc>
      </w:tr>
      <w:tr w:rsidR="00C068CD">
        <w:tc>
          <w:tcPr>
            <w:tcW w:w="817" w:type="dxa"/>
            <w:vAlign w:val="center"/>
          </w:tcPr>
          <w:p w:rsidR="00C068CD" w:rsidRDefault="00317191">
            <w:pPr>
              <w:jc w:val="center"/>
            </w:pPr>
            <w:r>
              <w:rPr>
                <w:rFonts w:eastAsiaTheme="minorEastAsia"/>
                <w:kern w:val="0"/>
                <w:szCs w:val="21"/>
              </w:rPr>
              <w:t>6</w:t>
            </w:r>
          </w:p>
        </w:tc>
        <w:tc>
          <w:tcPr>
            <w:tcW w:w="1276" w:type="dxa"/>
            <w:vAlign w:val="center"/>
          </w:tcPr>
          <w:p w:rsidR="00C068CD" w:rsidRDefault="00317191">
            <w:pPr>
              <w:jc w:val="center"/>
            </w:pPr>
            <w:r>
              <w:rPr>
                <w:rFonts w:eastAsiaTheme="minorEastAsia"/>
                <w:kern w:val="0"/>
                <w:szCs w:val="21"/>
              </w:rPr>
              <w:t>601899</w:t>
            </w:r>
          </w:p>
        </w:tc>
        <w:tc>
          <w:tcPr>
            <w:tcW w:w="1701" w:type="dxa"/>
            <w:vAlign w:val="center"/>
          </w:tcPr>
          <w:p w:rsidR="00C068CD" w:rsidRDefault="00317191">
            <w:pPr>
              <w:jc w:val="center"/>
            </w:pPr>
            <w:r>
              <w:rPr>
                <w:rFonts w:eastAsiaTheme="minorEastAsia"/>
                <w:kern w:val="0"/>
                <w:szCs w:val="21"/>
              </w:rPr>
              <w:t>紫金矿业</w:t>
            </w:r>
          </w:p>
        </w:tc>
        <w:tc>
          <w:tcPr>
            <w:tcW w:w="1276" w:type="dxa"/>
            <w:vAlign w:val="center"/>
          </w:tcPr>
          <w:p w:rsidR="00C068CD" w:rsidRDefault="00317191">
            <w:pPr>
              <w:jc w:val="right"/>
            </w:pPr>
            <w:r>
              <w:rPr>
                <w:rFonts w:eastAsiaTheme="minorEastAsia"/>
                <w:kern w:val="0"/>
                <w:szCs w:val="21"/>
              </w:rPr>
              <w:t>1,045,600.0</w:t>
            </w:r>
            <w:r>
              <w:rPr>
                <w:rFonts w:eastAsiaTheme="minorEastAsia"/>
                <w:kern w:val="0"/>
                <w:szCs w:val="21"/>
              </w:rPr>
              <w:lastRenderedPageBreak/>
              <w:t>0</w:t>
            </w:r>
          </w:p>
        </w:tc>
        <w:tc>
          <w:tcPr>
            <w:tcW w:w="1842" w:type="dxa"/>
            <w:vAlign w:val="center"/>
          </w:tcPr>
          <w:p w:rsidR="00C068CD" w:rsidRDefault="00317191">
            <w:pPr>
              <w:jc w:val="right"/>
            </w:pPr>
            <w:r>
              <w:rPr>
                <w:rFonts w:eastAsiaTheme="minorEastAsia"/>
                <w:kern w:val="0"/>
                <w:szCs w:val="21"/>
              </w:rPr>
              <w:lastRenderedPageBreak/>
              <w:t>13,028,176.00</w:t>
            </w:r>
          </w:p>
        </w:tc>
        <w:tc>
          <w:tcPr>
            <w:tcW w:w="1616" w:type="dxa"/>
            <w:vAlign w:val="center"/>
          </w:tcPr>
          <w:p w:rsidR="00C068CD" w:rsidRDefault="00317191">
            <w:pPr>
              <w:jc w:val="right"/>
            </w:pPr>
            <w:r>
              <w:rPr>
                <w:rFonts w:eastAsiaTheme="minorEastAsia"/>
                <w:kern w:val="0"/>
                <w:szCs w:val="21"/>
              </w:rPr>
              <w:t>3.29</w:t>
            </w:r>
          </w:p>
        </w:tc>
      </w:tr>
      <w:tr w:rsidR="00C068CD">
        <w:tc>
          <w:tcPr>
            <w:tcW w:w="817" w:type="dxa"/>
            <w:vAlign w:val="center"/>
          </w:tcPr>
          <w:p w:rsidR="00C068CD" w:rsidRDefault="00317191">
            <w:pPr>
              <w:jc w:val="center"/>
            </w:pPr>
            <w:r>
              <w:rPr>
                <w:rFonts w:eastAsiaTheme="minorEastAsia"/>
                <w:kern w:val="0"/>
                <w:szCs w:val="21"/>
              </w:rPr>
              <w:t>7</w:t>
            </w:r>
          </w:p>
        </w:tc>
        <w:tc>
          <w:tcPr>
            <w:tcW w:w="1276" w:type="dxa"/>
            <w:vAlign w:val="center"/>
          </w:tcPr>
          <w:p w:rsidR="00C068CD" w:rsidRDefault="00317191">
            <w:pPr>
              <w:jc w:val="center"/>
            </w:pPr>
            <w:r>
              <w:rPr>
                <w:rFonts w:eastAsiaTheme="minorEastAsia"/>
                <w:kern w:val="0"/>
                <w:szCs w:val="21"/>
              </w:rPr>
              <w:t>600900</w:t>
            </w:r>
          </w:p>
        </w:tc>
        <w:tc>
          <w:tcPr>
            <w:tcW w:w="1701" w:type="dxa"/>
            <w:vAlign w:val="center"/>
          </w:tcPr>
          <w:p w:rsidR="00C068CD" w:rsidRDefault="00317191">
            <w:pPr>
              <w:jc w:val="center"/>
            </w:pPr>
            <w:r>
              <w:rPr>
                <w:rFonts w:eastAsiaTheme="minorEastAsia"/>
                <w:kern w:val="0"/>
                <w:szCs w:val="21"/>
              </w:rPr>
              <w:t>长江电力</w:t>
            </w:r>
          </w:p>
        </w:tc>
        <w:tc>
          <w:tcPr>
            <w:tcW w:w="1276" w:type="dxa"/>
            <w:vAlign w:val="center"/>
          </w:tcPr>
          <w:p w:rsidR="00C068CD" w:rsidRDefault="00317191">
            <w:pPr>
              <w:jc w:val="right"/>
            </w:pPr>
            <w:r>
              <w:rPr>
                <w:rFonts w:eastAsiaTheme="minorEastAsia"/>
                <w:kern w:val="0"/>
                <w:szCs w:val="21"/>
              </w:rPr>
              <w:t>516,000.00</w:t>
            </w:r>
          </w:p>
        </w:tc>
        <w:tc>
          <w:tcPr>
            <w:tcW w:w="1842" w:type="dxa"/>
            <w:vAlign w:val="center"/>
          </w:tcPr>
          <w:p w:rsidR="00C068CD" w:rsidRDefault="00317191">
            <w:pPr>
              <w:jc w:val="right"/>
            </w:pPr>
            <w:r>
              <w:rPr>
                <w:rFonts w:eastAsiaTheme="minorEastAsia"/>
                <w:kern w:val="0"/>
                <w:szCs w:val="21"/>
              </w:rPr>
              <w:t>12,043,440.00</w:t>
            </w:r>
          </w:p>
        </w:tc>
        <w:tc>
          <w:tcPr>
            <w:tcW w:w="1616" w:type="dxa"/>
            <w:vAlign w:val="center"/>
          </w:tcPr>
          <w:p w:rsidR="00C068CD" w:rsidRDefault="00317191">
            <w:pPr>
              <w:jc w:val="right"/>
            </w:pPr>
            <w:r>
              <w:rPr>
                <w:rFonts w:eastAsiaTheme="minorEastAsia"/>
                <w:kern w:val="0"/>
                <w:szCs w:val="21"/>
              </w:rPr>
              <w:t>3.04</w:t>
            </w:r>
          </w:p>
        </w:tc>
      </w:tr>
      <w:tr w:rsidR="00C068CD">
        <w:tc>
          <w:tcPr>
            <w:tcW w:w="817" w:type="dxa"/>
            <w:vAlign w:val="center"/>
          </w:tcPr>
          <w:p w:rsidR="00C068CD" w:rsidRDefault="00317191">
            <w:pPr>
              <w:jc w:val="center"/>
            </w:pPr>
            <w:r>
              <w:rPr>
                <w:rFonts w:eastAsiaTheme="minorEastAsia"/>
                <w:kern w:val="0"/>
                <w:szCs w:val="21"/>
              </w:rPr>
              <w:t>8</w:t>
            </w:r>
          </w:p>
        </w:tc>
        <w:tc>
          <w:tcPr>
            <w:tcW w:w="1276" w:type="dxa"/>
            <w:vAlign w:val="center"/>
          </w:tcPr>
          <w:p w:rsidR="00C068CD" w:rsidRDefault="00317191">
            <w:pPr>
              <w:jc w:val="center"/>
            </w:pPr>
            <w:r>
              <w:rPr>
                <w:rFonts w:eastAsiaTheme="minorEastAsia"/>
                <w:kern w:val="0"/>
                <w:szCs w:val="21"/>
              </w:rPr>
              <w:t>600079</w:t>
            </w:r>
          </w:p>
        </w:tc>
        <w:tc>
          <w:tcPr>
            <w:tcW w:w="1701" w:type="dxa"/>
            <w:vAlign w:val="center"/>
          </w:tcPr>
          <w:p w:rsidR="00C068CD" w:rsidRDefault="00317191">
            <w:pPr>
              <w:jc w:val="center"/>
            </w:pPr>
            <w:r>
              <w:rPr>
                <w:rFonts w:eastAsiaTheme="minorEastAsia"/>
                <w:kern w:val="0"/>
                <w:szCs w:val="21"/>
              </w:rPr>
              <w:t>人福医药</w:t>
            </w:r>
          </w:p>
        </w:tc>
        <w:tc>
          <w:tcPr>
            <w:tcW w:w="1276" w:type="dxa"/>
            <w:vAlign w:val="center"/>
          </w:tcPr>
          <w:p w:rsidR="00C068CD" w:rsidRDefault="00317191">
            <w:pPr>
              <w:jc w:val="right"/>
            </w:pPr>
            <w:r>
              <w:rPr>
                <w:rFonts w:eastAsiaTheme="minorEastAsia"/>
                <w:kern w:val="0"/>
                <w:szCs w:val="21"/>
              </w:rPr>
              <w:t>469,000.00</w:t>
            </w:r>
          </w:p>
        </w:tc>
        <w:tc>
          <w:tcPr>
            <w:tcW w:w="1842" w:type="dxa"/>
            <w:vAlign w:val="center"/>
          </w:tcPr>
          <w:p w:rsidR="00C068CD" w:rsidRDefault="00317191">
            <w:pPr>
              <w:jc w:val="right"/>
            </w:pPr>
            <w:r>
              <w:rPr>
                <w:rFonts w:eastAsiaTheme="minorEastAsia"/>
                <w:kern w:val="0"/>
                <w:szCs w:val="21"/>
              </w:rPr>
              <w:t>11,659,340.00</w:t>
            </w:r>
          </w:p>
        </w:tc>
        <w:tc>
          <w:tcPr>
            <w:tcW w:w="1616" w:type="dxa"/>
            <w:vAlign w:val="center"/>
          </w:tcPr>
          <w:p w:rsidR="00C068CD" w:rsidRDefault="00317191">
            <w:pPr>
              <w:jc w:val="right"/>
            </w:pPr>
            <w:r>
              <w:rPr>
                <w:rFonts w:eastAsiaTheme="minorEastAsia"/>
                <w:kern w:val="0"/>
                <w:szCs w:val="21"/>
              </w:rPr>
              <w:t>2.94</w:t>
            </w:r>
          </w:p>
        </w:tc>
      </w:tr>
      <w:tr w:rsidR="00C068CD">
        <w:tc>
          <w:tcPr>
            <w:tcW w:w="817" w:type="dxa"/>
            <w:vAlign w:val="center"/>
          </w:tcPr>
          <w:p w:rsidR="00C068CD" w:rsidRDefault="00317191">
            <w:pPr>
              <w:jc w:val="center"/>
            </w:pPr>
            <w:r>
              <w:rPr>
                <w:rFonts w:eastAsiaTheme="minorEastAsia"/>
                <w:kern w:val="0"/>
                <w:szCs w:val="21"/>
              </w:rPr>
              <w:t>9</w:t>
            </w:r>
          </w:p>
        </w:tc>
        <w:tc>
          <w:tcPr>
            <w:tcW w:w="1276" w:type="dxa"/>
            <w:vAlign w:val="center"/>
          </w:tcPr>
          <w:p w:rsidR="00C068CD" w:rsidRDefault="00317191">
            <w:pPr>
              <w:jc w:val="center"/>
            </w:pPr>
            <w:r>
              <w:rPr>
                <w:rFonts w:eastAsiaTheme="minorEastAsia"/>
                <w:kern w:val="0"/>
                <w:szCs w:val="21"/>
              </w:rPr>
              <w:t>300037</w:t>
            </w:r>
          </w:p>
        </w:tc>
        <w:tc>
          <w:tcPr>
            <w:tcW w:w="1701" w:type="dxa"/>
            <w:vAlign w:val="center"/>
          </w:tcPr>
          <w:p w:rsidR="00C068CD" w:rsidRDefault="00317191">
            <w:pPr>
              <w:jc w:val="center"/>
            </w:pPr>
            <w:r>
              <w:rPr>
                <w:rFonts w:eastAsiaTheme="minorEastAsia"/>
                <w:kern w:val="0"/>
                <w:szCs w:val="21"/>
              </w:rPr>
              <w:t>新宙邦</w:t>
            </w:r>
          </w:p>
        </w:tc>
        <w:tc>
          <w:tcPr>
            <w:tcW w:w="1276" w:type="dxa"/>
            <w:vAlign w:val="center"/>
          </w:tcPr>
          <w:p w:rsidR="00C068CD" w:rsidRDefault="00317191">
            <w:pPr>
              <w:jc w:val="right"/>
            </w:pPr>
            <w:r>
              <w:rPr>
                <w:rFonts w:eastAsiaTheme="minorEastAsia"/>
                <w:kern w:val="0"/>
                <w:szCs w:val="21"/>
              </w:rPr>
              <w:t>233,800.00</w:t>
            </w:r>
          </w:p>
        </w:tc>
        <w:tc>
          <w:tcPr>
            <w:tcW w:w="1842" w:type="dxa"/>
            <w:vAlign w:val="center"/>
          </w:tcPr>
          <w:p w:rsidR="00C068CD" w:rsidRDefault="00317191">
            <w:pPr>
              <w:jc w:val="right"/>
            </w:pPr>
            <w:r>
              <w:rPr>
                <w:rFonts w:eastAsiaTheme="minorEastAsia"/>
                <w:kern w:val="0"/>
                <w:szCs w:val="21"/>
              </w:rPr>
              <w:t>11,058,740.00</w:t>
            </w:r>
          </w:p>
        </w:tc>
        <w:tc>
          <w:tcPr>
            <w:tcW w:w="1616" w:type="dxa"/>
            <w:vAlign w:val="center"/>
          </w:tcPr>
          <w:p w:rsidR="00C068CD" w:rsidRDefault="00317191">
            <w:pPr>
              <w:jc w:val="right"/>
            </w:pPr>
            <w:r>
              <w:rPr>
                <w:rFonts w:eastAsiaTheme="minorEastAsia"/>
                <w:kern w:val="0"/>
                <w:szCs w:val="21"/>
              </w:rPr>
              <w:t>2.79</w:t>
            </w:r>
          </w:p>
        </w:tc>
      </w:tr>
      <w:tr w:rsidR="00C068CD">
        <w:tc>
          <w:tcPr>
            <w:tcW w:w="817" w:type="dxa"/>
            <w:vAlign w:val="center"/>
          </w:tcPr>
          <w:p w:rsidR="00C068CD" w:rsidRDefault="00317191">
            <w:pPr>
              <w:jc w:val="center"/>
            </w:pPr>
            <w:r>
              <w:rPr>
                <w:rFonts w:eastAsiaTheme="minorEastAsia"/>
                <w:kern w:val="0"/>
                <w:szCs w:val="21"/>
              </w:rPr>
              <w:t>10</w:t>
            </w:r>
          </w:p>
        </w:tc>
        <w:tc>
          <w:tcPr>
            <w:tcW w:w="1276" w:type="dxa"/>
            <w:vAlign w:val="center"/>
          </w:tcPr>
          <w:p w:rsidR="00C068CD" w:rsidRDefault="00317191">
            <w:pPr>
              <w:jc w:val="center"/>
            </w:pPr>
            <w:r>
              <w:rPr>
                <w:rFonts w:eastAsiaTheme="minorEastAsia"/>
                <w:kern w:val="0"/>
                <w:szCs w:val="21"/>
              </w:rPr>
              <w:t>002236</w:t>
            </w:r>
          </w:p>
        </w:tc>
        <w:tc>
          <w:tcPr>
            <w:tcW w:w="1701" w:type="dxa"/>
            <w:vAlign w:val="center"/>
          </w:tcPr>
          <w:p w:rsidR="00C068CD" w:rsidRDefault="00317191">
            <w:pPr>
              <w:jc w:val="center"/>
            </w:pPr>
            <w:r>
              <w:rPr>
                <w:rFonts w:eastAsiaTheme="minorEastAsia"/>
                <w:kern w:val="0"/>
                <w:szCs w:val="21"/>
              </w:rPr>
              <w:t>大华股份</w:t>
            </w:r>
          </w:p>
        </w:tc>
        <w:tc>
          <w:tcPr>
            <w:tcW w:w="1276" w:type="dxa"/>
            <w:vAlign w:val="center"/>
          </w:tcPr>
          <w:p w:rsidR="00C068CD" w:rsidRDefault="00317191">
            <w:pPr>
              <w:jc w:val="right"/>
            </w:pPr>
            <w:r>
              <w:rPr>
                <w:rFonts w:eastAsiaTheme="minorEastAsia"/>
                <w:kern w:val="0"/>
                <w:szCs w:val="21"/>
              </w:rPr>
              <w:t>569,600.00</w:t>
            </w:r>
          </w:p>
        </w:tc>
        <w:tc>
          <w:tcPr>
            <w:tcW w:w="1842" w:type="dxa"/>
            <w:vAlign w:val="center"/>
          </w:tcPr>
          <w:p w:rsidR="00C068CD" w:rsidRDefault="00317191">
            <w:pPr>
              <w:jc w:val="right"/>
            </w:pPr>
            <w:r>
              <w:rPr>
                <w:rFonts w:eastAsiaTheme="minorEastAsia"/>
                <w:kern w:val="0"/>
                <w:szCs w:val="21"/>
              </w:rPr>
              <w:t>10,509,120.00</w:t>
            </w:r>
          </w:p>
        </w:tc>
        <w:tc>
          <w:tcPr>
            <w:tcW w:w="1616" w:type="dxa"/>
            <w:vAlign w:val="center"/>
          </w:tcPr>
          <w:p w:rsidR="00C068CD" w:rsidRDefault="00317191">
            <w:pPr>
              <w:jc w:val="right"/>
            </w:pPr>
            <w:r>
              <w:rPr>
                <w:rFonts w:eastAsiaTheme="minorEastAsia"/>
                <w:kern w:val="0"/>
                <w:szCs w:val="21"/>
              </w:rPr>
              <w:t>2.65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317191" w:rsidRPr="00317191" w:rsidRDefault="005C671B" w:rsidP="00317191">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00317191" w:rsidRPr="00317191">
        <w:rPr>
          <w:rFonts w:eastAsiaTheme="minorEastAsia" w:hint="eastAsia"/>
          <w:color w:val="000000" w:themeColor="text1"/>
          <w:szCs w:val="21"/>
        </w:rPr>
        <w:t>本基金投资的前十名证券的发行主体中，人福医药集团股份公司（股票代码</w:t>
      </w:r>
      <w:r w:rsidR="00317191" w:rsidRPr="00317191">
        <w:rPr>
          <w:rFonts w:eastAsiaTheme="minorEastAsia" w:hint="eastAsia"/>
          <w:color w:val="000000" w:themeColor="text1"/>
          <w:szCs w:val="21"/>
        </w:rPr>
        <w:t>600079</w:t>
      </w:r>
      <w:r w:rsidR="00317191" w:rsidRPr="00317191">
        <w:rPr>
          <w:rFonts w:eastAsiaTheme="minorEastAsia" w:hint="eastAsia"/>
          <w:color w:val="000000" w:themeColor="text1"/>
          <w:szCs w:val="21"/>
        </w:rPr>
        <w:t>）在报告编制日前一年内曾受到上海证券交易所的处罚。</w:t>
      </w:r>
    </w:p>
    <w:p w:rsidR="00317191" w:rsidRPr="00317191" w:rsidRDefault="00317191" w:rsidP="00317191">
      <w:pPr>
        <w:widowControl/>
        <w:spacing w:line="360" w:lineRule="auto"/>
        <w:rPr>
          <w:rFonts w:eastAsiaTheme="minorEastAsia"/>
          <w:color w:val="000000" w:themeColor="text1"/>
          <w:szCs w:val="21"/>
        </w:rPr>
      </w:pPr>
      <w:r w:rsidRPr="00317191">
        <w:rPr>
          <w:rFonts w:eastAsiaTheme="minorEastAsia" w:hint="eastAsia"/>
          <w:color w:val="000000" w:themeColor="text1"/>
          <w:szCs w:val="21"/>
        </w:rPr>
        <w:t>本基金对上述主体所发行证券的投资决策程序符合相关法律法规、基金合同及公司投资制度的要求。</w:t>
      </w:r>
    </w:p>
    <w:p w:rsidR="005E6DF3" w:rsidRPr="00B27A29" w:rsidRDefault="00317191" w:rsidP="00317191">
      <w:pPr>
        <w:widowControl/>
        <w:spacing w:line="360" w:lineRule="auto"/>
        <w:rPr>
          <w:rFonts w:eastAsiaTheme="minorEastAsia"/>
          <w:color w:val="000000" w:themeColor="text1"/>
          <w:szCs w:val="21"/>
        </w:rPr>
      </w:pPr>
      <w:r w:rsidRPr="00317191">
        <w:rPr>
          <w:rFonts w:eastAsiaTheme="minorEastAsia" w:hint="eastAsia"/>
          <w:color w:val="000000" w:themeColor="text1"/>
          <w:szCs w:val="21"/>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5,303,716.27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30,882.18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5,334,598.45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214,776,269.19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284,027,390.47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529,406.48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1,836,572.43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8,042,572.09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21,250,213.06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207,263,103.58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264,613,749.84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摩根慧享成长混合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115,560.06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115,560.06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摩根慧享成长混合型证券投资基金基金合同</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摩根慧享成长混合型证券投资基金托管协议</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068CD" w:rsidRDefault="003171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8193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8193E">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8193E">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摩根慧享成长混合型证券投资基金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191"/>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193E"/>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068CD"/>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20E88-CCEC-48CC-8863-10EE7747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1306</Words>
  <Characters>7449</Characters>
  <Application>Microsoft Office Word</Application>
  <DocSecurity>0</DocSecurity>
  <Lines>62</Lines>
  <Paragraphs>17</Paragraphs>
  <ScaleCrop>false</ScaleCrop>
  <Company>TRT. Ltd. Co.</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221</cp:revision>
  <cp:lastPrinted>2007-07-19T00:46:00Z</cp:lastPrinted>
  <dcterms:created xsi:type="dcterms:W3CDTF">2013-06-21T06:56:00Z</dcterms:created>
  <dcterms:modified xsi:type="dcterms:W3CDTF">2024-01-19T05:48:00Z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