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34A4"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E8F6A7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EF35C5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92AA05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3570E6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D0D14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摩根慧享成长混合型证券投资基金</w:t>
      </w:r>
    </w:p>
    <w:p w14:paraId="2EFA33D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4FA29F48"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CC57C80" w14:textId="77777777" w:rsidR="005E6DF3" w:rsidRPr="00B27A29" w:rsidRDefault="005E6DF3">
      <w:pPr>
        <w:spacing w:line="360" w:lineRule="auto"/>
        <w:jc w:val="center"/>
        <w:rPr>
          <w:rFonts w:eastAsiaTheme="minorEastAsia"/>
          <w:b/>
          <w:color w:val="000000" w:themeColor="text1"/>
          <w:szCs w:val="21"/>
        </w:rPr>
      </w:pPr>
    </w:p>
    <w:p w14:paraId="2F461132" w14:textId="77777777" w:rsidR="005E6DF3" w:rsidRPr="00B27A29" w:rsidRDefault="005E6DF3">
      <w:pPr>
        <w:spacing w:line="360" w:lineRule="auto"/>
        <w:jc w:val="center"/>
        <w:rPr>
          <w:rFonts w:eastAsiaTheme="minorEastAsia"/>
          <w:b/>
          <w:color w:val="000000" w:themeColor="text1"/>
          <w:szCs w:val="21"/>
        </w:rPr>
      </w:pPr>
    </w:p>
    <w:p w14:paraId="2E0E64B6" w14:textId="77777777" w:rsidR="005E6DF3" w:rsidRPr="00B27A29" w:rsidRDefault="005E6DF3">
      <w:pPr>
        <w:spacing w:line="360" w:lineRule="auto"/>
        <w:jc w:val="center"/>
        <w:rPr>
          <w:rFonts w:eastAsiaTheme="minorEastAsia"/>
          <w:b/>
          <w:color w:val="000000" w:themeColor="text1"/>
          <w:szCs w:val="21"/>
        </w:rPr>
      </w:pPr>
    </w:p>
    <w:p w14:paraId="793A60C5" w14:textId="77777777" w:rsidR="005E6DF3" w:rsidRPr="00B27A29" w:rsidRDefault="005E6DF3">
      <w:pPr>
        <w:spacing w:line="360" w:lineRule="auto"/>
        <w:jc w:val="center"/>
        <w:rPr>
          <w:rFonts w:eastAsiaTheme="minorEastAsia"/>
          <w:b/>
          <w:color w:val="000000" w:themeColor="text1"/>
          <w:szCs w:val="21"/>
        </w:rPr>
      </w:pPr>
    </w:p>
    <w:p w14:paraId="4F9F70C8" w14:textId="77777777" w:rsidR="005E6DF3" w:rsidRPr="00B27A29" w:rsidRDefault="005E6DF3">
      <w:pPr>
        <w:spacing w:line="360" w:lineRule="auto"/>
        <w:jc w:val="center"/>
        <w:rPr>
          <w:rFonts w:eastAsiaTheme="minorEastAsia"/>
          <w:b/>
          <w:color w:val="000000" w:themeColor="text1"/>
          <w:szCs w:val="21"/>
        </w:rPr>
      </w:pPr>
    </w:p>
    <w:p w14:paraId="32B69561" w14:textId="77777777" w:rsidR="005E6DF3" w:rsidRPr="00B27A29" w:rsidRDefault="005E6DF3">
      <w:pPr>
        <w:spacing w:line="360" w:lineRule="auto"/>
        <w:jc w:val="center"/>
        <w:rPr>
          <w:rFonts w:eastAsiaTheme="minorEastAsia"/>
          <w:b/>
          <w:color w:val="000000" w:themeColor="text1"/>
          <w:szCs w:val="21"/>
        </w:rPr>
      </w:pPr>
    </w:p>
    <w:p w14:paraId="218D7338" w14:textId="77777777" w:rsidR="005E6DF3" w:rsidRPr="00B27A29" w:rsidRDefault="005E6DF3">
      <w:pPr>
        <w:spacing w:line="360" w:lineRule="auto"/>
        <w:jc w:val="center"/>
        <w:rPr>
          <w:rFonts w:eastAsiaTheme="minorEastAsia"/>
          <w:b/>
          <w:color w:val="000000" w:themeColor="text1"/>
          <w:szCs w:val="21"/>
        </w:rPr>
      </w:pPr>
    </w:p>
    <w:p w14:paraId="4A8A0209" w14:textId="77777777" w:rsidR="005E6DF3" w:rsidRPr="00B27A29" w:rsidRDefault="005E6DF3">
      <w:pPr>
        <w:spacing w:line="360" w:lineRule="auto"/>
        <w:jc w:val="center"/>
        <w:rPr>
          <w:rFonts w:eastAsiaTheme="minorEastAsia"/>
          <w:b/>
          <w:color w:val="000000" w:themeColor="text1"/>
          <w:szCs w:val="21"/>
        </w:rPr>
      </w:pPr>
    </w:p>
    <w:p w14:paraId="2B7CF32E" w14:textId="77777777" w:rsidR="005E6DF3" w:rsidRPr="00B27A29" w:rsidRDefault="005E6DF3">
      <w:pPr>
        <w:spacing w:line="360" w:lineRule="auto"/>
        <w:jc w:val="center"/>
        <w:rPr>
          <w:rFonts w:eastAsiaTheme="minorEastAsia"/>
          <w:b/>
          <w:color w:val="000000" w:themeColor="text1"/>
          <w:szCs w:val="21"/>
        </w:rPr>
      </w:pPr>
    </w:p>
    <w:p w14:paraId="7389F25E" w14:textId="77777777" w:rsidR="005E6DF3" w:rsidRPr="00B27A29" w:rsidRDefault="005E6DF3">
      <w:pPr>
        <w:spacing w:line="360" w:lineRule="auto"/>
        <w:jc w:val="center"/>
        <w:rPr>
          <w:rFonts w:eastAsiaTheme="minorEastAsia"/>
          <w:b/>
          <w:color w:val="000000" w:themeColor="text1"/>
          <w:szCs w:val="21"/>
        </w:rPr>
      </w:pPr>
    </w:p>
    <w:p w14:paraId="0E23E501" w14:textId="77777777" w:rsidR="005E6DF3" w:rsidRPr="00B27A29" w:rsidRDefault="005E6DF3">
      <w:pPr>
        <w:spacing w:line="360" w:lineRule="auto"/>
        <w:jc w:val="center"/>
        <w:rPr>
          <w:rFonts w:eastAsiaTheme="minorEastAsia"/>
          <w:b/>
          <w:color w:val="000000" w:themeColor="text1"/>
          <w:szCs w:val="21"/>
        </w:rPr>
      </w:pPr>
    </w:p>
    <w:p w14:paraId="12151DB9" w14:textId="77777777" w:rsidR="005E6DF3" w:rsidRPr="00B27A29" w:rsidRDefault="005E6DF3">
      <w:pPr>
        <w:spacing w:line="360" w:lineRule="auto"/>
        <w:jc w:val="center"/>
        <w:rPr>
          <w:rFonts w:eastAsiaTheme="minorEastAsia"/>
          <w:b/>
          <w:color w:val="000000" w:themeColor="text1"/>
          <w:szCs w:val="21"/>
        </w:rPr>
      </w:pPr>
    </w:p>
    <w:p w14:paraId="4F220B30" w14:textId="77777777" w:rsidR="005E6DF3" w:rsidRPr="00B27A29" w:rsidRDefault="005E6DF3">
      <w:pPr>
        <w:spacing w:line="360" w:lineRule="auto"/>
        <w:jc w:val="center"/>
        <w:rPr>
          <w:rFonts w:eastAsiaTheme="minorEastAsia"/>
          <w:b/>
          <w:color w:val="000000" w:themeColor="text1"/>
          <w:szCs w:val="21"/>
        </w:rPr>
      </w:pPr>
    </w:p>
    <w:p w14:paraId="68140721" w14:textId="77777777" w:rsidR="005E6DF3" w:rsidRPr="00B27A29" w:rsidRDefault="005E6DF3">
      <w:pPr>
        <w:spacing w:line="360" w:lineRule="auto"/>
        <w:rPr>
          <w:rFonts w:eastAsiaTheme="minorEastAsia"/>
          <w:b/>
          <w:color w:val="000000" w:themeColor="text1"/>
          <w:szCs w:val="21"/>
        </w:rPr>
      </w:pPr>
    </w:p>
    <w:p w14:paraId="63625CE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F92AA3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14:paraId="4898BE78"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6CFEE2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1F0A2AB"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79D32B1"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4AE8F76"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7C26F91"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93EF560"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7F584CB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79834D5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71D12DDC" w14:textId="77777777">
        <w:tc>
          <w:tcPr>
            <w:tcW w:w="2835" w:type="dxa"/>
            <w:vAlign w:val="center"/>
          </w:tcPr>
          <w:p w14:paraId="3D3BB6A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36DA5A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摩根慧享成长混合</w:t>
            </w:r>
          </w:p>
        </w:tc>
      </w:tr>
      <w:tr w:rsidR="005E6DF3" w:rsidRPr="00B27A29" w14:paraId="20168958" w14:textId="77777777">
        <w:tc>
          <w:tcPr>
            <w:tcW w:w="2835" w:type="dxa"/>
            <w:vAlign w:val="center"/>
          </w:tcPr>
          <w:p w14:paraId="00D952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C32489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015357</w:t>
            </w:r>
          </w:p>
        </w:tc>
      </w:tr>
      <w:tr w:rsidR="005E6DF3" w:rsidRPr="00B27A29" w14:paraId="1D508DE8" w14:textId="77777777">
        <w:tc>
          <w:tcPr>
            <w:tcW w:w="2835" w:type="dxa"/>
            <w:vAlign w:val="center"/>
          </w:tcPr>
          <w:p w14:paraId="1B9FA9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734BD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7E25ABA" w14:textId="77777777">
        <w:tc>
          <w:tcPr>
            <w:tcW w:w="2835" w:type="dxa"/>
            <w:vAlign w:val="center"/>
          </w:tcPr>
          <w:p w14:paraId="3660D0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B2F7D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14:paraId="4E4F23D8" w14:textId="77777777">
        <w:tc>
          <w:tcPr>
            <w:tcW w:w="2835" w:type="dxa"/>
            <w:vAlign w:val="center"/>
          </w:tcPr>
          <w:p w14:paraId="31BF659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6A836E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353,500,351.26</w:t>
            </w:r>
            <w:r w:rsidRPr="00B27A29">
              <w:rPr>
                <w:rFonts w:eastAsiaTheme="minorEastAsia"/>
                <w:color w:val="000000" w:themeColor="text1"/>
                <w:kern w:val="0"/>
                <w:szCs w:val="21"/>
              </w:rPr>
              <w:t>份</w:t>
            </w:r>
          </w:p>
        </w:tc>
      </w:tr>
      <w:tr w:rsidR="005E6DF3" w:rsidRPr="00B27A29" w14:paraId="19A91E83" w14:textId="77777777">
        <w:tc>
          <w:tcPr>
            <w:tcW w:w="2835" w:type="dxa"/>
            <w:vAlign w:val="center"/>
          </w:tcPr>
          <w:p w14:paraId="4D1EEC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6709F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本基金将采用定量及定性研究方法，通过自上而下行业配置与自下而上精选个股相结合，基于严格的风险控制，力争实现基金资产的长期增值。</w:t>
            </w:r>
          </w:p>
        </w:tc>
      </w:tr>
      <w:tr w:rsidR="005E6DF3" w:rsidRPr="00B27A29" w14:paraId="24816734" w14:textId="77777777">
        <w:tc>
          <w:tcPr>
            <w:tcW w:w="2835" w:type="dxa"/>
            <w:vAlign w:val="center"/>
          </w:tcPr>
          <w:p w14:paraId="080449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782B405"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C40E53A"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14:paraId="40A6D1DD"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w:t>
            </w:r>
            <w:r>
              <w:rPr>
                <w:rFonts w:eastAsiaTheme="minorEastAsia"/>
                <w:color w:val="000000" w:themeColor="text1"/>
                <w:kern w:val="0"/>
                <w:szCs w:val="21"/>
              </w:rPr>
              <w:t>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5ACDE56C"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27E74DC8"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6F9FBA8F"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5DC4F609"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w:t>
            </w:r>
            <w:r>
              <w:rPr>
                <w:rFonts w:eastAsiaTheme="minorEastAsia"/>
                <w:color w:val="000000" w:themeColor="text1"/>
                <w:kern w:val="0"/>
                <w:szCs w:val="21"/>
              </w:rPr>
              <w:t>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A</w:t>
            </w:r>
            <w:r>
              <w:rPr>
                <w:rFonts w:eastAsiaTheme="minorEastAsia"/>
                <w:color w:val="000000" w:themeColor="text1"/>
                <w:kern w:val="0"/>
                <w:szCs w:val="21"/>
              </w:rPr>
              <w:t>股形成互补。</w:t>
            </w:r>
          </w:p>
          <w:p w14:paraId="681F9B4C"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本基金将通过自下而上方法挖掘优质个股，结合各项定量和定性指标挑选出最具上涨潜力的标的。</w:t>
            </w:r>
          </w:p>
          <w:p w14:paraId="1F959F42"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4A0B68FD"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w:t>
            </w:r>
            <w:r>
              <w:rPr>
                <w:rFonts w:eastAsiaTheme="minorEastAsia"/>
                <w:color w:val="000000" w:themeColor="text1"/>
                <w:kern w:val="0"/>
                <w:szCs w:val="21"/>
              </w:rPr>
              <w:lastRenderedPageBreak/>
              <w:t>策略、可转债策略等多种</w:t>
            </w:r>
            <w:r>
              <w:rPr>
                <w:rFonts w:eastAsiaTheme="minorEastAsia"/>
                <w:color w:val="000000" w:themeColor="text1"/>
                <w:kern w:val="0"/>
                <w:szCs w:val="21"/>
              </w:rPr>
              <w:t>投资策略，实施积极主动的组合管理，并根据对债券收益率曲线形态、息差变化的预测，对债券组合进行动态调整。</w:t>
            </w:r>
          </w:p>
          <w:p w14:paraId="32C78CB9" w14:textId="77777777" w:rsidR="00455C47" w:rsidRDefault="00D167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14:paraId="2C6E74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14:paraId="546ABB8A" w14:textId="77777777">
        <w:tc>
          <w:tcPr>
            <w:tcW w:w="2835" w:type="dxa"/>
            <w:vAlign w:val="center"/>
          </w:tcPr>
          <w:p w14:paraId="136108F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CA2964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4DEB538C" w14:textId="77777777">
        <w:tc>
          <w:tcPr>
            <w:tcW w:w="2835" w:type="dxa"/>
            <w:vAlign w:val="center"/>
          </w:tcPr>
          <w:p w14:paraId="1DA970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83AAC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14:paraId="0FB5A73A" w14:textId="77777777">
        <w:tc>
          <w:tcPr>
            <w:tcW w:w="2835" w:type="dxa"/>
            <w:vAlign w:val="center"/>
          </w:tcPr>
          <w:p w14:paraId="57F0F39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1BE61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BD233D3" w14:textId="77777777">
        <w:tc>
          <w:tcPr>
            <w:tcW w:w="2835" w:type="dxa"/>
            <w:vAlign w:val="center"/>
          </w:tcPr>
          <w:p w14:paraId="46DD28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D5BF4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14:paraId="05723FBD" w14:textId="77777777">
        <w:tc>
          <w:tcPr>
            <w:tcW w:w="2835" w:type="dxa"/>
            <w:vAlign w:val="center"/>
          </w:tcPr>
          <w:p w14:paraId="0A1AFC0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8441C6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740" w:type="dxa"/>
            <w:vAlign w:val="center"/>
          </w:tcPr>
          <w:p w14:paraId="780225D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14:paraId="79C692AE" w14:textId="77777777">
        <w:tc>
          <w:tcPr>
            <w:tcW w:w="2835" w:type="dxa"/>
            <w:vAlign w:val="center"/>
          </w:tcPr>
          <w:p w14:paraId="0B03E3B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F44BEB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015357</w:t>
            </w:r>
          </w:p>
        </w:tc>
        <w:tc>
          <w:tcPr>
            <w:tcW w:w="2740" w:type="dxa"/>
            <w:vAlign w:val="center"/>
          </w:tcPr>
          <w:p w14:paraId="7B54A8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015358</w:t>
            </w:r>
          </w:p>
        </w:tc>
      </w:tr>
      <w:tr w:rsidR="005E6DF3" w:rsidRPr="00B27A29" w14:paraId="7491E1DA" w14:textId="77777777">
        <w:tc>
          <w:tcPr>
            <w:tcW w:w="2835" w:type="dxa"/>
            <w:vAlign w:val="center"/>
          </w:tcPr>
          <w:p w14:paraId="51F626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B37AD3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156,830,568.47</w:t>
            </w:r>
            <w:r w:rsidRPr="00B27A29">
              <w:rPr>
                <w:rFonts w:eastAsiaTheme="minorEastAsia"/>
                <w:color w:val="000000" w:themeColor="text1"/>
                <w:kern w:val="0"/>
                <w:szCs w:val="21"/>
              </w:rPr>
              <w:t>份</w:t>
            </w:r>
          </w:p>
        </w:tc>
        <w:tc>
          <w:tcPr>
            <w:tcW w:w="2740" w:type="dxa"/>
            <w:vAlign w:val="center"/>
          </w:tcPr>
          <w:p w14:paraId="51FD116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196,669,782.79</w:t>
            </w:r>
            <w:r w:rsidRPr="00B27A29">
              <w:rPr>
                <w:rFonts w:eastAsiaTheme="minorEastAsia"/>
                <w:color w:val="000000" w:themeColor="text1"/>
                <w:kern w:val="0"/>
                <w:szCs w:val="21"/>
              </w:rPr>
              <w:t>份</w:t>
            </w:r>
          </w:p>
        </w:tc>
      </w:tr>
    </w:tbl>
    <w:p w14:paraId="1B9259F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58911BD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1E5BDCD"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D17C236" w14:textId="77777777">
        <w:tc>
          <w:tcPr>
            <w:tcW w:w="3402" w:type="dxa"/>
            <w:vMerge w:val="restart"/>
            <w:vAlign w:val="center"/>
          </w:tcPr>
          <w:p w14:paraId="75AF523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1F2D62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C0EC13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55A6D70" w14:textId="77777777">
        <w:tc>
          <w:tcPr>
            <w:tcW w:w="3402" w:type="dxa"/>
            <w:vMerge/>
            <w:vAlign w:val="center"/>
          </w:tcPr>
          <w:p w14:paraId="338259E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AC0977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481" w:type="dxa"/>
            <w:vAlign w:val="center"/>
          </w:tcPr>
          <w:p w14:paraId="397E825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14:paraId="2DF80900" w14:textId="77777777">
        <w:tc>
          <w:tcPr>
            <w:tcW w:w="3402" w:type="dxa"/>
            <w:vAlign w:val="center"/>
          </w:tcPr>
          <w:p w14:paraId="39253F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510343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6,561,349.03</w:t>
            </w:r>
          </w:p>
        </w:tc>
        <w:tc>
          <w:tcPr>
            <w:tcW w:w="2481" w:type="dxa"/>
            <w:vAlign w:val="center"/>
          </w:tcPr>
          <w:p w14:paraId="39AFF28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8,088,423.67</w:t>
            </w:r>
          </w:p>
        </w:tc>
      </w:tr>
      <w:tr w:rsidR="005E6DF3" w:rsidRPr="00B27A29" w14:paraId="6B69E605" w14:textId="77777777">
        <w:tc>
          <w:tcPr>
            <w:tcW w:w="3402" w:type="dxa"/>
            <w:vAlign w:val="center"/>
          </w:tcPr>
          <w:p w14:paraId="1F7E045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0785D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-3,979,326.29</w:t>
            </w:r>
          </w:p>
        </w:tc>
        <w:tc>
          <w:tcPr>
            <w:tcW w:w="2481" w:type="dxa"/>
            <w:vAlign w:val="center"/>
          </w:tcPr>
          <w:p w14:paraId="64AA116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-5,208,426.46</w:t>
            </w:r>
          </w:p>
        </w:tc>
      </w:tr>
      <w:tr w:rsidR="005E6DF3" w:rsidRPr="00B27A29" w14:paraId="57E65927" w14:textId="77777777">
        <w:tc>
          <w:tcPr>
            <w:tcW w:w="3402" w:type="dxa"/>
            <w:vAlign w:val="center"/>
          </w:tcPr>
          <w:p w14:paraId="58AA2C9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37DE1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-0.0242</w:t>
            </w:r>
          </w:p>
        </w:tc>
        <w:tc>
          <w:tcPr>
            <w:tcW w:w="2481" w:type="dxa"/>
            <w:vAlign w:val="center"/>
          </w:tcPr>
          <w:p w14:paraId="5F36E46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-0.0251</w:t>
            </w:r>
          </w:p>
        </w:tc>
      </w:tr>
      <w:tr w:rsidR="005E6DF3" w:rsidRPr="00B27A29" w14:paraId="33419B44" w14:textId="77777777">
        <w:tc>
          <w:tcPr>
            <w:tcW w:w="3402" w:type="dxa"/>
            <w:vAlign w:val="center"/>
          </w:tcPr>
          <w:p w14:paraId="3AF71D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53022B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142,591,203.33</w:t>
            </w:r>
          </w:p>
        </w:tc>
        <w:tc>
          <w:tcPr>
            <w:tcW w:w="2481" w:type="dxa"/>
            <w:vAlign w:val="center"/>
          </w:tcPr>
          <w:p w14:paraId="12B134C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176,301,610.54</w:t>
            </w:r>
          </w:p>
        </w:tc>
      </w:tr>
      <w:tr w:rsidR="005E6DF3" w:rsidRPr="00B27A29" w14:paraId="69AF3672" w14:textId="77777777">
        <w:trPr>
          <w:trHeight w:val="158"/>
        </w:trPr>
        <w:tc>
          <w:tcPr>
            <w:tcW w:w="3402" w:type="dxa"/>
            <w:vAlign w:val="center"/>
          </w:tcPr>
          <w:p w14:paraId="76EE60A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1FF0E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0.9092</w:t>
            </w:r>
          </w:p>
        </w:tc>
        <w:tc>
          <w:tcPr>
            <w:tcW w:w="2481" w:type="dxa"/>
            <w:vAlign w:val="center"/>
          </w:tcPr>
          <w:p w14:paraId="20EAC5B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0.8964</w:t>
            </w:r>
          </w:p>
        </w:tc>
      </w:tr>
    </w:tbl>
    <w:p w14:paraId="01C8AC21" w14:textId="77777777" w:rsidR="00455C47" w:rsidRDefault="00D1673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A80130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E65DC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4D6F06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4D18026"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EDEC4B4" w14:textId="77777777">
        <w:tc>
          <w:tcPr>
            <w:tcW w:w="1290" w:type="dxa"/>
            <w:vAlign w:val="center"/>
          </w:tcPr>
          <w:p w14:paraId="042E1EC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785E89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DD2FC8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22F418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9F1BA7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98C8DE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02CB9C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55C47" w14:paraId="6EAE558A" w14:textId="77777777">
        <w:tc>
          <w:tcPr>
            <w:tcW w:w="1290" w:type="dxa"/>
            <w:vAlign w:val="center"/>
          </w:tcPr>
          <w:p w14:paraId="732D11F1" w14:textId="77777777" w:rsidR="00455C47" w:rsidRDefault="00D16739">
            <w:pPr>
              <w:jc w:val="left"/>
            </w:pPr>
            <w:r>
              <w:rPr>
                <w:rFonts w:eastAsiaTheme="minorEastAsia"/>
                <w:color w:val="000000" w:themeColor="text1"/>
                <w:szCs w:val="21"/>
              </w:rPr>
              <w:t>过去三个月</w:t>
            </w:r>
          </w:p>
        </w:tc>
        <w:tc>
          <w:tcPr>
            <w:tcW w:w="1291" w:type="dxa"/>
            <w:vAlign w:val="center"/>
          </w:tcPr>
          <w:p w14:paraId="231641C4" w14:textId="77777777" w:rsidR="00455C47" w:rsidRDefault="00D16739">
            <w:pPr>
              <w:jc w:val="right"/>
            </w:pPr>
            <w:r>
              <w:rPr>
                <w:rFonts w:eastAsiaTheme="minorEastAsia"/>
                <w:color w:val="000000" w:themeColor="text1"/>
                <w:szCs w:val="21"/>
              </w:rPr>
              <w:t>-2.61%</w:t>
            </w:r>
          </w:p>
        </w:tc>
        <w:tc>
          <w:tcPr>
            <w:tcW w:w="1291" w:type="dxa"/>
            <w:vAlign w:val="center"/>
          </w:tcPr>
          <w:p w14:paraId="27E5AF62" w14:textId="77777777" w:rsidR="00455C47" w:rsidRDefault="00D16739">
            <w:pPr>
              <w:jc w:val="right"/>
            </w:pPr>
            <w:r>
              <w:rPr>
                <w:rFonts w:eastAsiaTheme="minorEastAsia"/>
                <w:color w:val="000000" w:themeColor="text1"/>
                <w:szCs w:val="21"/>
              </w:rPr>
              <w:t>1.52%</w:t>
            </w:r>
          </w:p>
        </w:tc>
        <w:tc>
          <w:tcPr>
            <w:tcW w:w="1291" w:type="dxa"/>
            <w:vAlign w:val="center"/>
          </w:tcPr>
          <w:p w14:paraId="3185F867" w14:textId="77777777" w:rsidR="00455C47" w:rsidRDefault="00D16739">
            <w:pPr>
              <w:jc w:val="right"/>
            </w:pPr>
            <w:r>
              <w:rPr>
                <w:rFonts w:eastAsiaTheme="minorEastAsia"/>
                <w:color w:val="000000" w:themeColor="text1"/>
                <w:szCs w:val="21"/>
              </w:rPr>
              <w:t>-0.92%</w:t>
            </w:r>
          </w:p>
        </w:tc>
        <w:tc>
          <w:tcPr>
            <w:tcW w:w="1291" w:type="dxa"/>
            <w:vAlign w:val="center"/>
          </w:tcPr>
          <w:p w14:paraId="7B974AED" w14:textId="77777777" w:rsidR="00455C47" w:rsidRDefault="00D16739">
            <w:pPr>
              <w:jc w:val="right"/>
            </w:pPr>
            <w:r>
              <w:rPr>
                <w:rFonts w:eastAsiaTheme="minorEastAsia"/>
                <w:color w:val="000000" w:themeColor="text1"/>
                <w:szCs w:val="21"/>
              </w:rPr>
              <w:t>1.31%</w:t>
            </w:r>
          </w:p>
        </w:tc>
        <w:tc>
          <w:tcPr>
            <w:tcW w:w="1291" w:type="dxa"/>
            <w:vAlign w:val="center"/>
          </w:tcPr>
          <w:p w14:paraId="7622592F" w14:textId="77777777" w:rsidR="00455C47" w:rsidRDefault="00D16739">
            <w:pPr>
              <w:jc w:val="right"/>
            </w:pPr>
            <w:r>
              <w:rPr>
                <w:rFonts w:eastAsiaTheme="minorEastAsia"/>
                <w:color w:val="000000" w:themeColor="text1"/>
                <w:szCs w:val="21"/>
              </w:rPr>
              <w:t>-1.69%</w:t>
            </w:r>
          </w:p>
        </w:tc>
        <w:tc>
          <w:tcPr>
            <w:tcW w:w="1291" w:type="dxa"/>
            <w:vAlign w:val="center"/>
          </w:tcPr>
          <w:p w14:paraId="1EC46047" w14:textId="77777777" w:rsidR="00455C47" w:rsidRDefault="00D16739">
            <w:pPr>
              <w:jc w:val="right"/>
            </w:pPr>
            <w:r>
              <w:rPr>
                <w:rFonts w:eastAsiaTheme="minorEastAsia"/>
                <w:color w:val="000000" w:themeColor="text1"/>
                <w:szCs w:val="21"/>
              </w:rPr>
              <w:t>0.21%</w:t>
            </w:r>
          </w:p>
        </w:tc>
      </w:tr>
      <w:tr w:rsidR="00455C47" w14:paraId="10409431" w14:textId="77777777">
        <w:tc>
          <w:tcPr>
            <w:tcW w:w="1290" w:type="dxa"/>
            <w:vAlign w:val="center"/>
          </w:tcPr>
          <w:p w14:paraId="31146F7E" w14:textId="77777777" w:rsidR="00455C47" w:rsidRDefault="00D16739">
            <w:pPr>
              <w:jc w:val="left"/>
            </w:pPr>
            <w:r>
              <w:rPr>
                <w:rFonts w:eastAsiaTheme="minorEastAsia"/>
                <w:color w:val="000000" w:themeColor="text1"/>
                <w:szCs w:val="21"/>
              </w:rPr>
              <w:t>过去六个月</w:t>
            </w:r>
          </w:p>
        </w:tc>
        <w:tc>
          <w:tcPr>
            <w:tcW w:w="1291" w:type="dxa"/>
            <w:vAlign w:val="center"/>
          </w:tcPr>
          <w:p w14:paraId="7805FF06" w14:textId="77777777" w:rsidR="00455C47" w:rsidRDefault="00D16739">
            <w:pPr>
              <w:jc w:val="right"/>
            </w:pPr>
            <w:r>
              <w:rPr>
                <w:rFonts w:eastAsiaTheme="minorEastAsia"/>
                <w:color w:val="000000" w:themeColor="text1"/>
                <w:szCs w:val="21"/>
              </w:rPr>
              <w:t>4.19%</w:t>
            </w:r>
          </w:p>
        </w:tc>
        <w:tc>
          <w:tcPr>
            <w:tcW w:w="1291" w:type="dxa"/>
            <w:vAlign w:val="center"/>
          </w:tcPr>
          <w:p w14:paraId="1915899C" w14:textId="77777777" w:rsidR="00455C47" w:rsidRDefault="00D16739">
            <w:pPr>
              <w:jc w:val="right"/>
            </w:pPr>
            <w:r>
              <w:rPr>
                <w:rFonts w:eastAsiaTheme="minorEastAsia"/>
                <w:color w:val="000000" w:themeColor="text1"/>
                <w:szCs w:val="21"/>
              </w:rPr>
              <w:t>1.36%</w:t>
            </w:r>
          </w:p>
        </w:tc>
        <w:tc>
          <w:tcPr>
            <w:tcW w:w="1291" w:type="dxa"/>
            <w:vAlign w:val="center"/>
          </w:tcPr>
          <w:p w14:paraId="6A4CE608" w14:textId="77777777" w:rsidR="00455C47" w:rsidRDefault="00D16739">
            <w:pPr>
              <w:jc w:val="right"/>
            </w:pPr>
            <w:r>
              <w:rPr>
                <w:rFonts w:eastAsiaTheme="minorEastAsia"/>
                <w:color w:val="000000" w:themeColor="text1"/>
                <w:szCs w:val="21"/>
              </w:rPr>
              <w:t>12.18%</w:t>
            </w:r>
          </w:p>
        </w:tc>
        <w:tc>
          <w:tcPr>
            <w:tcW w:w="1291" w:type="dxa"/>
            <w:vAlign w:val="center"/>
          </w:tcPr>
          <w:p w14:paraId="2321C23C" w14:textId="77777777" w:rsidR="00455C47" w:rsidRDefault="00D16739">
            <w:pPr>
              <w:jc w:val="right"/>
            </w:pPr>
            <w:r>
              <w:rPr>
                <w:rFonts w:eastAsiaTheme="minorEastAsia"/>
                <w:color w:val="000000" w:themeColor="text1"/>
                <w:szCs w:val="21"/>
              </w:rPr>
              <w:t>1.30%</w:t>
            </w:r>
          </w:p>
        </w:tc>
        <w:tc>
          <w:tcPr>
            <w:tcW w:w="1291" w:type="dxa"/>
            <w:vAlign w:val="center"/>
          </w:tcPr>
          <w:p w14:paraId="61253EE7" w14:textId="77777777" w:rsidR="00455C47" w:rsidRDefault="00D16739">
            <w:pPr>
              <w:jc w:val="right"/>
            </w:pPr>
            <w:r>
              <w:rPr>
                <w:rFonts w:eastAsiaTheme="minorEastAsia"/>
                <w:color w:val="000000" w:themeColor="text1"/>
                <w:szCs w:val="21"/>
              </w:rPr>
              <w:t>-7.99%</w:t>
            </w:r>
          </w:p>
        </w:tc>
        <w:tc>
          <w:tcPr>
            <w:tcW w:w="1291" w:type="dxa"/>
            <w:vAlign w:val="center"/>
          </w:tcPr>
          <w:p w14:paraId="6CEB0C37" w14:textId="77777777" w:rsidR="00455C47" w:rsidRDefault="00D16739">
            <w:pPr>
              <w:jc w:val="right"/>
            </w:pPr>
            <w:r>
              <w:rPr>
                <w:rFonts w:eastAsiaTheme="minorEastAsia"/>
                <w:color w:val="000000" w:themeColor="text1"/>
                <w:szCs w:val="21"/>
              </w:rPr>
              <w:t>0.06%</w:t>
            </w:r>
          </w:p>
        </w:tc>
      </w:tr>
      <w:tr w:rsidR="00455C47" w14:paraId="222800D3" w14:textId="77777777">
        <w:tc>
          <w:tcPr>
            <w:tcW w:w="1290" w:type="dxa"/>
            <w:vAlign w:val="center"/>
          </w:tcPr>
          <w:p w14:paraId="1881D92B" w14:textId="77777777" w:rsidR="00455C47" w:rsidRDefault="00D16739">
            <w:pPr>
              <w:jc w:val="left"/>
            </w:pPr>
            <w:r>
              <w:rPr>
                <w:rFonts w:eastAsiaTheme="minorEastAsia"/>
                <w:color w:val="000000" w:themeColor="text1"/>
                <w:szCs w:val="21"/>
              </w:rPr>
              <w:t>过去一年</w:t>
            </w:r>
          </w:p>
        </w:tc>
        <w:tc>
          <w:tcPr>
            <w:tcW w:w="1291" w:type="dxa"/>
            <w:vAlign w:val="center"/>
          </w:tcPr>
          <w:p w14:paraId="48751765" w14:textId="77777777" w:rsidR="00455C47" w:rsidRDefault="00D16739">
            <w:pPr>
              <w:jc w:val="right"/>
            </w:pPr>
            <w:r>
              <w:rPr>
                <w:rFonts w:eastAsiaTheme="minorEastAsia"/>
                <w:color w:val="000000" w:themeColor="text1"/>
                <w:szCs w:val="21"/>
              </w:rPr>
              <w:t>7.71%</w:t>
            </w:r>
          </w:p>
        </w:tc>
        <w:tc>
          <w:tcPr>
            <w:tcW w:w="1291" w:type="dxa"/>
            <w:vAlign w:val="center"/>
          </w:tcPr>
          <w:p w14:paraId="4F0F5030" w14:textId="77777777" w:rsidR="00455C47" w:rsidRDefault="00D16739">
            <w:pPr>
              <w:jc w:val="right"/>
            </w:pPr>
            <w:r>
              <w:rPr>
                <w:rFonts w:eastAsiaTheme="minorEastAsia"/>
                <w:color w:val="000000" w:themeColor="text1"/>
                <w:szCs w:val="21"/>
              </w:rPr>
              <w:t>1.13%</w:t>
            </w:r>
          </w:p>
        </w:tc>
        <w:tc>
          <w:tcPr>
            <w:tcW w:w="1291" w:type="dxa"/>
            <w:vAlign w:val="center"/>
          </w:tcPr>
          <w:p w14:paraId="19841AC1" w14:textId="77777777" w:rsidR="00455C47" w:rsidRDefault="00D16739">
            <w:pPr>
              <w:jc w:val="right"/>
            </w:pPr>
            <w:r>
              <w:rPr>
                <w:rFonts w:eastAsiaTheme="minorEastAsia"/>
                <w:color w:val="000000" w:themeColor="text1"/>
                <w:szCs w:val="21"/>
              </w:rPr>
              <w:t>12.89%</w:t>
            </w:r>
          </w:p>
        </w:tc>
        <w:tc>
          <w:tcPr>
            <w:tcW w:w="1291" w:type="dxa"/>
            <w:vAlign w:val="center"/>
          </w:tcPr>
          <w:p w14:paraId="7C03255E" w14:textId="77777777" w:rsidR="00455C47" w:rsidRDefault="00D16739">
            <w:pPr>
              <w:jc w:val="right"/>
            </w:pPr>
            <w:r>
              <w:rPr>
                <w:rFonts w:eastAsiaTheme="minorEastAsia"/>
                <w:color w:val="000000" w:themeColor="text1"/>
                <w:szCs w:val="21"/>
              </w:rPr>
              <w:t>1.10%</w:t>
            </w:r>
          </w:p>
        </w:tc>
        <w:tc>
          <w:tcPr>
            <w:tcW w:w="1291" w:type="dxa"/>
            <w:vAlign w:val="center"/>
          </w:tcPr>
          <w:p w14:paraId="1FBD7D63" w14:textId="77777777" w:rsidR="00455C47" w:rsidRDefault="00D16739">
            <w:pPr>
              <w:jc w:val="right"/>
            </w:pPr>
            <w:r>
              <w:rPr>
                <w:rFonts w:eastAsiaTheme="minorEastAsia"/>
                <w:color w:val="000000" w:themeColor="text1"/>
                <w:szCs w:val="21"/>
              </w:rPr>
              <w:t>-5.18%</w:t>
            </w:r>
          </w:p>
        </w:tc>
        <w:tc>
          <w:tcPr>
            <w:tcW w:w="1291" w:type="dxa"/>
            <w:vAlign w:val="center"/>
          </w:tcPr>
          <w:p w14:paraId="43800AB8" w14:textId="77777777" w:rsidR="00455C47" w:rsidRDefault="00D16739">
            <w:pPr>
              <w:jc w:val="right"/>
            </w:pPr>
            <w:r>
              <w:rPr>
                <w:rFonts w:eastAsiaTheme="minorEastAsia"/>
                <w:color w:val="000000" w:themeColor="text1"/>
                <w:szCs w:val="21"/>
              </w:rPr>
              <w:t>0.03%</w:t>
            </w:r>
          </w:p>
        </w:tc>
      </w:tr>
      <w:tr w:rsidR="00455C47" w14:paraId="549DE1A5" w14:textId="77777777">
        <w:tc>
          <w:tcPr>
            <w:tcW w:w="1290" w:type="dxa"/>
            <w:vAlign w:val="center"/>
          </w:tcPr>
          <w:p w14:paraId="73B4592B" w14:textId="77777777" w:rsidR="00455C47" w:rsidRDefault="00D16739">
            <w:pPr>
              <w:jc w:val="left"/>
            </w:pPr>
            <w:r>
              <w:rPr>
                <w:rFonts w:eastAsiaTheme="minorEastAsia"/>
                <w:color w:val="000000" w:themeColor="text1"/>
                <w:szCs w:val="21"/>
              </w:rPr>
              <w:t>过去三年</w:t>
            </w:r>
          </w:p>
        </w:tc>
        <w:tc>
          <w:tcPr>
            <w:tcW w:w="1291" w:type="dxa"/>
            <w:vAlign w:val="center"/>
          </w:tcPr>
          <w:p w14:paraId="68CDC180" w14:textId="77777777" w:rsidR="00455C47" w:rsidRDefault="00D16739">
            <w:pPr>
              <w:jc w:val="right"/>
            </w:pPr>
            <w:r>
              <w:rPr>
                <w:rFonts w:eastAsiaTheme="minorEastAsia"/>
                <w:color w:val="000000" w:themeColor="text1"/>
                <w:szCs w:val="21"/>
              </w:rPr>
              <w:t>-</w:t>
            </w:r>
          </w:p>
        </w:tc>
        <w:tc>
          <w:tcPr>
            <w:tcW w:w="1291" w:type="dxa"/>
            <w:vAlign w:val="center"/>
          </w:tcPr>
          <w:p w14:paraId="38854782" w14:textId="77777777" w:rsidR="00455C47" w:rsidRDefault="00D16739">
            <w:pPr>
              <w:jc w:val="right"/>
            </w:pPr>
            <w:r>
              <w:rPr>
                <w:rFonts w:eastAsiaTheme="minorEastAsia"/>
                <w:color w:val="000000" w:themeColor="text1"/>
                <w:szCs w:val="21"/>
              </w:rPr>
              <w:t>-</w:t>
            </w:r>
          </w:p>
        </w:tc>
        <w:tc>
          <w:tcPr>
            <w:tcW w:w="1291" w:type="dxa"/>
            <w:vAlign w:val="center"/>
          </w:tcPr>
          <w:p w14:paraId="6C15114D" w14:textId="77777777" w:rsidR="00455C47" w:rsidRDefault="00D16739">
            <w:pPr>
              <w:jc w:val="right"/>
            </w:pPr>
            <w:r>
              <w:rPr>
                <w:rFonts w:eastAsiaTheme="minorEastAsia"/>
                <w:color w:val="000000" w:themeColor="text1"/>
                <w:szCs w:val="21"/>
              </w:rPr>
              <w:t>-</w:t>
            </w:r>
          </w:p>
        </w:tc>
        <w:tc>
          <w:tcPr>
            <w:tcW w:w="1291" w:type="dxa"/>
            <w:vAlign w:val="center"/>
          </w:tcPr>
          <w:p w14:paraId="7F45B752" w14:textId="77777777" w:rsidR="00455C47" w:rsidRDefault="00D16739">
            <w:pPr>
              <w:jc w:val="right"/>
            </w:pPr>
            <w:r>
              <w:rPr>
                <w:rFonts w:eastAsiaTheme="minorEastAsia"/>
                <w:color w:val="000000" w:themeColor="text1"/>
                <w:szCs w:val="21"/>
              </w:rPr>
              <w:t>-</w:t>
            </w:r>
          </w:p>
        </w:tc>
        <w:tc>
          <w:tcPr>
            <w:tcW w:w="1291" w:type="dxa"/>
            <w:vAlign w:val="center"/>
          </w:tcPr>
          <w:p w14:paraId="3096CAD6" w14:textId="77777777" w:rsidR="00455C47" w:rsidRDefault="00D16739">
            <w:pPr>
              <w:jc w:val="right"/>
            </w:pPr>
            <w:r>
              <w:rPr>
                <w:rFonts w:eastAsiaTheme="minorEastAsia"/>
                <w:color w:val="000000" w:themeColor="text1"/>
                <w:szCs w:val="21"/>
              </w:rPr>
              <w:t>-</w:t>
            </w:r>
          </w:p>
        </w:tc>
        <w:tc>
          <w:tcPr>
            <w:tcW w:w="1291" w:type="dxa"/>
            <w:vAlign w:val="center"/>
          </w:tcPr>
          <w:p w14:paraId="23F04BEF" w14:textId="77777777" w:rsidR="00455C47" w:rsidRDefault="00D16739">
            <w:pPr>
              <w:jc w:val="right"/>
            </w:pPr>
            <w:r>
              <w:rPr>
                <w:rFonts w:eastAsiaTheme="minorEastAsia"/>
                <w:color w:val="000000" w:themeColor="text1"/>
                <w:szCs w:val="21"/>
              </w:rPr>
              <w:t>-</w:t>
            </w:r>
          </w:p>
        </w:tc>
      </w:tr>
      <w:tr w:rsidR="00455C47" w14:paraId="0C68F358" w14:textId="77777777">
        <w:tc>
          <w:tcPr>
            <w:tcW w:w="1290" w:type="dxa"/>
            <w:vAlign w:val="center"/>
          </w:tcPr>
          <w:p w14:paraId="47E65E44" w14:textId="77777777" w:rsidR="00455C47" w:rsidRDefault="00D16739">
            <w:pPr>
              <w:jc w:val="left"/>
            </w:pPr>
            <w:r>
              <w:rPr>
                <w:rFonts w:eastAsiaTheme="minorEastAsia"/>
                <w:color w:val="000000" w:themeColor="text1"/>
                <w:szCs w:val="21"/>
              </w:rPr>
              <w:t>过去五年</w:t>
            </w:r>
          </w:p>
        </w:tc>
        <w:tc>
          <w:tcPr>
            <w:tcW w:w="1291" w:type="dxa"/>
            <w:vAlign w:val="center"/>
          </w:tcPr>
          <w:p w14:paraId="6BBB430C" w14:textId="77777777" w:rsidR="00455C47" w:rsidRDefault="00D16739">
            <w:pPr>
              <w:jc w:val="right"/>
            </w:pPr>
            <w:r>
              <w:rPr>
                <w:rFonts w:eastAsiaTheme="minorEastAsia"/>
                <w:color w:val="000000" w:themeColor="text1"/>
                <w:szCs w:val="21"/>
              </w:rPr>
              <w:t>-</w:t>
            </w:r>
          </w:p>
        </w:tc>
        <w:tc>
          <w:tcPr>
            <w:tcW w:w="1291" w:type="dxa"/>
            <w:vAlign w:val="center"/>
          </w:tcPr>
          <w:p w14:paraId="0A08163A" w14:textId="77777777" w:rsidR="00455C47" w:rsidRDefault="00D16739">
            <w:pPr>
              <w:jc w:val="right"/>
            </w:pPr>
            <w:r>
              <w:rPr>
                <w:rFonts w:eastAsiaTheme="minorEastAsia"/>
                <w:color w:val="000000" w:themeColor="text1"/>
                <w:szCs w:val="21"/>
              </w:rPr>
              <w:t>-</w:t>
            </w:r>
          </w:p>
        </w:tc>
        <w:tc>
          <w:tcPr>
            <w:tcW w:w="1291" w:type="dxa"/>
            <w:vAlign w:val="center"/>
          </w:tcPr>
          <w:p w14:paraId="73497414" w14:textId="77777777" w:rsidR="00455C47" w:rsidRDefault="00D16739">
            <w:pPr>
              <w:jc w:val="right"/>
            </w:pPr>
            <w:r>
              <w:rPr>
                <w:rFonts w:eastAsiaTheme="minorEastAsia"/>
                <w:color w:val="000000" w:themeColor="text1"/>
                <w:szCs w:val="21"/>
              </w:rPr>
              <w:t>-</w:t>
            </w:r>
          </w:p>
        </w:tc>
        <w:tc>
          <w:tcPr>
            <w:tcW w:w="1291" w:type="dxa"/>
            <w:vAlign w:val="center"/>
          </w:tcPr>
          <w:p w14:paraId="63F70844" w14:textId="77777777" w:rsidR="00455C47" w:rsidRDefault="00D16739">
            <w:pPr>
              <w:jc w:val="right"/>
            </w:pPr>
            <w:r>
              <w:rPr>
                <w:rFonts w:eastAsiaTheme="minorEastAsia"/>
                <w:color w:val="000000" w:themeColor="text1"/>
                <w:szCs w:val="21"/>
              </w:rPr>
              <w:t>-</w:t>
            </w:r>
          </w:p>
        </w:tc>
        <w:tc>
          <w:tcPr>
            <w:tcW w:w="1291" w:type="dxa"/>
            <w:vAlign w:val="center"/>
          </w:tcPr>
          <w:p w14:paraId="17051337" w14:textId="77777777" w:rsidR="00455C47" w:rsidRDefault="00D16739">
            <w:pPr>
              <w:jc w:val="right"/>
            </w:pPr>
            <w:r>
              <w:rPr>
                <w:rFonts w:eastAsiaTheme="minorEastAsia"/>
                <w:color w:val="000000" w:themeColor="text1"/>
                <w:szCs w:val="21"/>
              </w:rPr>
              <w:t>-</w:t>
            </w:r>
          </w:p>
        </w:tc>
        <w:tc>
          <w:tcPr>
            <w:tcW w:w="1291" w:type="dxa"/>
            <w:vAlign w:val="center"/>
          </w:tcPr>
          <w:p w14:paraId="38BED7C8" w14:textId="77777777" w:rsidR="00455C47" w:rsidRDefault="00D16739">
            <w:pPr>
              <w:jc w:val="right"/>
            </w:pPr>
            <w:r>
              <w:rPr>
                <w:rFonts w:eastAsiaTheme="minorEastAsia"/>
                <w:color w:val="000000" w:themeColor="text1"/>
                <w:szCs w:val="21"/>
              </w:rPr>
              <w:t>-</w:t>
            </w:r>
          </w:p>
        </w:tc>
      </w:tr>
      <w:tr w:rsidR="00455C47" w14:paraId="22E04D87" w14:textId="77777777">
        <w:tc>
          <w:tcPr>
            <w:tcW w:w="1290" w:type="dxa"/>
            <w:vAlign w:val="center"/>
          </w:tcPr>
          <w:p w14:paraId="314C28B9" w14:textId="77777777" w:rsidR="00455C47" w:rsidRDefault="00D16739">
            <w:pPr>
              <w:jc w:val="left"/>
            </w:pPr>
            <w:r>
              <w:rPr>
                <w:rFonts w:eastAsiaTheme="minorEastAsia"/>
                <w:color w:val="000000" w:themeColor="text1"/>
                <w:szCs w:val="21"/>
              </w:rPr>
              <w:t>自基金合同生效起至今</w:t>
            </w:r>
          </w:p>
        </w:tc>
        <w:tc>
          <w:tcPr>
            <w:tcW w:w="1291" w:type="dxa"/>
            <w:vAlign w:val="center"/>
          </w:tcPr>
          <w:p w14:paraId="51C30C0F" w14:textId="77777777" w:rsidR="00455C47" w:rsidRDefault="00D16739">
            <w:pPr>
              <w:jc w:val="right"/>
            </w:pPr>
            <w:r>
              <w:rPr>
                <w:rFonts w:eastAsiaTheme="minorEastAsia"/>
                <w:color w:val="000000" w:themeColor="text1"/>
                <w:szCs w:val="21"/>
              </w:rPr>
              <w:t>-9.08%</w:t>
            </w:r>
          </w:p>
        </w:tc>
        <w:tc>
          <w:tcPr>
            <w:tcW w:w="1291" w:type="dxa"/>
            <w:vAlign w:val="center"/>
          </w:tcPr>
          <w:p w14:paraId="42B286E6" w14:textId="77777777" w:rsidR="00455C47" w:rsidRDefault="00D16739">
            <w:pPr>
              <w:jc w:val="right"/>
            </w:pPr>
            <w:r>
              <w:rPr>
                <w:rFonts w:eastAsiaTheme="minorEastAsia"/>
                <w:color w:val="000000" w:themeColor="text1"/>
                <w:szCs w:val="21"/>
              </w:rPr>
              <w:t>0.99%</w:t>
            </w:r>
          </w:p>
        </w:tc>
        <w:tc>
          <w:tcPr>
            <w:tcW w:w="1291" w:type="dxa"/>
            <w:vAlign w:val="center"/>
          </w:tcPr>
          <w:p w14:paraId="55EDEB29" w14:textId="77777777" w:rsidR="00455C47" w:rsidRDefault="00D16739">
            <w:pPr>
              <w:jc w:val="right"/>
            </w:pPr>
            <w:r>
              <w:rPr>
                <w:rFonts w:eastAsiaTheme="minorEastAsia"/>
                <w:color w:val="000000" w:themeColor="text1"/>
                <w:szCs w:val="21"/>
              </w:rPr>
              <w:t>-1.57%</w:t>
            </w:r>
          </w:p>
        </w:tc>
        <w:tc>
          <w:tcPr>
            <w:tcW w:w="1291" w:type="dxa"/>
            <w:vAlign w:val="center"/>
          </w:tcPr>
          <w:p w14:paraId="23637A49" w14:textId="77777777" w:rsidR="00455C47" w:rsidRDefault="00D16739">
            <w:pPr>
              <w:jc w:val="right"/>
            </w:pPr>
            <w:r>
              <w:rPr>
                <w:rFonts w:eastAsiaTheme="minorEastAsia"/>
                <w:color w:val="000000" w:themeColor="text1"/>
                <w:szCs w:val="21"/>
              </w:rPr>
              <w:t>0.94%</w:t>
            </w:r>
          </w:p>
        </w:tc>
        <w:tc>
          <w:tcPr>
            <w:tcW w:w="1291" w:type="dxa"/>
            <w:vAlign w:val="center"/>
          </w:tcPr>
          <w:p w14:paraId="3A56F5B2" w14:textId="77777777" w:rsidR="00455C47" w:rsidRDefault="00D16739">
            <w:pPr>
              <w:jc w:val="right"/>
            </w:pPr>
            <w:r>
              <w:rPr>
                <w:rFonts w:eastAsiaTheme="minorEastAsia"/>
                <w:color w:val="000000" w:themeColor="text1"/>
                <w:szCs w:val="21"/>
              </w:rPr>
              <w:t>-7.51%</w:t>
            </w:r>
          </w:p>
        </w:tc>
        <w:tc>
          <w:tcPr>
            <w:tcW w:w="1291" w:type="dxa"/>
            <w:vAlign w:val="center"/>
          </w:tcPr>
          <w:p w14:paraId="351C89D4" w14:textId="77777777" w:rsidR="00455C47" w:rsidRDefault="00D16739">
            <w:pPr>
              <w:jc w:val="right"/>
            </w:pPr>
            <w:r>
              <w:rPr>
                <w:rFonts w:eastAsiaTheme="minorEastAsia"/>
                <w:color w:val="000000" w:themeColor="text1"/>
                <w:szCs w:val="21"/>
              </w:rPr>
              <w:t>0.05%</w:t>
            </w:r>
          </w:p>
        </w:tc>
      </w:tr>
    </w:tbl>
    <w:p w14:paraId="120B00C6"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4C618F0" w14:textId="77777777">
        <w:tc>
          <w:tcPr>
            <w:tcW w:w="1290" w:type="dxa"/>
            <w:vAlign w:val="center"/>
          </w:tcPr>
          <w:p w14:paraId="4B295F6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D3DEA7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1B583D8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233D58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037E0A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1569A84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169D96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55C47" w14:paraId="7959C048" w14:textId="77777777">
        <w:tc>
          <w:tcPr>
            <w:tcW w:w="1290" w:type="dxa"/>
            <w:vAlign w:val="center"/>
          </w:tcPr>
          <w:p w14:paraId="5EB784D4" w14:textId="77777777" w:rsidR="00455C47" w:rsidRDefault="00D16739">
            <w:pPr>
              <w:jc w:val="left"/>
            </w:pPr>
            <w:r>
              <w:rPr>
                <w:rFonts w:eastAsiaTheme="minorEastAsia"/>
                <w:color w:val="000000" w:themeColor="text1"/>
                <w:szCs w:val="21"/>
              </w:rPr>
              <w:t>过去三个月</w:t>
            </w:r>
          </w:p>
        </w:tc>
        <w:tc>
          <w:tcPr>
            <w:tcW w:w="1291" w:type="dxa"/>
            <w:vAlign w:val="center"/>
          </w:tcPr>
          <w:p w14:paraId="416FAA75" w14:textId="77777777" w:rsidR="00455C47" w:rsidRDefault="00D16739">
            <w:pPr>
              <w:jc w:val="right"/>
            </w:pPr>
            <w:r>
              <w:rPr>
                <w:rFonts w:eastAsiaTheme="minorEastAsia"/>
                <w:color w:val="000000" w:themeColor="text1"/>
                <w:szCs w:val="21"/>
              </w:rPr>
              <w:t>-2.76%</w:t>
            </w:r>
          </w:p>
        </w:tc>
        <w:tc>
          <w:tcPr>
            <w:tcW w:w="1291" w:type="dxa"/>
            <w:vAlign w:val="center"/>
          </w:tcPr>
          <w:p w14:paraId="73EB247D" w14:textId="77777777" w:rsidR="00455C47" w:rsidRDefault="00D16739">
            <w:pPr>
              <w:jc w:val="right"/>
            </w:pPr>
            <w:r>
              <w:rPr>
                <w:rFonts w:eastAsiaTheme="minorEastAsia"/>
                <w:color w:val="000000" w:themeColor="text1"/>
                <w:szCs w:val="21"/>
              </w:rPr>
              <w:t>1.52%</w:t>
            </w:r>
          </w:p>
        </w:tc>
        <w:tc>
          <w:tcPr>
            <w:tcW w:w="1291" w:type="dxa"/>
            <w:vAlign w:val="center"/>
          </w:tcPr>
          <w:p w14:paraId="1EE3D562" w14:textId="77777777" w:rsidR="00455C47" w:rsidRDefault="00D16739">
            <w:pPr>
              <w:jc w:val="right"/>
            </w:pPr>
            <w:r>
              <w:rPr>
                <w:rFonts w:eastAsiaTheme="minorEastAsia"/>
                <w:color w:val="000000" w:themeColor="text1"/>
                <w:szCs w:val="21"/>
              </w:rPr>
              <w:t>-0.92%</w:t>
            </w:r>
          </w:p>
        </w:tc>
        <w:tc>
          <w:tcPr>
            <w:tcW w:w="1291" w:type="dxa"/>
            <w:vAlign w:val="center"/>
          </w:tcPr>
          <w:p w14:paraId="257DE1C0" w14:textId="77777777" w:rsidR="00455C47" w:rsidRDefault="00D16739">
            <w:pPr>
              <w:jc w:val="right"/>
            </w:pPr>
            <w:r>
              <w:rPr>
                <w:rFonts w:eastAsiaTheme="minorEastAsia"/>
                <w:color w:val="000000" w:themeColor="text1"/>
                <w:szCs w:val="21"/>
              </w:rPr>
              <w:t>1.31%</w:t>
            </w:r>
          </w:p>
        </w:tc>
        <w:tc>
          <w:tcPr>
            <w:tcW w:w="1291" w:type="dxa"/>
            <w:vAlign w:val="center"/>
          </w:tcPr>
          <w:p w14:paraId="694A51B9" w14:textId="77777777" w:rsidR="00455C47" w:rsidRDefault="00D16739">
            <w:pPr>
              <w:jc w:val="right"/>
            </w:pPr>
            <w:r>
              <w:rPr>
                <w:rFonts w:eastAsiaTheme="minorEastAsia"/>
                <w:color w:val="000000" w:themeColor="text1"/>
                <w:szCs w:val="21"/>
              </w:rPr>
              <w:t>-1.84%</w:t>
            </w:r>
          </w:p>
        </w:tc>
        <w:tc>
          <w:tcPr>
            <w:tcW w:w="1291" w:type="dxa"/>
            <w:vAlign w:val="center"/>
          </w:tcPr>
          <w:p w14:paraId="632E1147" w14:textId="77777777" w:rsidR="00455C47" w:rsidRDefault="00D16739">
            <w:pPr>
              <w:jc w:val="right"/>
            </w:pPr>
            <w:r>
              <w:rPr>
                <w:rFonts w:eastAsiaTheme="minorEastAsia"/>
                <w:color w:val="000000" w:themeColor="text1"/>
                <w:szCs w:val="21"/>
              </w:rPr>
              <w:t>0.21%</w:t>
            </w:r>
          </w:p>
        </w:tc>
      </w:tr>
      <w:tr w:rsidR="00455C47" w14:paraId="4695F60F" w14:textId="77777777">
        <w:tc>
          <w:tcPr>
            <w:tcW w:w="1290" w:type="dxa"/>
            <w:vAlign w:val="center"/>
          </w:tcPr>
          <w:p w14:paraId="03329527" w14:textId="77777777" w:rsidR="00455C47" w:rsidRDefault="00D16739">
            <w:pPr>
              <w:jc w:val="left"/>
            </w:pPr>
            <w:r>
              <w:rPr>
                <w:rFonts w:eastAsiaTheme="minorEastAsia"/>
                <w:color w:val="000000" w:themeColor="text1"/>
                <w:szCs w:val="21"/>
              </w:rPr>
              <w:t>过去六个月</w:t>
            </w:r>
          </w:p>
        </w:tc>
        <w:tc>
          <w:tcPr>
            <w:tcW w:w="1291" w:type="dxa"/>
            <w:vAlign w:val="center"/>
          </w:tcPr>
          <w:p w14:paraId="4690AA8C" w14:textId="77777777" w:rsidR="00455C47" w:rsidRDefault="00D16739">
            <w:pPr>
              <w:jc w:val="right"/>
            </w:pPr>
            <w:r>
              <w:rPr>
                <w:rFonts w:eastAsiaTheme="minorEastAsia"/>
                <w:color w:val="000000" w:themeColor="text1"/>
                <w:szCs w:val="21"/>
              </w:rPr>
              <w:t>3.88%</w:t>
            </w:r>
          </w:p>
        </w:tc>
        <w:tc>
          <w:tcPr>
            <w:tcW w:w="1291" w:type="dxa"/>
            <w:vAlign w:val="center"/>
          </w:tcPr>
          <w:p w14:paraId="36EB8B3D" w14:textId="77777777" w:rsidR="00455C47" w:rsidRDefault="00D16739">
            <w:pPr>
              <w:jc w:val="right"/>
            </w:pPr>
            <w:r>
              <w:rPr>
                <w:rFonts w:eastAsiaTheme="minorEastAsia"/>
                <w:color w:val="000000" w:themeColor="text1"/>
                <w:szCs w:val="21"/>
              </w:rPr>
              <w:t>1.36%</w:t>
            </w:r>
          </w:p>
        </w:tc>
        <w:tc>
          <w:tcPr>
            <w:tcW w:w="1291" w:type="dxa"/>
            <w:vAlign w:val="center"/>
          </w:tcPr>
          <w:p w14:paraId="05496D7E" w14:textId="77777777" w:rsidR="00455C47" w:rsidRDefault="00D16739">
            <w:pPr>
              <w:jc w:val="right"/>
            </w:pPr>
            <w:r>
              <w:rPr>
                <w:rFonts w:eastAsiaTheme="minorEastAsia"/>
                <w:color w:val="000000" w:themeColor="text1"/>
                <w:szCs w:val="21"/>
              </w:rPr>
              <w:t>12.18%</w:t>
            </w:r>
          </w:p>
        </w:tc>
        <w:tc>
          <w:tcPr>
            <w:tcW w:w="1291" w:type="dxa"/>
            <w:vAlign w:val="center"/>
          </w:tcPr>
          <w:p w14:paraId="6CFA3571" w14:textId="77777777" w:rsidR="00455C47" w:rsidRDefault="00D16739">
            <w:pPr>
              <w:jc w:val="right"/>
            </w:pPr>
            <w:r>
              <w:rPr>
                <w:rFonts w:eastAsiaTheme="minorEastAsia"/>
                <w:color w:val="000000" w:themeColor="text1"/>
                <w:szCs w:val="21"/>
              </w:rPr>
              <w:t>1.30%</w:t>
            </w:r>
          </w:p>
        </w:tc>
        <w:tc>
          <w:tcPr>
            <w:tcW w:w="1291" w:type="dxa"/>
            <w:vAlign w:val="center"/>
          </w:tcPr>
          <w:p w14:paraId="55E11281" w14:textId="77777777" w:rsidR="00455C47" w:rsidRDefault="00D16739">
            <w:pPr>
              <w:jc w:val="right"/>
            </w:pPr>
            <w:r>
              <w:rPr>
                <w:rFonts w:eastAsiaTheme="minorEastAsia"/>
                <w:color w:val="000000" w:themeColor="text1"/>
                <w:szCs w:val="21"/>
              </w:rPr>
              <w:t>-8.30%</w:t>
            </w:r>
          </w:p>
        </w:tc>
        <w:tc>
          <w:tcPr>
            <w:tcW w:w="1291" w:type="dxa"/>
            <w:vAlign w:val="center"/>
          </w:tcPr>
          <w:p w14:paraId="368FD2C7" w14:textId="77777777" w:rsidR="00455C47" w:rsidRDefault="00D16739">
            <w:pPr>
              <w:jc w:val="right"/>
            </w:pPr>
            <w:r>
              <w:rPr>
                <w:rFonts w:eastAsiaTheme="minorEastAsia"/>
                <w:color w:val="000000" w:themeColor="text1"/>
                <w:szCs w:val="21"/>
              </w:rPr>
              <w:t>0.06%</w:t>
            </w:r>
          </w:p>
        </w:tc>
      </w:tr>
      <w:tr w:rsidR="00455C47" w14:paraId="64618029" w14:textId="77777777">
        <w:tc>
          <w:tcPr>
            <w:tcW w:w="1290" w:type="dxa"/>
            <w:vAlign w:val="center"/>
          </w:tcPr>
          <w:p w14:paraId="020D6828" w14:textId="77777777" w:rsidR="00455C47" w:rsidRDefault="00D16739">
            <w:pPr>
              <w:jc w:val="left"/>
            </w:pPr>
            <w:r>
              <w:rPr>
                <w:rFonts w:eastAsiaTheme="minorEastAsia"/>
                <w:color w:val="000000" w:themeColor="text1"/>
                <w:szCs w:val="21"/>
              </w:rPr>
              <w:t>过去一年</w:t>
            </w:r>
          </w:p>
        </w:tc>
        <w:tc>
          <w:tcPr>
            <w:tcW w:w="1291" w:type="dxa"/>
            <w:vAlign w:val="center"/>
          </w:tcPr>
          <w:p w14:paraId="57617DAD" w14:textId="77777777" w:rsidR="00455C47" w:rsidRDefault="00D16739">
            <w:pPr>
              <w:jc w:val="right"/>
            </w:pPr>
            <w:r>
              <w:rPr>
                <w:rFonts w:eastAsiaTheme="minorEastAsia"/>
                <w:color w:val="000000" w:themeColor="text1"/>
                <w:szCs w:val="21"/>
              </w:rPr>
              <w:t>7.07%</w:t>
            </w:r>
          </w:p>
        </w:tc>
        <w:tc>
          <w:tcPr>
            <w:tcW w:w="1291" w:type="dxa"/>
            <w:vAlign w:val="center"/>
          </w:tcPr>
          <w:p w14:paraId="521F4A10" w14:textId="77777777" w:rsidR="00455C47" w:rsidRDefault="00D16739">
            <w:pPr>
              <w:jc w:val="right"/>
            </w:pPr>
            <w:r>
              <w:rPr>
                <w:rFonts w:eastAsiaTheme="minorEastAsia"/>
                <w:color w:val="000000" w:themeColor="text1"/>
                <w:szCs w:val="21"/>
              </w:rPr>
              <w:t>1.13%</w:t>
            </w:r>
          </w:p>
        </w:tc>
        <w:tc>
          <w:tcPr>
            <w:tcW w:w="1291" w:type="dxa"/>
            <w:vAlign w:val="center"/>
          </w:tcPr>
          <w:p w14:paraId="15692E18" w14:textId="77777777" w:rsidR="00455C47" w:rsidRDefault="00D16739">
            <w:pPr>
              <w:jc w:val="right"/>
            </w:pPr>
            <w:r>
              <w:rPr>
                <w:rFonts w:eastAsiaTheme="minorEastAsia"/>
                <w:color w:val="000000" w:themeColor="text1"/>
                <w:szCs w:val="21"/>
              </w:rPr>
              <w:t>12.89%</w:t>
            </w:r>
          </w:p>
        </w:tc>
        <w:tc>
          <w:tcPr>
            <w:tcW w:w="1291" w:type="dxa"/>
            <w:vAlign w:val="center"/>
          </w:tcPr>
          <w:p w14:paraId="7F19FFDE" w14:textId="77777777" w:rsidR="00455C47" w:rsidRDefault="00D16739">
            <w:pPr>
              <w:jc w:val="right"/>
            </w:pPr>
            <w:r>
              <w:rPr>
                <w:rFonts w:eastAsiaTheme="minorEastAsia"/>
                <w:color w:val="000000" w:themeColor="text1"/>
                <w:szCs w:val="21"/>
              </w:rPr>
              <w:t>1.10%</w:t>
            </w:r>
          </w:p>
        </w:tc>
        <w:tc>
          <w:tcPr>
            <w:tcW w:w="1291" w:type="dxa"/>
            <w:vAlign w:val="center"/>
          </w:tcPr>
          <w:p w14:paraId="2379EDD9" w14:textId="77777777" w:rsidR="00455C47" w:rsidRDefault="00D16739">
            <w:pPr>
              <w:jc w:val="right"/>
            </w:pPr>
            <w:r>
              <w:rPr>
                <w:rFonts w:eastAsiaTheme="minorEastAsia"/>
                <w:color w:val="000000" w:themeColor="text1"/>
                <w:szCs w:val="21"/>
              </w:rPr>
              <w:t>-5.82%</w:t>
            </w:r>
          </w:p>
        </w:tc>
        <w:tc>
          <w:tcPr>
            <w:tcW w:w="1291" w:type="dxa"/>
            <w:vAlign w:val="center"/>
          </w:tcPr>
          <w:p w14:paraId="17A65D99" w14:textId="77777777" w:rsidR="00455C47" w:rsidRDefault="00D16739">
            <w:pPr>
              <w:jc w:val="right"/>
            </w:pPr>
            <w:r>
              <w:rPr>
                <w:rFonts w:eastAsiaTheme="minorEastAsia"/>
                <w:color w:val="000000" w:themeColor="text1"/>
                <w:szCs w:val="21"/>
              </w:rPr>
              <w:t>0.03%</w:t>
            </w:r>
          </w:p>
        </w:tc>
      </w:tr>
      <w:tr w:rsidR="00455C47" w14:paraId="040EEE39" w14:textId="77777777">
        <w:tc>
          <w:tcPr>
            <w:tcW w:w="1290" w:type="dxa"/>
            <w:vAlign w:val="center"/>
          </w:tcPr>
          <w:p w14:paraId="0B7E8CF9" w14:textId="77777777" w:rsidR="00455C47" w:rsidRDefault="00D16739">
            <w:pPr>
              <w:jc w:val="left"/>
            </w:pPr>
            <w:r>
              <w:rPr>
                <w:rFonts w:eastAsiaTheme="minorEastAsia"/>
                <w:color w:val="000000" w:themeColor="text1"/>
                <w:szCs w:val="21"/>
              </w:rPr>
              <w:t>过去三年</w:t>
            </w:r>
          </w:p>
        </w:tc>
        <w:tc>
          <w:tcPr>
            <w:tcW w:w="1291" w:type="dxa"/>
            <w:vAlign w:val="center"/>
          </w:tcPr>
          <w:p w14:paraId="10F2EB66" w14:textId="77777777" w:rsidR="00455C47" w:rsidRDefault="00D16739">
            <w:pPr>
              <w:jc w:val="right"/>
            </w:pPr>
            <w:r>
              <w:rPr>
                <w:rFonts w:eastAsiaTheme="minorEastAsia"/>
                <w:color w:val="000000" w:themeColor="text1"/>
                <w:szCs w:val="21"/>
              </w:rPr>
              <w:t>-</w:t>
            </w:r>
          </w:p>
        </w:tc>
        <w:tc>
          <w:tcPr>
            <w:tcW w:w="1291" w:type="dxa"/>
            <w:vAlign w:val="center"/>
          </w:tcPr>
          <w:p w14:paraId="523D71B5" w14:textId="77777777" w:rsidR="00455C47" w:rsidRDefault="00D16739">
            <w:pPr>
              <w:jc w:val="right"/>
            </w:pPr>
            <w:r>
              <w:rPr>
                <w:rFonts w:eastAsiaTheme="minorEastAsia"/>
                <w:color w:val="000000" w:themeColor="text1"/>
                <w:szCs w:val="21"/>
              </w:rPr>
              <w:t>-</w:t>
            </w:r>
          </w:p>
        </w:tc>
        <w:tc>
          <w:tcPr>
            <w:tcW w:w="1291" w:type="dxa"/>
            <w:vAlign w:val="center"/>
          </w:tcPr>
          <w:p w14:paraId="1A401BCD" w14:textId="77777777" w:rsidR="00455C47" w:rsidRDefault="00D16739">
            <w:pPr>
              <w:jc w:val="right"/>
            </w:pPr>
            <w:r>
              <w:rPr>
                <w:rFonts w:eastAsiaTheme="minorEastAsia"/>
                <w:color w:val="000000" w:themeColor="text1"/>
                <w:szCs w:val="21"/>
              </w:rPr>
              <w:t>-</w:t>
            </w:r>
          </w:p>
        </w:tc>
        <w:tc>
          <w:tcPr>
            <w:tcW w:w="1291" w:type="dxa"/>
            <w:vAlign w:val="center"/>
          </w:tcPr>
          <w:p w14:paraId="2877424B" w14:textId="77777777" w:rsidR="00455C47" w:rsidRDefault="00D16739">
            <w:pPr>
              <w:jc w:val="right"/>
            </w:pPr>
            <w:r>
              <w:rPr>
                <w:rFonts w:eastAsiaTheme="minorEastAsia"/>
                <w:color w:val="000000" w:themeColor="text1"/>
                <w:szCs w:val="21"/>
              </w:rPr>
              <w:t>-</w:t>
            </w:r>
          </w:p>
        </w:tc>
        <w:tc>
          <w:tcPr>
            <w:tcW w:w="1291" w:type="dxa"/>
            <w:vAlign w:val="center"/>
          </w:tcPr>
          <w:p w14:paraId="02370148" w14:textId="77777777" w:rsidR="00455C47" w:rsidRDefault="00D16739">
            <w:pPr>
              <w:jc w:val="right"/>
            </w:pPr>
            <w:r>
              <w:rPr>
                <w:rFonts w:eastAsiaTheme="minorEastAsia"/>
                <w:color w:val="000000" w:themeColor="text1"/>
                <w:szCs w:val="21"/>
              </w:rPr>
              <w:t>-</w:t>
            </w:r>
          </w:p>
        </w:tc>
        <w:tc>
          <w:tcPr>
            <w:tcW w:w="1291" w:type="dxa"/>
            <w:vAlign w:val="center"/>
          </w:tcPr>
          <w:p w14:paraId="1338C5F4" w14:textId="77777777" w:rsidR="00455C47" w:rsidRDefault="00D16739">
            <w:pPr>
              <w:jc w:val="right"/>
            </w:pPr>
            <w:r>
              <w:rPr>
                <w:rFonts w:eastAsiaTheme="minorEastAsia"/>
                <w:color w:val="000000" w:themeColor="text1"/>
                <w:szCs w:val="21"/>
              </w:rPr>
              <w:t>-</w:t>
            </w:r>
          </w:p>
        </w:tc>
      </w:tr>
      <w:tr w:rsidR="00455C47" w14:paraId="1DFB31F6" w14:textId="77777777">
        <w:tc>
          <w:tcPr>
            <w:tcW w:w="1290" w:type="dxa"/>
            <w:vAlign w:val="center"/>
          </w:tcPr>
          <w:p w14:paraId="4BD5BD40" w14:textId="77777777" w:rsidR="00455C47" w:rsidRDefault="00D16739">
            <w:pPr>
              <w:jc w:val="left"/>
            </w:pPr>
            <w:r>
              <w:rPr>
                <w:rFonts w:eastAsiaTheme="minorEastAsia"/>
                <w:color w:val="000000" w:themeColor="text1"/>
                <w:szCs w:val="21"/>
              </w:rPr>
              <w:t>过去五年</w:t>
            </w:r>
          </w:p>
        </w:tc>
        <w:tc>
          <w:tcPr>
            <w:tcW w:w="1291" w:type="dxa"/>
            <w:vAlign w:val="center"/>
          </w:tcPr>
          <w:p w14:paraId="61CA1119" w14:textId="77777777" w:rsidR="00455C47" w:rsidRDefault="00D16739">
            <w:pPr>
              <w:jc w:val="right"/>
            </w:pPr>
            <w:r>
              <w:rPr>
                <w:rFonts w:eastAsiaTheme="minorEastAsia"/>
                <w:color w:val="000000" w:themeColor="text1"/>
                <w:szCs w:val="21"/>
              </w:rPr>
              <w:t>-</w:t>
            </w:r>
          </w:p>
        </w:tc>
        <w:tc>
          <w:tcPr>
            <w:tcW w:w="1291" w:type="dxa"/>
            <w:vAlign w:val="center"/>
          </w:tcPr>
          <w:p w14:paraId="1FFEC58C" w14:textId="77777777" w:rsidR="00455C47" w:rsidRDefault="00D16739">
            <w:pPr>
              <w:jc w:val="right"/>
            </w:pPr>
            <w:r>
              <w:rPr>
                <w:rFonts w:eastAsiaTheme="minorEastAsia"/>
                <w:color w:val="000000" w:themeColor="text1"/>
                <w:szCs w:val="21"/>
              </w:rPr>
              <w:t>-</w:t>
            </w:r>
          </w:p>
        </w:tc>
        <w:tc>
          <w:tcPr>
            <w:tcW w:w="1291" w:type="dxa"/>
            <w:vAlign w:val="center"/>
          </w:tcPr>
          <w:p w14:paraId="0BED610E" w14:textId="77777777" w:rsidR="00455C47" w:rsidRDefault="00D16739">
            <w:pPr>
              <w:jc w:val="right"/>
            </w:pPr>
            <w:r>
              <w:rPr>
                <w:rFonts w:eastAsiaTheme="minorEastAsia"/>
                <w:color w:val="000000" w:themeColor="text1"/>
                <w:szCs w:val="21"/>
              </w:rPr>
              <w:t>-</w:t>
            </w:r>
          </w:p>
        </w:tc>
        <w:tc>
          <w:tcPr>
            <w:tcW w:w="1291" w:type="dxa"/>
            <w:vAlign w:val="center"/>
          </w:tcPr>
          <w:p w14:paraId="2CB11DB8" w14:textId="77777777" w:rsidR="00455C47" w:rsidRDefault="00D16739">
            <w:pPr>
              <w:jc w:val="right"/>
            </w:pPr>
            <w:r>
              <w:rPr>
                <w:rFonts w:eastAsiaTheme="minorEastAsia"/>
                <w:color w:val="000000" w:themeColor="text1"/>
                <w:szCs w:val="21"/>
              </w:rPr>
              <w:t>-</w:t>
            </w:r>
          </w:p>
        </w:tc>
        <w:tc>
          <w:tcPr>
            <w:tcW w:w="1291" w:type="dxa"/>
            <w:vAlign w:val="center"/>
          </w:tcPr>
          <w:p w14:paraId="21CDE833" w14:textId="77777777" w:rsidR="00455C47" w:rsidRDefault="00D16739">
            <w:pPr>
              <w:jc w:val="right"/>
            </w:pPr>
            <w:r>
              <w:rPr>
                <w:rFonts w:eastAsiaTheme="minorEastAsia"/>
                <w:color w:val="000000" w:themeColor="text1"/>
                <w:szCs w:val="21"/>
              </w:rPr>
              <w:t>-</w:t>
            </w:r>
          </w:p>
        </w:tc>
        <w:tc>
          <w:tcPr>
            <w:tcW w:w="1291" w:type="dxa"/>
            <w:vAlign w:val="center"/>
          </w:tcPr>
          <w:p w14:paraId="7351A386" w14:textId="77777777" w:rsidR="00455C47" w:rsidRDefault="00D16739">
            <w:pPr>
              <w:jc w:val="right"/>
            </w:pPr>
            <w:r>
              <w:rPr>
                <w:rFonts w:eastAsiaTheme="minorEastAsia"/>
                <w:color w:val="000000" w:themeColor="text1"/>
                <w:szCs w:val="21"/>
              </w:rPr>
              <w:t>-</w:t>
            </w:r>
          </w:p>
        </w:tc>
      </w:tr>
      <w:tr w:rsidR="00455C47" w14:paraId="6E2F446E" w14:textId="77777777">
        <w:tc>
          <w:tcPr>
            <w:tcW w:w="1290" w:type="dxa"/>
            <w:vAlign w:val="center"/>
          </w:tcPr>
          <w:p w14:paraId="48B85B98" w14:textId="77777777" w:rsidR="00455C47" w:rsidRDefault="00D16739">
            <w:pPr>
              <w:jc w:val="left"/>
            </w:pPr>
            <w:r>
              <w:rPr>
                <w:rFonts w:eastAsiaTheme="minorEastAsia"/>
                <w:color w:val="000000" w:themeColor="text1"/>
                <w:szCs w:val="21"/>
              </w:rPr>
              <w:t>自基金合同生效起至今</w:t>
            </w:r>
          </w:p>
        </w:tc>
        <w:tc>
          <w:tcPr>
            <w:tcW w:w="1291" w:type="dxa"/>
            <w:vAlign w:val="center"/>
          </w:tcPr>
          <w:p w14:paraId="639EBD05" w14:textId="77777777" w:rsidR="00455C47" w:rsidRDefault="00D16739">
            <w:pPr>
              <w:jc w:val="right"/>
            </w:pPr>
            <w:r>
              <w:rPr>
                <w:rFonts w:eastAsiaTheme="minorEastAsia"/>
                <w:color w:val="000000" w:themeColor="text1"/>
                <w:szCs w:val="21"/>
              </w:rPr>
              <w:t>-10.36%</w:t>
            </w:r>
          </w:p>
        </w:tc>
        <w:tc>
          <w:tcPr>
            <w:tcW w:w="1291" w:type="dxa"/>
            <w:vAlign w:val="center"/>
          </w:tcPr>
          <w:p w14:paraId="5BC64ABF" w14:textId="77777777" w:rsidR="00455C47" w:rsidRDefault="00D16739">
            <w:pPr>
              <w:jc w:val="right"/>
            </w:pPr>
            <w:r>
              <w:rPr>
                <w:rFonts w:eastAsiaTheme="minorEastAsia"/>
                <w:color w:val="000000" w:themeColor="text1"/>
                <w:szCs w:val="21"/>
              </w:rPr>
              <w:t>0.99%</w:t>
            </w:r>
          </w:p>
        </w:tc>
        <w:tc>
          <w:tcPr>
            <w:tcW w:w="1291" w:type="dxa"/>
            <w:vAlign w:val="center"/>
          </w:tcPr>
          <w:p w14:paraId="612E6ABC" w14:textId="77777777" w:rsidR="00455C47" w:rsidRDefault="00D16739">
            <w:pPr>
              <w:jc w:val="right"/>
            </w:pPr>
            <w:r>
              <w:rPr>
                <w:rFonts w:eastAsiaTheme="minorEastAsia"/>
                <w:color w:val="000000" w:themeColor="text1"/>
                <w:szCs w:val="21"/>
              </w:rPr>
              <w:t>-1.57%</w:t>
            </w:r>
          </w:p>
        </w:tc>
        <w:tc>
          <w:tcPr>
            <w:tcW w:w="1291" w:type="dxa"/>
            <w:vAlign w:val="center"/>
          </w:tcPr>
          <w:p w14:paraId="4CC196F9" w14:textId="77777777" w:rsidR="00455C47" w:rsidRDefault="00D16739">
            <w:pPr>
              <w:jc w:val="right"/>
            </w:pPr>
            <w:r>
              <w:rPr>
                <w:rFonts w:eastAsiaTheme="minorEastAsia"/>
                <w:color w:val="000000" w:themeColor="text1"/>
                <w:szCs w:val="21"/>
              </w:rPr>
              <w:t>0.94%</w:t>
            </w:r>
          </w:p>
        </w:tc>
        <w:tc>
          <w:tcPr>
            <w:tcW w:w="1291" w:type="dxa"/>
            <w:vAlign w:val="center"/>
          </w:tcPr>
          <w:p w14:paraId="39C99EC8" w14:textId="77777777" w:rsidR="00455C47" w:rsidRDefault="00D16739">
            <w:pPr>
              <w:jc w:val="right"/>
            </w:pPr>
            <w:r>
              <w:rPr>
                <w:rFonts w:eastAsiaTheme="minorEastAsia"/>
                <w:color w:val="000000" w:themeColor="text1"/>
                <w:szCs w:val="21"/>
              </w:rPr>
              <w:t>-8.79%</w:t>
            </w:r>
          </w:p>
        </w:tc>
        <w:tc>
          <w:tcPr>
            <w:tcW w:w="1291" w:type="dxa"/>
            <w:vAlign w:val="center"/>
          </w:tcPr>
          <w:p w14:paraId="06DD2DB6" w14:textId="77777777" w:rsidR="00455C47" w:rsidRDefault="00D16739">
            <w:pPr>
              <w:jc w:val="right"/>
            </w:pPr>
            <w:r>
              <w:rPr>
                <w:rFonts w:eastAsiaTheme="minorEastAsia"/>
                <w:color w:val="000000" w:themeColor="text1"/>
                <w:szCs w:val="21"/>
              </w:rPr>
              <w:t>0.05%</w:t>
            </w:r>
          </w:p>
        </w:tc>
      </w:tr>
    </w:tbl>
    <w:p w14:paraId="26611B5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66270F4"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摩根慧享成长混合型证券投资基金</w:t>
      </w:r>
    </w:p>
    <w:p w14:paraId="3994421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7B94DF2"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AEFF69B"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．摩根慧享成长混合</w:t>
      </w:r>
      <w:r w:rsidRPr="00B27A29">
        <w:rPr>
          <w:rFonts w:eastAsiaTheme="minorEastAsia"/>
          <w:color w:val="000000" w:themeColor="text1"/>
          <w:szCs w:val="21"/>
        </w:rPr>
        <w:t>A</w:t>
      </w:r>
      <w:r w:rsidRPr="00B27A29">
        <w:rPr>
          <w:rFonts w:eastAsiaTheme="minorEastAsia"/>
          <w:color w:val="000000" w:themeColor="text1"/>
          <w:szCs w:val="21"/>
        </w:rPr>
        <w:t>：</w:t>
      </w:r>
    </w:p>
    <w:p w14:paraId="12D49345"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BB0DE22" wp14:editId="5B468DB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022746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．摩根慧享成长混合</w:t>
      </w:r>
      <w:r w:rsidRPr="00B27A29">
        <w:rPr>
          <w:rFonts w:eastAsiaTheme="minorEastAsia"/>
          <w:color w:val="000000" w:themeColor="text1"/>
          <w:szCs w:val="21"/>
        </w:rPr>
        <w:t>C</w:t>
      </w:r>
      <w:r w:rsidRPr="00B27A29">
        <w:rPr>
          <w:rFonts w:eastAsiaTheme="minorEastAsia"/>
          <w:color w:val="000000" w:themeColor="text1"/>
          <w:szCs w:val="21"/>
        </w:rPr>
        <w:t>：</w:t>
      </w:r>
    </w:p>
    <w:p w14:paraId="44D7EE4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CB6F394" wp14:editId="51AB4FA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ADC09DC"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567301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1509CD5F" w14:textId="77777777" w:rsidR="005E6DF3" w:rsidRPr="00B27A29" w:rsidRDefault="005E6DF3">
      <w:pPr>
        <w:tabs>
          <w:tab w:val="left" w:pos="1800"/>
        </w:tabs>
        <w:spacing w:line="288" w:lineRule="auto"/>
        <w:rPr>
          <w:rFonts w:eastAsiaTheme="minorEastAsia"/>
          <w:color w:val="000000" w:themeColor="text1"/>
          <w:szCs w:val="21"/>
        </w:rPr>
      </w:pPr>
    </w:p>
    <w:p w14:paraId="3418802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AF8BB9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5C29666" w14:textId="77777777">
        <w:tc>
          <w:tcPr>
            <w:tcW w:w="952" w:type="dxa"/>
            <w:vMerge w:val="restart"/>
            <w:vAlign w:val="center"/>
          </w:tcPr>
          <w:p w14:paraId="234294B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C50BF3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0C3C5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0173B55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EFFC8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1432BAED" w14:textId="77777777">
        <w:tc>
          <w:tcPr>
            <w:tcW w:w="952" w:type="dxa"/>
            <w:vMerge/>
            <w:vAlign w:val="center"/>
          </w:tcPr>
          <w:p w14:paraId="5510AE8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C046B5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09639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E334D0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11FC9B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3B890FD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55C47" w14:paraId="1B5FE924" w14:textId="77777777">
        <w:tc>
          <w:tcPr>
            <w:tcW w:w="952" w:type="dxa"/>
            <w:vAlign w:val="center"/>
          </w:tcPr>
          <w:p w14:paraId="7939DE07" w14:textId="77777777" w:rsidR="00455C47" w:rsidRDefault="00D16739">
            <w:pPr>
              <w:jc w:val="center"/>
            </w:pPr>
            <w:r>
              <w:rPr>
                <w:rFonts w:eastAsiaTheme="minorEastAsia"/>
                <w:color w:val="000000" w:themeColor="text1"/>
                <w:szCs w:val="21"/>
              </w:rPr>
              <w:t>李德辉</w:t>
            </w:r>
          </w:p>
        </w:tc>
        <w:tc>
          <w:tcPr>
            <w:tcW w:w="930" w:type="dxa"/>
            <w:vAlign w:val="center"/>
          </w:tcPr>
          <w:p w14:paraId="3C079AC5" w14:textId="77777777" w:rsidR="00455C47" w:rsidRDefault="00D16739">
            <w:pPr>
              <w:jc w:val="center"/>
            </w:pPr>
            <w:r>
              <w:rPr>
                <w:rFonts w:eastAsiaTheme="minorEastAsia"/>
                <w:color w:val="000000" w:themeColor="text1"/>
                <w:szCs w:val="21"/>
              </w:rPr>
              <w:t>本基金基金经理</w:t>
            </w:r>
          </w:p>
        </w:tc>
        <w:tc>
          <w:tcPr>
            <w:tcW w:w="1210" w:type="dxa"/>
            <w:vAlign w:val="center"/>
          </w:tcPr>
          <w:p w14:paraId="0AC94485" w14:textId="77777777" w:rsidR="00455C47" w:rsidRDefault="00D16739">
            <w:pPr>
              <w:jc w:val="center"/>
            </w:pPr>
            <w:r>
              <w:rPr>
                <w:rFonts w:eastAsiaTheme="minorEastAsia"/>
                <w:color w:val="000000" w:themeColor="text1"/>
                <w:szCs w:val="21"/>
              </w:rPr>
              <w:t>2022-08-23</w:t>
            </w:r>
          </w:p>
        </w:tc>
        <w:tc>
          <w:tcPr>
            <w:tcW w:w="1309" w:type="dxa"/>
            <w:vAlign w:val="center"/>
          </w:tcPr>
          <w:p w14:paraId="66566AB2" w14:textId="77777777" w:rsidR="00455C47" w:rsidRDefault="00D16739">
            <w:pPr>
              <w:jc w:val="center"/>
            </w:pPr>
            <w:r>
              <w:rPr>
                <w:rFonts w:eastAsiaTheme="minorEastAsia"/>
                <w:color w:val="000000" w:themeColor="text1"/>
                <w:szCs w:val="21"/>
              </w:rPr>
              <w:t>-</w:t>
            </w:r>
          </w:p>
        </w:tc>
        <w:tc>
          <w:tcPr>
            <w:tcW w:w="1254" w:type="dxa"/>
            <w:vAlign w:val="center"/>
          </w:tcPr>
          <w:p w14:paraId="1C481A57" w14:textId="77777777" w:rsidR="00455C47" w:rsidRDefault="00D1673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15272FC2" w14:textId="77777777" w:rsidR="00455C47" w:rsidRDefault="00D16739">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497FBE61" w14:textId="77777777" w:rsidR="00455C47" w:rsidRDefault="00D1673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4B760D6" w14:textId="77777777" w:rsidR="00455C47" w:rsidRDefault="00D1673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李德辉先生为本基金首任基金经理，其任职日期指本基金基金合同生效之日。</w:t>
      </w:r>
      <w:r>
        <w:rPr>
          <w:rFonts w:eastAsiaTheme="minorEastAsia"/>
          <w:color w:val="000000" w:themeColor="text1"/>
          <w:szCs w:val="21"/>
        </w:rPr>
        <w:t xml:space="preserve"> </w:t>
      </w:r>
    </w:p>
    <w:p w14:paraId="4A0AC42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1A14519B"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6215FC3D"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188B72B0"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BB9970"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FA2CD1"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95FA36"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3ACAA82"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71E514C5"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007AA727"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7C6B215C"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34EBCE58"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5557D804" w14:textId="77777777" w:rsidR="005C671B" w:rsidRPr="00B27A29" w:rsidRDefault="005C671B">
            <w:pPr>
              <w:spacing w:line="288" w:lineRule="auto"/>
              <w:jc w:val="left"/>
              <w:rPr>
                <w:color w:val="000000"/>
                <w:szCs w:val="21"/>
              </w:rPr>
            </w:pPr>
            <w:r w:rsidRPr="00B27A29">
              <w:rPr>
                <w:color w:val="000000"/>
                <w:szCs w:val="21"/>
              </w:rPr>
              <w:t>6,694,663,663.76</w:t>
            </w:r>
          </w:p>
        </w:tc>
        <w:tc>
          <w:tcPr>
            <w:tcW w:w="1381" w:type="dxa"/>
            <w:tcBorders>
              <w:top w:val="single" w:sz="4" w:space="0" w:color="auto"/>
              <w:left w:val="single" w:sz="4" w:space="0" w:color="auto"/>
              <w:bottom w:val="single" w:sz="4" w:space="0" w:color="auto"/>
              <w:right w:val="single" w:sz="4" w:space="0" w:color="auto"/>
            </w:tcBorders>
            <w:hideMark/>
          </w:tcPr>
          <w:p w14:paraId="2606E753"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3CAB22D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C5ABD8D"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026D152"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2C38FD73"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215FE345" w14:textId="77777777" w:rsidR="005C671B" w:rsidRPr="00B27A29" w:rsidRDefault="005C671B">
            <w:pPr>
              <w:spacing w:line="288" w:lineRule="auto"/>
              <w:jc w:val="left"/>
              <w:rPr>
                <w:color w:val="000000"/>
                <w:szCs w:val="21"/>
              </w:rPr>
            </w:pPr>
            <w:r w:rsidRPr="00B27A29">
              <w:rPr>
                <w:color w:val="000000"/>
                <w:szCs w:val="21"/>
              </w:rPr>
              <w:t>13,881,042.15</w:t>
            </w:r>
          </w:p>
        </w:tc>
        <w:tc>
          <w:tcPr>
            <w:tcW w:w="1381" w:type="dxa"/>
            <w:tcBorders>
              <w:top w:val="single" w:sz="4" w:space="0" w:color="auto"/>
              <w:left w:val="single" w:sz="4" w:space="0" w:color="auto"/>
              <w:bottom w:val="single" w:sz="4" w:space="0" w:color="auto"/>
              <w:right w:val="single" w:sz="4" w:space="0" w:color="auto"/>
            </w:tcBorders>
            <w:hideMark/>
          </w:tcPr>
          <w:p w14:paraId="769E9445"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42FFFB7A"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0C644AAE"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E91AE01"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5CD506E"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20934D60"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4E0C254E"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6B2DDA5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15F3E8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DEDA3C4"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50B08C5D"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2005B6DC" w14:textId="77777777" w:rsidR="005C671B" w:rsidRPr="00B27A29" w:rsidRDefault="005C671B">
            <w:pPr>
              <w:spacing w:line="288" w:lineRule="auto"/>
              <w:jc w:val="left"/>
              <w:rPr>
                <w:color w:val="000000"/>
                <w:szCs w:val="21"/>
              </w:rPr>
            </w:pPr>
            <w:r w:rsidRPr="00B27A29">
              <w:rPr>
                <w:color w:val="000000"/>
                <w:szCs w:val="21"/>
              </w:rPr>
              <w:t>6,708,544,705.91</w:t>
            </w:r>
          </w:p>
        </w:tc>
        <w:tc>
          <w:tcPr>
            <w:tcW w:w="1381" w:type="dxa"/>
            <w:tcBorders>
              <w:top w:val="single" w:sz="4" w:space="0" w:color="auto"/>
              <w:left w:val="single" w:sz="4" w:space="0" w:color="auto"/>
              <w:bottom w:val="single" w:sz="4" w:space="0" w:color="auto"/>
              <w:right w:val="single" w:sz="4" w:space="0" w:color="auto"/>
            </w:tcBorders>
          </w:tcPr>
          <w:p w14:paraId="1644DF0E" w14:textId="77777777" w:rsidR="005C671B" w:rsidRPr="00B27A29" w:rsidRDefault="005C671B">
            <w:pPr>
              <w:spacing w:line="288" w:lineRule="auto"/>
              <w:jc w:val="left"/>
              <w:rPr>
                <w:color w:val="000000"/>
                <w:szCs w:val="21"/>
              </w:rPr>
            </w:pPr>
          </w:p>
        </w:tc>
      </w:tr>
    </w:tbl>
    <w:p w14:paraId="591E865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31565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6DDA65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043AC2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F313741"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3E218A96"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7CE6B6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4FABF6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28ED294"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0C3135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6E4493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0ED9C55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3750FFF"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四季度市场震荡为主，沪深</w:t>
      </w:r>
      <w:r>
        <w:rPr>
          <w:rFonts w:eastAsiaTheme="minorEastAsia"/>
          <w:color w:val="000000" w:themeColor="text1"/>
          <w:szCs w:val="21"/>
        </w:rPr>
        <w:t>300</w:t>
      </w:r>
      <w:r>
        <w:rPr>
          <w:rFonts w:eastAsiaTheme="minorEastAsia"/>
          <w:color w:val="000000" w:themeColor="text1"/>
          <w:szCs w:val="21"/>
        </w:rPr>
        <w:t>指数下</w:t>
      </w:r>
      <w:r>
        <w:rPr>
          <w:rFonts w:eastAsiaTheme="minorEastAsia"/>
          <w:color w:val="000000" w:themeColor="text1"/>
          <w:szCs w:val="21"/>
        </w:rPr>
        <w:t>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结构上受益于风险偏好提升，偏成长题材的小盘股上涨明显，计算机、传媒、电子、非银等行业上涨明显，其余行业一般。本基金四季度表现较弱，主要原因是重仓了锂电、电子、家电等白马蓝筹为主，缺乏机器人、国产算力、</w:t>
      </w:r>
      <w:r>
        <w:rPr>
          <w:rFonts w:eastAsiaTheme="minorEastAsia"/>
          <w:color w:val="000000" w:themeColor="text1"/>
          <w:szCs w:val="21"/>
        </w:rPr>
        <w:t>AI</w:t>
      </w:r>
      <w:r>
        <w:rPr>
          <w:rFonts w:eastAsiaTheme="minorEastAsia"/>
          <w:color w:val="000000" w:themeColor="text1"/>
          <w:szCs w:val="21"/>
        </w:rPr>
        <w:t>应用等偏主题方向的资产。</w:t>
      </w:r>
    </w:p>
    <w:p w14:paraId="4CF37E9B"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年政策转向将促使经济企稳，企业盈利有望不再下移，</w:t>
      </w:r>
      <w:r>
        <w:rPr>
          <w:rFonts w:eastAsiaTheme="minorEastAsia"/>
          <w:color w:val="000000" w:themeColor="text1"/>
          <w:szCs w:val="21"/>
        </w:rPr>
        <w:t>A</w:t>
      </w:r>
      <w:r>
        <w:rPr>
          <w:rFonts w:eastAsiaTheme="minorEastAsia"/>
          <w:color w:val="000000" w:themeColor="text1"/>
          <w:szCs w:val="21"/>
        </w:rPr>
        <w:t>股或不再遭遇系统性杀估值。从目前估值水平看，截止到</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指数的动态</w:t>
      </w:r>
      <w:r>
        <w:rPr>
          <w:rFonts w:eastAsiaTheme="minorEastAsia"/>
          <w:color w:val="000000" w:themeColor="text1"/>
          <w:szCs w:val="21"/>
        </w:rPr>
        <w:t xml:space="preserve">PE </w:t>
      </w:r>
      <w:r>
        <w:rPr>
          <w:rFonts w:eastAsiaTheme="minorEastAsia"/>
          <w:color w:val="000000" w:themeColor="text1"/>
          <w:szCs w:val="21"/>
        </w:rPr>
        <w:t>为</w:t>
      </w:r>
      <w:r>
        <w:rPr>
          <w:rFonts w:eastAsiaTheme="minorEastAsia"/>
          <w:color w:val="000000" w:themeColor="text1"/>
          <w:szCs w:val="21"/>
        </w:rPr>
        <w:t>13</w:t>
      </w:r>
      <w:r>
        <w:rPr>
          <w:rFonts w:eastAsiaTheme="minorEastAsia"/>
          <w:color w:val="000000" w:themeColor="text1"/>
          <w:szCs w:val="21"/>
        </w:rPr>
        <w:t>倍，位于历史估值中位数。考虑到无风险利率的下移，</w:t>
      </w:r>
      <w:r>
        <w:rPr>
          <w:rFonts w:eastAsiaTheme="minorEastAsia"/>
          <w:color w:val="000000" w:themeColor="text1"/>
          <w:szCs w:val="21"/>
        </w:rPr>
        <w:t>A</w:t>
      </w:r>
      <w:r>
        <w:rPr>
          <w:rFonts w:eastAsiaTheme="minorEastAsia"/>
          <w:color w:val="000000" w:themeColor="text1"/>
          <w:szCs w:val="21"/>
        </w:rPr>
        <w:t>股里不少红利资产股息率已</w:t>
      </w:r>
      <w:r>
        <w:rPr>
          <w:rFonts w:eastAsiaTheme="minorEastAsia"/>
          <w:color w:val="000000" w:themeColor="text1"/>
          <w:szCs w:val="21"/>
        </w:rPr>
        <w:t>交易到</w:t>
      </w:r>
      <w:r>
        <w:rPr>
          <w:rFonts w:eastAsiaTheme="minorEastAsia"/>
          <w:color w:val="000000" w:themeColor="text1"/>
          <w:szCs w:val="21"/>
        </w:rPr>
        <w:t>4%</w:t>
      </w:r>
      <w:r>
        <w:rPr>
          <w:rFonts w:eastAsiaTheme="minorEastAsia"/>
          <w:color w:val="000000" w:themeColor="text1"/>
          <w:szCs w:val="21"/>
        </w:rPr>
        <w:t>左右，而不少白马公司仍具有高质量的稳健增长，我们认为有稳健增长的白马资产年化收益可能更好。</w:t>
      </w:r>
    </w:p>
    <w:p w14:paraId="344CD96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我们更应该关注结构性机会，寻找有基本面成长的行业，例如：科技、新能源、出海制造业等。科技方面，人工智能（</w:t>
      </w:r>
      <w:r w:rsidRPr="00B27A29">
        <w:rPr>
          <w:rFonts w:eastAsiaTheme="minorEastAsia"/>
          <w:color w:val="000000" w:themeColor="text1"/>
          <w:szCs w:val="21"/>
        </w:rPr>
        <w:t>AI</w:t>
      </w:r>
      <w:r w:rsidRPr="00B27A29">
        <w:rPr>
          <w:rFonts w:eastAsiaTheme="minorEastAsia"/>
          <w:color w:val="000000" w:themeColor="text1"/>
          <w:szCs w:val="21"/>
        </w:rPr>
        <w:t>）技术迅速发展，</w:t>
      </w:r>
      <w:r w:rsidRPr="00B27A29">
        <w:rPr>
          <w:rFonts w:eastAsiaTheme="minorEastAsia"/>
          <w:color w:val="000000" w:themeColor="text1"/>
          <w:szCs w:val="21"/>
        </w:rPr>
        <w:t>2025</w:t>
      </w:r>
      <w:r w:rsidRPr="00B27A29">
        <w:rPr>
          <w:rFonts w:eastAsiaTheme="minorEastAsia"/>
          <w:color w:val="000000" w:themeColor="text1"/>
          <w:szCs w:val="21"/>
        </w:rPr>
        <w:t>年有望看到</w:t>
      </w:r>
      <w:r w:rsidRPr="00B27A29">
        <w:rPr>
          <w:rFonts w:eastAsiaTheme="minorEastAsia"/>
          <w:color w:val="000000" w:themeColor="text1"/>
          <w:szCs w:val="21"/>
        </w:rPr>
        <w:t>AI</w:t>
      </w:r>
      <w:r w:rsidRPr="00B27A29">
        <w:rPr>
          <w:rFonts w:eastAsiaTheme="minorEastAsia"/>
          <w:color w:val="000000" w:themeColor="text1"/>
          <w:szCs w:val="21"/>
        </w:rPr>
        <w:t>应用的普及，目前看</w:t>
      </w:r>
      <w:r w:rsidRPr="00B27A29">
        <w:rPr>
          <w:rFonts w:eastAsiaTheme="minorEastAsia"/>
          <w:color w:val="000000" w:themeColor="text1"/>
          <w:szCs w:val="21"/>
        </w:rPr>
        <w:t>AI</w:t>
      </w:r>
      <w:r w:rsidRPr="00B27A29">
        <w:rPr>
          <w:rFonts w:eastAsiaTheme="minorEastAsia"/>
          <w:color w:val="000000" w:themeColor="text1"/>
          <w:szCs w:val="21"/>
        </w:rPr>
        <w:t>技术赋能智能硬件，更好实现</w:t>
      </w:r>
      <w:r w:rsidRPr="00B27A29">
        <w:rPr>
          <w:rFonts w:eastAsiaTheme="minorEastAsia"/>
          <w:color w:val="000000" w:themeColor="text1"/>
          <w:szCs w:val="21"/>
        </w:rPr>
        <w:t>AI agent</w:t>
      </w:r>
      <w:r w:rsidRPr="00B27A29">
        <w:rPr>
          <w:rFonts w:eastAsiaTheme="minorEastAsia"/>
          <w:color w:val="000000" w:themeColor="text1"/>
          <w:szCs w:val="21"/>
        </w:rPr>
        <w:t>，推动智能硬件（如手机、耳机、眼镜等）升级，同时</w:t>
      </w:r>
      <w:r w:rsidRPr="00B27A29">
        <w:rPr>
          <w:rFonts w:eastAsiaTheme="minorEastAsia"/>
          <w:color w:val="000000" w:themeColor="text1"/>
          <w:szCs w:val="21"/>
        </w:rPr>
        <w:t>AI</w:t>
      </w:r>
      <w:r w:rsidRPr="00B27A29">
        <w:rPr>
          <w:rFonts w:eastAsiaTheme="minorEastAsia"/>
          <w:color w:val="000000" w:themeColor="text1"/>
          <w:szCs w:val="21"/>
        </w:rPr>
        <w:t>应用也需要算力持续的投入，相关公司均有机会。考虑到海外的一些限制因素，半导体自主可控更加迫切，也带来投资机会。新能源方面，国内新能源车渗透率接近</w:t>
      </w:r>
      <w:r w:rsidRPr="00B27A29">
        <w:rPr>
          <w:rFonts w:eastAsiaTheme="minorEastAsia"/>
          <w:color w:val="000000" w:themeColor="text1"/>
          <w:szCs w:val="21"/>
        </w:rPr>
        <w:t>50%</w:t>
      </w:r>
      <w:r w:rsidRPr="00B27A29">
        <w:rPr>
          <w:rFonts w:eastAsiaTheme="minorEastAsia"/>
          <w:color w:val="000000" w:themeColor="text1"/>
          <w:szCs w:val="21"/>
        </w:rPr>
        <w:t>，但仍有望继续提升，全球储能增长迅速，锂电行业需求未来几年料将有稳定增长。其中电池环节竞争壁垒高，部分材料环节供需也将迎来重新平衡，有望回到合理盈利，所以锂电相关产业链我们比较看好。出海制造业方面，家电、汽车、机械等行业中国企业竞争优势明显，相关出口还将持续带来增量，国内以旧换新政策持续，推动内需稳定增长，内外需均较好。</w:t>
      </w:r>
    </w:p>
    <w:p w14:paraId="033CF6C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4D3BFCD"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本报告期摩根慧享成长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:-2.61%</w:t>
      </w:r>
      <w:r>
        <w:rPr>
          <w:rFonts w:eastAsiaTheme="minorEastAsia"/>
          <w:color w:val="000000" w:themeColor="text1"/>
          <w:szCs w:val="21"/>
        </w:rPr>
        <w:t>，同期业绩比较基准收益率为</w:t>
      </w:r>
      <w:r>
        <w:rPr>
          <w:rFonts w:eastAsiaTheme="minorEastAsia"/>
          <w:color w:val="000000" w:themeColor="text1"/>
          <w:szCs w:val="21"/>
        </w:rPr>
        <w:t>:-0.92%</w:t>
      </w:r>
    </w:p>
    <w:p w14:paraId="5A720C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摩根慧享成长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14:paraId="644F5F08" w14:textId="77777777" w:rsidR="005E6DF3" w:rsidRPr="00B27A29" w:rsidRDefault="005E6DF3">
      <w:pPr>
        <w:spacing w:line="360" w:lineRule="auto"/>
        <w:ind w:firstLineChars="200" w:firstLine="420"/>
        <w:rPr>
          <w:rFonts w:eastAsiaTheme="minorEastAsia"/>
          <w:color w:val="000000" w:themeColor="text1"/>
          <w:szCs w:val="21"/>
        </w:rPr>
      </w:pPr>
    </w:p>
    <w:p w14:paraId="53FDAD6A"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5F2B0D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A77398B" w14:textId="77777777" w:rsidR="005E6DF3" w:rsidRPr="00B27A29" w:rsidRDefault="005E6DF3">
      <w:pPr>
        <w:spacing w:line="360" w:lineRule="auto"/>
        <w:ind w:firstLineChars="200" w:firstLine="420"/>
        <w:rPr>
          <w:rFonts w:eastAsiaTheme="minorEastAsia"/>
          <w:color w:val="000000" w:themeColor="text1"/>
          <w:szCs w:val="21"/>
        </w:rPr>
      </w:pPr>
    </w:p>
    <w:p w14:paraId="1AE752A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759A8C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9BC3933" w14:textId="77777777">
        <w:tc>
          <w:tcPr>
            <w:tcW w:w="720" w:type="dxa"/>
            <w:vAlign w:val="center"/>
          </w:tcPr>
          <w:p w14:paraId="05ABCB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2AB57F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FD866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BE5CB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72249C5" w14:textId="77777777">
        <w:tc>
          <w:tcPr>
            <w:tcW w:w="720" w:type="dxa"/>
            <w:vAlign w:val="center"/>
          </w:tcPr>
          <w:p w14:paraId="04EB3B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F60605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F5C9B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296,775,294.91</w:t>
            </w:r>
          </w:p>
        </w:tc>
        <w:tc>
          <w:tcPr>
            <w:tcW w:w="1843" w:type="dxa"/>
            <w:vAlign w:val="center"/>
          </w:tcPr>
          <w:p w14:paraId="5EC3C3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90.31</w:t>
            </w:r>
          </w:p>
        </w:tc>
      </w:tr>
      <w:tr w:rsidR="005E6DF3" w:rsidRPr="00B27A29" w14:paraId="1529AED3" w14:textId="77777777">
        <w:tc>
          <w:tcPr>
            <w:tcW w:w="720" w:type="dxa"/>
            <w:vAlign w:val="center"/>
          </w:tcPr>
          <w:p w14:paraId="1974D08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1717D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9F10D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296,775,294.91</w:t>
            </w:r>
          </w:p>
        </w:tc>
        <w:tc>
          <w:tcPr>
            <w:tcW w:w="1843" w:type="dxa"/>
            <w:vAlign w:val="center"/>
          </w:tcPr>
          <w:p w14:paraId="5F9FEB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90.31</w:t>
            </w:r>
          </w:p>
        </w:tc>
      </w:tr>
      <w:tr w:rsidR="005E6DF3" w:rsidRPr="00B27A29" w14:paraId="2BC0F17A" w14:textId="77777777">
        <w:tc>
          <w:tcPr>
            <w:tcW w:w="720" w:type="dxa"/>
            <w:vAlign w:val="center"/>
          </w:tcPr>
          <w:p w14:paraId="7B2487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35EED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BC901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94449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EE3635" w14:textId="77777777">
        <w:tc>
          <w:tcPr>
            <w:tcW w:w="720" w:type="dxa"/>
            <w:vAlign w:val="center"/>
          </w:tcPr>
          <w:p w14:paraId="23FC8ED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B01A1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89612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044A80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5C35B3" w14:textId="77777777">
        <w:tc>
          <w:tcPr>
            <w:tcW w:w="720" w:type="dxa"/>
            <w:vAlign w:val="center"/>
          </w:tcPr>
          <w:p w14:paraId="51A2752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0755A91"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12061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23A79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157DF0" w14:textId="77777777">
        <w:tc>
          <w:tcPr>
            <w:tcW w:w="720" w:type="dxa"/>
          </w:tcPr>
          <w:p w14:paraId="4484F4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B97A475"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38CF4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19FA1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16B6202" w14:textId="77777777">
        <w:tc>
          <w:tcPr>
            <w:tcW w:w="720" w:type="dxa"/>
            <w:vAlign w:val="center"/>
          </w:tcPr>
          <w:p w14:paraId="378D27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3D37AF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1C63F0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0114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BA219E" w14:textId="77777777">
        <w:tc>
          <w:tcPr>
            <w:tcW w:w="720" w:type="dxa"/>
            <w:vAlign w:val="center"/>
          </w:tcPr>
          <w:p w14:paraId="6F9BC9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68A7D1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9ED9A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593E5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D27351" w14:textId="77777777">
        <w:tc>
          <w:tcPr>
            <w:tcW w:w="720" w:type="dxa"/>
            <w:vAlign w:val="center"/>
          </w:tcPr>
          <w:p w14:paraId="24A88E3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16438A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CDD6D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B423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A7B9DF" w14:textId="77777777">
        <w:tc>
          <w:tcPr>
            <w:tcW w:w="720" w:type="dxa"/>
            <w:vAlign w:val="center"/>
          </w:tcPr>
          <w:p w14:paraId="669EC3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3CAF72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C785E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31,744,533.71</w:t>
            </w:r>
          </w:p>
        </w:tc>
        <w:tc>
          <w:tcPr>
            <w:tcW w:w="1843" w:type="dxa"/>
            <w:vAlign w:val="center"/>
          </w:tcPr>
          <w:p w14:paraId="40DE4FC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w:t>
            </w:r>
          </w:p>
        </w:tc>
      </w:tr>
      <w:tr w:rsidR="005E6DF3" w:rsidRPr="00B27A29" w14:paraId="78095F0C" w14:textId="77777777">
        <w:tc>
          <w:tcPr>
            <w:tcW w:w="720" w:type="dxa"/>
            <w:vAlign w:val="center"/>
          </w:tcPr>
          <w:p w14:paraId="5C9270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8EF422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DCA0C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99,195.20</w:t>
            </w:r>
          </w:p>
        </w:tc>
        <w:tc>
          <w:tcPr>
            <w:tcW w:w="1843" w:type="dxa"/>
            <w:vAlign w:val="center"/>
          </w:tcPr>
          <w:p w14:paraId="1B5A73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5C0DB093" w14:textId="77777777">
        <w:tc>
          <w:tcPr>
            <w:tcW w:w="720" w:type="dxa"/>
            <w:vAlign w:val="center"/>
          </w:tcPr>
          <w:p w14:paraId="1A90578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E79CB5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17B0D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328,619,023.82</w:t>
            </w:r>
          </w:p>
        </w:tc>
        <w:tc>
          <w:tcPr>
            <w:tcW w:w="1843" w:type="dxa"/>
            <w:vAlign w:val="center"/>
          </w:tcPr>
          <w:p w14:paraId="38B6E8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43BE8C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75,142,541.0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23.56%</w:t>
      </w:r>
      <w:r w:rsidRPr="00B27A29">
        <w:rPr>
          <w:rFonts w:eastAsiaTheme="minorEastAsia"/>
          <w:color w:val="000000" w:themeColor="text1"/>
          <w:szCs w:val="21"/>
        </w:rPr>
        <w:t>。</w:t>
      </w:r>
    </w:p>
    <w:p w14:paraId="595DA0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7E67E3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D42F37F"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08521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623E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9FE03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E35BB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D6AE1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840B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B843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0052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5FE89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8066A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56835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F86BC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4C8C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9,163,333.20</w:t>
            </w:r>
          </w:p>
          <w:p w14:paraId="75ABCD7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F5D3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w:t>
            </w:r>
          </w:p>
          <w:p w14:paraId="23B33EE4" w14:textId="77777777" w:rsidR="005E6DF3" w:rsidRPr="00B27A29" w:rsidRDefault="005E6DF3">
            <w:pPr>
              <w:jc w:val="right"/>
              <w:rPr>
                <w:rFonts w:eastAsiaTheme="minorEastAsia"/>
                <w:color w:val="000000" w:themeColor="text1"/>
                <w:szCs w:val="21"/>
              </w:rPr>
            </w:pPr>
          </w:p>
        </w:tc>
      </w:tr>
      <w:tr w:rsidR="005E6DF3" w:rsidRPr="00B27A29" w14:paraId="734833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EDF2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69B6B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93D7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194,519,009.75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BA8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61.00</w:t>
            </w:r>
          </w:p>
        </w:tc>
      </w:tr>
      <w:tr w:rsidR="005E6DF3" w:rsidRPr="00B27A29" w14:paraId="5E0A400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578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526A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C97D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13,548,675.00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D561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4.25</w:t>
            </w:r>
          </w:p>
        </w:tc>
      </w:tr>
      <w:tr w:rsidR="005E6DF3" w:rsidRPr="00B27A29" w14:paraId="1B8F7C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46D5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77DAF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174F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130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F7E7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9C49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C7394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EE08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D950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2532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73CC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7FE6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B245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1D53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DC19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1992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06B47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45AB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C37E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F0B7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D121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0741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6F35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3,717,744.96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5CD8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14:paraId="0355CE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C8A06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BE29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5908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96FC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F380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DCF14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212E2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F43D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DD90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1EA0A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A3EF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35A6A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467B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F438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A38D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050E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1AED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235D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CA80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8AF0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9AB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D745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91BC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683,991.00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F0D0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14:paraId="333128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4B96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D81F7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3AB4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34F1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3FCD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DA3B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1F55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72772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6F7D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D44F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B811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96A6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76FC8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438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68F3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F280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2D3F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E07D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7DF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B6CC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4059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A88E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C7919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C564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BB3D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DD9C64"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C56FF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F64FC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221,632,753.91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3FFC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69.50</w:t>
            </w:r>
          </w:p>
        </w:tc>
      </w:tr>
    </w:tbl>
    <w:p w14:paraId="17267224"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0BDAC899" w14:textId="77777777">
        <w:trPr>
          <w:jc w:val="center"/>
        </w:trPr>
        <w:tc>
          <w:tcPr>
            <w:tcW w:w="2397" w:type="dxa"/>
            <w:vAlign w:val="center"/>
          </w:tcPr>
          <w:p w14:paraId="38F588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3E8448E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73EDFB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55C47" w14:paraId="4343BEE7" w14:textId="77777777">
        <w:trPr>
          <w:jc w:val="center"/>
        </w:trPr>
        <w:tc>
          <w:tcPr>
            <w:tcW w:w="2397" w:type="dxa"/>
            <w:vAlign w:val="center"/>
          </w:tcPr>
          <w:p w14:paraId="634E5425" w14:textId="77777777" w:rsidR="00455C47" w:rsidRDefault="00D1673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EFF02FB" w14:textId="77777777" w:rsidR="00455C47" w:rsidRDefault="00D16739">
            <w:pPr>
              <w:jc w:val="center"/>
            </w:pPr>
            <w:r>
              <w:rPr>
                <w:rFonts w:eastAsiaTheme="minorEastAsia"/>
                <w:color w:val="000000" w:themeColor="text1"/>
                <w:szCs w:val="21"/>
              </w:rPr>
              <w:t>-</w:t>
            </w:r>
          </w:p>
        </w:tc>
        <w:tc>
          <w:tcPr>
            <w:tcW w:w="3118" w:type="dxa"/>
            <w:vAlign w:val="center"/>
          </w:tcPr>
          <w:p w14:paraId="28223479" w14:textId="77777777" w:rsidR="00455C47" w:rsidRDefault="00D16739">
            <w:pPr>
              <w:jc w:val="center"/>
            </w:pPr>
            <w:r>
              <w:rPr>
                <w:rFonts w:eastAsiaTheme="minorEastAsia"/>
                <w:color w:val="000000" w:themeColor="text1"/>
                <w:szCs w:val="21"/>
              </w:rPr>
              <w:t>-</w:t>
            </w:r>
          </w:p>
        </w:tc>
      </w:tr>
      <w:tr w:rsidR="00455C47" w14:paraId="7B77C541" w14:textId="77777777">
        <w:trPr>
          <w:jc w:val="center"/>
        </w:trPr>
        <w:tc>
          <w:tcPr>
            <w:tcW w:w="2397" w:type="dxa"/>
            <w:vAlign w:val="center"/>
          </w:tcPr>
          <w:p w14:paraId="18FF7F8F" w14:textId="77777777" w:rsidR="00455C47" w:rsidRDefault="00D1673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CCD4A0C" w14:textId="77777777" w:rsidR="00455C47" w:rsidRDefault="00D16739">
            <w:pPr>
              <w:jc w:val="center"/>
            </w:pPr>
            <w:r>
              <w:rPr>
                <w:rFonts w:eastAsiaTheme="minorEastAsia"/>
                <w:color w:val="000000" w:themeColor="text1"/>
                <w:szCs w:val="21"/>
              </w:rPr>
              <w:t>4,987,040.00</w:t>
            </w:r>
          </w:p>
        </w:tc>
        <w:tc>
          <w:tcPr>
            <w:tcW w:w="3118" w:type="dxa"/>
            <w:vAlign w:val="center"/>
          </w:tcPr>
          <w:p w14:paraId="0A9E7193" w14:textId="77777777" w:rsidR="00455C47" w:rsidRDefault="00D16739">
            <w:pPr>
              <w:jc w:val="center"/>
            </w:pPr>
            <w:r>
              <w:rPr>
                <w:rFonts w:eastAsiaTheme="minorEastAsia"/>
                <w:color w:val="000000" w:themeColor="text1"/>
                <w:szCs w:val="21"/>
              </w:rPr>
              <w:t>1.56</w:t>
            </w:r>
          </w:p>
        </w:tc>
      </w:tr>
      <w:tr w:rsidR="00455C47" w14:paraId="2972FC5E" w14:textId="77777777">
        <w:trPr>
          <w:jc w:val="center"/>
        </w:trPr>
        <w:tc>
          <w:tcPr>
            <w:tcW w:w="2397" w:type="dxa"/>
            <w:vAlign w:val="center"/>
          </w:tcPr>
          <w:p w14:paraId="3CD738F0" w14:textId="77777777" w:rsidR="00455C47" w:rsidRDefault="00D1673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7B01F70" w14:textId="77777777" w:rsidR="00455C47" w:rsidRDefault="00D16739">
            <w:pPr>
              <w:jc w:val="center"/>
            </w:pPr>
            <w:r>
              <w:rPr>
                <w:rFonts w:eastAsiaTheme="minorEastAsia"/>
                <w:color w:val="000000" w:themeColor="text1"/>
                <w:szCs w:val="21"/>
              </w:rPr>
              <w:t>-</w:t>
            </w:r>
          </w:p>
        </w:tc>
        <w:tc>
          <w:tcPr>
            <w:tcW w:w="3118" w:type="dxa"/>
            <w:vAlign w:val="center"/>
          </w:tcPr>
          <w:p w14:paraId="2AB2D3C5" w14:textId="77777777" w:rsidR="00455C47" w:rsidRDefault="00D16739">
            <w:pPr>
              <w:jc w:val="center"/>
            </w:pPr>
            <w:r>
              <w:rPr>
                <w:rFonts w:eastAsiaTheme="minorEastAsia"/>
                <w:color w:val="000000" w:themeColor="text1"/>
                <w:szCs w:val="21"/>
              </w:rPr>
              <w:t>-</w:t>
            </w:r>
          </w:p>
        </w:tc>
      </w:tr>
      <w:tr w:rsidR="00455C47" w14:paraId="079FA62A" w14:textId="77777777">
        <w:trPr>
          <w:jc w:val="center"/>
        </w:trPr>
        <w:tc>
          <w:tcPr>
            <w:tcW w:w="2397" w:type="dxa"/>
            <w:vAlign w:val="center"/>
          </w:tcPr>
          <w:p w14:paraId="3B4866C9" w14:textId="77777777" w:rsidR="00455C47" w:rsidRDefault="00D1673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39BEF2E" w14:textId="77777777" w:rsidR="00455C47" w:rsidRDefault="00D16739">
            <w:pPr>
              <w:jc w:val="center"/>
            </w:pPr>
            <w:r>
              <w:rPr>
                <w:rFonts w:eastAsiaTheme="minorEastAsia"/>
                <w:color w:val="000000" w:themeColor="text1"/>
                <w:szCs w:val="21"/>
              </w:rPr>
              <w:t>-</w:t>
            </w:r>
          </w:p>
        </w:tc>
        <w:tc>
          <w:tcPr>
            <w:tcW w:w="3118" w:type="dxa"/>
            <w:vAlign w:val="center"/>
          </w:tcPr>
          <w:p w14:paraId="7033A075" w14:textId="77777777" w:rsidR="00455C47" w:rsidRDefault="00D16739">
            <w:pPr>
              <w:jc w:val="center"/>
            </w:pPr>
            <w:r>
              <w:rPr>
                <w:rFonts w:eastAsiaTheme="minorEastAsia"/>
                <w:color w:val="000000" w:themeColor="text1"/>
                <w:szCs w:val="21"/>
              </w:rPr>
              <w:t>-</w:t>
            </w:r>
          </w:p>
        </w:tc>
      </w:tr>
      <w:tr w:rsidR="00455C47" w14:paraId="219D9334" w14:textId="77777777">
        <w:trPr>
          <w:jc w:val="center"/>
        </w:trPr>
        <w:tc>
          <w:tcPr>
            <w:tcW w:w="2397" w:type="dxa"/>
            <w:vAlign w:val="center"/>
          </w:tcPr>
          <w:p w14:paraId="12B63DE7" w14:textId="77777777" w:rsidR="00455C47" w:rsidRDefault="00D1673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4717393" w14:textId="77777777" w:rsidR="00455C47" w:rsidRDefault="00D16739">
            <w:pPr>
              <w:jc w:val="center"/>
            </w:pPr>
            <w:r>
              <w:rPr>
                <w:rFonts w:eastAsiaTheme="minorEastAsia"/>
                <w:color w:val="000000" w:themeColor="text1"/>
                <w:szCs w:val="21"/>
              </w:rPr>
              <w:t>-</w:t>
            </w:r>
          </w:p>
        </w:tc>
        <w:tc>
          <w:tcPr>
            <w:tcW w:w="3118" w:type="dxa"/>
            <w:vAlign w:val="center"/>
          </w:tcPr>
          <w:p w14:paraId="3F6BB222" w14:textId="77777777" w:rsidR="00455C47" w:rsidRDefault="00D16739">
            <w:pPr>
              <w:jc w:val="center"/>
            </w:pPr>
            <w:r>
              <w:rPr>
                <w:rFonts w:eastAsiaTheme="minorEastAsia"/>
                <w:color w:val="000000" w:themeColor="text1"/>
                <w:szCs w:val="21"/>
              </w:rPr>
              <w:t>-</w:t>
            </w:r>
          </w:p>
        </w:tc>
      </w:tr>
      <w:tr w:rsidR="00455C47" w14:paraId="1713956D" w14:textId="77777777">
        <w:trPr>
          <w:jc w:val="center"/>
        </w:trPr>
        <w:tc>
          <w:tcPr>
            <w:tcW w:w="2397" w:type="dxa"/>
            <w:vAlign w:val="center"/>
          </w:tcPr>
          <w:p w14:paraId="3524E4FE" w14:textId="77777777" w:rsidR="00455C47" w:rsidRDefault="00D1673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371B977" w14:textId="77777777" w:rsidR="00455C47" w:rsidRDefault="00D16739">
            <w:pPr>
              <w:jc w:val="center"/>
            </w:pPr>
            <w:r>
              <w:rPr>
                <w:rFonts w:eastAsiaTheme="minorEastAsia"/>
                <w:color w:val="000000" w:themeColor="text1"/>
                <w:szCs w:val="21"/>
              </w:rPr>
              <w:t>-</w:t>
            </w:r>
          </w:p>
        </w:tc>
        <w:tc>
          <w:tcPr>
            <w:tcW w:w="3118" w:type="dxa"/>
            <w:vAlign w:val="center"/>
          </w:tcPr>
          <w:p w14:paraId="1CE4F83A" w14:textId="77777777" w:rsidR="00455C47" w:rsidRDefault="00D16739">
            <w:pPr>
              <w:jc w:val="center"/>
            </w:pPr>
            <w:r>
              <w:rPr>
                <w:rFonts w:eastAsiaTheme="minorEastAsia"/>
                <w:color w:val="000000" w:themeColor="text1"/>
                <w:szCs w:val="21"/>
              </w:rPr>
              <w:t>-</w:t>
            </w:r>
          </w:p>
        </w:tc>
      </w:tr>
      <w:tr w:rsidR="00455C47" w14:paraId="5E709F81" w14:textId="77777777">
        <w:trPr>
          <w:jc w:val="center"/>
        </w:trPr>
        <w:tc>
          <w:tcPr>
            <w:tcW w:w="2397" w:type="dxa"/>
            <w:vAlign w:val="center"/>
          </w:tcPr>
          <w:p w14:paraId="65582D98" w14:textId="77777777" w:rsidR="00455C47" w:rsidRDefault="00D1673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02DA0680" w14:textId="77777777" w:rsidR="00455C47" w:rsidRDefault="00D16739">
            <w:pPr>
              <w:jc w:val="center"/>
            </w:pPr>
            <w:r>
              <w:rPr>
                <w:rFonts w:eastAsiaTheme="minorEastAsia"/>
                <w:color w:val="000000" w:themeColor="text1"/>
                <w:szCs w:val="21"/>
              </w:rPr>
              <w:t>116,105.00</w:t>
            </w:r>
          </w:p>
        </w:tc>
        <w:tc>
          <w:tcPr>
            <w:tcW w:w="3118" w:type="dxa"/>
            <w:vAlign w:val="center"/>
          </w:tcPr>
          <w:p w14:paraId="01380DA8" w14:textId="77777777" w:rsidR="00455C47" w:rsidRDefault="00D16739">
            <w:pPr>
              <w:jc w:val="center"/>
            </w:pPr>
            <w:r>
              <w:rPr>
                <w:rFonts w:eastAsiaTheme="minorEastAsia"/>
                <w:color w:val="000000" w:themeColor="text1"/>
                <w:szCs w:val="21"/>
              </w:rPr>
              <w:t>0.04</w:t>
            </w:r>
          </w:p>
        </w:tc>
      </w:tr>
      <w:tr w:rsidR="00455C47" w14:paraId="4B152976" w14:textId="77777777">
        <w:trPr>
          <w:jc w:val="center"/>
        </w:trPr>
        <w:tc>
          <w:tcPr>
            <w:tcW w:w="2397" w:type="dxa"/>
            <w:vAlign w:val="center"/>
          </w:tcPr>
          <w:p w14:paraId="21A3EE8D" w14:textId="77777777" w:rsidR="00455C47" w:rsidRDefault="00D1673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9036407" w14:textId="77777777" w:rsidR="00455C47" w:rsidRDefault="00D16739">
            <w:pPr>
              <w:jc w:val="center"/>
            </w:pPr>
            <w:r>
              <w:rPr>
                <w:rFonts w:eastAsiaTheme="minorEastAsia"/>
                <w:color w:val="000000" w:themeColor="text1"/>
                <w:szCs w:val="21"/>
              </w:rPr>
              <w:t>48,375,820.00</w:t>
            </w:r>
          </w:p>
        </w:tc>
        <w:tc>
          <w:tcPr>
            <w:tcW w:w="3118" w:type="dxa"/>
            <w:vAlign w:val="center"/>
          </w:tcPr>
          <w:p w14:paraId="02211AFE" w14:textId="77777777" w:rsidR="00455C47" w:rsidRDefault="00D16739">
            <w:pPr>
              <w:jc w:val="center"/>
            </w:pPr>
            <w:r>
              <w:rPr>
                <w:rFonts w:eastAsiaTheme="minorEastAsia"/>
                <w:color w:val="000000" w:themeColor="text1"/>
                <w:szCs w:val="21"/>
              </w:rPr>
              <w:t>15.17</w:t>
            </w:r>
          </w:p>
        </w:tc>
      </w:tr>
      <w:tr w:rsidR="00455C47" w14:paraId="0CAC745F" w14:textId="77777777">
        <w:trPr>
          <w:jc w:val="center"/>
        </w:trPr>
        <w:tc>
          <w:tcPr>
            <w:tcW w:w="2397" w:type="dxa"/>
            <w:vAlign w:val="center"/>
          </w:tcPr>
          <w:p w14:paraId="05E46DA3" w14:textId="77777777" w:rsidR="00455C47" w:rsidRDefault="00D1673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74EC18F" w14:textId="77777777" w:rsidR="00455C47" w:rsidRDefault="00D16739">
            <w:pPr>
              <w:jc w:val="center"/>
            </w:pPr>
            <w:r>
              <w:rPr>
                <w:rFonts w:eastAsiaTheme="minorEastAsia"/>
                <w:color w:val="000000" w:themeColor="text1"/>
                <w:szCs w:val="21"/>
              </w:rPr>
              <w:t>21,663,576.00</w:t>
            </w:r>
          </w:p>
        </w:tc>
        <w:tc>
          <w:tcPr>
            <w:tcW w:w="3118" w:type="dxa"/>
            <w:vAlign w:val="center"/>
          </w:tcPr>
          <w:p w14:paraId="13645F65" w14:textId="77777777" w:rsidR="00455C47" w:rsidRDefault="00D16739">
            <w:pPr>
              <w:jc w:val="center"/>
            </w:pPr>
            <w:r>
              <w:rPr>
                <w:rFonts w:eastAsiaTheme="minorEastAsia"/>
                <w:color w:val="000000" w:themeColor="text1"/>
                <w:szCs w:val="21"/>
              </w:rPr>
              <w:t>6.79</w:t>
            </w:r>
          </w:p>
        </w:tc>
      </w:tr>
      <w:tr w:rsidR="00455C47" w14:paraId="79DACABF" w14:textId="77777777">
        <w:trPr>
          <w:jc w:val="center"/>
        </w:trPr>
        <w:tc>
          <w:tcPr>
            <w:tcW w:w="2397" w:type="dxa"/>
            <w:vAlign w:val="center"/>
          </w:tcPr>
          <w:p w14:paraId="4EF90959" w14:textId="77777777" w:rsidR="00455C47" w:rsidRDefault="00D1673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2E874F2" w14:textId="77777777" w:rsidR="00455C47" w:rsidRDefault="00D16739">
            <w:pPr>
              <w:jc w:val="center"/>
            </w:pPr>
            <w:r>
              <w:rPr>
                <w:rFonts w:eastAsiaTheme="minorEastAsia"/>
                <w:color w:val="000000" w:themeColor="text1"/>
                <w:szCs w:val="21"/>
              </w:rPr>
              <w:t>-</w:t>
            </w:r>
          </w:p>
        </w:tc>
        <w:tc>
          <w:tcPr>
            <w:tcW w:w="3118" w:type="dxa"/>
            <w:vAlign w:val="center"/>
          </w:tcPr>
          <w:p w14:paraId="6ADB4B0B" w14:textId="77777777" w:rsidR="00455C47" w:rsidRDefault="00D16739">
            <w:pPr>
              <w:jc w:val="center"/>
            </w:pPr>
            <w:r>
              <w:rPr>
                <w:rFonts w:eastAsiaTheme="minorEastAsia"/>
                <w:color w:val="000000" w:themeColor="text1"/>
                <w:szCs w:val="21"/>
              </w:rPr>
              <w:t>-</w:t>
            </w:r>
          </w:p>
        </w:tc>
      </w:tr>
      <w:tr w:rsidR="00455C47" w14:paraId="07370361" w14:textId="77777777">
        <w:trPr>
          <w:jc w:val="center"/>
        </w:trPr>
        <w:tc>
          <w:tcPr>
            <w:tcW w:w="2397" w:type="dxa"/>
            <w:vAlign w:val="center"/>
          </w:tcPr>
          <w:p w14:paraId="59A0F500" w14:textId="77777777" w:rsidR="00455C47" w:rsidRDefault="00D1673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0EE3E555" w14:textId="77777777" w:rsidR="00455C47" w:rsidRDefault="00D16739">
            <w:pPr>
              <w:jc w:val="center"/>
            </w:pPr>
            <w:r>
              <w:rPr>
                <w:rFonts w:eastAsiaTheme="minorEastAsia"/>
                <w:color w:val="000000" w:themeColor="text1"/>
                <w:szCs w:val="21"/>
              </w:rPr>
              <w:t>-</w:t>
            </w:r>
          </w:p>
        </w:tc>
        <w:tc>
          <w:tcPr>
            <w:tcW w:w="3118" w:type="dxa"/>
            <w:vAlign w:val="center"/>
          </w:tcPr>
          <w:p w14:paraId="57E1A9AC" w14:textId="77777777" w:rsidR="00455C47" w:rsidRDefault="00D16739">
            <w:pPr>
              <w:jc w:val="center"/>
            </w:pPr>
            <w:r>
              <w:rPr>
                <w:rFonts w:eastAsiaTheme="minorEastAsia"/>
                <w:color w:val="000000" w:themeColor="text1"/>
                <w:szCs w:val="21"/>
              </w:rPr>
              <w:t>-</w:t>
            </w:r>
          </w:p>
        </w:tc>
      </w:tr>
      <w:tr w:rsidR="005E6DF3" w:rsidRPr="00B27A29" w14:paraId="16EE2CDE" w14:textId="77777777">
        <w:trPr>
          <w:jc w:val="center"/>
        </w:trPr>
        <w:tc>
          <w:tcPr>
            <w:tcW w:w="2397" w:type="dxa"/>
            <w:vAlign w:val="center"/>
          </w:tcPr>
          <w:p w14:paraId="648956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03BC40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75,142,541.00</w:t>
            </w:r>
          </w:p>
        </w:tc>
        <w:tc>
          <w:tcPr>
            <w:tcW w:w="3118" w:type="dxa"/>
            <w:vAlign w:val="center"/>
          </w:tcPr>
          <w:p w14:paraId="681208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23.56</w:t>
            </w:r>
          </w:p>
        </w:tc>
      </w:tr>
    </w:tbl>
    <w:p w14:paraId="4A3C0B47"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8615BF4" w14:textId="77777777" w:rsidTr="00D913A1">
        <w:tc>
          <w:tcPr>
            <w:tcW w:w="817" w:type="dxa"/>
            <w:vAlign w:val="center"/>
          </w:tcPr>
          <w:p w14:paraId="7C89795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100AA3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18ECF0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EA9319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BE00C80"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D4C6F9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55C47" w14:paraId="315BA409" w14:textId="77777777">
        <w:tc>
          <w:tcPr>
            <w:tcW w:w="817" w:type="dxa"/>
            <w:vAlign w:val="center"/>
          </w:tcPr>
          <w:p w14:paraId="5A117BA7" w14:textId="77777777" w:rsidR="00455C47" w:rsidRDefault="00D16739">
            <w:pPr>
              <w:jc w:val="center"/>
            </w:pPr>
            <w:r>
              <w:rPr>
                <w:rFonts w:eastAsiaTheme="minorEastAsia"/>
                <w:kern w:val="0"/>
                <w:szCs w:val="21"/>
              </w:rPr>
              <w:t>1</w:t>
            </w:r>
          </w:p>
        </w:tc>
        <w:tc>
          <w:tcPr>
            <w:tcW w:w="1276" w:type="dxa"/>
            <w:vAlign w:val="center"/>
          </w:tcPr>
          <w:p w14:paraId="6BC1919A" w14:textId="77777777" w:rsidR="00455C47" w:rsidRDefault="00D16739">
            <w:pPr>
              <w:jc w:val="center"/>
            </w:pPr>
            <w:r>
              <w:rPr>
                <w:rFonts w:eastAsiaTheme="minorEastAsia"/>
                <w:kern w:val="0"/>
                <w:szCs w:val="21"/>
              </w:rPr>
              <w:t>300750</w:t>
            </w:r>
          </w:p>
        </w:tc>
        <w:tc>
          <w:tcPr>
            <w:tcW w:w="1701" w:type="dxa"/>
            <w:vAlign w:val="center"/>
          </w:tcPr>
          <w:p w14:paraId="7BFBBC46" w14:textId="77777777" w:rsidR="00455C47" w:rsidRDefault="00D16739">
            <w:pPr>
              <w:jc w:val="center"/>
            </w:pPr>
            <w:r>
              <w:rPr>
                <w:rFonts w:eastAsiaTheme="minorEastAsia"/>
                <w:kern w:val="0"/>
                <w:szCs w:val="21"/>
              </w:rPr>
              <w:t>宁德时代</w:t>
            </w:r>
          </w:p>
        </w:tc>
        <w:tc>
          <w:tcPr>
            <w:tcW w:w="1276" w:type="dxa"/>
            <w:vAlign w:val="center"/>
          </w:tcPr>
          <w:p w14:paraId="0372C909" w14:textId="77777777" w:rsidR="00455C47" w:rsidRDefault="00D16739">
            <w:pPr>
              <w:jc w:val="right"/>
            </w:pPr>
            <w:r>
              <w:rPr>
                <w:rFonts w:eastAsiaTheme="minorEastAsia"/>
                <w:kern w:val="0"/>
                <w:szCs w:val="21"/>
              </w:rPr>
              <w:t>115,700.00</w:t>
            </w:r>
          </w:p>
        </w:tc>
        <w:tc>
          <w:tcPr>
            <w:tcW w:w="1842" w:type="dxa"/>
            <w:vAlign w:val="center"/>
          </w:tcPr>
          <w:p w14:paraId="65971EA2" w14:textId="77777777" w:rsidR="00455C47" w:rsidRDefault="00D16739">
            <w:pPr>
              <w:jc w:val="right"/>
            </w:pPr>
            <w:r>
              <w:rPr>
                <w:rFonts w:eastAsiaTheme="minorEastAsia"/>
                <w:kern w:val="0"/>
                <w:szCs w:val="21"/>
              </w:rPr>
              <w:t>30,776,200.00</w:t>
            </w:r>
          </w:p>
        </w:tc>
        <w:tc>
          <w:tcPr>
            <w:tcW w:w="1616" w:type="dxa"/>
            <w:vAlign w:val="center"/>
          </w:tcPr>
          <w:p w14:paraId="717F07D0" w14:textId="77777777" w:rsidR="00455C47" w:rsidRDefault="00D16739">
            <w:pPr>
              <w:jc w:val="right"/>
            </w:pPr>
            <w:r>
              <w:rPr>
                <w:rFonts w:eastAsiaTheme="minorEastAsia"/>
                <w:kern w:val="0"/>
                <w:szCs w:val="21"/>
              </w:rPr>
              <w:t>9.65</w:t>
            </w:r>
          </w:p>
        </w:tc>
      </w:tr>
      <w:tr w:rsidR="00455C47" w14:paraId="04323C85" w14:textId="77777777">
        <w:tc>
          <w:tcPr>
            <w:tcW w:w="817" w:type="dxa"/>
            <w:vAlign w:val="center"/>
          </w:tcPr>
          <w:p w14:paraId="23B0AF49" w14:textId="77777777" w:rsidR="00455C47" w:rsidRDefault="00D16739">
            <w:pPr>
              <w:jc w:val="center"/>
            </w:pPr>
            <w:r>
              <w:rPr>
                <w:rFonts w:eastAsiaTheme="minorEastAsia"/>
                <w:kern w:val="0"/>
                <w:szCs w:val="21"/>
              </w:rPr>
              <w:t>2</w:t>
            </w:r>
          </w:p>
        </w:tc>
        <w:tc>
          <w:tcPr>
            <w:tcW w:w="1276" w:type="dxa"/>
            <w:vAlign w:val="center"/>
          </w:tcPr>
          <w:p w14:paraId="4C4137F8" w14:textId="77777777" w:rsidR="00455C47" w:rsidRDefault="00D16739">
            <w:pPr>
              <w:jc w:val="center"/>
            </w:pPr>
            <w:r>
              <w:rPr>
                <w:rFonts w:eastAsiaTheme="minorEastAsia"/>
                <w:kern w:val="0"/>
                <w:szCs w:val="21"/>
              </w:rPr>
              <w:t>002475</w:t>
            </w:r>
          </w:p>
        </w:tc>
        <w:tc>
          <w:tcPr>
            <w:tcW w:w="1701" w:type="dxa"/>
            <w:vAlign w:val="center"/>
          </w:tcPr>
          <w:p w14:paraId="7D0D04A0" w14:textId="77777777" w:rsidR="00455C47" w:rsidRDefault="00D16739">
            <w:pPr>
              <w:jc w:val="center"/>
            </w:pPr>
            <w:r>
              <w:rPr>
                <w:rFonts w:eastAsiaTheme="minorEastAsia"/>
                <w:kern w:val="0"/>
                <w:szCs w:val="21"/>
              </w:rPr>
              <w:t>立讯精密</w:t>
            </w:r>
          </w:p>
        </w:tc>
        <w:tc>
          <w:tcPr>
            <w:tcW w:w="1276" w:type="dxa"/>
            <w:vAlign w:val="center"/>
          </w:tcPr>
          <w:p w14:paraId="77775EAA" w14:textId="77777777" w:rsidR="00455C47" w:rsidRDefault="00D16739">
            <w:pPr>
              <w:jc w:val="right"/>
            </w:pPr>
            <w:r>
              <w:rPr>
                <w:rFonts w:eastAsiaTheme="minorEastAsia"/>
                <w:kern w:val="0"/>
                <w:szCs w:val="21"/>
              </w:rPr>
              <w:t>536,000.00</w:t>
            </w:r>
          </w:p>
        </w:tc>
        <w:tc>
          <w:tcPr>
            <w:tcW w:w="1842" w:type="dxa"/>
            <w:vAlign w:val="center"/>
          </w:tcPr>
          <w:p w14:paraId="3977995E" w14:textId="77777777" w:rsidR="00455C47" w:rsidRDefault="00D16739">
            <w:pPr>
              <w:jc w:val="right"/>
            </w:pPr>
            <w:r>
              <w:rPr>
                <w:rFonts w:eastAsiaTheme="minorEastAsia"/>
                <w:kern w:val="0"/>
                <w:szCs w:val="21"/>
              </w:rPr>
              <w:t>21,847,360.00</w:t>
            </w:r>
          </w:p>
        </w:tc>
        <w:tc>
          <w:tcPr>
            <w:tcW w:w="1616" w:type="dxa"/>
            <w:vAlign w:val="center"/>
          </w:tcPr>
          <w:p w14:paraId="3C437D7F" w14:textId="77777777" w:rsidR="00455C47" w:rsidRDefault="00D16739">
            <w:pPr>
              <w:jc w:val="right"/>
            </w:pPr>
            <w:r>
              <w:rPr>
                <w:rFonts w:eastAsiaTheme="minorEastAsia"/>
                <w:kern w:val="0"/>
                <w:szCs w:val="21"/>
              </w:rPr>
              <w:t>6.85</w:t>
            </w:r>
          </w:p>
        </w:tc>
      </w:tr>
      <w:tr w:rsidR="00455C47" w14:paraId="2AAE6BF6" w14:textId="77777777">
        <w:tc>
          <w:tcPr>
            <w:tcW w:w="817" w:type="dxa"/>
            <w:vAlign w:val="center"/>
          </w:tcPr>
          <w:p w14:paraId="16486374" w14:textId="77777777" w:rsidR="00455C47" w:rsidRDefault="00D16739">
            <w:pPr>
              <w:jc w:val="center"/>
            </w:pPr>
            <w:r>
              <w:rPr>
                <w:rFonts w:eastAsiaTheme="minorEastAsia"/>
                <w:kern w:val="0"/>
                <w:szCs w:val="21"/>
              </w:rPr>
              <w:t>3</w:t>
            </w:r>
          </w:p>
        </w:tc>
        <w:tc>
          <w:tcPr>
            <w:tcW w:w="1276" w:type="dxa"/>
            <w:vAlign w:val="center"/>
          </w:tcPr>
          <w:p w14:paraId="721C2843" w14:textId="77777777" w:rsidR="00455C47" w:rsidRDefault="00D16739">
            <w:pPr>
              <w:jc w:val="center"/>
            </w:pPr>
            <w:r>
              <w:rPr>
                <w:rFonts w:eastAsiaTheme="minorEastAsia"/>
                <w:kern w:val="0"/>
                <w:szCs w:val="21"/>
              </w:rPr>
              <w:t>00700</w:t>
            </w:r>
          </w:p>
        </w:tc>
        <w:tc>
          <w:tcPr>
            <w:tcW w:w="1701" w:type="dxa"/>
            <w:vAlign w:val="center"/>
          </w:tcPr>
          <w:p w14:paraId="3D418B59" w14:textId="77777777" w:rsidR="00455C47" w:rsidRDefault="00D16739">
            <w:pPr>
              <w:jc w:val="center"/>
            </w:pPr>
            <w:r>
              <w:rPr>
                <w:rFonts w:eastAsiaTheme="minorEastAsia"/>
                <w:kern w:val="0"/>
                <w:szCs w:val="21"/>
              </w:rPr>
              <w:t>腾讯控股</w:t>
            </w:r>
          </w:p>
        </w:tc>
        <w:tc>
          <w:tcPr>
            <w:tcW w:w="1276" w:type="dxa"/>
            <w:vAlign w:val="center"/>
          </w:tcPr>
          <w:p w14:paraId="168BBCA9" w14:textId="77777777" w:rsidR="00455C47" w:rsidRDefault="00D16739">
            <w:pPr>
              <w:jc w:val="right"/>
            </w:pPr>
            <w:r>
              <w:rPr>
                <w:rFonts w:eastAsiaTheme="minorEastAsia"/>
                <w:kern w:val="0"/>
                <w:szCs w:val="21"/>
              </w:rPr>
              <w:t>56,100.00</w:t>
            </w:r>
          </w:p>
        </w:tc>
        <w:tc>
          <w:tcPr>
            <w:tcW w:w="1842" w:type="dxa"/>
            <w:vAlign w:val="center"/>
          </w:tcPr>
          <w:p w14:paraId="09D16562" w14:textId="77777777" w:rsidR="00455C47" w:rsidRDefault="00D16739">
            <w:pPr>
              <w:jc w:val="right"/>
            </w:pPr>
            <w:r>
              <w:rPr>
                <w:rFonts w:eastAsiaTheme="minorEastAsia"/>
                <w:kern w:val="0"/>
                <w:szCs w:val="21"/>
              </w:rPr>
              <w:t>21,663,576.00</w:t>
            </w:r>
          </w:p>
        </w:tc>
        <w:tc>
          <w:tcPr>
            <w:tcW w:w="1616" w:type="dxa"/>
            <w:vAlign w:val="center"/>
          </w:tcPr>
          <w:p w14:paraId="412B06BE" w14:textId="77777777" w:rsidR="00455C47" w:rsidRDefault="00D16739">
            <w:pPr>
              <w:jc w:val="right"/>
            </w:pPr>
            <w:r>
              <w:rPr>
                <w:rFonts w:eastAsiaTheme="minorEastAsia"/>
                <w:kern w:val="0"/>
                <w:szCs w:val="21"/>
              </w:rPr>
              <w:t>6.79</w:t>
            </w:r>
          </w:p>
        </w:tc>
      </w:tr>
      <w:tr w:rsidR="00455C47" w14:paraId="26EA764F" w14:textId="77777777">
        <w:tc>
          <w:tcPr>
            <w:tcW w:w="817" w:type="dxa"/>
            <w:vAlign w:val="center"/>
          </w:tcPr>
          <w:p w14:paraId="0070740B" w14:textId="77777777" w:rsidR="00455C47" w:rsidRDefault="00D16739">
            <w:pPr>
              <w:jc w:val="center"/>
            </w:pPr>
            <w:r>
              <w:rPr>
                <w:rFonts w:eastAsiaTheme="minorEastAsia"/>
                <w:kern w:val="0"/>
                <w:szCs w:val="21"/>
              </w:rPr>
              <w:t>4</w:t>
            </w:r>
          </w:p>
        </w:tc>
        <w:tc>
          <w:tcPr>
            <w:tcW w:w="1276" w:type="dxa"/>
            <w:vAlign w:val="center"/>
          </w:tcPr>
          <w:p w14:paraId="75207BE5" w14:textId="77777777" w:rsidR="00455C47" w:rsidRDefault="00D16739">
            <w:pPr>
              <w:jc w:val="center"/>
            </w:pPr>
            <w:r>
              <w:rPr>
                <w:rFonts w:eastAsiaTheme="minorEastAsia"/>
                <w:kern w:val="0"/>
                <w:szCs w:val="21"/>
              </w:rPr>
              <w:t>00981</w:t>
            </w:r>
          </w:p>
        </w:tc>
        <w:tc>
          <w:tcPr>
            <w:tcW w:w="1701" w:type="dxa"/>
            <w:vAlign w:val="center"/>
          </w:tcPr>
          <w:p w14:paraId="7A3DFF58" w14:textId="77777777" w:rsidR="00455C47" w:rsidRDefault="00D16739">
            <w:pPr>
              <w:jc w:val="center"/>
            </w:pPr>
            <w:r>
              <w:rPr>
                <w:rFonts w:eastAsiaTheme="minorEastAsia"/>
                <w:kern w:val="0"/>
                <w:szCs w:val="21"/>
              </w:rPr>
              <w:t>中芯国际</w:t>
            </w:r>
          </w:p>
        </w:tc>
        <w:tc>
          <w:tcPr>
            <w:tcW w:w="1276" w:type="dxa"/>
            <w:vAlign w:val="center"/>
          </w:tcPr>
          <w:p w14:paraId="3779C1CA" w14:textId="77777777" w:rsidR="00455C47" w:rsidRDefault="00D16739">
            <w:pPr>
              <w:jc w:val="right"/>
            </w:pPr>
            <w:r>
              <w:rPr>
                <w:rFonts w:eastAsiaTheme="minorEastAsia"/>
                <w:kern w:val="0"/>
                <w:szCs w:val="21"/>
              </w:rPr>
              <w:t>664,000.00</w:t>
            </w:r>
          </w:p>
        </w:tc>
        <w:tc>
          <w:tcPr>
            <w:tcW w:w="1842" w:type="dxa"/>
            <w:vAlign w:val="center"/>
          </w:tcPr>
          <w:p w14:paraId="550C2EBC" w14:textId="77777777" w:rsidR="00455C47" w:rsidRDefault="00D16739">
            <w:pPr>
              <w:jc w:val="right"/>
            </w:pPr>
            <w:r>
              <w:rPr>
                <w:rFonts w:eastAsiaTheme="minorEastAsia"/>
                <w:kern w:val="0"/>
                <w:szCs w:val="21"/>
              </w:rPr>
              <w:t>19,554,800.00</w:t>
            </w:r>
          </w:p>
        </w:tc>
        <w:tc>
          <w:tcPr>
            <w:tcW w:w="1616" w:type="dxa"/>
            <w:vAlign w:val="center"/>
          </w:tcPr>
          <w:p w14:paraId="4F69BFA8" w14:textId="77777777" w:rsidR="00455C47" w:rsidRDefault="00D16739">
            <w:pPr>
              <w:jc w:val="right"/>
            </w:pPr>
            <w:r>
              <w:rPr>
                <w:rFonts w:eastAsiaTheme="minorEastAsia"/>
                <w:kern w:val="0"/>
                <w:szCs w:val="21"/>
              </w:rPr>
              <w:t>6.13</w:t>
            </w:r>
          </w:p>
        </w:tc>
      </w:tr>
      <w:tr w:rsidR="00455C47" w14:paraId="3480CEEF" w14:textId="77777777">
        <w:tc>
          <w:tcPr>
            <w:tcW w:w="817" w:type="dxa"/>
            <w:vAlign w:val="center"/>
          </w:tcPr>
          <w:p w14:paraId="0BC98C38" w14:textId="77777777" w:rsidR="00455C47" w:rsidRDefault="00D16739">
            <w:pPr>
              <w:jc w:val="center"/>
            </w:pPr>
            <w:r>
              <w:rPr>
                <w:rFonts w:eastAsiaTheme="minorEastAsia"/>
                <w:kern w:val="0"/>
                <w:szCs w:val="21"/>
              </w:rPr>
              <w:t>5</w:t>
            </w:r>
          </w:p>
        </w:tc>
        <w:tc>
          <w:tcPr>
            <w:tcW w:w="1276" w:type="dxa"/>
            <w:vAlign w:val="center"/>
          </w:tcPr>
          <w:p w14:paraId="4E14F9D0" w14:textId="77777777" w:rsidR="00455C47" w:rsidRDefault="00D16739">
            <w:pPr>
              <w:jc w:val="center"/>
            </w:pPr>
            <w:r>
              <w:rPr>
                <w:rFonts w:eastAsiaTheme="minorEastAsia"/>
                <w:kern w:val="0"/>
                <w:szCs w:val="21"/>
              </w:rPr>
              <w:t>01810</w:t>
            </w:r>
          </w:p>
        </w:tc>
        <w:tc>
          <w:tcPr>
            <w:tcW w:w="1701" w:type="dxa"/>
            <w:vAlign w:val="center"/>
          </w:tcPr>
          <w:p w14:paraId="15C0869E" w14:textId="77777777" w:rsidR="00455C47" w:rsidRDefault="00D16739">
            <w:pPr>
              <w:jc w:val="center"/>
            </w:pPr>
            <w:r>
              <w:rPr>
                <w:rFonts w:eastAsiaTheme="minorEastAsia"/>
                <w:kern w:val="0"/>
                <w:szCs w:val="21"/>
              </w:rPr>
              <w:t>小米集团－Ｗ</w:t>
            </w:r>
          </w:p>
        </w:tc>
        <w:tc>
          <w:tcPr>
            <w:tcW w:w="1276" w:type="dxa"/>
            <w:vAlign w:val="center"/>
          </w:tcPr>
          <w:p w14:paraId="15F91E03" w14:textId="77777777" w:rsidR="00455C47" w:rsidRDefault="00D16739">
            <w:pPr>
              <w:jc w:val="right"/>
            </w:pPr>
            <w:r>
              <w:rPr>
                <w:rFonts w:eastAsiaTheme="minorEastAsia"/>
                <w:kern w:val="0"/>
                <w:szCs w:val="21"/>
              </w:rPr>
              <w:t>601,000.00</w:t>
            </w:r>
          </w:p>
        </w:tc>
        <w:tc>
          <w:tcPr>
            <w:tcW w:w="1842" w:type="dxa"/>
            <w:vAlign w:val="center"/>
          </w:tcPr>
          <w:p w14:paraId="11011EED" w14:textId="77777777" w:rsidR="00455C47" w:rsidRDefault="00D16739">
            <w:pPr>
              <w:jc w:val="right"/>
            </w:pPr>
            <w:r>
              <w:rPr>
                <w:rFonts w:eastAsiaTheme="minorEastAsia"/>
                <w:kern w:val="0"/>
                <w:szCs w:val="21"/>
              </w:rPr>
              <w:t>19,201,950.00</w:t>
            </w:r>
          </w:p>
        </w:tc>
        <w:tc>
          <w:tcPr>
            <w:tcW w:w="1616" w:type="dxa"/>
            <w:vAlign w:val="center"/>
          </w:tcPr>
          <w:p w14:paraId="730C28A9" w14:textId="77777777" w:rsidR="00455C47" w:rsidRDefault="00D16739">
            <w:pPr>
              <w:jc w:val="right"/>
            </w:pPr>
            <w:r>
              <w:rPr>
                <w:rFonts w:eastAsiaTheme="minorEastAsia"/>
                <w:kern w:val="0"/>
                <w:szCs w:val="21"/>
              </w:rPr>
              <w:t>6.02</w:t>
            </w:r>
          </w:p>
        </w:tc>
      </w:tr>
      <w:tr w:rsidR="00455C47" w14:paraId="2296C06A" w14:textId="77777777">
        <w:tc>
          <w:tcPr>
            <w:tcW w:w="817" w:type="dxa"/>
            <w:vAlign w:val="center"/>
          </w:tcPr>
          <w:p w14:paraId="4C8F8442" w14:textId="77777777" w:rsidR="00455C47" w:rsidRDefault="00D16739">
            <w:pPr>
              <w:jc w:val="center"/>
            </w:pPr>
            <w:r>
              <w:rPr>
                <w:rFonts w:eastAsiaTheme="minorEastAsia"/>
                <w:kern w:val="0"/>
                <w:szCs w:val="21"/>
              </w:rPr>
              <w:t>6</w:t>
            </w:r>
          </w:p>
        </w:tc>
        <w:tc>
          <w:tcPr>
            <w:tcW w:w="1276" w:type="dxa"/>
            <w:vAlign w:val="center"/>
          </w:tcPr>
          <w:p w14:paraId="38D1C539" w14:textId="77777777" w:rsidR="00455C47" w:rsidRDefault="00D16739">
            <w:pPr>
              <w:jc w:val="center"/>
            </w:pPr>
            <w:r>
              <w:rPr>
                <w:rFonts w:eastAsiaTheme="minorEastAsia"/>
                <w:kern w:val="0"/>
                <w:szCs w:val="21"/>
              </w:rPr>
              <w:t>600900</w:t>
            </w:r>
          </w:p>
        </w:tc>
        <w:tc>
          <w:tcPr>
            <w:tcW w:w="1701" w:type="dxa"/>
            <w:vAlign w:val="center"/>
          </w:tcPr>
          <w:p w14:paraId="6287EF1A" w14:textId="77777777" w:rsidR="00455C47" w:rsidRDefault="00D16739">
            <w:pPr>
              <w:jc w:val="center"/>
            </w:pPr>
            <w:r>
              <w:rPr>
                <w:rFonts w:eastAsiaTheme="minorEastAsia"/>
                <w:kern w:val="0"/>
                <w:szCs w:val="21"/>
              </w:rPr>
              <w:t>长江电力</w:t>
            </w:r>
          </w:p>
        </w:tc>
        <w:tc>
          <w:tcPr>
            <w:tcW w:w="1276" w:type="dxa"/>
            <w:vAlign w:val="center"/>
          </w:tcPr>
          <w:p w14:paraId="13EC98A8" w14:textId="77777777" w:rsidR="00455C47" w:rsidRDefault="00D16739">
            <w:pPr>
              <w:jc w:val="right"/>
            </w:pPr>
            <w:r>
              <w:rPr>
                <w:rFonts w:eastAsiaTheme="minorEastAsia"/>
                <w:kern w:val="0"/>
                <w:szCs w:val="21"/>
              </w:rPr>
              <w:t>458,500.00</w:t>
            </w:r>
          </w:p>
        </w:tc>
        <w:tc>
          <w:tcPr>
            <w:tcW w:w="1842" w:type="dxa"/>
            <w:vAlign w:val="center"/>
          </w:tcPr>
          <w:p w14:paraId="76A92132" w14:textId="77777777" w:rsidR="00455C47" w:rsidRDefault="00D16739">
            <w:pPr>
              <w:jc w:val="right"/>
            </w:pPr>
            <w:r>
              <w:rPr>
                <w:rFonts w:eastAsiaTheme="minorEastAsia"/>
                <w:kern w:val="0"/>
                <w:szCs w:val="21"/>
              </w:rPr>
              <w:t>13,548,675.00</w:t>
            </w:r>
          </w:p>
        </w:tc>
        <w:tc>
          <w:tcPr>
            <w:tcW w:w="1616" w:type="dxa"/>
            <w:vAlign w:val="center"/>
          </w:tcPr>
          <w:p w14:paraId="516B75E5" w14:textId="77777777" w:rsidR="00455C47" w:rsidRDefault="00D16739">
            <w:pPr>
              <w:jc w:val="right"/>
            </w:pPr>
            <w:r>
              <w:rPr>
                <w:rFonts w:eastAsiaTheme="minorEastAsia"/>
                <w:kern w:val="0"/>
                <w:szCs w:val="21"/>
              </w:rPr>
              <w:t>4.25</w:t>
            </w:r>
          </w:p>
        </w:tc>
      </w:tr>
      <w:tr w:rsidR="00455C47" w14:paraId="3C0A7D39" w14:textId="77777777">
        <w:tc>
          <w:tcPr>
            <w:tcW w:w="817" w:type="dxa"/>
            <w:vAlign w:val="center"/>
          </w:tcPr>
          <w:p w14:paraId="0C605D68" w14:textId="77777777" w:rsidR="00455C47" w:rsidRDefault="00D16739">
            <w:pPr>
              <w:jc w:val="center"/>
            </w:pPr>
            <w:r>
              <w:rPr>
                <w:rFonts w:eastAsiaTheme="minorEastAsia"/>
                <w:kern w:val="0"/>
                <w:szCs w:val="21"/>
              </w:rPr>
              <w:lastRenderedPageBreak/>
              <w:t>7</w:t>
            </w:r>
          </w:p>
        </w:tc>
        <w:tc>
          <w:tcPr>
            <w:tcW w:w="1276" w:type="dxa"/>
            <w:vAlign w:val="center"/>
          </w:tcPr>
          <w:p w14:paraId="67EC096A" w14:textId="77777777" w:rsidR="00455C47" w:rsidRDefault="00D16739">
            <w:pPr>
              <w:jc w:val="center"/>
            </w:pPr>
            <w:r>
              <w:rPr>
                <w:rFonts w:eastAsiaTheme="minorEastAsia"/>
                <w:kern w:val="0"/>
                <w:szCs w:val="21"/>
              </w:rPr>
              <w:t>000333</w:t>
            </w:r>
          </w:p>
        </w:tc>
        <w:tc>
          <w:tcPr>
            <w:tcW w:w="1701" w:type="dxa"/>
            <w:vAlign w:val="center"/>
          </w:tcPr>
          <w:p w14:paraId="65320EE8" w14:textId="77777777" w:rsidR="00455C47" w:rsidRDefault="00D16739">
            <w:pPr>
              <w:jc w:val="center"/>
            </w:pPr>
            <w:r>
              <w:rPr>
                <w:rFonts w:eastAsiaTheme="minorEastAsia"/>
                <w:kern w:val="0"/>
                <w:szCs w:val="21"/>
              </w:rPr>
              <w:t>美的集团</w:t>
            </w:r>
          </w:p>
        </w:tc>
        <w:tc>
          <w:tcPr>
            <w:tcW w:w="1276" w:type="dxa"/>
            <w:vAlign w:val="center"/>
          </w:tcPr>
          <w:p w14:paraId="4C72CD98" w14:textId="77777777" w:rsidR="00455C47" w:rsidRDefault="00D16739">
            <w:pPr>
              <w:jc w:val="right"/>
            </w:pPr>
            <w:r>
              <w:rPr>
                <w:rFonts w:eastAsiaTheme="minorEastAsia"/>
                <w:kern w:val="0"/>
                <w:szCs w:val="21"/>
              </w:rPr>
              <w:t>139,600.00</w:t>
            </w:r>
          </w:p>
        </w:tc>
        <w:tc>
          <w:tcPr>
            <w:tcW w:w="1842" w:type="dxa"/>
            <w:vAlign w:val="center"/>
          </w:tcPr>
          <w:p w14:paraId="6B462EF6" w14:textId="77777777" w:rsidR="00455C47" w:rsidRDefault="00D16739">
            <w:pPr>
              <w:jc w:val="right"/>
            </w:pPr>
            <w:r>
              <w:rPr>
                <w:rFonts w:eastAsiaTheme="minorEastAsia"/>
                <w:kern w:val="0"/>
                <w:szCs w:val="21"/>
              </w:rPr>
              <w:t>10,500,712.00</w:t>
            </w:r>
          </w:p>
        </w:tc>
        <w:tc>
          <w:tcPr>
            <w:tcW w:w="1616" w:type="dxa"/>
            <w:vAlign w:val="center"/>
          </w:tcPr>
          <w:p w14:paraId="7E847F09" w14:textId="77777777" w:rsidR="00455C47" w:rsidRDefault="00D16739">
            <w:pPr>
              <w:jc w:val="right"/>
            </w:pPr>
            <w:r>
              <w:rPr>
                <w:rFonts w:eastAsiaTheme="minorEastAsia"/>
                <w:kern w:val="0"/>
                <w:szCs w:val="21"/>
              </w:rPr>
              <w:t>3.29</w:t>
            </w:r>
          </w:p>
        </w:tc>
      </w:tr>
      <w:tr w:rsidR="00455C47" w14:paraId="0A673BB8" w14:textId="77777777">
        <w:tc>
          <w:tcPr>
            <w:tcW w:w="817" w:type="dxa"/>
            <w:vAlign w:val="center"/>
          </w:tcPr>
          <w:p w14:paraId="7972BE68" w14:textId="77777777" w:rsidR="00455C47" w:rsidRDefault="00D16739">
            <w:pPr>
              <w:jc w:val="center"/>
            </w:pPr>
            <w:r>
              <w:rPr>
                <w:rFonts w:eastAsiaTheme="minorEastAsia"/>
                <w:kern w:val="0"/>
                <w:szCs w:val="21"/>
              </w:rPr>
              <w:t>8</w:t>
            </w:r>
          </w:p>
        </w:tc>
        <w:tc>
          <w:tcPr>
            <w:tcW w:w="1276" w:type="dxa"/>
            <w:vAlign w:val="center"/>
          </w:tcPr>
          <w:p w14:paraId="41FF9FA8" w14:textId="77777777" w:rsidR="00455C47" w:rsidRDefault="00D16739">
            <w:pPr>
              <w:jc w:val="center"/>
            </w:pPr>
            <w:r>
              <w:rPr>
                <w:rFonts w:eastAsiaTheme="minorEastAsia"/>
                <w:kern w:val="0"/>
                <w:szCs w:val="21"/>
              </w:rPr>
              <w:t>000651</w:t>
            </w:r>
          </w:p>
        </w:tc>
        <w:tc>
          <w:tcPr>
            <w:tcW w:w="1701" w:type="dxa"/>
            <w:vAlign w:val="center"/>
          </w:tcPr>
          <w:p w14:paraId="069CBDE3" w14:textId="77777777" w:rsidR="00455C47" w:rsidRDefault="00D16739">
            <w:pPr>
              <w:jc w:val="center"/>
            </w:pPr>
            <w:r>
              <w:rPr>
                <w:rFonts w:eastAsiaTheme="minorEastAsia"/>
                <w:kern w:val="0"/>
                <w:szCs w:val="21"/>
              </w:rPr>
              <w:t>格力电器</w:t>
            </w:r>
          </w:p>
        </w:tc>
        <w:tc>
          <w:tcPr>
            <w:tcW w:w="1276" w:type="dxa"/>
            <w:vAlign w:val="center"/>
          </w:tcPr>
          <w:p w14:paraId="462D5660" w14:textId="77777777" w:rsidR="00455C47" w:rsidRDefault="00D16739">
            <w:pPr>
              <w:jc w:val="right"/>
            </w:pPr>
            <w:r>
              <w:rPr>
                <w:rFonts w:eastAsiaTheme="minorEastAsia"/>
                <w:kern w:val="0"/>
                <w:szCs w:val="21"/>
              </w:rPr>
              <w:t>227,300.00</w:t>
            </w:r>
          </w:p>
        </w:tc>
        <w:tc>
          <w:tcPr>
            <w:tcW w:w="1842" w:type="dxa"/>
            <w:vAlign w:val="center"/>
          </w:tcPr>
          <w:p w14:paraId="54578175" w14:textId="77777777" w:rsidR="00455C47" w:rsidRDefault="00D16739">
            <w:pPr>
              <w:jc w:val="right"/>
            </w:pPr>
            <w:r>
              <w:rPr>
                <w:rFonts w:eastAsiaTheme="minorEastAsia"/>
                <w:kern w:val="0"/>
                <w:szCs w:val="21"/>
              </w:rPr>
              <w:t>10,330,785.00</w:t>
            </w:r>
          </w:p>
        </w:tc>
        <w:tc>
          <w:tcPr>
            <w:tcW w:w="1616" w:type="dxa"/>
            <w:vAlign w:val="center"/>
          </w:tcPr>
          <w:p w14:paraId="3C0E4483" w14:textId="77777777" w:rsidR="00455C47" w:rsidRDefault="00D16739">
            <w:pPr>
              <w:jc w:val="right"/>
            </w:pPr>
            <w:r>
              <w:rPr>
                <w:rFonts w:eastAsiaTheme="minorEastAsia"/>
                <w:kern w:val="0"/>
                <w:szCs w:val="21"/>
              </w:rPr>
              <w:t>3.24</w:t>
            </w:r>
          </w:p>
        </w:tc>
      </w:tr>
      <w:tr w:rsidR="00455C47" w14:paraId="7714CAD1" w14:textId="77777777">
        <w:tc>
          <w:tcPr>
            <w:tcW w:w="817" w:type="dxa"/>
            <w:vAlign w:val="center"/>
          </w:tcPr>
          <w:p w14:paraId="356ACB6D" w14:textId="77777777" w:rsidR="00455C47" w:rsidRDefault="00D16739">
            <w:pPr>
              <w:jc w:val="center"/>
            </w:pPr>
            <w:r>
              <w:rPr>
                <w:rFonts w:eastAsiaTheme="minorEastAsia"/>
                <w:kern w:val="0"/>
                <w:szCs w:val="21"/>
              </w:rPr>
              <w:t>9</w:t>
            </w:r>
          </w:p>
        </w:tc>
        <w:tc>
          <w:tcPr>
            <w:tcW w:w="1276" w:type="dxa"/>
            <w:vAlign w:val="center"/>
          </w:tcPr>
          <w:p w14:paraId="5D0AD64F" w14:textId="77777777" w:rsidR="00455C47" w:rsidRDefault="00D16739">
            <w:pPr>
              <w:jc w:val="center"/>
            </w:pPr>
            <w:r>
              <w:rPr>
                <w:rFonts w:eastAsiaTheme="minorEastAsia"/>
                <w:kern w:val="0"/>
                <w:szCs w:val="21"/>
              </w:rPr>
              <w:t>300037</w:t>
            </w:r>
          </w:p>
        </w:tc>
        <w:tc>
          <w:tcPr>
            <w:tcW w:w="1701" w:type="dxa"/>
            <w:vAlign w:val="center"/>
          </w:tcPr>
          <w:p w14:paraId="03CC7A02" w14:textId="77777777" w:rsidR="00455C47" w:rsidRDefault="00D16739">
            <w:pPr>
              <w:jc w:val="center"/>
            </w:pPr>
            <w:r>
              <w:rPr>
                <w:rFonts w:eastAsiaTheme="minorEastAsia"/>
                <w:kern w:val="0"/>
                <w:szCs w:val="21"/>
              </w:rPr>
              <w:t>新宙邦</w:t>
            </w:r>
          </w:p>
        </w:tc>
        <w:tc>
          <w:tcPr>
            <w:tcW w:w="1276" w:type="dxa"/>
            <w:vAlign w:val="center"/>
          </w:tcPr>
          <w:p w14:paraId="56714204" w14:textId="77777777" w:rsidR="00455C47" w:rsidRDefault="00D16739">
            <w:pPr>
              <w:jc w:val="right"/>
            </w:pPr>
            <w:r>
              <w:rPr>
                <w:rFonts w:eastAsiaTheme="minorEastAsia"/>
                <w:kern w:val="0"/>
                <w:szCs w:val="21"/>
              </w:rPr>
              <w:t>258,800.00</w:t>
            </w:r>
          </w:p>
        </w:tc>
        <w:tc>
          <w:tcPr>
            <w:tcW w:w="1842" w:type="dxa"/>
            <w:vAlign w:val="center"/>
          </w:tcPr>
          <w:p w14:paraId="51FE827F" w14:textId="77777777" w:rsidR="00455C47" w:rsidRDefault="00D16739">
            <w:pPr>
              <w:jc w:val="right"/>
            </w:pPr>
            <w:r>
              <w:rPr>
                <w:rFonts w:eastAsiaTheme="minorEastAsia"/>
                <w:kern w:val="0"/>
                <w:szCs w:val="21"/>
              </w:rPr>
              <w:t>9,689,472.00</w:t>
            </w:r>
          </w:p>
        </w:tc>
        <w:tc>
          <w:tcPr>
            <w:tcW w:w="1616" w:type="dxa"/>
            <w:vAlign w:val="center"/>
          </w:tcPr>
          <w:p w14:paraId="2BE12352" w14:textId="77777777" w:rsidR="00455C47" w:rsidRDefault="00D16739">
            <w:pPr>
              <w:jc w:val="right"/>
            </w:pPr>
            <w:r>
              <w:rPr>
                <w:rFonts w:eastAsiaTheme="minorEastAsia"/>
                <w:kern w:val="0"/>
                <w:szCs w:val="21"/>
              </w:rPr>
              <w:t>3.04</w:t>
            </w:r>
          </w:p>
        </w:tc>
      </w:tr>
      <w:tr w:rsidR="00455C47" w14:paraId="754912C3" w14:textId="77777777">
        <w:tc>
          <w:tcPr>
            <w:tcW w:w="817" w:type="dxa"/>
            <w:vAlign w:val="center"/>
          </w:tcPr>
          <w:p w14:paraId="73B59F72" w14:textId="77777777" w:rsidR="00455C47" w:rsidRDefault="00D16739">
            <w:pPr>
              <w:jc w:val="center"/>
            </w:pPr>
            <w:r>
              <w:rPr>
                <w:rFonts w:eastAsiaTheme="minorEastAsia"/>
                <w:kern w:val="0"/>
                <w:szCs w:val="21"/>
              </w:rPr>
              <w:t>10</w:t>
            </w:r>
          </w:p>
        </w:tc>
        <w:tc>
          <w:tcPr>
            <w:tcW w:w="1276" w:type="dxa"/>
            <w:vAlign w:val="center"/>
          </w:tcPr>
          <w:p w14:paraId="19B2CB6F" w14:textId="77777777" w:rsidR="00455C47" w:rsidRDefault="00D16739">
            <w:pPr>
              <w:jc w:val="center"/>
            </w:pPr>
            <w:r>
              <w:rPr>
                <w:rFonts w:eastAsiaTheme="minorEastAsia"/>
                <w:kern w:val="0"/>
                <w:szCs w:val="21"/>
              </w:rPr>
              <w:t>01415</w:t>
            </w:r>
          </w:p>
        </w:tc>
        <w:tc>
          <w:tcPr>
            <w:tcW w:w="1701" w:type="dxa"/>
            <w:vAlign w:val="center"/>
          </w:tcPr>
          <w:p w14:paraId="7B330DE7" w14:textId="77777777" w:rsidR="00455C47" w:rsidRDefault="00D16739">
            <w:pPr>
              <w:jc w:val="center"/>
            </w:pPr>
            <w:r>
              <w:rPr>
                <w:rFonts w:eastAsiaTheme="minorEastAsia"/>
                <w:kern w:val="0"/>
                <w:szCs w:val="21"/>
              </w:rPr>
              <w:t>高伟电子</w:t>
            </w:r>
          </w:p>
        </w:tc>
        <w:tc>
          <w:tcPr>
            <w:tcW w:w="1276" w:type="dxa"/>
            <w:vAlign w:val="center"/>
          </w:tcPr>
          <w:p w14:paraId="70A95A0A" w14:textId="77777777" w:rsidR="00455C47" w:rsidRDefault="00D16739">
            <w:pPr>
              <w:jc w:val="right"/>
            </w:pPr>
            <w:r>
              <w:rPr>
                <w:rFonts w:eastAsiaTheme="minorEastAsia"/>
                <w:kern w:val="0"/>
                <w:szCs w:val="21"/>
              </w:rPr>
              <w:t>367,000.00</w:t>
            </w:r>
          </w:p>
        </w:tc>
        <w:tc>
          <w:tcPr>
            <w:tcW w:w="1842" w:type="dxa"/>
            <w:vAlign w:val="center"/>
          </w:tcPr>
          <w:p w14:paraId="2BF02D0B" w14:textId="77777777" w:rsidR="00455C47" w:rsidRDefault="00D16739">
            <w:pPr>
              <w:jc w:val="right"/>
            </w:pPr>
            <w:r>
              <w:rPr>
                <w:rFonts w:eastAsiaTheme="minorEastAsia"/>
                <w:kern w:val="0"/>
                <w:szCs w:val="21"/>
              </w:rPr>
              <w:t>9,619,070.00</w:t>
            </w:r>
          </w:p>
        </w:tc>
        <w:tc>
          <w:tcPr>
            <w:tcW w:w="1616" w:type="dxa"/>
            <w:vAlign w:val="center"/>
          </w:tcPr>
          <w:p w14:paraId="37FCB8C4" w14:textId="77777777" w:rsidR="00455C47" w:rsidRDefault="00D16739">
            <w:pPr>
              <w:jc w:val="right"/>
            </w:pPr>
            <w:r>
              <w:rPr>
                <w:rFonts w:eastAsiaTheme="minorEastAsia"/>
                <w:kern w:val="0"/>
                <w:szCs w:val="21"/>
              </w:rPr>
              <w:t>3.02</w:t>
            </w:r>
          </w:p>
        </w:tc>
      </w:tr>
    </w:tbl>
    <w:bookmarkEnd w:id="1"/>
    <w:p w14:paraId="0F61C1B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3450911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1DA3D5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7C70690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F7B233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203BD6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485844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12FDD8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451453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CD89D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D14A2E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BBA098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B0C4DD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212399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038610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DEDFC3E"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DF295B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E655F7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CD4E64E" w14:textId="77777777">
        <w:tc>
          <w:tcPr>
            <w:tcW w:w="1110" w:type="dxa"/>
            <w:vAlign w:val="center"/>
          </w:tcPr>
          <w:p w14:paraId="120D6DD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83ACD4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72E3162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5CD6146" w14:textId="77777777">
        <w:tc>
          <w:tcPr>
            <w:tcW w:w="1110" w:type="dxa"/>
            <w:vAlign w:val="center"/>
          </w:tcPr>
          <w:p w14:paraId="5E93EA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14:paraId="6B9C96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14C43A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FBE996A" w14:textId="77777777">
        <w:tc>
          <w:tcPr>
            <w:tcW w:w="1110" w:type="dxa"/>
            <w:vAlign w:val="center"/>
          </w:tcPr>
          <w:p w14:paraId="0319860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537C55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79950D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79D7F7" w14:textId="77777777">
        <w:tc>
          <w:tcPr>
            <w:tcW w:w="1110" w:type="dxa"/>
            <w:vAlign w:val="center"/>
          </w:tcPr>
          <w:p w14:paraId="2E1062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59457E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6FD322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0A84C68" w14:textId="77777777">
        <w:tc>
          <w:tcPr>
            <w:tcW w:w="1110" w:type="dxa"/>
            <w:vAlign w:val="center"/>
          </w:tcPr>
          <w:p w14:paraId="4F5ED16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3936E5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9FD2C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695899" w14:textId="77777777">
        <w:tc>
          <w:tcPr>
            <w:tcW w:w="1110" w:type="dxa"/>
            <w:vAlign w:val="center"/>
          </w:tcPr>
          <w:p w14:paraId="2387FD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3249C1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E855DB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99,195.20</w:t>
            </w:r>
          </w:p>
        </w:tc>
      </w:tr>
      <w:tr w:rsidR="005E6DF3" w:rsidRPr="00B27A29" w14:paraId="5DFA9585" w14:textId="77777777">
        <w:tc>
          <w:tcPr>
            <w:tcW w:w="1110" w:type="dxa"/>
            <w:vAlign w:val="center"/>
          </w:tcPr>
          <w:p w14:paraId="4D78CFF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ECFA75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F52FE8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9BECD79" w14:textId="77777777">
        <w:tc>
          <w:tcPr>
            <w:tcW w:w="1110" w:type="dxa"/>
            <w:vAlign w:val="center"/>
          </w:tcPr>
          <w:p w14:paraId="7146F67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A6B1E2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A71C5D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9AE200" w14:textId="77777777">
        <w:tc>
          <w:tcPr>
            <w:tcW w:w="1110" w:type="dxa"/>
            <w:vAlign w:val="center"/>
          </w:tcPr>
          <w:p w14:paraId="37DD800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785B46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F65E8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9EDA903" w14:textId="77777777">
        <w:tc>
          <w:tcPr>
            <w:tcW w:w="1110" w:type="dxa"/>
            <w:vAlign w:val="center"/>
          </w:tcPr>
          <w:p w14:paraId="57DCEEB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1BFD99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480A9B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99,195.20</w:t>
            </w:r>
          </w:p>
        </w:tc>
      </w:tr>
    </w:tbl>
    <w:p w14:paraId="0D79AD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FF3D16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7B57DB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28A5984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73CF7C6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9E3BC5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0BCBE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3EEBCA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AAC5DA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C8BBB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7D571C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279EE0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14:paraId="40681A5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190A50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18F3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173,099,236.59</w:t>
            </w:r>
          </w:p>
        </w:tc>
        <w:tc>
          <w:tcPr>
            <w:tcW w:w="2367" w:type="dxa"/>
            <w:tcBorders>
              <w:top w:val="single" w:sz="8" w:space="0" w:color="000000"/>
              <w:left w:val="single" w:sz="8" w:space="0" w:color="000000"/>
              <w:bottom w:val="single" w:sz="8" w:space="0" w:color="000000"/>
              <w:right w:val="single" w:sz="8" w:space="0" w:color="000000"/>
            </w:tcBorders>
            <w:vAlign w:val="center"/>
          </w:tcPr>
          <w:p w14:paraId="193FD20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225,348,425.48</w:t>
            </w:r>
          </w:p>
        </w:tc>
      </w:tr>
      <w:tr w:rsidR="005E6DF3" w:rsidRPr="00B27A29" w14:paraId="605FFA1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4C6B13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88E39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1,621,425.70</w:t>
            </w:r>
          </w:p>
        </w:tc>
        <w:tc>
          <w:tcPr>
            <w:tcW w:w="2367" w:type="dxa"/>
            <w:tcBorders>
              <w:top w:val="single" w:sz="8" w:space="0" w:color="000000"/>
              <w:left w:val="single" w:sz="8" w:space="0" w:color="000000"/>
              <w:bottom w:val="single" w:sz="8" w:space="0" w:color="000000"/>
              <w:right w:val="single" w:sz="8" w:space="0" w:color="000000"/>
            </w:tcBorders>
            <w:vAlign w:val="center"/>
          </w:tcPr>
          <w:p w14:paraId="6F8F1D3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5,238,510.63</w:t>
            </w:r>
          </w:p>
        </w:tc>
      </w:tr>
      <w:tr w:rsidR="005E6DF3" w:rsidRPr="00B27A29" w14:paraId="4DD4DC9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0AA9D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D2344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17,890,093.82</w:t>
            </w:r>
          </w:p>
        </w:tc>
        <w:tc>
          <w:tcPr>
            <w:tcW w:w="2367" w:type="dxa"/>
            <w:tcBorders>
              <w:top w:val="single" w:sz="8" w:space="0" w:color="000000"/>
              <w:left w:val="single" w:sz="8" w:space="0" w:color="000000"/>
              <w:bottom w:val="single" w:sz="8" w:space="0" w:color="000000"/>
              <w:right w:val="single" w:sz="8" w:space="0" w:color="000000"/>
            </w:tcBorders>
            <w:vAlign w:val="center"/>
          </w:tcPr>
          <w:p w14:paraId="4D12305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33,917,153.32</w:t>
            </w:r>
          </w:p>
        </w:tc>
      </w:tr>
      <w:tr w:rsidR="005E6DF3" w:rsidRPr="00B27A29" w14:paraId="46DCE5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A201B3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CC034C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4B60B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1D06A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359D5D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86CA9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156,830,568.47</w:t>
            </w:r>
          </w:p>
        </w:tc>
        <w:tc>
          <w:tcPr>
            <w:tcW w:w="2367" w:type="dxa"/>
            <w:tcBorders>
              <w:top w:val="single" w:sz="8" w:space="0" w:color="000000"/>
              <w:left w:val="single" w:sz="8" w:space="0" w:color="000000"/>
              <w:bottom w:val="single" w:sz="8" w:space="0" w:color="000000"/>
              <w:right w:val="single" w:sz="8" w:space="0" w:color="000000"/>
            </w:tcBorders>
            <w:vAlign w:val="center"/>
          </w:tcPr>
          <w:p w14:paraId="0BB3BB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196,669,782.79</w:t>
            </w:r>
          </w:p>
        </w:tc>
      </w:tr>
    </w:tbl>
    <w:p w14:paraId="3995B97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14:paraId="3FF9FBC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43CD56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C3AC75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CD502D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72DB450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0F4039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14:paraId="75DE3B3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5FE4EBD"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81F85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77,425.24</w:t>
            </w:r>
          </w:p>
        </w:tc>
        <w:tc>
          <w:tcPr>
            <w:tcW w:w="2693" w:type="dxa"/>
            <w:tcBorders>
              <w:top w:val="single" w:sz="8" w:space="0" w:color="000000"/>
              <w:left w:val="single" w:sz="8" w:space="0" w:color="000000"/>
              <w:bottom w:val="single" w:sz="8" w:space="0" w:color="000000"/>
              <w:right w:val="single" w:sz="8" w:space="0" w:color="000000"/>
            </w:tcBorders>
            <w:vAlign w:val="center"/>
          </w:tcPr>
          <w:p w14:paraId="7C4B75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1606B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92AFE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B72312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6D4FDB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E35D48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C0C348E"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B490D8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C986A6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B6BDD5F"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226BE8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367C3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77,425.24</w:t>
            </w:r>
          </w:p>
        </w:tc>
        <w:tc>
          <w:tcPr>
            <w:tcW w:w="2693" w:type="dxa"/>
            <w:tcBorders>
              <w:top w:val="single" w:sz="8" w:space="0" w:color="000000"/>
              <w:left w:val="single" w:sz="8" w:space="0" w:color="000000"/>
              <w:bottom w:val="single" w:sz="8" w:space="0" w:color="000000"/>
              <w:right w:val="single" w:sz="8" w:space="0" w:color="000000"/>
            </w:tcBorders>
            <w:vAlign w:val="center"/>
          </w:tcPr>
          <w:p w14:paraId="7ECFF8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5B651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418467A"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2547C4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2E3188D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642EE8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00C5F84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5D2950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3AAC3A8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7C4F5F68"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C0C025C"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摩根慧享成长混合型证券投资基金基金合同</w:t>
      </w:r>
    </w:p>
    <w:p w14:paraId="43C3345A"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摩根慧享成长混合型证券投资基金托管协议</w:t>
      </w:r>
    </w:p>
    <w:p w14:paraId="32BC2BA0"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7E2652D"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3505733"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C2E1012" w14:textId="77777777" w:rsidR="00455C47" w:rsidRDefault="00D167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E2B8C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7C7936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E6E110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F90587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F9EB11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45FD5DE2" w14:textId="77777777" w:rsidR="005E6DF3" w:rsidRPr="00B27A29" w:rsidRDefault="005E6DF3">
      <w:pPr>
        <w:spacing w:line="360" w:lineRule="auto"/>
        <w:ind w:left="840"/>
        <w:jc w:val="right"/>
        <w:rPr>
          <w:rFonts w:eastAsiaTheme="minorEastAsia"/>
          <w:color w:val="000000" w:themeColor="text1"/>
          <w:szCs w:val="21"/>
        </w:rPr>
      </w:pPr>
    </w:p>
    <w:p w14:paraId="2407715C" w14:textId="77777777" w:rsidR="005E6DF3" w:rsidRPr="00B27A29" w:rsidRDefault="005E6DF3">
      <w:pPr>
        <w:spacing w:line="360" w:lineRule="auto"/>
        <w:ind w:left="840"/>
        <w:jc w:val="center"/>
        <w:rPr>
          <w:rFonts w:eastAsiaTheme="minorEastAsia"/>
          <w:b/>
          <w:color w:val="000000" w:themeColor="text1"/>
          <w:szCs w:val="21"/>
        </w:rPr>
      </w:pPr>
    </w:p>
    <w:p w14:paraId="4C948A1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983ADD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745" w14:textId="77777777" w:rsidR="005B0387" w:rsidRDefault="005B0387">
      <w:r>
        <w:separator/>
      </w:r>
    </w:p>
  </w:endnote>
  <w:endnote w:type="continuationSeparator" w:id="0">
    <w:p w14:paraId="13E153F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038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ACC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B4DB9F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18C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34293ED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A02C" w14:textId="77777777" w:rsidR="005B0387" w:rsidRDefault="005B0387">
      <w:r>
        <w:separator/>
      </w:r>
    </w:p>
  </w:footnote>
  <w:footnote w:type="continuationSeparator" w:id="0">
    <w:p w14:paraId="7FDC3F76"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442" w14:textId="77777777" w:rsidR="005C671B" w:rsidRDefault="005C671B">
    <w:pPr>
      <w:pStyle w:val="af"/>
      <w:pBdr>
        <w:bottom w:val="single" w:sz="6" w:space="0" w:color="auto"/>
      </w:pBdr>
      <w:jc w:val="right"/>
    </w:pPr>
    <w:r>
      <w:t>摩根慧享成长混合型证券投资基金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55C47"/>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16739"/>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F728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1260</Words>
  <Characters>7186</Characters>
  <Application>Microsoft Office Word</Application>
  <DocSecurity>0</DocSecurity>
  <Lines>59</Lines>
  <Paragraphs>16</Paragraphs>
  <ScaleCrop>false</ScaleCrop>
  <Company>TRT. Ltd. Co.</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