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摩根博睿均衡一年持有期混合型基金中基金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基金托管人：平安银行股份有限公司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摩根博睿均衡一年持有混合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015359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485,625,727.32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本基金通过资产配置及优选基金，并结合严格的风险控制，力争实现基金资产的长期稳健增值。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45944" w:rsidRDefault="007451A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445944" w:rsidRDefault="007451A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在大类资产配置上，本基金将结合产品定位、风险收益特征以及管理人的长期资本市场观点确定基金的资产配置方案。</w:t>
            </w:r>
          </w:p>
          <w:p w:rsidR="00445944" w:rsidRDefault="007451A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首先，管理人将根据基金业绩基准确定产品的风险收益特征。其次，管理人将根据投研团队的长期资本市场观点对各类型资产的风险收益特征进行判断。最后，结合本基金</w:t>
            </w:r>
            <w:r>
              <w:rPr>
                <w:rFonts w:eastAsiaTheme="minorEastAsia"/>
                <w:color w:val="000000" w:themeColor="text1"/>
                <w:kern w:val="0"/>
                <w:szCs w:val="21"/>
              </w:rPr>
              <w:lastRenderedPageBreak/>
              <w:t>以及各资产类别的风险收益特征，依据现代投资组合理论，模拟得出各大类资产的长期战略配置比例。</w:t>
            </w:r>
          </w:p>
          <w:p w:rsidR="00445944" w:rsidRDefault="007451A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本基金原则上均衡配置于权益类资产和其他资产，并定期结合策略观点，修正资产配置，实现细分资产类别的动态调整。</w:t>
            </w:r>
          </w:p>
          <w:p w:rsidR="00445944" w:rsidRDefault="007451A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w:t>
            </w:r>
          </w:p>
          <w:p w:rsidR="00445944" w:rsidRDefault="007451A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通过自下而上的方式优选基金，研究过程中综合运用定量分析和定性分析，优选符合要求且能在中长期创造超额收益的基金。</w:t>
            </w:r>
          </w:p>
          <w:p w:rsidR="00445944" w:rsidRDefault="007451A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rsidR="00445944" w:rsidRDefault="007451A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优选中长期景气向好的指数基金进行配置，增厚组合收益，并把握阶段性投资机会，获取超额收益。</w:t>
            </w:r>
          </w:p>
          <w:p w:rsidR="00445944" w:rsidRDefault="007451A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包括股票投资策略、港股投资策略、债券投资策略、证券公司短期公司债投资策略、资产支持证券投资策略、存托凭证投资策略。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平安银行股份有限公司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220,151,104.50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265,474,622.82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-2,360,139.50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-3,155,168.63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-7,162,930.49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-8,833,916.00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-0.0316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201,864,472.18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241,689,082.89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0.9169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0.9104</w:t>
            </w:r>
          </w:p>
        </w:tc>
      </w:tr>
    </w:tbl>
    <w:p w:rsidR="00445944" w:rsidRDefault="007451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摩根博睿均衡一年持有混合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45944">
        <w:tc>
          <w:tcPr>
            <w:tcW w:w="1290" w:type="dxa"/>
            <w:vAlign w:val="center"/>
          </w:tcPr>
          <w:p w:rsidR="00445944" w:rsidRDefault="007451A0">
            <w:pPr>
              <w:jc w:val="left"/>
            </w:pPr>
            <w:r>
              <w:rPr>
                <w:rFonts w:eastAsiaTheme="minorEastAsia"/>
                <w:color w:val="000000" w:themeColor="text1"/>
                <w:szCs w:val="21"/>
              </w:rPr>
              <w:t>过去三个月</w:t>
            </w:r>
          </w:p>
        </w:tc>
        <w:tc>
          <w:tcPr>
            <w:tcW w:w="1291" w:type="dxa"/>
            <w:vAlign w:val="center"/>
          </w:tcPr>
          <w:p w:rsidR="00445944" w:rsidRDefault="007451A0">
            <w:pPr>
              <w:jc w:val="right"/>
            </w:pPr>
            <w:r>
              <w:rPr>
                <w:rFonts w:eastAsiaTheme="minorEastAsia"/>
                <w:color w:val="000000" w:themeColor="text1"/>
                <w:szCs w:val="21"/>
              </w:rPr>
              <w:t>-3.34%</w:t>
            </w:r>
          </w:p>
        </w:tc>
        <w:tc>
          <w:tcPr>
            <w:tcW w:w="1291" w:type="dxa"/>
            <w:vAlign w:val="center"/>
          </w:tcPr>
          <w:p w:rsidR="00445944" w:rsidRDefault="007451A0">
            <w:pPr>
              <w:jc w:val="right"/>
            </w:pPr>
            <w:r>
              <w:rPr>
                <w:rFonts w:eastAsiaTheme="minorEastAsia"/>
                <w:color w:val="000000" w:themeColor="text1"/>
                <w:szCs w:val="21"/>
              </w:rPr>
              <w:t>0.59%</w:t>
            </w:r>
          </w:p>
        </w:tc>
        <w:tc>
          <w:tcPr>
            <w:tcW w:w="1291" w:type="dxa"/>
            <w:vAlign w:val="center"/>
          </w:tcPr>
          <w:p w:rsidR="00445944" w:rsidRDefault="007451A0">
            <w:pPr>
              <w:jc w:val="right"/>
            </w:pPr>
            <w:r>
              <w:rPr>
                <w:rFonts w:eastAsiaTheme="minorEastAsia"/>
                <w:color w:val="000000" w:themeColor="text1"/>
                <w:szCs w:val="21"/>
              </w:rPr>
              <w:t>-1.81%</w:t>
            </w:r>
          </w:p>
        </w:tc>
        <w:tc>
          <w:tcPr>
            <w:tcW w:w="1291" w:type="dxa"/>
            <w:vAlign w:val="center"/>
          </w:tcPr>
          <w:p w:rsidR="00445944" w:rsidRDefault="007451A0">
            <w:pPr>
              <w:jc w:val="right"/>
            </w:pPr>
            <w:r>
              <w:rPr>
                <w:rFonts w:eastAsiaTheme="minorEastAsia"/>
                <w:color w:val="000000" w:themeColor="text1"/>
                <w:szCs w:val="21"/>
              </w:rPr>
              <w:t>0.43%</w:t>
            </w:r>
          </w:p>
        </w:tc>
        <w:tc>
          <w:tcPr>
            <w:tcW w:w="1291" w:type="dxa"/>
            <w:vAlign w:val="center"/>
          </w:tcPr>
          <w:p w:rsidR="00445944" w:rsidRDefault="007451A0">
            <w:pPr>
              <w:jc w:val="right"/>
            </w:pPr>
            <w:r>
              <w:rPr>
                <w:rFonts w:eastAsiaTheme="minorEastAsia"/>
                <w:color w:val="000000" w:themeColor="text1"/>
                <w:szCs w:val="21"/>
              </w:rPr>
              <w:t>-1.53%</w:t>
            </w:r>
          </w:p>
        </w:tc>
        <w:tc>
          <w:tcPr>
            <w:tcW w:w="1291" w:type="dxa"/>
            <w:vAlign w:val="center"/>
          </w:tcPr>
          <w:p w:rsidR="00445944" w:rsidRDefault="007451A0">
            <w:pPr>
              <w:jc w:val="right"/>
            </w:pPr>
            <w:r>
              <w:rPr>
                <w:rFonts w:eastAsiaTheme="minorEastAsia"/>
                <w:color w:val="000000" w:themeColor="text1"/>
                <w:szCs w:val="21"/>
              </w:rPr>
              <w:t>0.16%</w:t>
            </w:r>
          </w:p>
        </w:tc>
      </w:tr>
      <w:tr w:rsidR="00445944">
        <w:tc>
          <w:tcPr>
            <w:tcW w:w="1290" w:type="dxa"/>
            <w:vAlign w:val="center"/>
          </w:tcPr>
          <w:p w:rsidR="00445944" w:rsidRDefault="007451A0">
            <w:pPr>
              <w:jc w:val="left"/>
            </w:pPr>
            <w:r>
              <w:rPr>
                <w:rFonts w:eastAsiaTheme="minorEastAsia"/>
                <w:color w:val="000000" w:themeColor="text1"/>
                <w:szCs w:val="21"/>
              </w:rPr>
              <w:t>过去六个月</w:t>
            </w:r>
          </w:p>
        </w:tc>
        <w:tc>
          <w:tcPr>
            <w:tcW w:w="1291" w:type="dxa"/>
            <w:vAlign w:val="center"/>
          </w:tcPr>
          <w:p w:rsidR="00445944" w:rsidRDefault="007451A0">
            <w:pPr>
              <w:jc w:val="right"/>
            </w:pPr>
            <w:r>
              <w:rPr>
                <w:rFonts w:eastAsiaTheme="minorEastAsia"/>
                <w:color w:val="000000" w:themeColor="text1"/>
                <w:szCs w:val="21"/>
              </w:rPr>
              <w:t>-5.55%</w:t>
            </w:r>
          </w:p>
        </w:tc>
        <w:tc>
          <w:tcPr>
            <w:tcW w:w="1291" w:type="dxa"/>
            <w:vAlign w:val="center"/>
          </w:tcPr>
          <w:p w:rsidR="00445944" w:rsidRDefault="007451A0">
            <w:pPr>
              <w:jc w:val="right"/>
            </w:pPr>
            <w:r>
              <w:rPr>
                <w:rFonts w:eastAsiaTheme="minorEastAsia"/>
                <w:color w:val="000000" w:themeColor="text1"/>
                <w:szCs w:val="21"/>
              </w:rPr>
              <w:t>0.56%</w:t>
            </w:r>
          </w:p>
        </w:tc>
        <w:tc>
          <w:tcPr>
            <w:tcW w:w="1291" w:type="dxa"/>
            <w:vAlign w:val="center"/>
          </w:tcPr>
          <w:p w:rsidR="00445944" w:rsidRDefault="007451A0">
            <w:pPr>
              <w:jc w:val="right"/>
            </w:pPr>
            <w:r>
              <w:rPr>
                <w:rFonts w:eastAsiaTheme="minorEastAsia"/>
                <w:color w:val="000000" w:themeColor="text1"/>
                <w:szCs w:val="21"/>
              </w:rPr>
              <w:t>-3.68%</w:t>
            </w:r>
          </w:p>
        </w:tc>
        <w:tc>
          <w:tcPr>
            <w:tcW w:w="1291" w:type="dxa"/>
            <w:vAlign w:val="center"/>
          </w:tcPr>
          <w:p w:rsidR="00445944" w:rsidRDefault="007451A0">
            <w:pPr>
              <w:jc w:val="right"/>
            </w:pPr>
            <w:r>
              <w:rPr>
                <w:rFonts w:eastAsiaTheme="minorEastAsia"/>
                <w:color w:val="000000" w:themeColor="text1"/>
                <w:szCs w:val="21"/>
              </w:rPr>
              <w:t>0.41%</w:t>
            </w:r>
          </w:p>
        </w:tc>
        <w:tc>
          <w:tcPr>
            <w:tcW w:w="1291" w:type="dxa"/>
            <w:vAlign w:val="center"/>
          </w:tcPr>
          <w:p w:rsidR="00445944" w:rsidRDefault="007451A0">
            <w:pPr>
              <w:jc w:val="right"/>
            </w:pPr>
            <w:r>
              <w:rPr>
                <w:rFonts w:eastAsiaTheme="minorEastAsia"/>
                <w:color w:val="000000" w:themeColor="text1"/>
                <w:szCs w:val="21"/>
              </w:rPr>
              <w:t>-1.87%</w:t>
            </w:r>
          </w:p>
        </w:tc>
        <w:tc>
          <w:tcPr>
            <w:tcW w:w="1291" w:type="dxa"/>
            <w:vAlign w:val="center"/>
          </w:tcPr>
          <w:p w:rsidR="00445944" w:rsidRDefault="007451A0">
            <w:pPr>
              <w:jc w:val="right"/>
            </w:pPr>
            <w:r>
              <w:rPr>
                <w:rFonts w:eastAsiaTheme="minorEastAsia"/>
                <w:color w:val="000000" w:themeColor="text1"/>
                <w:szCs w:val="21"/>
              </w:rPr>
              <w:t>0.15%</w:t>
            </w:r>
          </w:p>
        </w:tc>
      </w:tr>
      <w:tr w:rsidR="00445944">
        <w:tc>
          <w:tcPr>
            <w:tcW w:w="1290" w:type="dxa"/>
            <w:vAlign w:val="center"/>
          </w:tcPr>
          <w:p w:rsidR="00445944" w:rsidRDefault="007451A0">
            <w:pPr>
              <w:jc w:val="left"/>
            </w:pPr>
            <w:r>
              <w:rPr>
                <w:rFonts w:eastAsiaTheme="minorEastAsia"/>
                <w:color w:val="000000" w:themeColor="text1"/>
                <w:szCs w:val="21"/>
              </w:rPr>
              <w:t>过去一年</w:t>
            </w:r>
          </w:p>
        </w:tc>
        <w:tc>
          <w:tcPr>
            <w:tcW w:w="1291" w:type="dxa"/>
            <w:vAlign w:val="center"/>
          </w:tcPr>
          <w:p w:rsidR="00445944" w:rsidRDefault="007451A0">
            <w:pPr>
              <w:jc w:val="right"/>
            </w:pPr>
            <w:r>
              <w:rPr>
                <w:rFonts w:eastAsiaTheme="minorEastAsia"/>
                <w:color w:val="000000" w:themeColor="text1"/>
                <w:szCs w:val="21"/>
              </w:rPr>
              <w:t>-3.12%</w:t>
            </w:r>
          </w:p>
        </w:tc>
        <w:tc>
          <w:tcPr>
            <w:tcW w:w="1291" w:type="dxa"/>
            <w:vAlign w:val="center"/>
          </w:tcPr>
          <w:p w:rsidR="00445944" w:rsidRDefault="007451A0">
            <w:pPr>
              <w:jc w:val="right"/>
            </w:pPr>
            <w:r>
              <w:rPr>
                <w:rFonts w:eastAsiaTheme="minorEastAsia"/>
                <w:color w:val="000000" w:themeColor="text1"/>
                <w:szCs w:val="21"/>
              </w:rPr>
              <w:t>0.52%</w:t>
            </w:r>
          </w:p>
        </w:tc>
        <w:tc>
          <w:tcPr>
            <w:tcW w:w="1291" w:type="dxa"/>
            <w:vAlign w:val="center"/>
          </w:tcPr>
          <w:p w:rsidR="00445944" w:rsidRDefault="007451A0">
            <w:pPr>
              <w:jc w:val="right"/>
            </w:pPr>
            <w:r>
              <w:rPr>
                <w:rFonts w:eastAsiaTheme="minorEastAsia"/>
                <w:color w:val="000000" w:themeColor="text1"/>
                <w:szCs w:val="21"/>
              </w:rPr>
              <w:t>0.49%</w:t>
            </w:r>
          </w:p>
        </w:tc>
        <w:tc>
          <w:tcPr>
            <w:tcW w:w="1291" w:type="dxa"/>
            <w:vAlign w:val="center"/>
          </w:tcPr>
          <w:p w:rsidR="00445944" w:rsidRDefault="007451A0">
            <w:pPr>
              <w:jc w:val="right"/>
            </w:pPr>
            <w:r>
              <w:rPr>
                <w:rFonts w:eastAsiaTheme="minorEastAsia"/>
                <w:color w:val="000000" w:themeColor="text1"/>
                <w:szCs w:val="21"/>
              </w:rPr>
              <w:t>0.46%</w:t>
            </w:r>
          </w:p>
        </w:tc>
        <w:tc>
          <w:tcPr>
            <w:tcW w:w="1291" w:type="dxa"/>
            <w:vAlign w:val="center"/>
          </w:tcPr>
          <w:p w:rsidR="00445944" w:rsidRDefault="007451A0">
            <w:pPr>
              <w:jc w:val="right"/>
            </w:pPr>
            <w:r>
              <w:rPr>
                <w:rFonts w:eastAsiaTheme="minorEastAsia"/>
                <w:color w:val="000000" w:themeColor="text1"/>
                <w:szCs w:val="21"/>
              </w:rPr>
              <w:t>-3.61%</w:t>
            </w:r>
          </w:p>
        </w:tc>
        <w:tc>
          <w:tcPr>
            <w:tcW w:w="1291" w:type="dxa"/>
            <w:vAlign w:val="center"/>
          </w:tcPr>
          <w:p w:rsidR="00445944" w:rsidRDefault="007451A0">
            <w:pPr>
              <w:jc w:val="right"/>
            </w:pPr>
            <w:r>
              <w:rPr>
                <w:rFonts w:eastAsiaTheme="minorEastAsia"/>
                <w:color w:val="000000" w:themeColor="text1"/>
                <w:szCs w:val="21"/>
              </w:rPr>
              <w:t>0.06%</w:t>
            </w:r>
          </w:p>
        </w:tc>
      </w:tr>
      <w:tr w:rsidR="00445944">
        <w:tc>
          <w:tcPr>
            <w:tcW w:w="1290" w:type="dxa"/>
            <w:vAlign w:val="center"/>
          </w:tcPr>
          <w:p w:rsidR="00445944" w:rsidRDefault="007451A0">
            <w:pPr>
              <w:jc w:val="left"/>
            </w:pPr>
            <w:r>
              <w:rPr>
                <w:rFonts w:eastAsiaTheme="minorEastAsia"/>
                <w:color w:val="000000" w:themeColor="text1"/>
                <w:szCs w:val="21"/>
              </w:rPr>
              <w:t>过去三年</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r>
      <w:tr w:rsidR="00445944">
        <w:tc>
          <w:tcPr>
            <w:tcW w:w="1290" w:type="dxa"/>
            <w:vAlign w:val="center"/>
          </w:tcPr>
          <w:p w:rsidR="00445944" w:rsidRDefault="007451A0">
            <w:pPr>
              <w:jc w:val="left"/>
            </w:pPr>
            <w:r>
              <w:rPr>
                <w:rFonts w:eastAsiaTheme="minorEastAsia"/>
                <w:color w:val="000000" w:themeColor="text1"/>
                <w:szCs w:val="21"/>
              </w:rPr>
              <w:t>过去五年</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r>
      <w:tr w:rsidR="00445944">
        <w:tc>
          <w:tcPr>
            <w:tcW w:w="1290" w:type="dxa"/>
            <w:vAlign w:val="center"/>
          </w:tcPr>
          <w:p w:rsidR="00445944" w:rsidRDefault="007451A0">
            <w:pPr>
              <w:jc w:val="left"/>
            </w:pPr>
            <w:r>
              <w:rPr>
                <w:rFonts w:eastAsiaTheme="minorEastAsia"/>
                <w:color w:val="000000" w:themeColor="text1"/>
                <w:szCs w:val="21"/>
              </w:rPr>
              <w:t>自基金合同生效起至今</w:t>
            </w:r>
          </w:p>
        </w:tc>
        <w:tc>
          <w:tcPr>
            <w:tcW w:w="1291" w:type="dxa"/>
            <w:vAlign w:val="center"/>
          </w:tcPr>
          <w:p w:rsidR="00445944" w:rsidRDefault="007451A0">
            <w:pPr>
              <w:jc w:val="right"/>
            </w:pPr>
            <w:r>
              <w:rPr>
                <w:rFonts w:eastAsiaTheme="minorEastAsia"/>
                <w:color w:val="000000" w:themeColor="text1"/>
                <w:szCs w:val="21"/>
              </w:rPr>
              <w:t>-8.31%</w:t>
            </w:r>
          </w:p>
        </w:tc>
        <w:tc>
          <w:tcPr>
            <w:tcW w:w="1291" w:type="dxa"/>
            <w:vAlign w:val="center"/>
          </w:tcPr>
          <w:p w:rsidR="00445944" w:rsidRDefault="007451A0">
            <w:pPr>
              <w:jc w:val="right"/>
            </w:pPr>
            <w:r>
              <w:rPr>
                <w:rFonts w:eastAsiaTheme="minorEastAsia"/>
                <w:color w:val="000000" w:themeColor="text1"/>
                <w:szCs w:val="21"/>
              </w:rPr>
              <w:t>0.47%</w:t>
            </w:r>
          </w:p>
        </w:tc>
        <w:tc>
          <w:tcPr>
            <w:tcW w:w="1291" w:type="dxa"/>
            <w:vAlign w:val="center"/>
          </w:tcPr>
          <w:p w:rsidR="00445944" w:rsidRDefault="007451A0">
            <w:pPr>
              <w:jc w:val="right"/>
            </w:pPr>
            <w:r>
              <w:rPr>
                <w:rFonts w:eastAsiaTheme="minorEastAsia"/>
                <w:color w:val="000000" w:themeColor="text1"/>
                <w:szCs w:val="21"/>
              </w:rPr>
              <w:t>2.90%</w:t>
            </w:r>
          </w:p>
        </w:tc>
        <w:tc>
          <w:tcPr>
            <w:tcW w:w="1291" w:type="dxa"/>
            <w:vAlign w:val="center"/>
          </w:tcPr>
          <w:p w:rsidR="00445944" w:rsidRDefault="007451A0">
            <w:pPr>
              <w:jc w:val="right"/>
            </w:pPr>
            <w:r>
              <w:rPr>
                <w:rFonts w:eastAsiaTheme="minorEastAsia"/>
                <w:color w:val="000000" w:themeColor="text1"/>
                <w:szCs w:val="21"/>
              </w:rPr>
              <w:t>0.49%</w:t>
            </w:r>
          </w:p>
        </w:tc>
        <w:tc>
          <w:tcPr>
            <w:tcW w:w="1291" w:type="dxa"/>
            <w:vAlign w:val="center"/>
          </w:tcPr>
          <w:p w:rsidR="00445944" w:rsidRDefault="007451A0">
            <w:pPr>
              <w:jc w:val="right"/>
            </w:pPr>
            <w:r>
              <w:rPr>
                <w:rFonts w:eastAsiaTheme="minorEastAsia"/>
                <w:color w:val="000000" w:themeColor="text1"/>
                <w:szCs w:val="21"/>
              </w:rPr>
              <w:t>-11.21%</w:t>
            </w:r>
          </w:p>
        </w:tc>
        <w:tc>
          <w:tcPr>
            <w:tcW w:w="1291" w:type="dxa"/>
            <w:vAlign w:val="center"/>
          </w:tcPr>
          <w:p w:rsidR="00445944" w:rsidRDefault="007451A0">
            <w:pPr>
              <w:jc w:val="right"/>
            </w:pPr>
            <w:r>
              <w:rPr>
                <w:rFonts w:eastAsiaTheme="minorEastAsia"/>
                <w:color w:val="000000" w:themeColor="text1"/>
                <w:szCs w:val="21"/>
              </w:rPr>
              <w:t>-0.02%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摩根博睿均衡一年持有混合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45944">
        <w:tc>
          <w:tcPr>
            <w:tcW w:w="1290" w:type="dxa"/>
            <w:vAlign w:val="center"/>
          </w:tcPr>
          <w:p w:rsidR="00445944" w:rsidRDefault="007451A0">
            <w:pPr>
              <w:jc w:val="left"/>
            </w:pPr>
            <w:r>
              <w:rPr>
                <w:rFonts w:eastAsiaTheme="minorEastAsia"/>
                <w:color w:val="000000" w:themeColor="text1"/>
                <w:szCs w:val="21"/>
              </w:rPr>
              <w:t>过去三个月</w:t>
            </w:r>
          </w:p>
        </w:tc>
        <w:tc>
          <w:tcPr>
            <w:tcW w:w="1291" w:type="dxa"/>
            <w:vAlign w:val="center"/>
          </w:tcPr>
          <w:p w:rsidR="00445944" w:rsidRDefault="007451A0">
            <w:pPr>
              <w:jc w:val="right"/>
            </w:pPr>
            <w:r>
              <w:rPr>
                <w:rFonts w:eastAsiaTheme="minorEastAsia"/>
                <w:color w:val="000000" w:themeColor="text1"/>
                <w:szCs w:val="21"/>
              </w:rPr>
              <w:t>-3.47%</w:t>
            </w:r>
          </w:p>
        </w:tc>
        <w:tc>
          <w:tcPr>
            <w:tcW w:w="1291" w:type="dxa"/>
            <w:vAlign w:val="center"/>
          </w:tcPr>
          <w:p w:rsidR="00445944" w:rsidRDefault="007451A0">
            <w:pPr>
              <w:jc w:val="right"/>
            </w:pPr>
            <w:r>
              <w:rPr>
                <w:rFonts w:eastAsiaTheme="minorEastAsia"/>
                <w:color w:val="000000" w:themeColor="text1"/>
                <w:szCs w:val="21"/>
              </w:rPr>
              <w:t>0.59%</w:t>
            </w:r>
          </w:p>
        </w:tc>
        <w:tc>
          <w:tcPr>
            <w:tcW w:w="1291" w:type="dxa"/>
            <w:vAlign w:val="center"/>
          </w:tcPr>
          <w:p w:rsidR="00445944" w:rsidRDefault="007451A0">
            <w:pPr>
              <w:jc w:val="right"/>
            </w:pPr>
            <w:r>
              <w:rPr>
                <w:rFonts w:eastAsiaTheme="minorEastAsia"/>
                <w:color w:val="000000" w:themeColor="text1"/>
                <w:szCs w:val="21"/>
              </w:rPr>
              <w:t>-1.81%</w:t>
            </w:r>
          </w:p>
        </w:tc>
        <w:tc>
          <w:tcPr>
            <w:tcW w:w="1291" w:type="dxa"/>
            <w:vAlign w:val="center"/>
          </w:tcPr>
          <w:p w:rsidR="00445944" w:rsidRDefault="007451A0">
            <w:pPr>
              <w:jc w:val="right"/>
            </w:pPr>
            <w:r>
              <w:rPr>
                <w:rFonts w:eastAsiaTheme="minorEastAsia"/>
                <w:color w:val="000000" w:themeColor="text1"/>
                <w:szCs w:val="21"/>
              </w:rPr>
              <w:t>0.43%</w:t>
            </w:r>
          </w:p>
        </w:tc>
        <w:tc>
          <w:tcPr>
            <w:tcW w:w="1291" w:type="dxa"/>
            <w:vAlign w:val="center"/>
          </w:tcPr>
          <w:p w:rsidR="00445944" w:rsidRDefault="007451A0">
            <w:pPr>
              <w:jc w:val="right"/>
            </w:pPr>
            <w:r>
              <w:rPr>
                <w:rFonts w:eastAsiaTheme="minorEastAsia"/>
                <w:color w:val="000000" w:themeColor="text1"/>
                <w:szCs w:val="21"/>
              </w:rPr>
              <w:t>-1.66%</w:t>
            </w:r>
          </w:p>
        </w:tc>
        <w:tc>
          <w:tcPr>
            <w:tcW w:w="1291" w:type="dxa"/>
            <w:vAlign w:val="center"/>
          </w:tcPr>
          <w:p w:rsidR="00445944" w:rsidRDefault="007451A0">
            <w:pPr>
              <w:jc w:val="right"/>
            </w:pPr>
            <w:r>
              <w:rPr>
                <w:rFonts w:eastAsiaTheme="minorEastAsia"/>
                <w:color w:val="000000" w:themeColor="text1"/>
                <w:szCs w:val="21"/>
              </w:rPr>
              <w:t>0.16%</w:t>
            </w:r>
          </w:p>
        </w:tc>
      </w:tr>
      <w:tr w:rsidR="00445944">
        <w:tc>
          <w:tcPr>
            <w:tcW w:w="1290" w:type="dxa"/>
            <w:vAlign w:val="center"/>
          </w:tcPr>
          <w:p w:rsidR="00445944" w:rsidRDefault="007451A0">
            <w:pPr>
              <w:jc w:val="left"/>
            </w:pPr>
            <w:r>
              <w:rPr>
                <w:rFonts w:eastAsiaTheme="minorEastAsia"/>
                <w:color w:val="000000" w:themeColor="text1"/>
                <w:szCs w:val="21"/>
              </w:rPr>
              <w:t>过去六个月</w:t>
            </w:r>
          </w:p>
        </w:tc>
        <w:tc>
          <w:tcPr>
            <w:tcW w:w="1291" w:type="dxa"/>
            <w:vAlign w:val="center"/>
          </w:tcPr>
          <w:p w:rsidR="00445944" w:rsidRDefault="007451A0">
            <w:pPr>
              <w:jc w:val="right"/>
            </w:pPr>
            <w:r>
              <w:rPr>
                <w:rFonts w:eastAsiaTheme="minorEastAsia"/>
                <w:color w:val="000000" w:themeColor="text1"/>
                <w:szCs w:val="21"/>
              </w:rPr>
              <w:t>-5.79%</w:t>
            </w:r>
          </w:p>
        </w:tc>
        <w:tc>
          <w:tcPr>
            <w:tcW w:w="1291" w:type="dxa"/>
            <w:vAlign w:val="center"/>
          </w:tcPr>
          <w:p w:rsidR="00445944" w:rsidRDefault="007451A0">
            <w:pPr>
              <w:jc w:val="right"/>
            </w:pPr>
            <w:r>
              <w:rPr>
                <w:rFonts w:eastAsiaTheme="minorEastAsia"/>
                <w:color w:val="000000" w:themeColor="text1"/>
                <w:szCs w:val="21"/>
              </w:rPr>
              <w:t>0.56%</w:t>
            </w:r>
          </w:p>
        </w:tc>
        <w:tc>
          <w:tcPr>
            <w:tcW w:w="1291" w:type="dxa"/>
            <w:vAlign w:val="center"/>
          </w:tcPr>
          <w:p w:rsidR="00445944" w:rsidRDefault="007451A0">
            <w:pPr>
              <w:jc w:val="right"/>
            </w:pPr>
            <w:r>
              <w:rPr>
                <w:rFonts w:eastAsiaTheme="minorEastAsia"/>
                <w:color w:val="000000" w:themeColor="text1"/>
                <w:szCs w:val="21"/>
              </w:rPr>
              <w:t>-3.68%</w:t>
            </w:r>
          </w:p>
        </w:tc>
        <w:tc>
          <w:tcPr>
            <w:tcW w:w="1291" w:type="dxa"/>
            <w:vAlign w:val="center"/>
          </w:tcPr>
          <w:p w:rsidR="00445944" w:rsidRDefault="007451A0">
            <w:pPr>
              <w:jc w:val="right"/>
            </w:pPr>
            <w:r>
              <w:rPr>
                <w:rFonts w:eastAsiaTheme="minorEastAsia"/>
                <w:color w:val="000000" w:themeColor="text1"/>
                <w:szCs w:val="21"/>
              </w:rPr>
              <w:t>0.41%</w:t>
            </w:r>
          </w:p>
        </w:tc>
        <w:tc>
          <w:tcPr>
            <w:tcW w:w="1291" w:type="dxa"/>
            <w:vAlign w:val="center"/>
          </w:tcPr>
          <w:p w:rsidR="00445944" w:rsidRDefault="007451A0">
            <w:pPr>
              <w:jc w:val="right"/>
            </w:pPr>
            <w:r>
              <w:rPr>
                <w:rFonts w:eastAsiaTheme="minorEastAsia"/>
                <w:color w:val="000000" w:themeColor="text1"/>
                <w:szCs w:val="21"/>
              </w:rPr>
              <w:t>-2.11%</w:t>
            </w:r>
          </w:p>
        </w:tc>
        <w:tc>
          <w:tcPr>
            <w:tcW w:w="1291" w:type="dxa"/>
            <w:vAlign w:val="center"/>
          </w:tcPr>
          <w:p w:rsidR="00445944" w:rsidRDefault="007451A0">
            <w:pPr>
              <w:jc w:val="right"/>
            </w:pPr>
            <w:r>
              <w:rPr>
                <w:rFonts w:eastAsiaTheme="minorEastAsia"/>
                <w:color w:val="000000" w:themeColor="text1"/>
                <w:szCs w:val="21"/>
              </w:rPr>
              <w:t>0.15%</w:t>
            </w:r>
          </w:p>
        </w:tc>
      </w:tr>
      <w:tr w:rsidR="00445944">
        <w:tc>
          <w:tcPr>
            <w:tcW w:w="1290" w:type="dxa"/>
            <w:vAlign w:val="center"/>
          </w:tcPr>
          <w:p w:rsidR="00445944" w:rsidRDefault="007451A0">
            <w:pPr>
              <w:jc w:val="left"/>
            </w:pPr>
            <w:r>
              <w:rPr>
                <w:rFonts w:eastAsiaTheme="minorEastAsia"/>
                <w:color w:val="000000" w:themeColor="text1"/>
                <w:szCs w:val="21"/>
              </w:rPr>
              <w:t>过去一年</w:t>
            </w:r>
          </w:p>
        </w:tc>
        <w:tc>
          <w:tcPr>
            <w:tcW w:w="1291" w:type="dxa"/>
            <w:vAlign w:val="center"/>
          </w:tcPr>
          <w:p w:rsidR="00445944" w:rsidRDefault="007451A0">
            <w:pPr>
              <w:jc w:val="right"/>
            </w:pPr>
            <w:r>
              <w:rPr>
                <w:rFonts w:eastAsiaTheme="minorEastAsia"/>
                <w:color w:val="000000" w:themeColor="text1"/>
                <w:szCs w:val="21"/>
              </w:rPr>
              <w:t>-3.60%</w:t>
            </w:r>
          </w:p>
        </w:tc>
        <w:tc>
          <w:tcPr>
            <w:tcW w:w="1291" w:type="dxa"/>
            <w:vAlign w:val="center"/>
          </w:tcPr>
          <w:p w:rsidR="00445944" w:rsidRDefault="007451A0">
            <w:pPr>
              <w:jc w:val="right"/>
            </w:pPr>
            <w:r>
              <w:rPr>
                <w:rFonts w:eastAsiaTheme="minorEastAsia"/>
                <w:color w:val="000000" w:themeColor="text1"/>
                <w:szCs w:val="21"/>
              </w:rPr>
              <w:t>0.52%</w:t>
            </w:r>
          </w:p>
        </w:tc>
        <w:tc>
          <w:tcPr>
            <w:tcW w:w="1291" w:type="dxa"/>
            <w:vAlign w:val="center"/>
          </w:tcPr>
          <w:p w:rsidR="00445944" w:rsidRDefault="007451A0">
            <w:pPr>
              <w:jc w:val="right"/>
            </w:pPr>
            <w:r>
              <w:rPr>
                <w:rFonts w:eastAsiaTheme="minorEastAsia"/>
                <w:color w:val="000000" w:themeColor="text1"/>
                <w:szCs w:val="21"/>
              </w:rPr>
              <w:t>0.49%</w:t>
            </w:r>
          </w:p>
        </w:tc>
        <w:tc>
          <w:tcPr>
            <w:tcW w:w="1291" w:type="dxa"/>
            <w:vAlign w:val="center"/>
          </w:tcPr>
          <w:p w:rsidR="00445944" w:rsidRDefault="007451A0">
            <w:pPr>
              <w:jc w:val="right"/>
            </w:pPr>
            <w:r>
              <w:rPr>
                <w:rFonts w:eastAsiaTheme="minorEastAsia"/>
                <w:color w:val="000000" w:themeColor="text1"/>
                <w:szCs w:val="21"/>
              </w:rPr>
              <w:t>0.46%</w:t>
            </w:r>
          </w:p>
        </w:tc>
        <w:tc>
          <w:tcPr>
            <w:tcW w:w="1291" w:type="dxa"/>
            <w:vAlign w:val="center"/>
          </w:tcPr>
          <w:p w:rsidR="00445944" w:rsidRDefault="007451A0">
            <w:pPr>
              <w:jc w:val="right"/>
            </w:pPr>
            <w:r>
              <w:rPr>
                <w:rFonts w:eastAsiaTheme="minorEastAsia"/>
                <w:color w:val="000000" w:themeColor="text1"/>
                <w:szCs w:val="21"/>
              </w:rPr>
              <w:t>-4.09%</w:t>
            </w:r>
          </w:p>
        </w:tc>
        <w:tc>
          <w:tcPr>
            <w:tcW w:w="1291" w:type="dxa"/>
            <w:vAlign w:val="center"/>
          </w:tcPr>
          <w:p w:rsidR="00445944" w:rsidRDefault="007451A0">
            <w:pPr>
              <w:jc w:val="right"/>
            </w:pPr>
            <w:r>
              <w:rPr>
                <w:rFonts w:eastAsiaTheme="minorEastAsia"/>
                <w:color w:val="000000" w:themeColor="text1"/>
                <w:szCs w:val="21"/>
              </w:rPr>
              <w:t>0.06%</w:t>
            </w:r>
          </w:p>
        </w:tc>
      </w:tr>
      <w:tr w:rsidR="00445944">
        <w:tc>
          <w:tcPr>
            <w:tcW w:w="1290" w:type="dxa"/>
            <w:vAlign w:val="center"/>
          </w:tcPr>
          <w:p w:rsidR="00445944" w:rsidRDefault="007451A0">
            <w:pPr>
              <w:jc w:val="left"/>
            </w:pPr>
            <w:r>
              <w:rPr>
                <w:rFonts w:eastAsiaTheme="minorEastAsia"/>
                <w:color w:val="000000" w:themeColor="text1"/>
                <w:szCs w:val="21"/>
              </w:rPr>
              <w:t>过去三年</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r>
      <w:tr w:rsidR="00445944">
        <w:tc>
          <w:tcPr>
            <w:tcW w:w="1290" w:type="dxa"/>
            <w:vAlign w:val="center"/>
          </w:tcPr>
          <w:p w:rsidR="00445944" w:rsidRDefault="007451A0">
            <w:pPr>
              <w:jc w:val="left"/>
            </w:pPr>
            <w:r>
              <w:rPr>
                <w:rFonts w:eastAsiaTheme="minorEastAsia"/>
                <w:color w:val="000000" w:themeColor="text1"/>
                <w:szCs w:val="21"/>
              </w:rPr>
              <w:t>过去五年</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c>
          <w:tcPr>
            <w:tcW w:w="1291" w:type="dxa"/>
            <w:vAlign w:val="center"/>
          </w:tcPr>
          <w:p w:rsidR="00445944" w:rsidRDefault="007451A0">
            <w:pPr>
              <w:jc w:val="right"/>
            </w:pPr>
            <w:r>
              <w:rPr>
                <w:rFonts w:eastAsiaTheme="minorEastAsia"/>
                <w:color w:val="000000" w:themeColor="text1"/>
                <w:szCs w:val="21"/>
              </w:rPr>
              <w:t>-</w:t>
            </w:r>
          </w:p>
        </w:tc>
      </w:tr>
      <w:tr w:rsidR="00445944">
        <w:tc>
          <w:tcPr>
            <w:tcW w:w="1290" w:type="dxa"/>
            <w:vAlign w:val="center"/>
          </w:tcPr>
          <w:p w:rsidR="00445944" w:rsidRDefault="007451A0">
            <w:pPr>
              <w:jc w:val="left"/>
            </w:pPr>
            <w:r>
              <w:rPr>
                <w:rFonts w:eastAsiaTheme="minorEastAsia"/>
                <w:color w:val="000000" w:themeColor="text1"/>
                <w:szCs w:val="21"/>
              </w:rPr>
              <w:t>自基金合同生效起至今</w:t>
            </w:r>
          </w:p>
        </w:tc>
        <w:tc>
          <w:tcPr>
            <w:tcW w:w="1291" w:type="dxa"/>
            <w:vAlign w:val="center"/>
          </w:tcPr>
          <w:p w:rsidR="00445944" w:rsidRDefault="007451A0">
            <w:pPr>
              <w:jc w:val="right"/>
            </w:pPr>
            <w:r>
              <w:rPr>
                <w:rFonts w:eastAsiaTheme="minorEastAsia"/>
                <w:color w:val="000000" w:themeColor="text1"/>
                <w:szCs w:val="21"/>
              </w:rPr>
              <w:t>-8.96%</w:t>
            </w:r>
          </w:p>
        </w:tc>
        <w:tc>
          <w:tcPr>
            <w:tcW w:w="1291" w:type="dxa"/>
            <w:vAlign w:val="center"/>
          </w:tcPr>
          <w:p w:rsidR="00445944" w:rsidRDefault="007451A0">
            <w:pPr>
              <w:jc w:val="right"/>
            </w:pPr>
            <w:r>
              <w:rPr>
                <w:rFonts w:eastAsiaTheme="minorEastAsia"/>
                <w:color w:val="000000" w:themeColor="text1"/>
                <w:szCs w:val="21"/>
              </w:rPr>
              <w:t>0.47%</w:t>
            </w:r>
          </w:p>
        </w:tc>
        <w:tc>
          <w:tcPr>
            <w:tcW w:w="1291" w:type="dxa"/>
            <w:vAlign w:val="center"/>
          </w:tcPr>
          <w:p w:rsidR="00445944" w:rsidRDefault="007451A0">
            <w:pPr>
              <w:jc w:val="right"/>
            </w:pPr>
            <w:r>
              <w:rPr>
                <w:rFonts w:eastAsiaTheme="minorEastAsia"/>
                <w:color w:val="000000" w:themeColor="text1"/>
                <w:szCs w:val="21"/>
              </w:rPr>
              <w:t>2.90%</w:t>
            </w:r>
          </w:p>
        </w:tc>
        <w:tc>
          <w:tcPr>
            <w:tcW w:w="1291" w:type="dxa"/>
            <w:vAlign w:val="center"/>
          </w:tcPr>
          <w:p w:rsidR="00445944" w:rsidRDefault="007451A0">
            <w:pPr>
              <w:jc w:val="right"/>
            </w:pPr>
            <w:r>
              <w:rPr>
                <w:rFonts w:eastAsiaTheme="minorEastAsia"/>
                <w:color w:val="000000" w:themeColor="text1"/>
                <w:szCs w:val="21"/>
              </w:rPr>
              <w:t>0.49%</w:t>
            </w:r>
          </w:p>
        </w:tc>
        <w:tc>
          <w:tcPr>
            <w:tcW w:w="1291" w:type="dxa"/>
            <w:vAlign w:val="center"/>
          </w:tcPr>
          <w:p w:rsidR="00445944" w:rsidRDefault="007451A0">
            <w:pPr>
              <w:jc w:val="right"/>
            </w:pPr>
            <w:r>
              <w:rPr>
                <w:rFonts w:eastAsiaTheme="minorEastAsia"/>
                <w:color w:val="000000" w:themeColor="text1"/>
                <w:szCs w:val="21"/>
              </w:rPr>
              <w:t>-11.86%</w:t>
            </w:r>
          </w:p>
        </w:tc>
        <w:tc>
          <w:tcPr>
            <w:tcW w:w="1291" w:type="dxa"/>
            <w:vAlign w:val="center"/>
          </w:tcPr>
          <w:p w:rsidR="00445944" w:rsidRDefault="007451A0">
            <w:pPr>
              <w:jc w:val="right"/>
            </w:pPr>
            <w:r>
              <w:rPr>
                <w:rFonts w:eastAsiaTheme="minorEastAsia"/>
                <w:color w:val="000000" w:themeColor="text1"/>
                <w:szCs w:val="21"/>
              </w:rPr>
              <w:t>-0.02%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摩根博睿均衡一年持有期混合型基金中基金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．摩根博睿均衡一年持有混合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．摩根博睿均衡一年持有混合</w:t>
      </w:r>
      <w:r w:rsidRPr="00B27A29">
        <w:rPr>
          <w:rFonts w:eastAsiaTheme="minorEastAsia"/>
          <w:color w:val="000000" w:themeColor="text1"/>
          <w:szCs w:val="21"/>
        </w:rPr>
        <w:t>(FOF)C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45944">
        <w:tc>
          <w:tcPr>
            <w:tcW w:w="952" w:type="dxa"/>
            <w:vAlign w:val="center"/>
          </w:tcPr>
          <w:p w:rsidR="00445944" w:rsidRDefault="007451A0">
            <w:pPr>
              <w:jc w:val="center"/>
            </w:pPr>
            <w:r>
              <w:rPr>
                <w:rFonts w:eastAsiaTheme="minorEastAsia"/>
                <w:color w:val="000000" w:themeColor="text1"/>
                <w:szCs w:val="21"/>
              </w:rPr>
              <w:t>杜习杰</w:t>
            </w:r>
          </w:p>
        </w:tc>
        <w:tc>
          <w:tcPr>
            <w:tcW w:w="930" w:type="dxa"/>
            <w:vAlign w:val="center"/>
          </w:tcPr>
          <w:p w:rsidR="00445944" w:rsidRDefault="007451A0">
            <w:pPr>
              <w:jc w:val="center"/>
            </w:pPr>
            <w:r>
              <w:rPr>
                <w:rFonts w:eastAsiaTheme="minorEastAsia"/>
                <w:color w:val="000000" w:themeColor="text1"/>
                <w:szCs w:val="21"/>
              </w:rPr>
              <w:t>本基金基金经理</w:t>
            </w:r>
          </w:p>
        </w:tc>
        <w:tc>
          <w:tcPr>
            <w:tcW w:w="1210" w:type="dxa"/>
            <w:vAlign w:val="center"/>
          </w:tcPr>
          <w:p w:rsidR="00445944" w:rsidRDefault="007451A0">
            <w:pPr>
              <w:jc w:val="center"/>
            </w:pPr>
            <w:r>
              <w:rPr>
                <w:rFonts w:eastAsiaTheme="minorEastAsia"/>
                <w:color w:val="000000" w:themeColor="text1"/>
                <w:szCs w:val="21"/>
              </w:rPr>
              <w:t>2022-04-27</w:t>
            </w:r>
          </w:p>
        </w:tc>
        <w:tc>
          <w:tcPr>
            <w:tcW w:w="1309" w:type="dxa"/>
            <w:vAlign w:val="center"/>
          </w:tcPr>
          <w:p w:rsidR="00445944" w:rsidRDefault="007451A0">
            <w:pPr>
              <w:jc w:val="center"/>
            </w:pPr>
            <w:r>
              <w:rPr>
                <w:rFonts w:eastAsiaTheme="minorEastAsia"/>
                <w:color w:val="000000" w:themeColor="text1"/>
                <w:szCs w:val="21"/>
              </w:rPr>
              <w:t>-</w:t>
            </w:r>
          </w:p>
        </w:tc>
        <w:tc>
          <w:tcPr>
            <w:tcW w:w="1254" w:type="dxa"/>
            <w:vAlign w:val="center"/>
          </w:tcPr>
          <w:p w:rsidR="00445944" w:rsidRDefault="007451A0">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445944" w:rsidRDefault="007451A0">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445944">
        <w:tc>
          <w:tcPr>
            <w:tcW w:w="952" w:type="dxa"/>
            <w:vAlign w:val="center"/>
          </w:tcPr>
          <w:p w:rsidR="00445944" w:rsidRDefault="007451A0">
            <w:pPr>
              <w:jc w:val="center"/>
            </w:pPr>
            <w:r>
              <w:rPr>
                <w:rFonts w:eastAsiaTheme="minorEastAsia"/>
                <w:color w:val="000000" w:themeColor="text1"/>
                <w:szCs w:val="21"/>
              </w:rPr>
              <w:t>吴春杰</w:t>
            </w:r>
          </w:p>
        </w:tc>
        <w:tc>
          <w:tcPr>
            <w:tcW w:w="930" w:type="dxa"/>
            <w:vAlign w:val="center"/>
          </w:tcPr>
          <w:p w:rsidR="00445944" w:rsidRDefault="007451A0">
            <w:pPr>
              <w:jc w:val="center"/>
            </w:pPr>
            <w:r>
              <w:rPr>
                <w:rFonts w:eastAsiaTheme="minorEastAsia"/>
                <w:color w:val="000000" w:themeColor="text1"/>
                <w:szCs w:val="21"/>
              </w:rPr>
              <w:t>本基金基金经理</w:t>
            </w:r>
          </w:p>
        </w:tc>
        <w:tc>
          <w:tcPr>
            <w:tcW w:w="1210" w:type="dxa"/>
            <w:vAlign w:val="center"/>
          </w:tcPr>
          <w:p w:rsidR="00445944" w:rsidRDefault="007451A0">
            <w:pPr>
              <w:jc w:val="center"/>
            </w:pPr>
            <w:r>
              <w:rPr>
                <w:rFonts w:eastAsiaTheme="minorEastAsia"/>
                <w:color w:val="000000" w:themeColor="text1"/>
                <w:szCs w:val="21"/>
              </w:rPr>
              <w:t>2022-11-11</w:t>
            </w:r>
          </w:p>
        </w:tc>
        <w:tc>
          <w:tcPr>
            <w:tcW w:w="1309" w:type="dxa"/>
            <w:vAlign w:val="center"/>
          </w:tcPr>
          <w:p w:rsidR="00445944" w:rsidRDefault="007451A0">
            <w:pPr>
              <w:jc w:val="center"/>
            </w:pPr>
            <w:r>
              <w:rPr>
                <w:rFonts w:eastAsiaTheme="minorEastAsia"/>
                <w:color w:val="000000" w:themeColor="text1"/>
                <w:szCs w:val="21"/>
              </w:rPr>
              <w:t>-</w:t>
            </w:r>
          </w:p>
        </w:tc>
        <w:tc>
          <w:tcPr>
            <w:tcW w:w="1254" w:type="dxa"/>
            <w:vAlign w:val="center"/>
          </w:tcPr>
          <w:p w:rsidR="00445944" w:rsidRDefault="007451A0">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445944" w:rsidRDefault="007451A0">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w:t>
            </w:r>
            <w:r>
              <w:rPr>
                <w:rFonts w:eastAsiaTheme="minorEastAsia"/>
                <w:color w:val="000000" w:themeColor="text1"/>
                <w:szCs w:val="21"/>
              </w:rPr>
              <w:lastRenderedPageBreak/>
              <w:t>基金管理有限公司），历任宏观研究员，现任高级基金经理。</w:t>
            </w:r>
          </w:p>
        </w:tc>
      </w:tr>
      <w:tr w:rsidR="00445944">
        <w:tc>
          <w:tcPr>
            <w:tcW w:w="952" w:type="dxa"/>
            <w:vAlign w:val="center"/>
          </w:tcPr>
          <w:p w:rsidR="00445944" w:rsidRDefault="007451A0">
            <w:pPr>
              <w:jc w:val="center"/>
            </w:pPr>
            <w:r>
              <w:rPr>
                <w:rFonts w:eastAsiaTheme="minorEastAsia"/>
                <w:color w:val="000000" w:themeColor="text1"/>
                <w:szCs w:val="21"/>
              </w:rPr>
              <w:lastRenderedPageBreak/>
              <w:t>恩学海</w:t>
            </w:r>
          </w:p>
        </w:tc>
        <w:tc>
          <w:tcPr>
            <w:tcW w:w="930" w:type="dxa"/>
            <w:vAlign w:val="center"/>
          </w:tcPr>
          <w:p w:rsidR="00445944" w:rsidRDefault="007451A0">
            <w:pPr>
              <w:jc w:val="center"/>
            </w:pPr>
            <w:r>
              <w:rPr>
                <w:rFonts w:eastAsiaTheme="minorEastAsia"/>
                <w:color w:val="000000" w:themeColor="text1"/>
                <w:szCs w:val="21"/>
              </w:rPr>
              <w:t>本基金基金经理、资产配置及退休金管理首席投资官</w:t>
            </w:r>
          </w:p>
        </w:tc>
        <w:tc>
          <w:tcPr>
            <w:tcW w:w="1210" w:type="dxa"/>
            <w:vAlign w:val="center"/>
          </w:tcPr>
          <w:p w:rsidR="00445944" w:rsidRDefault="007451A0">
            <w:pPr>
              <w:jc w:val="center"/>
            </w:pPr>
            <w:r>
              <w:rPr>
                <w:rFonts w:eastAsiaTheme="minorEastAsia"/>
                <w:color w:val="000000" w:themeColor="text1"/>
                <w:szCs w:val="21"/>
              </w:rPr>
              <w:t>2022-04-27</w:t>
            </w:r>
          </w:p>
        </w:tc>
        <w:tc>
          <w:tcPr>
            <w:tcW w:w="1309" w:type="dxa"/>
            <w:vAlign w:val="center"/>
          </w:tcPr>
          <w:p w:rsidR="00445944" w:rsidRDefault="007451A0">
            <w:pPr>
              <w:jc w:val="center"/>
            </w:pPr>
            <w:r>
              <w:rPr>
                <w:rFonts w:eastAsiaTheme="minorEastAsia"/>
                <w:color w:val="000000" w:themeColor="text1"/>
                <w:szCs w:val="21"/>
              </w:rPr>
              <w:t>-</w:t>
            </w:r>
          </w:p>
        </w:tc>
        <w:tc>
          <w:tcPr>
            <w:tcW w:w="1254" w:type="dxa"/>
            <w:vAlign w:val="center"/>
          </w:tcPr>
          <w:p w:rsidR="00445944" w:rsidRDefault="007451A0">
            <w:pPr>
              <w:jc w:val="center"/>
            </w:pPr>
            <w:r>
              <w:rPr>
                <w:rFonts w:eastAsiaTheme="minorEastAsia"/>
                <w:color w:val="000000" w:themeColor="text1"/>
                <w:szCs w:val="21"/>
              </w:rPr>
              <w:t>28</w:t>
            </w:r>
            <w:r>
              <w:rPr>
                <w:rFonts w:eastAsiaTheme="minorEastAsia"/>
                <w:color w:val="000000" w:themeColor="text1"/>
                <w:szCs w:val="21"/>
              </w:rPr>
              <w:t>年</w:t>
            </w:r>
          </w:p>
        </w:tc>
        <w:tc>
          <w:tcPr>
            <w:tcW w:w="3276" w:type="dxa"/>
            <w:vAlign w:val="center"/>
          </w:tcPr>
          <w:p w:rsidR="00445944" w:rsidRDefault="007451A0">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年就职于美国富达投资集团，先后于资本市场部任高级程序设计和系统分析员、项目经理；于资产管理服务部任高级量化分析师；于战略顾问部、全球资产配置任基金经理、基金策略师；自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月加入摩根基金管理（中国）有限公司（原上投摩根基金管理有限公司），现任资产配置及退休金管理首席投资官。</w:t>
            </w:r>
          </w:p>
        </w:tc>
      </w:tr>
    </w:tbl>
    <w:p w:rsidR="00445944" w:rsidRDefault="007451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445944" w:rsidRDefault="007451A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恩学海先生、杜习杰先生为本基金首任基金经理，其任职日期指本基金基金合同生效之日。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w:t>
      </w:r>
      <w:r>
        <w:rPr>
          <w:rFonts w:eastAsiaTheme="minorEastAsia"/>
          <w:color w:val="000000" w:themeColor="text1"/>
          <w:szCs w:val="21"/>
        </w:rPr>
        <w:lastRenderedPageBreak/>
        <w:t>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回顾前三季度，一季度国内实际</w:t>
      </w:r>
      <w:r>
        <w:rPr>
          <w:rFonts w:eastAsiaTheme="minorEastAsia"/>
          <w:color w:val="000000" w:themeColor="text1"/>
          <w:szCs w:val="21"/>
        </w:rPr>
        <w:t>GDP</w:t>
      </w:r>
      <w:r>
        <w:rPr>
          <w:rFonts w:eastAsiaTheme="minorEastAsia"/>
          <w:color w:val="000000" w:themeColor="text1"/>
          <w:szCs w:val="21"/>
        </w:rPr>
        <w:t>同比</w:t>
      </w:r>
      <w:r>
        <w:rPr>
          <w:rFonts w:eastAsiaTheme="minorEastAsia"/>
          <w:color w:val="000000" w:themeColor="text1"/>
          <w:szCs w:val="21"/>
        </w:rPr>
        <w:t>+4.5%</w:t>
      </w:r>
      <w:r>
        <w:rPr>
          <w:rFonts w:eastAsiaTheme="minorEastAsia"/>
          <w:color w:val="000000" w:themeColor="text1"/>
          <w:szCs w:val="21"/>
        </w:rPr>
        <w:t>实现了良好的开局，低基数下二季度实际</w:t>
      </w:r>
      <w:r>
        <w:rPr>
          <w:rFonts w:eastAsiaTheme="minorEastAsia"/>
          <w:color w:val="000000" w:themeColor="text1"/>
          <w:szCs w:val="21"/>
        </w:rPr>
        <w:t>GDP</w:t>
      </w:r>
      <w:r>
        <w:rPr>
          <w:rFonts w:eastAsiaTheme="minorEastAsia"/>
          <w:color w:val="000000" w:themeColor="text1"/>
          <w:szCs w:val="21"/>
        </w:rPr>
        <w:t>增速回升至</w:t>
      </w:r>
      <w:r>
        <w:rPr>
          <w:rFonts w:eastAsiaTheme="minorEastAsia"/>
          <w:color w:val="000000" w:themeColor="text1"/>
          <w:szCs w:val="21"/>
        </w:rPr>
        <w:t>+6.3%</w:t>
      </w:r>
      <w:r>
        <w:rPr>
          <w:rFonts w:eastAsiaTheme="minorEastAsia"/>
          <w:color w:val="000000" w:themeColor="text1"/>
          <w:szCs w:val="21"/>
        </w:rPr>
        <w:t>略低于预期；</w:t>
      </w:r>
      <w:r>
        <w:rPr>
          <w:rFonts w:eastAsiaTheme="minorEastAsia"/>
          <w:color w:val="000000" w:themeColor="text1"/>
          <w:szCs w:val="21"/>
        </w:rPr>
        <w:t>7</w:t>
      </w:r>
      <w:r>
        <w:rPr>
          <w:rFonts w:eastAsiaTheme="minorEastAsia"/>
          <w:color w:val="000000" w:themeColor="text1"/>
          <w:szCs w:val="21"/>
        </w:rPr>
        <w:t>月底政治局会议以来多项稳经济政策落地，包括央行操作降准与降息、以一线城市调整</w:t>
      </w:r>
      <w:r>
        <w:rPr>
          <w:rFonts w:eastAsiaTheme="minorEastAsia"/>
          <w:color w:val="000000" w:themeColor="text1"/>
          <w:szCs w:val="21"/>
        </w:rPr>
        <w:t>“</w:t>
      </w:r>
      <w:r>
        <w:rPr>
          <w:rFonts w:eastAsiaTheme="minorEastAsia"/>
          <w:color w:val="000000" w:themeColor="text1"/>
          <w:szCs w:val="21"/>
        </w:rPr>
        <w:t>认房又认贷</w:t>
      </w:r>
      <w:r>
        <w:rPr>
          <w:rFonts w:eastAsiaTheme="minorEastAsia"/>
          <w:color w:val="000000" w:themeColor="text1"/>
          <w:szCs w:val="21"/>
        </w:rPr>
        <w:t>”</w:t>
      </w:r>
      <w:r>
        <w:rPr>
          <w:rFonts w:eastAsiaTheme="minorEastAsia"/>
          <w:color w:val="000000" w:themeColor="text1"/>
          <w:szCs w:val="21"/>
        </w:rPr>
        <w:t>为标志的房地产需求端政策放松等，市场主体对经济的信心处在逐步恢复的过程中。</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在政策预期改善与经济现实偏弱的组合状态中，三季度国内股票市场震荡走弱，中证</w:t>
      </w:r>
      <w:r>
        <w:rPr>
          <w:rFonts w:eastAsiaTheme="minorEastAsia"/>
          <w:color w:val="000000" w:themeColor="text1"/>
          <w:szCs w:val="21"/>
        </w:rPr>
        <w:t>800</w:t>
      </w:r>
      <w:r>
        <w:rPr>
          <w:rFonts w:eastAsiaTheme="minorEastAsia"/>
          <w:color w:val="000000" w:themeColor="text1"/>
          <w:szCs w:val="21"/>
        </w:rPr>
        <w:t>指数下跌</w:t>
      </w:r>
      <w:r>
        <w:rPr>
          <w:rFonts w:eastAsiaTheme="minorEastAsia"/>
          <w:color w:val="000000" w:themeColor="text1"/>
          <w:szCs w:val="21"/>
        </w:rPr>
        <w:t>-4.3%</w:t>
      </w:r>
      <w:r>
        <w:rPr>
          <w:rFonts w:eastAsiaTheme="minorEastAsia"/>
          <w:color w:val="000000" w:themeColor="text1"/>
          <w:szCs w:val="21"/>
        </w:rPr>
        <w:t>；海外加息周期尾声的高利率环境也对国内资产有边际的负面影响，</w:t>
      </w:r>
      <w:r>
        <w:rPr>
          <w:rFonts w:eastAsiaTheme="minorEastAsia"/>
          <w:color w:val="000000" w:themeColor="text1"/>
          <w:szCs w:val="21"/>
        </w:rPr>
        <w:t>A</w:t>
      </w:r>
      <w:r>
        <w:rPr>
          <w:rFonts w:eastAsiaTheme="minorEastAsia"/>
          <w:color w:val="000000" w:themeColor="text1"/>
          <w:szCs w:val="21"/>
        </w:rPr>
        <w:t>股成长风格表现相对落后。国内债券收益率先下后上，</w:t>
      </w:r>
      <w:r>
        <w:rPr>
          <w:rFonts w:eastAsiaTheme="minorEastAsia"/>
          <w:color w:val="000000" w:themeColor="text1"/>
          <w:szCs w:val="21"/>
        </w:rPr>
        <w:t>10</w:t>
      </w:r>
      <w:r>
        <w:rPr>
          <w:rFonts w:eastAsiaTheme="minorEastAsia"/>
          <w:color w:val="000000" w:themeColor="text1"/>
          <w:szCs w:val="21"/>
        </w:rPr>
        <w:t>年期国债收益率一度下行至</w:t>
      </w:r>
      <w:r>
        <w:rPr>
          <w:rFonts w:eastAsiaTheme="minorEastAsia"/>
          <w:color w:val="000000" w:themeColor="text1"/>
          <w:szCs w:val="21"/>
        </w:rPr>
        <w:t>2.54%</w:t>
      </w:r>
      <w:r>
        <w:rPr>
          <w:rFonts w:eastAsiaTheme="minorEastAsia"/>
          <w:color w:val="000000" w:themeColor="text1"/>
          <w:szCs w:val="21"/>
        </w:rPr>
        <w:t>，随着</w:t>
      </w:r>
      <w:r>
        <w:rPr>
          <w:rFonts w:eastAsiaTheme="minorEastAsia"/>
          <w:color w:val="000000" w:themeColor="text1"/>
          <w:szCs w:val="21"/>
        </w:rPr>
        <w:t>8</w:t>
      </w:r>
      <w:r>
        <w:rPr>
          <w:rFonts w:eastAsiaTheme="minorEastAsia"/>
          <w:color w:val="000000" w:themeColor="text1"/>
          <w:szCs w:val="21"/>
        </w:rPr>
        <w:t>月底地产政策调整落地、短端流动性边际趋紧反弹至</w:t>
      </w:r>
      <w:r>
        <w:rPr>
          <w:rFonts w:eastAsiaTheme="minorEastAsia"/>
          <w:color w:val="000000" w:themeColor="text1"/>
          <w:szCs w:val="21"/>
        </w:rPr>
        <w:t>2.67%</w:t>
      </w:r>
      <w:r>
        <w:rPr>
          <w:rFonts w:eastAsiaTheme="minorEastAsia"/>
          <w:color w:val="000000" w:themeColor="text1"/>
          <w:szCs w:val="21"/>
        </w:rPr>
        <w:t>。</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海外资产方面，美国就业市场韧性强于预期，市场对于美国经济软着陆的预期升温，同时对于美联储在更长时间内维持高利率的预期上升，标普</w:t>
      </w:r>
      <w:r>
        <w:rPr>
          <w:rFonts w:eastAsiaTheme="minorEastAsia"/>
          <w:color w:val="000000" w:themeColor="text1"/>
          <w:szCs w:val="21"/>
        </w:rPr>
        <w:t>500</w:t>
      </w:r>
      <w:r>
        <w:rPr>
          <w:rFonts w:eastAsiaTheme="minorEastAsia"/>
          <w:color w:val="000000" w:themeColor="text1"/>
          <w:szCs w:val="21"/>
        </w:rPr>
        <w:t>指数震荡下跌</w:t>
      </w:r>
      <w:r>
        <w:rPr>
          <w:rFonts w:eastAsiaTheme="minorEastAsia"/>
          <w:color w:val="000000" w:themeColor="text1"/>
          <w:szCs w:val="21"/>
        </w:rPr>
        <w:t>-3.6%</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年期美债收益率升至</w:t>
      </w:r>
      <w:r>
        <w:rPr>
          <w:rFonts w:eastAsiaTheme="minorEastAsia"/>
          <w:color w:val="000000" w:themeColor="text1"/>
          <w:szCs w:val="21"/>
        </w:rPr>
        <w:t>4.58%</w:t>
      </w:r>
      <w:r>
        <w:rPr>
          <w:rFonts w:eastAsiaTheme="minorEastAsia"/>
          <w:color w:val="000000" w:themeColor="text1"/>
          <w:szCs w:val="21"/>
        </w:rPr>
        <w:t>，黄金价格震荡为主，季末小幅收跌。</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对于国内权益来讲，当前历史估值分位、相对债券资产的估值均处在较高吸引力的水平，为长期投资提供一定安全边际。近期稳内需政策的逐步落地对于市场信心有所提振，</w:t>
      </w:r>
      <w:r>
        <w:rPr>
          <w:rFonts w:eastAsiaTheme="minorEastAsia"/>
          <w:color w:val="000000" w:themeColor="text1"/>
          <w:szCs w:val="21"/>
        </w:rPr>
        <w:t>8</w:t>
      </w:r>
      <w:r>
        <w:rPr>
          <w:rFonts w:eastAsiaTheme="minorEastAsia"/>
          <w:color w:val="000000" w:themeColor="text1"/>
          <w:szCs w:val="21"/>
        </w:rPr>
        <w:t>月以来政府财政支出边际加速、房地产需求端政策加码，叠加大多数行业当前库存处在历史偏低水平，年底前稳经济政策效果能够在数据改善中有所验证的概率较高。结构上，关注受益于稳内需政策加码的领域，包括地产后周期与基建，以及信创与自主可控等领域。</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对于国内债券来讲，国内托底经济增长发力，内外利差仍为负值，相对配置价值处在偏低的位置。考虑到央行宽松操作延续概率较高，国内债券的下行风险也相对可控。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海外加息周期接近尾声，美债中期机会逐步显现。海外权益面临的盈利下调风险在增大，银行风险事件以及可能持续更久的高利率会导致一定程度的信用收缩，并向需求传导。因此，可等待更好的时机配置发达国家权益资产。对于港股，来自国内经济基本面、海外高利率环境的压力均有望在四季度边际缓和。</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本报告期摩根博睿均衡一年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:-3.34%</w:t>
      </w:r>
      <w:r>
        <w:rPr>
          <w:rFonts w:eastAsiaTheme="minorEastAsia"/>
          <w:color w:val="000000" w:themeColor="text1"/>
          <w:szCs w:val="21"/>
        </w:rPr>
        <w:t>，同期业绩比较基准收益率为</w:t>
      </w:r>
      <w:r>
        <w:rPr>
          <w:rFonts w:eastAsiaTheme="minorEastAsia"/>
          <w:color w:val="000000" w:themeColor="text1"/>
          <w:szCs w:val="21"/>
        </w:rPr>
        <w:t>:-1.81%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摩根博睿均衡一年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:-3.47%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:-1.81%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bookmarkStart w:id="0" w:name="_GoBack"/>
      <w:bookmarkEnd w:id="0"/>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419,385,721.22</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93.84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10,154,019.18</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2.27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10,154,019.18</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2.27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17,357,879.34</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3.88</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28,536.97</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0.01</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446,926,156.71</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10,154,019.18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10,154,019.18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445944">
        <w:tc>
          <w:tcPr>
            <w:tcW w:w="1504" w:type="dxa"/>
            <w:vAlign w:val="center"/>
          </w:tcPr>
          <w:p w:rsidR="00445944" w:rsidRDefault="007451A0">
            <w:pPr>
              <w:jc w:val="center"/>
            </w:pPr>
            <w:r>
              <w:rPr>
                <w:rFonts w:eastAsiaTheme="minorEastAsia"/>
                <w:color w:val="000000" w:themeColor="text1"/>
                <w:szCs w:val="21"/>
              </w:rPr>
              <w:t>1</w:t>
            </w:r>
          </w:p>
        </w:tc>
        <w:tc>
          <w:tcPr>
            <w:tcW w:w="1504" w:type="dxa"/>
            <w:vAlign w:val="center"/>
          </w:tcPr>
          <w:p w:rsidR="00445944" w:rsidRDefault="007451A0">
            <w:pPr>
              <w:jc w:val="center"/>
            </w:pPr>
            <w:r>
              <w:rPr>
                <w:rFonts w:eastAsiaTheme="minorEastAsia"/>
                <w:color w:val="000000" w:themeColor="text1"/>
                <w:szCs w:val="21"/>
              </w:rPr>
              <w:t>019688</w:t>
            </w:r>
          </w:p>
        </w:tc>
        <w:tc>
          <w:tcPr>
            <w:tcW w:w="1504" w:type="dxa"/>
            <w:vAlign w:val="center"/>
          </w:tcPr>
          <w:p w:rsidR="00445944" w:rsidRDefault="007451A0">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23</w:t>
            </w:r>
          </w:p>
        </w:tc>
        <w:tc>
          <w:tcPr>
            <w:tcW w:w="1503" w:type="dxa"/>
            <w:vAlign w:val="center"/>
          </w:tcPr>
          <w:p w:rsidR="00445944" w:rsidRDefault="007451A0">
            <w:pPr>
              <w:jc w:val="right"/>
            </w:pPr>
            <w:r>
              <w:rPr>
                <w:rFonts w:eastAsiaTheme="minorEastAsia"/>
                <w:color w:val="000000" w:themeColor="text1"/>
                <w:szCs w:val="21"/>
              </w:rPr>
              <w:t>100,000</w:t>
            </w:r>
          </w:p>
        </w:tc>
        <w:tc>
          <w:tcPr>
            <w:tcW w:w="1503" w:type="dxa"/>
            <w:vAlign w:val="center"/>
          </w:tcPr>
          <w:p w:rsidR="00445944" w:rsidRDefault="007451A0">
            <w:pPr>
              <w:jc w:val="right"/>
            </w:pPr>
            <w:r>
              <w:rPr>
                <w:rFonts w:eastAsiaTheme="minorEastAsia"/>
                <w:color w:val="000000" w:themeColor="text1"/>
                <w:szCs w:val="21"/>
              </w:rPr>
              <w:t>10,154,019.18</w:t>
            </w:r>
          </w:p>
        </w:tc>
        <w:tc>
          <w:tcPr>
            <w:tcW w:w="1503" w:type="dxa"/>
            <w:vAlign w:val="center"/>
          </w:tcPr>
          <w:p w:rsidR="00445944" w:rsidRDefault="007451A0">
            <w:pPr>
              <w:jc w:val="right"/>
            </w:pPr>
            <w:r>
              <w:rPr>
                <w:rFonts w:eastAsiaTheme="minorEastAsia"/>
                <w:color w:val="000000" w:themeColor="text1"/>
                <w:szCs w:val="21"/>
              </w:rPr>
              <w:t>2.29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15,819.11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12,640.62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77.24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28,536.97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445944">
        <w:tc>
          <w:tcPr>
            <w:tcW w:w="817" w:type="dxa"/>
            <w:vAlign w:val="center"/>
          </w:tcPr>
          <w:p w:rsidR="00445944" w:rsidRDefault="007451A0">
            <w:pPr>
              <w:jc w:val="center"/>
            </w:pPr>
            <w:r>
              <w:rPr>
                <w:sz w:val="24"/>
              </w:rPr>
              <w:t>1</w:t>
            </w:r>
          </w:p>
        </w:tc>
        <w:tc>
          <w:tcPr>
            <w:tcW w:w="1133" w:type="dxa"/>
            <w:vAlign w:val="center"/>
          </w:tcPr>
          <w:p w:rsidR="00445944" w:rsidRDefault="007451A0">
            <w:pPr>
              <w:jc w:val="center"/>
            </w:pPr>
            <w:r>
              <w:rPr>
                <w:sz w:val="24"/>
              </w:rPr>
              <w:t>002702</w:t>
            </w:r>
          </w:p>
        </w:tc>
        <w:tc>
          <w:tcPr>
            <w:tcW w:w="1135" w:type="dxa"/>
            <w:vAlign w:val="center"/>
          </w:tcPr>
          <w:p w:rsidR="00445944" w:rsidRDefault="007451A0">
            <w:pPr>
              <w:jc w:val="center"/>
            </w:pPr>
            <w:r>
              <w:rPr>
                <w:sz w:val="24"/>
              </w:rPr>
              <w:t>东方红汇阳债券</w:t>
            </w:r>
            <w:r>
              <w:rPr>
                <w:sz w:val="24"/>
              </w:rPr>
              <w:t>C</w:t>
            </w:r>
          </w:p>
        </w:tc>
        <w:tc>
          <w:tcPr>
            <w:tcW w:w="1135" w:type="dxa"/>
            <w:vAlign w:val="center"/>
          </w:tcPr>
          <w:p w:rsidR="00445944" w:rsidRDefault="007451A0">
            <w:pPr>
              <w:jc w:val="center"/>
            </w:pPr>
            <w:r>
              <w:rPr>
                <w:sz w:val="24"/>
              </w:rPr>
              <w:t>契约型开放式</w:t>
            </w:r>
          </w:p>
        </w:tc>
        <w:tc>
          <w:tcPr>
            <w:tcW w:w="1133" w:type="dxa"/>
            <w:vAlign w:val="center"/>
          </w:tcPr>
          <w:p w:rsidR="00445944" w:rsidRDefault="007451A0">
            <w:pPr>
              <w:jc w:val="center"/>
            </w:pPr>
            <w:r>
              <w:rPr>
                <w:sz w:val="24"/>
              </w:rPr>
              <w:t>19,340,339.71</w:t>
            </w:r>
          </w:p>
        </w:tc>
        <w:tc>
          <w:tcPr>
            <w:tcW w:w="1276" w:type="dxa"/>
            <w:vAlign w:val="center"/>
          </w:tcPr>
          <w:p w:rsidR="00445944" w:rsidRDefault="007451A0">
            <w:pPr>
              <w:jc w:val="center"/>
            </w:pPr>
            <w:r>
              <w:rPr>
                <w:sz w:val="24"/>
              </w:rPr>
              <w:t>20,516,232.36</w:t>
            </w:r>
          </w:p>
        </w:tc>
        <w:tc>
          <w:tcPr>
            <w:tcW w:w="1135" w:type="dxa"/>
            <w:vAlign w:val="center"/>
          </w:tcPr>
          <w:p w:rsidR="00445944" w:rsidRDefault="007451A0">
            <w:pPr>
              <w:jc w:val="center"/>
            </w:pPr>
            <w:r>
              <w:rPr>
                <w:sz w:val="24"/>
              </w:rPr>
              <w:t>4.63%</w:t>
            </w:r>
          </w:p>
        </w:tc>
        <w:tc>
          <w:tcPr>
            <w:tcW w:w="1272" w:type="dxa"/>
            <w:vAlign w:val="center"/>
          </w:tcPr>
          <w:p w:rsidR="00445944" w:rsidRDefault="007451A0">
            <w:pPr>
              <w:jc w:val="center"/>
            </w:pPr>
            <w:r>
              <w:rPr>
                <w:sz w:val="24"/>
              </w:rPr>
              <w:t>否</w:t>
            </w:r>
          </w:p>
        </w:tc>
      </w:tr>
      <w:tr w:rsidR="00445944">
        <w:tc>
          <w:tcPr>
            <w:tcW w:w="817" w:type="dxa"/>
            <w:vAlign w:val="center"/>
          </w:tcPr>
          <w:p w:rsidR="00445944" w:rsidRDefault="007451A0">
            <w:pPr>
              <w:jc w:val="center"/>
            </w:pPr>
            <w:r>
              <w:rPr>
                <w:sz w:val="24"/>
              </w:rPr>
              <w:t>2</w:t>
            </w:r>
          </w:p>
        </w:tc>
        <w:tc>
          <w:tcPr>
            <w:tcW w:w="1133" w:type="dxa"/>
            <w:vAlign w:val="center"/>
          </w:tcPr>
          <w:p w:rsidR="00445944" w:rsidRDefault="007451A0">
            <w:pPr>
              <w:jc w:val="center"/>
            </w:pPr>
            <w:r>
              <w:rPr>
                <w:sz w:val="24"/>
              </w:rPr>
              <w:t>512070</w:t>
            </w:r>
          </w:p>
        </w:tc>
        <w:tc>
          <w:tcPr>
            <w:tcW w:w="1135" w:type="dxa"/>
            <w:vAlign w:val="center"/>
          </w:tcPr>
          <w:p w:rsidR="00445944" w:rsidRDefault="007451A0">
            <w:pPr>
              <w:jc w:val="center"/>
            </w:pPr>
            <w:r>
              <w:rPr>
                <w:sz w:val="24"/>
              </w:rPr>
              <w:t>易方达沪深</w:t>
            </w:r>
            <w:r>
              <w:rPr>
                <w:sz w:val="24"/>
              </w:rPr>
              <w:t>300</w:t>
            </w:r>
            <w:r>
              <w:rPr>
                <w:sz w:val="24"/>
              </w:rPr>
              <w:t>非银</w:t>
            </w:r>
            <w:r>
              <w:rPr>
                <w:sz w:val="24"/>
              </w:rPr>
              <w:t>ETF</w:t>
            </w:r>
          </w:p>
        </w:tc>
        <w:tc>
          <w:tcPr>
            <w:tcW w:w="1135" w:type="dxa"/>
            <w:vAlign w:val="center"/>
          </w:tcPr>
          <w:p w:rsidR="00445944" w:rsidRDefault="007451A0">
            <w:pPr>
              <w:jc w:val="center"/>
            </w:pPr>
            <w:r>
              <w:rPr>
                <w:rFonts w:hint="eastAsia"/>
                <w:sz w:val="24"/>
              </w:rPr>
              <w:t>交易</w:t>
            </w:r>
            <w:r>
              <w:rPr>
                <w:sz w:val="24"/>
              </w:rPr>
              <w:t>型开放式</w:t>
            </w:r>
          </w:p>
        </w:tc>
        <w:tc>
          <w:tcPr>
            <w:tcW w:w="1133" w:type="dxa"/>
            <w:vAlign w:val="center"/>
          </w:tcPr>
          <w:p w:rsidR="00445944" w:rsidRDefault="007451A0">
            <w:pPr>
              <w:jc w:val="center"/>
            </w:pPr>
            <w:r>
              <w:rPr>
                <w:sz w:val="24"/>
              </w:rPr>
              <w:t>30,267,100.00</w:t>
            </w:r>
          </w:p>
        </w:tc>
        <w:tc>
          <w:tcPr>
            <w:tcW w:w="1276" w:type="dxa"/>
            <w:vAlign w:val="center"/>
          </w:tcPr>
          <w:p w:rsidR="00445944" w:rsidRDefault="007451A0">
            <w:pPr>
              <w:jc w:val="center"/>
            </w:pPr>
            <w:r>
              <w:rPr>
                <w:sz w:val="24"/>
              </w:rPr>
              <w:t>19,885,484.70</w:t>
            </w:r>
          </w:p>
        </w:tc>
        <w:tc>
          <w:tcPr>
            <w:tcW w:w="1135" w:type="dxa"/>
            <w:vAlign w:val="center"/>
          </w:tcPr>
          <w:p w:rsidR="00445944" w:rsidRDefault="007451A0">
            <w:pPr>
              <w:jc w:val="center"/>
            </w:pPr>
            <w:r>
              <w:rPr>
                <w:sz w:val="24"/>
              </w:rPr>
              <w:t>4.48%</w:t>
            </w:r>
          </w:p>
        </w:tc>
        <w:tc>
          <w:tcPr>
            <w:tcW w:w="1272" w:type="dxa"/>
            <w:vAlign w:val="center"/>
          </w:tcPr>
          <w:p w:rsidR="00445944" w:rsidRDefault="007451A0">
            <w:pPr>
              <w:jc w:val="center"/>
            </w:pPr>
            <w:r>
              <w:rPr>
                <w:sz w:val="24"/>
              </w:rPr>
              <w:t>否</w:t>
            </w:r>
          </w:p>
        </w:tc>
      </w:tr>
      <w:tr w:rsidR="00445944">
        <w:tc>
          <w:tcPr>
            <w:tcW w:w="817" w:type="dxa"/>
            <w:vAlign w:val="center"/>
          </w:tcPr>
          <w:p w:rsidR="00445944" w:rsidRDefault="007451A0">
            <w:pPr>
              <w:jc w:val="center"/>
            </w:pPr>
            <w:r>
              <w:rPr>
                <w:sz w:val="24"/>
              </w:rPr>
              <w:t>3</w:t>
            </w:r>
          </w:p>
        </w:tc>
        <w:tc>
          <w:tcPr>
            <w:tcW w:w="1133" w:type="dxa"/>
            <w:vAlign w:val="center"/>
          </w:tcPr>
          <w:p w:rsidR="00445944" w:rsidRDefault="007451A0">
            <w:pPr>
              <w:jc w:val="center"/>
            </w:pPr>
            <w:r>
              <w:rPr>
                <w:sz w:val="24"/>
              </w:rPr>
              <w:t>006551</w:t>
            </w:r>
          </w:p>
        </w:tc>
        <w:tc>
          <w:tcPr>
            <w:tcW w:w="1135" w:type="dxa"/>
            <w:vAlign w:val="center"/>
          </w:tcPr>
          <w:p w:rsidR="00445944" w:rsidRDefault="007451A0">
            <w:pPr>
              <w:jc w:val="center"/>
            </w:pPr>
            <w:r>
              <w:rPr>
                <w:sz w:val="24"/>
              </w:rPr>
              <w:t>中庚价值领航混合</w:t>
            </w:r>
          </w:p>
        </w:tc>
        <w:tc>
          <w:tcPr>
            <w:tcW w:w="1135" w:type="dxa"/>
            <w:vAlign w:val="center"/>
          </w:tcPr>
          <w:p w:rsidR="00445944" w:rsidRDefault="007451A0">
            <w:pPr>
              <w:jc w:val="center"/>
            </w:pPr>
            <w:r>
              <w:rPr>
                <w:sz w:val="24"/>
              </w:rPr>
              <w:t>契约型开放式</w:t>
            </w:r>
          </w:p>
        </w:tc>
        <w:tc>
          <w:tcPr>
            <w:tcW w:w="1133" w:type="dxa"/>
            <w:vAlign w:val="center"/>
          </w:tcPr>
          <w:p w:rsidR="00445944" w:rsidRDefault="007451A0">
            <w:pPr>
              <w:jc w:val="center"/>
            </w:pPr>
            <w:r>
              <w:rPr>
                <w:sz w:val="24"/>
              </w:rPr>
              <w:t>8,212,129.92</w:t>
            </w:r>
          </w:p>
        </w:tc>
        <w:tc>
          <w:tcPr>
            <w:tcW w:w="1276" w:type="dxa"/>
            <w:vAlign w:val="center"/>
          </w:tcPr>
          <w:p w:rsidR="00445944" w:rsidRDefault="007451A0">
            <w:pPr>
              <w:jc w:val="center"/>
            </w:pPr>
            <w:r>
              <w:rPr>
                <w:sz w:val="24"/>
              </w:rPr>
              <w:t>19,145,759.70</w:t>
            </w:r>
          </w:p>
        </w:tc>
        <w:tc>
          <w:tcPr>
            <w:tcW w:w="1135" w:type="dxa"/>
            <w:vAlign w:val="center"/>
          </w:tcPr>
          <w:p w:rsidR="00445944" w:rsidRDefault="007451A0">
            <w:pPr>
              <w:jc w:val="center"/>
            </w:pPr>
            <w:r>
              <w:rPr>
                <w:sz w:val="24"/>
              </w:rPr>
              <w:t>4.32%</w:t>
            </w:r>
          </w:p>
        </w:tc>
        <w:tc>
          <w:tcPr>
            <w:tcW w:w="1272" w:type="dxa"/>
            <w:vAlign w:val="center"/>
          </w:tcPr>
          <w:p w:rsidR="00445944" w:rsidRDefault="007451A0">
            <w:pPr>
              <w:jc w:val="center"/>
            </w:pPr>
            <w:r>
              <w:rPr>
                <w:sz w:val="24"/>
              </w:rPr>
              <w:t>否</w:t>
            </w:r>
          </w:p>
        </w:tc>
      </w:tr>
      <w:tr w:rsidR="00445944">
        <w:tc>
          <w:tcPr>
            <w:tcW w:w="817" w:type="dxa"/>
            <w:vAlign w:val="center"/>
          </w:tcPr>
          <w:p w:rsidR="00445944" w:rsidRDefault="007451A0">
            <w:pPr>
              <w:jc w:val="center"/>
            </w:pPr>
            <w:r>
              <w:rPr>
                <w:sz w:val="24"/>
              </w:rPr>
              <w:t>4</w:t>
            </w:r>
          </w:p>
        </w:tc>
        <w:tc>
          <w:tcPr>
            <w:tcW w:w="1133" w:type="dxa"/>
            <w:vAlign w:val="center"/>
          </w:tcPr>
          <w:p w:rsidR="00445944" w:rsidRDefault="007451A0">
            <w:pPr>
              <w:jc w:val="center"/>
            </w:pPr>
            <w:r>
              <w:rPr>
                <w:sz w:val="24"/>
              </w:rPr>
              <w:t>004868</w:t>
            </w:r>
          </w:p>
        </w:tc>
        <w:tc>
          <w:tcPr>
            <w:tcW w:w="1135" w:type="dxa"/>
            <w:vAlign w:val="center"/>
          </w:tcPr>
          <w:p w:rsidR="00445944" w:rsidRDefault="007451A0">
            <w:pPr>
              <w:jc w:val="center"/>
            </w:pPr>
            <w:r>
              <w:rPr>
                <w:sz w:val="24"/>
              </w:rPr>
              <w:t>交银股息优化混合</w:t>
            </w:r>
          </w:p>
        </w:tc>
        <w:tc>
          <w:tcPr>
            <w:tcW w:w="1135" w:type="dxa"/>
            <w:vAlign w:val="center"/>
          </w:tcPr>
          <w:p w:rsidR="00445944" w:rsidRDefault="007451A0">
            <w:pPr>
              <w:jc w:val="center"/>
            </w:pPr>
            <w:r>
              <w:rPr>
                <w:sz w:val="24"/>
              </w:rPr>
              <w:t>契约型开放式</w:t>
            </w:r>
          </w:p>
        </w:tc>
        <w:tc>
          <w:tcPr>
            <w:tcW w:w="1133" w:type="dxa"/>
            <w:vAlign w:val="center"/>
          </w:tcPr>
          <w:p w:rsidR="00445944" w:rsidRDefault="007451A0">
            <w:pPr>
              <w:jc w:val="center"/>
            </w:pPr>
            <w:r>
              <w:rPr>
                <w:sz w:val="24"/>
              </w:rPr>
              <w:t>7,698,728.26</w:t>
            </w:r>
          </w:p>
        </w:tc>
        <w:tc>
          <w:tcPr>
            <w:tcW w:w="1276" w:type="dxa"/>
            <w:vAlign w:val="center"/>
          </w:tcPr>
          <w:p w:rsidR="00445944" w:rsidRDefault="007451A0">
            <w:pPr>
              <w:jc w:val="center"/>
            </w:pPr>
            <w:r>
              <w:rPr>
                <w:sz w:val="24"/>
              </w:rPr>
              <w:t>18,858,804.75</w:t>
            </w:r>
          </w:p>
        </w:tc>
        <w:tc>
          <w:tcPr>
            <w:tcW w:w="1135" w:type="dxa"/>
            <w:vAlign w:val="center"/>
          </w:tcPr>
          <w:p w:rsidR="00445944" w:rsidRDefault="007451A0">
            <w:pPr>
              <w:jc w:val="center"/>
            </w:pPr>
            <w:r>
              <w:rPr>
                <w:sz w:val="24"/>
              </w:rPr>
              <w:t>4.25%</w:t>
            </w:r>
          </w:p>
        </w:tc>
        <w:tc>
          <w:tcPr>
            <w:tcW w:w="1272" w:type="dxa"/>
            <w:vAlign w:val="center"/>
          </w:tcPr>
          <w:p w:rsidR="00445944" w:rsidRDefault="007451A0">
            <w:pPr>
              <w:jc w:val="center"/>
            </w:pPr>
            <w:r>
              <w:rPr>
                <w:sz w:val="24"/>
              </w:rPr>
              <w:t>否</w:t>
            </w:r>
          </w:p>
        </w:tc>
      </w:tr>
      <w:tr w:rsidR="00445944">
        <w:tc>
          <w:tcPr>
            <w:tcW w:w="817" w:type="dxa"/>
            <w:vAlign w:val="center"/>
          </w:tcPr>
          <w:p w:rsidR="00445944" w:rsidRDefault="007451A0">
            <w:pPr>
              <w:jc w:val="center"/>
            </w:pPr>
            <w:r>
              <w:rPr>
                <w:sz w:val="24"/>
              </w:rPr>
              <w:t>5</w:t>
            </w:r>
          </w:p>
        </w:tc>
        <w:tc>
          <w:tcPr>
            <w:tcW w:w="1133" w:type="dxa"/>
            <w:vAlign w:val="center"/>
          </w:tcPr>
          <w:p w:rsidR="00445944" w:rsidRDefault="007451A0">
            <w:pPr>
              <w:jc w:val="center"/>
            </w:pPr>
            <w:r>
              <w:rPr>
                <w:sz w:val="24"/>
              </w:rPr>
              <w:t>006567</w:t>
            </w:r>
          </w:p>
        </w:tc>
        <w:tc>
          <w:tcPr>
            <w:tcW w:w="1135" w:type="dxa"/>
            <w:vAlign w:val="center"/>
          </w:tcPr>
          <w:p w:rsidR="00445944" w:rsidRDefault="007451A0">
            <w:pPr>
              <w:jc w:val="center"/>
            </w:pPr>
            <w:r>
              <w:rPr>
                <w:sz w:val="24"/>
              </w:rPr>
              <w:t>中泰星元灵活配置混合</w:t>
            </w:r>
            <w:r>
              <w:rPr>
                <w:sz w:val="24"/>
              </w:rPr>
              <w:t>A</w:t>
            </w:r>
          </w:p>
        </w:tc>
        <w:tc>
          <w:tcPr>
            <w:tcW w:w="1135" w:type="dxa"/>
            <w:vAlign w:val="center"/>
          </w:tcPr>
          <w:p w:rsidR="00445944" w:rsidRDefault="007451A0">
            <w:pPr>
              <w:jc w:val="center"/>
            </w:pPr>
            <w:r>
              <w:rPr>
                <w:sz w:val="24"/>
              </w:rPr>
              <w:t>契约型开放式</w:t>
            </w:r>
          </w:p>
        </w:tc>
        <w:tc>
          <w:tcPr>
            <w:tcW w:w="1133" w:type="dxa"/>
            <w:vAlign w:val="center"/>
          </w:tcPr>
          <w:p w:rsidR="00445944" w:rsidRDefault="007451A0">
            <w:pPr>
              <w:jc w:val="center"/>
            </w:pPr>
            <w:r>
              <w:rPr>
                <w:sz w:val="24"/>
              </w:rPr>
              <w:t>6,958,210.88</w:t>
            </w:r>
          </w:p>
        </w:tc>
        <w:tc>
          <w:tcPr>
            <w:tcW w:w="1276" w:type="dxa"/>
            <w:vAlign w:val="center"/>
          </w:tcPr>
          <w:p w:rsidR="00445944" w:rsidRDefault="007451A0">
            <w:pPr>
              <w:jc w:val="center"/>
            </w:pPr>
            <w:r>
              <w:rPr>
                <w:sz w:val="24"/>
              </w:rPr>
              <w:t>16,941,851.85</w:t>
            </w:r>
          </w:p>
        </w:tc>
        <w:tc>
          <w:tcPr>
            <w:tcW w:w="1135" w:type="dxa"/>
            <w:vAlign w:val="center"/>
          </w:tcPr>
          <w:p w:rsidR="00445944" w:rsidRDefault="007451A0">
            <w:pPr>
              <w:jc w:val="center"/>
            </w:pPr>
            <w:r>
              <w:rPr>
                <w:sz w:val="24"/>
              </w:rPr>
              <w:t>3.82%</w:t>
            </w:r>
          </w:p>
        </w:tc>
        <w:tc>
          <w:tcPr>
            <w:tcW w:w="1272" w:type="dxa"/>
            <w:vAlign w:val="center"/>
          </w:tcPr>
          <w:p w:rsidR="00445944" w:rsidRDefault="007451A0">
            <w:pPr>
              <w:jc w:val="center"/>
            </w:pPr>
            <w:r>
              <w:rPr>
                <w:sz w:val="24"/>
              </w:rPr>
              <w:t>否</w:t>
            </w:r>
          </w:p>
        </w:tc>
      </w:tr>
      <w:tr w:rsidR="00445944">
        <w:tc>
          <w:tcPr>
            <w:tcW w:w="817" w:type="dxa"/>
            <w:vAlign w:val="center"/>
          </w:tcPr>
          <w:p w:rsidR="00445944" w:rsidRDefault="007451A0">
            <w:pPr>
              <w:jc w:val="center"/>
            </w:pPr>
            <w:r>
              <w:rPr>
                <w:sz w:val="24"/>
              </w:rPr>
              <w:t>6</w:t>
            </w:r>
          </w:p>
        </w:tc>
        <w:tc>
          <w:tcPr>
            <w:tcW w:w="1133" w:type="dxa"/>
            <w:vAlign w:val="center"/>
          </w:tcPr>
          <w:p w:rsidR="00445944" w:rsidRDefault="007451A0">
            <w:pPr>
              <w:jc w:val="center"/>
            </w:pPr>
            <w:r>
              <w:rPr>
                <w:sz w:val="24"/>
              </w:rPr>
              <w:t>519756</w:t>
            </w:r>
          </w:p>
        </w:tc>
        <w:tc>
          <w:tcPr>
            <w:tcW w:w="1135" w:type="dxa"/>
            <w:vAlign w:val="center"/>
          </w:tcPr>
          <w:p w:rsidR="00445944" w:rsidRDefault="007451A0">
            <w:pPr>
              <w:jc w:val="center"/>
            </w:pPr>
            <w:r>
              <w:rPr>
                <w:sz w:val="24"/>
              </w:rPr>
              <w:t>交银国企改革灵活配置混合</w:t>
            </w:r>
            <w:r>
              <w:rPr>
                <w:sz w:val="24"/>
              </w:rPr>
              <w:t>A</w:t>
            </w:r>
          </w:p>
        </w:tc>
        <w:tc>
          <w:tcPr>
            <w:tcW w:w="1135" w:type="dxa"/>
            <w:vAlign w:val="center"/>
          </w:tcPr>
          <w:p w:rsidR="00445944" w:rsidRDefault="007451A0">
            <w:pPr>
              <w:jc w:val="center"/>
            </w:pPr>
            <w:r>
              <w:rPr>
                <w:sz w:val="24"/>
              </w:rPr>
              <w:t>契约型开放式</w:t>
            </w:r>
          </w:p>
        </w:tc>
        <w:tc>
          <w:tcPr>
            <w:tcW w:w="1133" w:type="dxa"/>
            <w:vAlign w:val="center"/>
          </w:tcPr>
          <w:p w:rsidR="00445944" w:rsidRDefault="007451A0">
            <w:pPr>
              <w:jc w:val="center"/>
            </w:pPr>
            <w:r>
              <w:rPr>
                <w:sz w:val="24"/>
              </w:rPr>
              <w:t>9,881,162.97</w:t>
            </w:r>
          </w:p>
        </w:tc>
        <w:tc>
          <w:tcPr>
            <w:tcW w:w="1276" w:type="dxa"/>
            <w:vAlign w:val="center"/>
          </w:tcPr>
          <w:p w:rsidR="00445944" w:rsidRDefault="007451A0">
            <w:pPr>
              <w:jc w:val="center"/>
            </w:pPr>
            <w:r>
              <w:rPr>
                <w:sz w:val="24"/>
              </w:rPr>
              <w:t>16,760,428.63</w:t>
            </w:r>
          </w:p>
        </w:tc>
        <w:tc>
          <w:tcPr>
            <w:tcW w:w="1135" w:type="dxa"/>
            <w:vAlign w:val="center"/>
          </w:tcPr>
          <w:p w:rsidR="00445944" w:rsidRDefault="007451A0">
            <w:pPr>
              <w:jc w:val="center"/>
            </w:pPr>
            <w:r>
              <w:rPr>
                <w:sz w:val="24"/>
              </w:rPr>
              <w:t>3.78%</w:t>
            </w:r>
          </w:p>
        </w:tc>
        <w:tc>
          <w:tcPr>
            <w:tcW w:w="1272" w:type="dxa"/>
            <w:vAlign w:val="center"/>
          </w:tcPr>
          <w:p w:rsidR="00445944" w:rsidRDefault="007451A0">
            <w:pPr>
              <w:jc w:val="center"/>
            </w:pPr>
            <w:r>
              <w:rPr>
                <w:sz w:val="24"/>
              </w:rPr>
              <w:t>否</w:t>
            </w:r>
          </w:p>
        </w:tc>
      </w:tr>
      <w:tr w:rsidR="00445944">
        <w:tc>
          <w:tcPr>
            <w:tcW w:w="817" w:type="dxa"/>
            <w:vAlign w:val="center"/>
          </w:tcPr>
          <w:p w:rsidR="00445944" w:rsidRDefault="007451A0">
            <w:pPr>
              <w:jc w:val="center"/>
            </w:pPr>
            <w:r>
              <w:rPr>
                <w:sz w:val="24"/>
              </w:rPr>
              <w:t>7</w:t>
            </w:r>
          </w:p>
        </w:tc>
        <w:tc>
          <w:tcPr>
            <w:tcW w:w="1133" w:type="dxa"/>
            <w:vAlign w:val="center"/>
          </w:tcPr>
          <w:p w:rsidR="00445944" w:rsidRDefault="007451A0">
            <w:pPr>
              <w:jc w:val="center"/>
            </w:pPr>
            <w:r>
              <w:rPr>
                <w:sz w:val="24"/>
              </w:rPr>
              <w:t>968050</w:t>
            </w:r>
          </w:p>
        </w:tc>
        <w:tc>
          <w:tcPr>
            <w:tcW w:w="1135" w:type="dxa"/>
            <w:vAlign w:val="center"/>
          </w:tcPr>
          <w:p w:rsidR="00445944" w:rsidRDefault="007451A0">
            <w:pPr>
              <w:jc w:val="center"/>
            </w:pPr>
            <w:r>
              <w:rPr>
                <w:sz w:val="24"/>
              </w:rPr>
              <w:t>摩根国际债券人民币对冲累计</w:t>
            </w:r>
          </w:p>
        </w:tc>
        <w:tc>
          <w:tcPr>
            <w:tcW w:w="1135" w:type="dxa"/>
            <w:vAlign w:val="center"/>
          </w:tcPr>
          <w:p w:rsidR="00445944" w:rsidRDefault="007451A0">
            <w:pPr>
              <w:jc w:val="center"/>
            </w:pPr>
            <w:r>
              <w:rPr>
                <w:sz w:val="24"/>
              </w:rPr>
              <w:t>契约型开放式</w:t>
            </w:r>
          </w:p>
        </w:tc>
        <w:tc>
          <w:tcPr>
            <w:tcW w:w="1133" w:type="dxa"/>
            <w:vAlign w:val="center"/>
          </w:tcPr>
          <w:p w:rsidR="00445944" w:rsidRDefault="007451A0">
            <w:pPr>
              <w:jc w:val="center"/>
            </w:pPr>
            <w:r>
              <w:rPr>
                <w:sz w:val="24"/>
              </w:rPr>
              <w:t>1,432,878.35</w:t>
            </w:r>
          </w:p>
        </w:tc>
        <w:tc>
          <w:tcPr>
            <w:tcW w:w="1276" w:type="dxa"/>
            <w:vAlign w:val="center"/>
          </w:tcPr>
          <w:p w:rsidR="00445944" w:rsidRDefault="007451A0">
            <w:pPr>
              <w:jc w:val="center"/>
            </w:pPr>
            <w:r>
              <w:rPr>
                <w:sz w:val="24"/>
              </w:rPr>
              <w:t>14,472,071.34</w:t>
            </w:r>
          </w:p>
        </w:tc>
        <w:tc>
          <w:tcPr>
            <w:tcW w:w="1135" w:type="dxa"/>
            <w:vAlign w:val="center"/>
          </w:tcPr>
          <w:p w:rsidR="00445944" w:rsidRDefault="007451A0">
            <w:pPr>
              <w:jc w:val="center"/>
            </w:pPr>
            <w:r>
              <w:rPr>
                <w:sz w:val="24"/>
              </w:rPr>
              <w:t>3.26%</w:t>
            </w:r>
          </w:p>
        </w:tc>
        <w:tc>
          <w:tcPr>
            <w:tcW w:w="1272" w:type="dxa"/>
            <w:vAlign w:val="center"/>
          </w:tcPr>
          <w:p w:rsidR="00445944" w:rsidRDefault="007451A0">
            <w:pPr>
              <w:jc w:val="center"/>
            </w:pPr>
            <w:r>
              <w:rPr>
                <w:sz w:val="24"/>
              </w:rPr>
              <w:t>是</w:t>
            </w:r>
          </w:p>
        </w:tc>
      </w:tr>
      <w:tr w:rsidR="00445944">
        <w:tc>
          <w:tcPr>
            <w:tcW w:w="817" w:type="dxa"/>
            <w:vAlign w:val="center"/>
          </w:tcPr>
          <w:p w:rsidR="00445944" w:rsidRDefault="007451A0">
            <w:pPr>
              <w:jc w:val="center"/>
            </w:pPr>
            <w:r>
              <w:rPr>
                <w:sz w:val="24"/>
              </w:rPr>
              <w:lastRenderedPageBreak/>
              <w:t>8</w:t>
            </w:r>
          </w:p>
        </w:tc>
        <w:tc>
          <w:tcPr>
            <w:tcW w:w="1133" w:type="dxa"/>
            <w:vAlign w:val="center"/>
          </w:tcPr>
          <w:p w:rsidR="00445944" w:rsidRDefault="007451A0">
            <w:pPr>
              <w:jc w:val="center"/>
            </w:pPr>
            <w:r>
              <w:rPr>
                <w:sz w:val="24"/>
              </w:rPr>
              <w:t>001856</w:t>
            </w:r>
          </w:p>
        </w:tc>
        <w:tc>
          <w:tcPr>
            <w:tcW w:w="1135" w:type="dxa"/>
            <w:vAlign w:val="center"/>
          </w:tcPr>
          <w:p w:rsidR="00445944" w:rsidRDefault="007451A0">
            <w:pPr>
              <w:jc w:val="center"/>
            </w:pPr>
            <w:r>
              <w:rPr>
                <w:sz w:val="24"/>
              </w:rPr>
              <w:t>易方达环保主题混合</w:t>
            </w:r>
          </w:p>
        </w:tc>
        <w:tc>
          <w:tcPr>
            <w:tcW w:w="1135" w:type="dxa"/>
            <w:vAlign w:val="center"/>
          </w:tcPr>
          <w:p w:rsidR="00445944" w:rsidRDefault="007451A0">
            <w:pPr>
              <w:jc w:val="center"/>
            </w:pPr>
            <w:r>
              <w:rPr>
                <w:sz w:val="24"/>
              </w:rPr>
              <w:t>契约型开放式</w:t>
            </w:r>
          </w:p>
        </w:tc>
        <w:tc>
          <w:tcPr>
            <w:tcW w:w="1133" w:type="dxa"/>
            <w:vAlign w:val="center"/>
          </w:tcPr>
          <w:p w:rsidR="00445944" w:rsidRDefault="007451A0">
            <w:pPr>
              <w:jc w:val="center"/>
            </w:pPr>
            <w:r>
              <w:rPr>
                <w:sz w:val="24"/>
              </w:rPr>
              <w:t>4,434,763.28</w:t>
            </w:r>
          </w:p>
        </w:tc>
        <w:tc>
          <w:tcPr>
            <w:tcW w:w="1276" w:type="dxa"/>
            <w:vAlign w:val="center"/>
          </w:tcPr>
          <w:p w:rsidR="00445944" w:rsidRDefault="007451A0">
            <w:pPr>
              <w:jc w:val="center"/>
            </w:pPr>
            <w:r>
              <w:rPr>
                <w:sz w:val="24"/>
              </w:rPr>
              <w:t>14,333,154.92</w:t>
            </w:r>
          </w:p>
        </w:tc>
        <w:tc>
          <w:tcPr>
            <w:tcW w:w="1135" w:type="dxa"/>
            <w:vAlign w:val="center"/>
          </w:tcPr>
          <w:p w:rsidR="00445944" w:rsidRDefault="007451A0">
            <w:pPr>
              <w:jc w:val="center"/>
            </w:pPr>
            <w:r>
              <w:rPr>
                <w:sz w:val="24"/>
              </w:rPr>
              <w:t>3.23%</w:t>
            </w:r>
          </w:p>
        </w:tc>
        <w:tc>
          <w:tcPr>
            <w:tcW w:w="1272" w:type="dxa"/>
            <w:vAlign w:val="center"/>
          </w:tcPr>
          <w:p w:rsidR="00445944" w:rsidRDefault="007451A0">
            <w:pPr>
              <w:jc w:val="center"/>
            </w:pPr>
            <w:r>
              <w:rPr>
                <w:sz w:val="24"/>
              </w:rPr>
              <w:t>否</w:t>
            </w:r>
          </w:p>
        </w:tc>
      </w:tr>
      <w:tr w:rsidR="00445944">
        <w:tc>
          <w:tcPr>
            <w:tcW w:w="817" w:type="dxa"/>
            <w:vAlign w:val="center"/>
          </w:tcPr>
          <w:p w:rsidR="00445944" w:rsidRDefault="007451A0">
            <w:pPr>
              <w:jc w:val="center"/>
            </w:pPr>
            <w:r>
              <w:rPr>
                <w:sz w:val="24"/>
              </w:rPr>
              <w:t>9</w:t>
            </w:r>
          </w:p>
        </w:tc>
        <w:tc>
          <w:tcPr>
            <w:tcW w:w="1133" w:type="dxa"/>
            <w:vAlign w:val="center"/>
          </w:tcPr>
          <w:p w:rsidR="00445944" w:rsidRDefault="007451A0">
            <w:pPr>
              <w:jc w:val="center"/>
            </w:pPr>
            <w:r>
              <w:rPr>
                <w:sz w:val="24"/>
              </w:rPr>
              <w:t>513180</w:t>
            </w:r>
          </w:p>
        </w:tc>
        <w:tc>
          <w:tcPr>
            <w:tcW w:w="1135" w:type="dxa"/>
            <w:vAlign w:val="center"/>
          </w:tcPr>
          <w:p w:rsidR="00445944" w:rsidRDefault="007451A0">
            <w:pPr>
              <w:jc w:val="center"/>
            </w:pPr>
            <w:r>
              <w:rPr>
                <w:sz w:val="24"/>
              </w:rPr>
              <w:t>华夏恒生科技</w:t>
            </w:r>
            <w:r>
              <w:rPr>
                <w:sz w:val="24"/>
              </w:rPr>
              <w:t>ETF(QDII)</w:t>
            </w:r>
          </w:p>
        </w:tc>
        <w:tc>
          <w:tcPr>
            <w:tcW w:w="1135" w:type="dxa"/>
            <w:vAlign w:val="center"/>
          </w:tcPr>
          <w:p w:rsidR="00445944" w:rsidRDefault="007451A0">
            <w:pPr>
              <w:jc w:val="center"/>
            </w:pPr>
            <w:r>
              <w:rPr>
                <w:rFonts w:hint="eastAsia"/>
                <w:sz w:val="24"/>
              </w:rPr>
              <w:t>交易</w:t>
            </w:r>
            <w:r>
              <w:rPr>
                <w:sz w:val="24"/>
              </w:rPr>
              <w:t>型开放式</w:t>
            </w:r>
          </w:p>
        </w:tc>
        <w:tc>
          <w:tcPr>
            <w:tcW w:w="1133" w:type="dxa"/>
            <w:vAlign w:val="center"/>
          </w:tcPr>
          <w:p w:rsidR="00445944" w:rsidRDefault="007451A0">
            <w:pPr>
              <w:jc w:val="center"/>
            </w:pPr>
            <w:r>
              <w:rPr>
                <w:sz w:val="24"/>
              </w:rPr>
              <w:t>27,133,900.00</w:t>
            </w:r>
          </w:p>
        </w:tc>
        <w:tc>
          <w:tcPr>
            <w:tcW w:w="1276" w:type="dxa"/>
            <w:vAlign w:val="center"/>
          </w:tcPr>
          <w:p w:rsidR="00445944" w:rsidRDefault="007451A0">
            <w:pPr>
              <w:jc w:val="center"/>
            </w:pPr>
            <w:r>
              <w:rPr>
                <w:sz w:val="24"/>
              </w:rPr>
              <w:t>14,191,029.70</w:t>
            </w:r>
          </w:p>
        </w:tc>
        <w:tc>
          <w:tcPr>
            <w:tcW w:w="1135" w:type="dxa"/>
            <w:vAlign w:val="center"/>
          </w:tcPr>
          <w:p w:rsidR="00445944" w:rsidRDefault="007451A0">
            <w:pPr>
              <w:jc w:val="center"/>
            </w:pPr>
            <w:r>
              <w:rPr>
                <w:sz w:val="24"/>
              </w:rPr>
              <w:t>3.20%</w:t>
            </w:r>
          </w:p>
        </w:tc>
        <w:tc>
          <w:tcPr>
            <w:tcW w:w="1272" w:type="dxa"/>
            <w:vAlign w:val="center"/>
          </w:tcPr>
          <w:p w:rsidR="00445944" w:rsidRDefault="007451A0">
            <w:pPr>
              <w:jc w:val="center"/>
            </w:pPr>
            <w:r>
              <w:rPr>
                <w:sz w:val="24"/>
              </w:rPr>
              <w:t>否</w:t>
            </w:r>
          </w:p>
        </w:tc>
      </w:tr>
      <w:tr w:rsidR="00445944">
        <w:tc>
          <w:tcPr>
            <w:tcW w:w="817" w:type="dxa"/>
            <w:vAlign w:val="center"/>
          </w:tcPr>
          <w:p w:rsidR="00445944" w:rsidRDefault="007451A0">
            <w:pPr>
              <w:jc w:val="center"/>
            </w:pPr>
            <w:r>
              <w:rPr>
                <w:sz w:val="24"/>
              </w:rPr>
              <w:t>10</w:t>
            </w:r>
          </w:p>
        </w:tc>
        <w:tc>
          <w:tcPr>
            <w:tcW w:w="1133" w:type="dxa"/>
            <w:vAlign w:val="center"/>
          </w:tcPr>
          <w:p w:rsidR="00445944" w:rsidRDefault="007451A0">
            <w:pPr>
              <w:jc w:val="center"/>
            </w:pPr>
            <w:r>
              <w:rPr>
                <w:sz w:val="24"/>
              </w:rPr>
              <w:t>512800</w:t>
            </w:r>
          </w:p>
        </w:tc>
        <w:tc>
          <w:tcPr>
            <w:tcW w:w="1135" w:type="dxa"/>
            <w:vAlign w:val="center"/>
          </w:tcPr>
          <w:p w:rsidR="00445944" w:rsidRDefault="007451A0">
            <w:pPr>
              <w:jc w:val="center"/>
            </w:pPr>
            <w:r>
              <w:rPr>
                <w:sz w:val="24"/>
              </w:rPr>
              <w:t>华宝中证银行</w:t>
            </w:r>
            <w:r>
              <w:rPr>
                <w:sz w:val="24"/>
              </w:rPr>
              <w:t>ETF</w:t>
            </w:r>
          </w:p>
        </w:tc>
        <w:tc>
          <w:tcPr>
            <w:tcW w:w="1135" w:type="dxa"/>
            <w:vAlign w:val="center"/>
          </w:tcPr>
          <w:p w:rsidR="00445944" w:rsidRDefault="007451A0">
            <w:pPr>
              <w:jc w:val="center"/>
            </w:pPr>
            <w:r>
              <w:rPr>
                <w:rFonts w:hint="eastAsia"/>
                <w:sz w:val="24"/>
              </w:rPr>
              <w:t>交易</w:t>
            </w:r>
            <w:r>
              <w:rPr>
                <w:sz w:val="24"/>
              </w:rPr>
              <w:t>型开放式</w:t>
            </w:r>
          </w:p>
        </w:tc>
        <w:tc>
          <w:tcPr>
            <w:tcW w:w="1133" w:type="dxa"/>
            <w:vAlign w:val="center"/>
          </w:tcPr>
          <w:p w:rsidR="00445944" w:rsidRDefault="007451A0">
            <w:pPr>
              <w:jc w:val="center"/>
            </w:pPr>
            <w:r>
              <w:rPr>
                <w:sz w:val="24"/>
              </w:rPr>
              <w:t>12,403,200.00</w:t>
            </w:r>
          </w:p>
        </w:tc>
        <w:tc>
          <w:tcPr>
            <w:tcW w:w="1276" w:type="dxa"/>
            <w:vAlign w:val="center"/>
          </w:tcPr>
          <w:p w:rsidR="00445944" w:rsidRDefault="007451A0">
            <w:pPr>
              <w:jc w:val="center"/>
            </w:pPr>
            <w:r>
              <w:rPr>
                <w:sz w:val="24"/>
              </w:rPr>
              <w:t>13,941,196.80</w:t>
            </w:r>
          </w:p>
        </w:tc>
        <w:tc>
          <w:tcPr>
            <w:tcW w:w="1135" w:type="dxa"/>
            <w:vAlign w:val="center"/>
          </w:tcPr>
          <w:p w:rsidR="00445944" w:rsidRDefault="007451A0">
            <w:pPr>
              <w:jc w:val="center"/>
            </w:pPr>
            <w:r>
              <w:rPr>
                <w:sz w:val="24"/>
              </w:rPr>
              <w:t>3.14%</w:t>
            </w:r>
          </w:p>
        </w:tc>
        <w:tc>
          <w:tcPr>
            <w:tcW w:w="1272" w:type="dxa"/>
            <w:vAlign w:val="center"/>
          </w:tcPr>
          <w:p w:rsidR="00445944" w:rsidRDefault="007451A0">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4E29F0"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94,245.44</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1E7533"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46,129.27</w:t>
            </w:r>
          </w:p>
        </w:tc>
        <w:tc>
          <w:tcPr>
            <w:tcW w:w="3012" w:type="dxa"/>
            <w:vAlign w:val="center"/>
          </w:tcPr>
          <w:p w:rsidR="00C45886" w:rsidRPr="00575270" w:rsidRDefault="001E7533"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81.14</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0429AB"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989</w:t>
            </w:r>
            <w:r w:rsidR="001E7533">
              <w:rPr>
                <w:rFonts w:eastAsiaTheme="minorEastAsia"/>
                <w:color w:val="000000" w:themeColor="text1"/>
                <w:sz w:val="24"/>
              </w:rPr>
              <w:t>,</w:t>
            </w:r>
            <w:r>
              <w:rPr>
                <w:rFonts w:eastAsiaTheme="minorEastAsia"/>
                <w:color w:val="000000" w:themeColor="text1"/>
                <w:sz w:val="24"/>
              </w:rPr>
              <w:t>398</w:t>
            </w:r>
            <w:r w:rsidR="001E7533">
              <w:rPr>
                <w:rFonts w:eastAsiaTheme="minorEastAsia"/>
                <w:color w:val="000000" w:themeColor="text1"/>
                <w:sz w:val="24"/>
              </w:rPr>
              <w:t>.</w:t>
            </w:r>
            <w:r>
              <w:rPr>
                <w:rFonts w:eastAsiaTheme="minorEastAsia"/>
                <w:color w:val="000000" w:themeColor="text1"/>
                <w:sz w:val="24"/>
              </w:rPr>
              <w:t>81</w:t>
            </w:r>
          </w:p>
        </w:tc>
        <w:tc>
          <w:tcPr>
            <w:tcW w:w="3012" w:type="dxa"/>
            <w:vAlign w:val="center"/>
          </w:tcPr>
          <w:p w:rsidR="00C45886" w:rsidRPr="00575270" w:rsidRDefault="001E7533"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88,664.23</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1E7533"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17</w:t>
            </w:r>
            <w:r w:rsidR="000429AB">
              <w:rPr>
                <w:rFonts w:eastAsiaTheme="minorEastAsia"/>
                <w:color w:val="000000" w:themeColor="text1"/>
                <w:sz w:val="24"/>
              </w:rPr>
              <w:t>4</w:t>
            </w:r>
            <w:r>
              <w:rPr>
                <w:rFonts w:eastAsiaTheme="minorEastAsia"/>
                <w:color w:val="000000" w:themeColor="text1"/>
                <w:sz w:val="24"/>
              </w:rPr>
              <w:t>,</w:t>
            </w:r>
            <w:r w:rsidR="000429AB">
              <w:rPr>
                <w:rFonts w:eastAsiaTheme="minorEastAsia"/>
                <w:color w:val="000000" w:themeColor="text1"/>
                <w:sz w:val="24"/>
              </w:rPr>
              <w:t>112</w:t>
            </w:r>
            <w:r>
              <w:rPr>
                <w:rFonts w:eastAsiaTheme="minorEastAsia"/>
                <w:color w:val="000000" w:themeColor="text1"/>
                <w:sz w:val="24"/>
              </w:rPr>
              <w:t>.</w:t>
            </w:r>
            <w:r w:rsidR="000429AB">
              <w:rPr>
                <w:rFonts w:eastAsiaTheme="minorEastAsia"/>
                <w:color w:val="000000" w:themeColor="text1"/>
                <w:sz w:val="24"/>
              </w:rPr>
              <w:t>01</w:t>
            </w:r>
          </w:p>
        </w:tc>
        <w:tc>
          <w:tcPr>
            <w:tcW w:w="3012" w:type="dxa"/>
            <w:vAlign w:val="center"/>
          </w:tcPr>
          <w:p w:rsidR="00C45886" w:rsidRPr="00575270" w:rsidRDefault="001E7533" w:rsidP="00342FE7">
            <w:pPr>
              <w:adjustRightInd w:val="0"/>
              <w:snapToGrid w:val="0"/>
              <w:spacing w:beforeLines="50" w:before="156" w:line="276" w:lineRule="auto"/>
              <w:jc w:val="right"/>
              <w:rPr>
                <w:rFonts w:eastAsiaTheme="minorEastAsia"/>
                <w:color w:val="000000" w:themeColor="text1"/>
                <w:sz w:val="24"/>
              </w:rPr>
            </w:pPr>
            <w:r>
              <w:rPr>
                <w:rFonts w:eastAsiaTheme="minorEastAsia"/>
                <w:color w:val="000000" w:themeColor="text1"/>
                <w:sz w:val="24"/>
              </w:rPr>
              <w:t>15,492.32</w:t>
            </w:r>
          </w:p>
        </w:tc>
      </w:tr>
      <w:tr w:rsidR="00445944">
        <w:tc>
          <w:tcPr>
            <w:tcW w:w="3012" w:type="dxa"/>
            <w:vAlign w:val="center"/>
          </w:tcPr>
          <w:p w:rsidR="00445944" w:rsidRDefault="007451A0">
            <w:pPr>
              <w:jc w:val="left"/>
            </w:pPr>
            <w:r>
              <w:rPr>
                <w:rFonts w:eastAsiaTheme="minorEastAsia"/>
                <w:color w:val="000000" w:themeColor="text1"/>
                <w:sz w:val="24"/>
              </w:rPr>
              <w:t>当期交易基金产生的交易费（元）</w:t>
            </w:r>
          </w:p>
        </w:tc>
        <w:tc>
          <w:tcPr>
            <w:tcW w:w="3012" w:type="dxa"/>
            <w:vAlign w:val="center"/>
          </w:tcPr>
          <w:p w:rsidR="00445944" w:rsidRDefault="004E29F0">
            <w:pPr>
              <w:jc w:val="right"/>
            </w:pPr>
            <w:r>
              <w:rPr>
                <w:rFonts w:eastAsiaTheme="minorEastAsia"/>
                <w:color w:val="000000" w:themeColor="text1"/>
                <w:sz w:val="24"/>
              </w:rPr>
              <w:t>24,299.93</w:t>
            </w:r>
          </w:p>
        </w:tc>
        <w:tc>
          <w:tcPr>
            <w:tcW w:w="3012" w:type="dxa"/>
            <w:vAlign w:val="center"/>
          </w:tcPr>
          <w:p w:rsidR="00445944" w:rsidRDefault="007451A0">
            <w:pPr>
              <w:jc w:val="right"/>
            </w:pPr>
            <w:r>
              <w:rPr>
                <w:rFonts w:eastAsiaTheme="minorEastAsia"/>
                <w:color w:val="000000" w:themeColor="text1"/>
                <w:sz w:val="24"/>
              </w:rPr>
              <w:t>-</w:t>
            </w:r>
          </w:p>
        </w:tc>
      </w:tr>
      <w:tr w:rsidR="004E29F0">
        <w:tc>
          <w:tcPr>
            <w:tcW w:w="3012" w:type="dxa"/>
            <w:vAlign w:val="center"/>
          </w:tcPr>
          <w:p w:rsidR="004E29F0" w:rsidRDefault="004E29F0" w:rsidP="004E29F0">
            <w:pPr>
              <w:jc w:val="left"/>
              <w:rPr>
                <w:rFonts w:eastAsiaTheme="minorEastAsia"/>
                <w:color w:val="000000" w:themeColor="text1"/>
                <w:sz w:val="24"/>
              </w:rPr>
            </w:pPr>
            <w:r>
              <w:rPr>
                <w:rFonts w:eastAsiaTheme="minorEastAsia"/>
                <w:color w:val="000000" w:themeColor="text1"/>
                <w:sz w:val="24"/>
              </w:rPr>
              <w:t>当期交易基金产生的</w:t>
            </w:r>
            <w:r>
              <w:rPr>
                <w:rFonts w:eastAsiaTheme="minorEastAsia" w:hint="eastAsia"/>
                <w:color w:val="000000" w:themeColor="text1"/>
                <w:sz w:val="24"/>
              </w:rPr>
              <w:t>转换</w:t>
            </w:r>
            <w:r>
              <w:rPr>
                <w:rFonts w:eastAsiaTheme="minorEastAsia"/>
                <w:color w:val="000000" w:themeColor="text1"/>
                <w:sz w:val="24"/>
              </w:rPr>
              <w:t>费</w:t>
            </w:r>
            <w:r w:rsidR="004B7252">
              <w:rPr>
                <w:rFonts w:eastAsiaTheme="minorEastAsia"/>
                <w:color w:val="000000" w:themeColor="text1"/>
                <w:sz w:val="24"/>
              </w:rPr>
              <w:t>（元）</w:t>
            </w:r>
          </w:p>
        </w:tc>
        <w:tc>
          <w:tcPr>
            <w:tcW w:w="3012" w:type="dxa"/>
            <w:vAlign w:val="center"/>
          </w:tcPr>
          <w:p w:rsidR="004E29F0" w:rsidRPr="004E29F0" w:rsidRDefault="004E29F0">
            <w:pPr>
              <w:jc w:val="right"/>
              <w:rPr>
                <w:rFonts w:eastAsiaTheme="minorEastAsia"/>
                <w:color w:val="000000" w:themeColor="text1"/>
                <w:sz w:val="24"/>
              </w:rPr>
            </w:pPr>
            <w:r>
              <w:rPr>
                <w:rFonts w:eastAsiaTheme="minorEastAsia"/>
                <w:color w:val="000000" w:themeColor="text1"/>
                <w:sz w:val="24"/>
              </w:rPr>
              <w:t>38,256.16</w:t>
            </w:r>
          </w:p>
        </w:tc>
        <w:tc>
          <w:tcPr>
            <w:tcW w:w="3012" w:type="dxa"/>
            <w:vAlign w:val="center"/>
          </w:tcPr>
          <w:p w:rsidR="004E29F0" w:rsidRDefault="004E29F0">
            <w:pPr>
              <w:jc w:val="right"/>
              <w:rPr>
                <w:rFonts w:eastAsiaTheme="minorEastAsia"/>
                <w:color w:val="000000" w:themeColor="text1"/>
                <w:sz w:val="24"/>
              </w:rPr>
            </w:pP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246,483,405.07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301,606,577.95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15,657.45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103,674.15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26,347,958.02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36,235,629.28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220,151,104.50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265,474,622.82</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1,103,955.84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1,103,955.84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60413A" w:rsidRDefault="0060413A" w:rsidP="0060413A">
      <w:pPr>
        <w:spacing w:line="360" w:lineRule="auto"/>
        <w:jc w:val="left"/>
        <w:rPr>
          <w:b/>
          <w:color w:val="000000" w:themeColor="text1"/>
          <w:szCs w:val="21"/>
        </w:rPr>
      </w:pPr>
    </w:p>
    <w:p w:rsidR="0060413A" w:rsidRDefault="0060413A" w:rsidP="0060413A">
      <w:pPr>
        <w:spacing w:line="360" w:lineRule="auto"/>
        <w:jc w:val="left"/>
        <w:rPr>
          <w:b/>
          <w:color w:val="000000" w:themeColor="text1"/>
          <w:szCs w:val="21"/>
        </w:rPr>
      </w:pPr>
      <w:r>
        <w:rPr>
          <w:b/>
          <w:color w:val="000000" w:themeColor="text1"/>
          <w:szCs w:val="21"/>
        </w:rPr>
        <w:t xml:space="preserve">8.2 </w:t>
      </w:r>
      <w:r>
        <w:rPr>
          <w:rFonts w:hint="eastAsia"/>
          <w:b/>
          <w:color w:val="000000" w:themeColor="text1"/>
          <w:szCs w:val="21"/>
        </w:rPr>
        <w:t>基金管理人运用固有资金投资本基金交易明细</w:t>
      </w:r>
    </w:p>
    <w:p w:rsidR="0060413A" w:rsidRDefault="0060413A" w:rsidP="0060413A">
      <w:pPr>
        <w:spacing w:line="360" w:lineRule="auto"/>
        <w:jc w:val="left"/>
        <w:rPr>
          <w:color w:val="000000" w:themeColor="text1"/>
          <w:szCs w:val="21"/>
        </w:rPr>
      </w:pPr>
      <w:r>
        <w:rPr>
          <w:rFonts w:hint="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摩根博睿均衡一年持有期混合型基金中基金</w:t>
      </w:r>
      <w:r>
        <w:rPr>
          <w:rFonts w:eastAsiaTheme="minorEastAsia"/>
          <w:color w:val="000000" w:themeColor="text1"/>
          <w:szCs w:val="21"/>
        </w:rPr>
        <w:t>(FOF)</w:t>
      </w:r>
      <w:r>
        <w:rPr>
          <w:rFonts w:eastAsiaTheme="minorEastAsia"/>
          <w:color w:val="000000" w:themeColor="text1"/>
          <w:szCs w:val="21"/>
        </w:rPr>
        <w:t>基金合同</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摩根博睿均衡一年持有期混合型基金中基金</w:t>
      </w:r>
      <w:r>
        <w:rPr>
          <w:rFonts w:eastAsiaTheme="minorEastAsia"/>
          <w:color w:val="000000" w:themeColor="text1"/>
          <w:szCs w:val="21"/>
        </w:rPr>
        <w:t>(FOF)</w:t>
      </w:r>
      <w:r>
        <w:rPr>
          <w:rFonts w:eastAsiaTheme="minorEastAsia"/>
          <w:color w:val="000000" w:themeColor="text1"/>
          <w:szCs w:val="21"/>
        </w:rPr>
        <w:t>托管协议</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445944" w:rsidRDefault="007451A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E9" w:rsidRDefault="00A609E9">
      <w:r>
        <w:separator/>
      </w:r>
    </w:p>
  </w:endnote>
  <w:endnote w:type="continuationSeparator" w:id="0">
    <w:p w:rsidR="00A609E9" w:rsidRDefault="00A6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0423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04239">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04239">
      <w:rPr>
        <w:rStyle w:val="af6"/>
        <w:noProof/>
      </w:rPr>
      <w:t>13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E9" w:rsidRDefault="00A609E9">
      <w:r>
        <w:separator/>
      </w:r>
    </w:p>
  </w:footnote>
  <w:footnote w:type="continuationSeparator" w:id="0">
    <w:p w:rsidR="00A609E9" w:rsidRDefault="00A60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摩根博睿均衡一年持有期混合型基金中基金</w:t>
    </w:r>
    <w:r>
      <w:t>(FOF)2023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29AB"/>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E7533"/>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4239"/>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5A30"/>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5944"/>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B7252"/>
    <w:rsid w:val="004C0541"/>
    <w:rsid w:val="004C3A16"/>
    <w:rsid w:val="004C634A"/>
    <w:rsid w:val="004C660B"/>
    <w:rsid w:val="004D050C"/>
    <w:rsid w:val="004D23D9"/>
    <w:rsid w:val="004D29A9"/>
    <w:rsid w:val="004D3537"/>
    <w:rsid w:val="004D4D4E"/>
    <w:rsid w:val="004D5974"/>
    <w:rsid w:val="004D614E"/>
    <w:rsid w:val="004D650F"/>
    <w:rsid w:val="004E2133"/>
    <w:rsid w:val="004E29F0"/>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413A"/>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51A0"/>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09E9"/>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1CB4"/>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72152">
      <w:bodyDiv w:val="1"/>
      <w:marLeft w:val="0"/>
      <w:marRight w:val="0"/>
      <w:marTop w:val="0"/>
      <w:marBottom w:val="0"/>
      <w:divBdr>
        <w:top w:val="none" w:sz="0" w:space="0" w:color="auto"/>
        <w:left w:val="none" w:sz="0" w:space="0" w:color="auto"/>
        <w:bottom w:val="none" w:sz="0" w:space="0" w:color="auto"/>
        <w:right w:val="none" w:sz="0" w:space="0" w:color="auto"/>
      </w:divBdr>
    </w:div>
    <w:div w:id="1036390809">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6ED0D-E285-4423-85FE-8BF207AE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393</TotalTime>
  <Pages>15</Pages>
  <Words>1281</Words>
  <Characters>7307</Characters>
  <Application>Microsoft Office Word</Application>
  <DocSecurity>0</DocSecurity>
  <Lines>60</Lines>
  <Paragraphs>17</Paragraphs>
  <ScaleCrop>false</ScaleCrop>
  <Company>TRT. Ltd. Co.</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233</cp:revision>
  <cp:lastPrinted>2007-07-19T00:46:00Z</cp:lastPrinted>
  <dcterms:created xsi:type="dcterms:W3CDTF">2013-06-21T06:56:00Z</dcterms:created>
  <dcterms:modified xsi:type="dcterms:W3CDTF">2023-10-24T07:04:00Z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