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hint="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摩根博睿均衡一年持有期混合型基金中基金</w:t>
      </w:r>
      <w:r w:rsidRPr="00B27A29">
        <w:rPr>
          <w:rFonts w:eastAsiaTheme="minorEastAsia"/>
          <w:b/>
          <w:color w:val="000000" w:themeColor="text1"/>
          <w:sz w:val="36"/>
          <w:szCs w:val="36"/>
        </w:rPr>
        <w:t>(FOF)</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年第</w:t>
      </w:r>
      <w:r w:rsidRPr="00B27A29">
        <w:rPr>
          <w:rFonts w:eastAsiaTheme="minorEastAsia"/>
          <w:b/>
          <w:color w:val="000000" w:themeColor="text1"/>
          <w:sz w:val="36"/>
          <w:szCs w:val="36"/>
        </w:rPr>
        <w:t>4</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w:t>
      </w:r>
      <w:r w:rsidRPr="00B27A29">
        <w:rPr>
          <w:rFonts w:eastAsiaTheme="minorEastAsia"/>
          <w:b/>
          <w:color w:val="000000" w:themeColor="text1"/>
          <w:sz w:val="36"/>
          <w:szCs w:val="36"/>
        </w:rPr>
        <w:t>12</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基金托管人：平安银行股份有限公司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报告送出日期：二〇二四年一月二十二日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7C4A5E" w:rsidRDefault="00684409">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7C4A5E" w:rsidRDefault="00684409">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基金托管人平安银行股份有限公司根据本基金合同规定，于</w:t>
      </w:r>
      <w:r>
        <w:rPr>
          <w:rFonts w:eastAsiaTheme="minorEastAsia"/>
          <w:color w:val="000000" w:themeColor="text1"/>
          <w:szCs w:val="21"/>
        </w:rPr>
        <w:t>2024</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19</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7C4A5E" w:rsidRDefault="00684409">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7C4A5E" w:rsidRDefault="00684409">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7C4A5E" w:rsidRDefault="00684409">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10</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12</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摩根博睿均衡一年持有混合</w:t>
            </w:r>
            <w:r w:rsidRPr="00B27A29">
              <w:rPr>
                <w:rFonts w:eastAsiaTheme="minorEastAsia"/>
                <w:color w:val="000000" w:themeColor="text1"/>
                <w:kern w:val="0"/>
                <w:szCs w:val="21"/>
              </w:rPr>
              <w:t>(FOF)</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015359</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2022</w:t>
            </w:r>
            <w:r w:rsidRPr="00B27A29">
              <w:rPr>
                <w:rFonts w:eastAsiaTheme="minorEastAsia"/>
                <w:color w:val="000000" w:themeColor="text1"/>
                <w:kern w:val="0"/>
                <w:szCs w:val="21"/>
              </w:rPr>
              <w:t>年</w:t>
            </w:r>
            <w:r w:rsidRPr="00B27A29">
              <w:rPr>
                <w:rFonts w:eastAsiaTheme="minorEastAsia"/>
                <w:color w:val="000000" w:themeColor="text1"/>
                <w:kern w:val="0"/>
                <w:szCs w:val="21"/>
              </w:rPr>
              <w:t>4</w:t>
            </w:r>
            <w:r w:rsidRPr="00B27A29">
              <w:rPr>
                <w:rFonts w:eastAsiaTheme="minorEastAsia"/>
                <w:color w:val="000000" w:themeColor="text1"/>
                <w:kern w:val="0"/>
                <w:szCs w:val="21"/>
              </w:rPr>
              <w:t>月</w:t>
            </w:r>
            <w:r w:rsidRPr="00B27A29">
              <w:rPr>
                <w:rFonts w:eastAsiaTheme="minorEastAsia"/>
                <w:color w:val="000000" w:themeColor="text1"/>
                <w:kern w:val="0"/>
                <w:szCs w:val="21"/>
              </w:rPr>
              <w:t>27</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433,429,733.40</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本基金通过资产配置及优选基金，并结合严格的风险控制，力争实现基金资产的长期稳健增值。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7C4A5E" w:rsidRDefault="0068440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7C4A5E" w:rsidRDefault="0068440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在大类资产配置上，本基金将结合产品定位、风险收益特征以及管理人的长期资本市场观点确定基金的资产配置方案。</w:t>
            </w:r>
          </w:p>
          <w:p w:rsidR="007C4A5E" w:rsidRDefault="0068440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首先，管理人将根据基金业绩基准确定产品的风险收益特征。其次，管理人将根据投研团队的长期资本市场观点对各类型资产的风险收益特征进行判断。最后，结合本基金</w:t>
            </w:r>
            <w:r>
              <w:rPr>
                <w:rFonts w:eastAsiaTheme="minorEastAsia"/>
                <w:color w:val="000000" w:themeColor="text1"/>
                <w:kern w:val="0"/>
                <w:szCs w:val="21"/>
              </w:rPr>
              <w:lastRenderedPageBreak/>
              <w:t>以及各资产类别的风险收益特征，依据现代投资组合理论，模拟得出各大类资产的长期战略配置比例。</w:t>
            </w:r>
          </w:p>
          <w:p w:rsidR="007C4A5E" w:rsidRDefault="0068440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本基金原则上均衡配置于权益类资产和其他资产，并定期结合策略观点，修正资产配置，实现细分资产类别的动态调整。</w:t>
            </w:r>
          </w:p>
          <w:p w:rsidR="007C4A5E" w:rsidRDefault="0068440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、主动管理型基金投资策略：</w:t>
            </w:r>
          </w:p>
          <w:p w:rsidR="007C4A5E" w:rsidRDefault="0068440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通过自下而上的方式优选基金，研究过程中综合运用定量分析和定性分析，优选符合要求且能在中长期创造超额收益的基金。</w:t>
            </w:r>
          </w:p>
          <w:p w:rsidR="007C4A5E" w:rsidRDefault="0068440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、指数基金投资策略：</w:t>
            </w:r>
          </w:p>
          <w:p w:rsidR="007C4A5E" w:rsidRDefault="0068440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优选中长期景气向好的指数基金进行配置，增厚组合收益，并把握阶段性投资机会，获取超额收益。</w:t>
            </w:r>
          </w:p>
          <w:p w:rsidR="007C4A5E" w:rsidRDefault="0068440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4</w:t>
            </w:r>
            <w:r>
              <w:rPr>
                <w:rFonts w:eastAsiaTheme="minorEastAsia"/>
                <w:color w:val="000000" w:themeColor="text1"/>
                <w:kern w:val="0"/>
                <w:szCs w:val="21"/>
              </w:rPr>
              <w:t>、其他投资策略：</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包括股票投资策略、港股投资策略、债券投资策略、证券公司短期公司债投资策略、资产支持证券投资策略、存托凭证投资策略。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中证</w:t>
            </w:r>
            <w:r w:rsidRPr="00B27A29">
              <w:rPr>
                <w:rFonts w:eastAsiaTheme="minorEastAsia"/>
                <w:color w:val="000000" w:themeColor="text1"/>
                <w:kern w:val="0"/>
                <w:szCs w:val="21"/>
              </w:rPr>
              <w:t>800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*50%+</w:t>
            </w:r>
            <w:r w:rsidRPr="00B27A29">
              <w:rPr>
                <w:rFonts w:eastAsiaTheme="minorEastAsia"/>
                <w:color w:val="000000" w:themeColor="text1"/>
                <w:kern w:val="0"/>
                <w:szCs w:val="21"/>
              </w:rPr>
              <w:t>中证综合债指数收益率</w:t>
            </w:r>
            <w:r w:rsidRPr="00B27A29">
              <w:rPr>
                <w:rFonts w:eastAsiaTheme="minorEastAsia"/>
                <w:color w:val="000000" w:themeColor="text1"/>
                <w:kern w:val="0"/>
                <w:szCs w:val="21"/>
              </w:rPr>
              <w:t>*40%+</w:t>
            </w:r>
            <w:r w:rsidRPr="00B27A29">
              <w:rPr>
                <w:rFonts w:eastAsiaTheme="minorEastAsia"/>
                <w:color w:val="000000" w:themeColor="text1"/>
                <w:kern w:val="0"/>
                <w:szCs w:val="21"/>
              </w:rPr>
              <w:t>活期存款利率（税后）</w:t>
            </w:r>
            <w:r w:rsidRPr="00B27A29">
              <w:rPr>
                <w:rFonts w:eastAsiaTheme="minorEastAsia"/>
                <w:color w:val="000000" w:themeColor="text1"/>
                <w:kern w:val="0"/>
                <w:szCs w:val="21"/>
              </w:rPr>
              <w:t>*10%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属于混合型基金中基金，预期风险和收益水平低于股票型基金中基金，高于债券型基金中基金和货币型基金中基金。本基金可投资香港联合交易所上市的股票，将面临港股通机制下因投资环境、投资标的、市场制度以及交易规则等差异带来的特有风险。</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平安银行股份有限公司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摩根博睿均衡一年持有混合</w:t>
            </w:r>
            <w:r w:rsidRPr="00B27A29">
              <w:rPr>
                <w:rFonts w:eastAsiaTheme="minorEastAsia"/>
                <w:color w:val="000000" w:themeColor="text1"/>
                <w:szCs w:val="21"/>
              </w:rPr>
              <w:t>(FOF)A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摩根博睿均衡一年持有混合</w:t>
            </w:r>
            <w:r w:rsidRPr="00B27A29">
              <w:rPr>
                <w:rFonts w:eastAsiaTheme="minorEastAsia"/>
                <w:color w:val="000000" w:themeColor="text1"/>
                <w:szCs w:val="21"/>
              </w:rPr>
              <w:t>(FOF)C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015359</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015360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w:t>
            </w:r>
            <w:r w:rsidRPr="00B27A29">
              <w:rPr>
                <w:rFonts w:eastAsiaTheme="minorEastAsia"/>
                <w:color w:val="000000" w:themeColor="text1"/>
                <w:szCs w:val="21"/>
              </w:rPr>
              <w:lastRenderedPageBreak/>
              <w:t>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lastRenderedPageBreak/>
              <w:t>200,269,511.52</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233,160,221.88</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10</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12</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摩根博睿均衡一年持有混合</w:t>
            </w:r>
            <w:r w:rsidRPr="00B27A29">
              <w:rPr>
                <w:rFonts w:eastAsiaTheme="minorEastAsia"/>
                <w:color w:val="000000" w:themeColor="text1"/>
                <w:szCs w:val="21"/>
              </w:rPr>
              <w:t>(FOF)A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摩根博睿均衡一年持有混合</w:t>
            </w:r>
            <w:r w:rsidRPr="00B27A29">
              <w:rPr>
                <w:rFonts w:eastAsiaTheme="minorEastAsia"/>
                <w:color w:val="000000" w:themeColor="text1"/>
                <w:szCs w:val="21"/>
              </w:rPr>
              <w:t>(FOF)C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-3,419,797.22</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-4,360,255.50</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-7,781,697.19</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-9,743,159.94</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-0.0371</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-0.0387</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176,260,023.33</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203,488,198.77</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0.8801</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0.8727</w:t>
            </w:r>
          </w:p>
        </w:tc>
      </w:tr>
    </w:tbl>
    <w:p w:rsidR="007C4A5E" w:rsidRDefault="00684409">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摩根博睿均衡一年持有混合</w:t>
      </w:r>
      <w:r w:rsidRPr="00B27A29">
        <w:rPr>
          <w:rFonts w:eastAsiaTheme="minorEastAsia"/>
          <w:b/>
          <w:color w:val="000000" w:themeColor="text1"/>
          <w:kern w:val="0"/>
          <w:szCs w:val="21"/>
        </w:rPr>
        <w:t>(FOF)A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7C4A5E">
        <w:tc>
          <w:tcPr>
            <w:tcW w:w="1290" w:type="dxa"/>
            <w:vAlign w:val="center"/>
          </w:tcPr>
          <w:p w:rsidR="007C4A5E" w:rsidRDefault="00684409">
            <w:pPr>
              <w:jc w:val="left"/>
            </w:pPr>
            <w:r>
              <w:rPr>
                <w:rFonts w:eastAsiaTheme="minorEastAsia"/>
                <w:color w:val="000000" w:themeColor="text1"/>
                <w:szCs w:val="21"/>
              </w:rPr>
              <w:t>过去三个月</w:t>
            </w:r>
          </w:p>
        </w:tc>
        <w:tc>
          <w:tcPr>
            <w:tcW w:w="1291" w:type="dxa"/>
            <w:vAlign w:val="center"/>
          </w:tcPr>
          <w:p w:rsidR="007C4A5E" w:rsidRDefault="00684409">
            <w:pPr>
              <w:jc w:val="right"/>
            </w:pPr>
            <w:r>
              <w:rPr>
                <w:rFonts w:eastAsiaTheme="minorEastAsia"/>
                <w:color w:val="000000" w:themeColor="text1"/>
                <w:szCs w:val="21"/>
              </w:rPr>
              <w:t>-4.01%</w:t>
            </w:r>
          </w:p>
        </w:tc>
        <w:tc>
          <w:tcPr>
            <w:tcW w:w="1291" w:type="dxa"/>
            <w:vAlign w:val="center"/>
          </w:tcPr>
          <w:p w:rsidR="007C4A5E" w:rsidRDefault="00684409">
            <w:pPr>
              <w:jc w:val="right"/>
            </w:pPr>
            <w:r>
              <w:rPr>
                <w:rFonts w:eastAsiaTheme="minorEastAsia"/>
                <w:color w:val="000000" w:themeColor="text1"/>
                <w:szCs w:val="21"/>
              </w:rPr>
              <w:t>0.52%</w:t>
            </w:r>
          </w:p>
        </w:tc>
        <w:tc>
          <w:tcPr>
            <w:tcW w:w="1291" w:type="dxa"/>
            <w:vAlign w:val="center"/>
          </w:tcPr>
          <w:p w:rsidR="007C4A5E" w:rsidRDefault="00684409">
            <w:pPr>
              <w:jc w:val="right"/>
            </w:pPr>
            <w:r>
              <w:rPr>
                <w:rFonts w:eastAsiaTheme="minorEastAsia"/>
                <w:color w:val="000000" w:themeColor="text1"/>
                <w:szCs w:val="21"/>
              </w:rPr>
              <w:t>-2.70%</w:t>
            </w:r>
          </w:p>
        </w:tc>
        <w:tc>
          <w:tcPr>
            <w:tcW w:w="1291" w:type="dxa"/>
            <w:vAlign w:val="center"/>
          </w:tcPr>
          <w:p w:rsidR="007C4A5E" w:rsidRDefault="00684409">
            <w:pPr>
              <w:jc w:val="right"/>
            </w:pPr>
            <w:r>
              <w:rPr>
                <w:rFonts w:eastAsiaTheme="minorEastAsia"/>
                <w:color w:val="000000" w:themeColor="text1"/>
                <w:szCs w:val="21"/>
              </w:rPr>
              <w:t>0.39%</w:t>
            </w:r>
          </w:p>
        </w:tc>
        <w:tc>
          <w:tcPr>
            <w:tcW w:w="1291" w:type="dxa"/>
            <w:vAlign w:val="center"/>
          </w:tcPr>
          <w:p w:rsidR="007C4A5E" w:rsidRDefault="00684409">
            <w:pPr>
              <w:jc w:val="right"/>
            </w:pPr>
            <w:r>
              <w:rPr>
                <w:rFonts w:eastAsiaTheme="minorEastAsia"/>
                <w:color w:val="000000" w:themeColor="text1"/>
                <w:szCs w:val="21"/>
              </w:rPr>
              <w:t>-1.31%</w:t>
            </w:r>
          </w:p>
        </w:tc>
        <w:tc>
          <w:tcPr>
            <w:tcW w:w="1291" w:type="dxa"/>
            <w:vAlign w:val="center"/>
          </w:tcPr>
          <w:p w:rsidR="007C4A5E" w:rsidRDefault="00684409">
            <w:pPr>
              <w:jc w:val="right"/>
            </w:pPr>
            <w:r>
              <w:rPr>
                <w:rFonts w:eastAsiaTheme="minorEastAsia"/>
                <w:color w:val="000000" w:themeColor="text1"/>
                <w:szCs w:val="21"/>
              </w:rPr>
              <w:t>0.13%</w:t>
            </w:r>
          </w:p>
        </w:tc>
      </w:tr>
      <w:tr w:rsidR="007C4A5E">
        <w:tc>
          <w:tcPr>
            <w:tcW w:w="1290" w:type="dxa"/>
            <w:vAlign w:val="center"/>
          </w:tcPr>
          <w:p w:rsidR="007C4A5E" w:rsidRDefault="00684409">
            <w:pPr>
              <w:jc w:val="left"/>
            </w:pPr>
            <w:r>
              <w:rPr>
                <w:rFonts w:eastAsiaTheme="minorEastAsia"/>
                <w:color w:val="000000" w:themeColor="text1"/>
                <w:szCs w:val="21"/>
              </w:rPr>
              <w:t>过去六个月</w:t>
            </w:r>
          </w:p>
        </w:tc>
        <w:tc>
          <w:tcPr>
            <w:tcW w:w="1291" w:type="dxa"/>
            <w:vAlign w:val="center"/>
          </w:tcPr>
          <w:p w:rsidR="007C4A5E" w:rsidRDefault="00684409">
            <w:pPr>
              <w:jc w:val="right"/>
            </w:pPr>
            <w:r>
              <w:rPr>
                <w:rFonts w:eastAsiaTheme="minorEastAsia"/>
                <w:color w:val="000000" w:themeColor="text1"/>
                <w:szCs w:val="21"/>
              </w:rPr>
              <w:t>-7.22%</w:t>
            </w:r>
          </w:p>
        </w:tc>
        <w:tc>
          <w:tcPr>
            <w:tcW w:w="1291" w:type="dxa"/>
            <w:vAlign w:val="center"/>
          </w:tcPr>
          <w:p w:rsidR="007C4A5E" w:rsidRDefault="00684409">
            <w:pPr>
              <w:jc w:val="right"/>
            </w:pPr>
            <w:r>
              <w:rPr>
                <w:rFonts w:eastAsiaTheme="minorEastAsia"/>
                <w:color w:val="000000" w:themeColor="text1"/>
                <w:szCs w:val="21"/>
              </w:rPr>
              <w:t>0.56%</w:t>
            </w:r>
          </w:p>
        </w:tc>
        <w:tc>
          <w:tcPr>
            <w:tcW w:w="1291" w:type="dxa"/>
            <w:vAlign w:val="center"/>
          </w:tcPr>
          <w:p w:rsidR="007C4A5E" w:rsidRDefault="00684409">
            <w:pPr>
              <w:jc w:val="right"/>
            </w:pPr>
            <w:r>
              <w:rPr>
                <w:rFonts w:eastAsiaTheme="minorEastAsia"/>
                <w:color w:val="000000" w:themeColor="text1"/>
                <w:szCs w:val="21"/>
              </w:rPr>
              <w:t>-4.46%</w:t>
            </w:r>
          </w:p>
        </w:tc>
        <w:tc>
          <w:tcPr>
            <w:tcW w:w="1291" w:type="dxa"/>
            <w:vAlign w:val="center"/>
          </w:tcPr>
          <w:p w:rsidR="007C4A5E" w:rsidRDefault="00684409">
            <w:pPr>
              <w:jc w:val="right"/>
            </w:pPr>
            <w:r>
              <w:rPr>
                <w:rFonts w:eastAsiaTheme="minorEastAsia"/>
                <w:color w:val="000000" w:themeColor="text1"/>
                <w:szCs w:val="21"/>
              </w:rPr>
              <w:t>0.41%</w:t>
            </w:r>
          </w:p>
        </w:tc>
        <w:tc>
          <w:tcPr>
            <w:tcW w:w="1291" w:type="dxa"/>
            <w:vAlign w:val="center"/>
          </w:tcPr>
          <w:p w:rsidR="007C4A5E" w:rsidRDefault="00684409">
            <w:pPr>
              <w:jc w:val="right"/>
            </w:pPr>
            <w:r>
              <w:rPr>
                <w:rFonts w:eastAsiaTheme="minorEastAsia"/>
                <w:color w:val="000000" w:themeColor="text1"/>
                <w:szCs w:val="21"/>
              </w:rPr>
              <w:t>-2.76%</w:t>
            </w:r>
          </w:p>
        </w:tc>
        <w:tc>
          <w:tcPr>
            <w:tcW w:w="1291" w:type="dxa"/>
            <w:vAlign w:val="center"/>
          </w:tcPr>
          <w:p w:rsidR="007C4A5E" w:rsidRDefault="00684409">
            <w:pPr>
              <w:jc w:val="right"/>
            </w:pPr>
            <w:r>
              <w:rPr>
                <w:rFonts w:eastAsiaTheme="minorEastAsia"/>
                <w:color w:val="000000" w:themeColor="text1"/>
                <w:szCs w:val="21"/>
              </w:rPr>
              <w:t>0.15%</w:t>
            </w:r>
          </w:p>
        </w:tc>
      </w:tr>
      <w:tr w:rsidR="007C4A5E">
        <w:tc>
          <w:tcPr>
            <w:tcW w:w="1290" w:type="dxa"/>
            <w:vAlign w:val="center"/>
          </w:tcPr>
          <w:p w:rsidR="007C4A5E" w:rsidRDefault="00684409">
            <w:pPr>
              <w:jc w:val="left"/>
            </w:pPr>
            <w:r>
              <w:rPr>
                <w:rFonts w:eastAsiaTheme="minorEastAsia"/>
                <w:color w:val="000000" w:themeColor="text1"/>
                <w:szCs w:val="21"/>
              </w:rPr>
              <w:t>过去一年</w:t>
            </w:r>
          </w:p>
        </w:tc>
        <w:tc>
          <w:tcPr>
            <w:tcW w:w="1291" w:type="dxa"/>
            <w:vAlign w:val="center"/>
          </w:tcPr>
          <w:p w:rsidR="007C4A5E" w:rsidRDefault="00684409">
            <w:pPr>
              <w:jc w:val="right"/>
            </w:pPr>
            <w:r>
              <w:rPr>
                <w:rFonts w:eastAsiaTheme="minorEastAsia"/>
                <w:color w:val="000000" w:themeColor="text1"/>
                <w:szCs w:val="21"/>
              </w:rPr>
              <w:t>-6.45%</w:t>
            </w:r>
          </w:p>
        </w:tc>
        <w:tc>
          <w:tcPr>
            <w:tcW w:w="1291" w:type="dxa"/>
            <w:vAlign w:val="center"/>
          </w:tcPr>
          <w:p w:rsidR="007C4A5E" w:rsidRDefault="00684409">
            <w:pPr>
              <w:jc w:val="right"/>
            </w:pPr>
            <w:r>
              <w:rPr>
                <w:rFonts w:eastAsiaTheme="minorEastAsia"/>
                <w:color w:val="000000" w:themeColor="text1"/>
                <w:szCs w:val="21"/>
              </w:rPr>
              <w:t>0.52%</w:t>
            </w:r>
          </w:p>
        </w:tc>
        <w:tc>
          <w:tcPr>
            <w:tcW w:w="1291" w:type="dxa"/>
            <w:vAlign w:val="center"/>
          </w:tcPr>
          <w:p w:rsidR="007C4A5E" w:rsidRDefault="00684409">
            <w:pPr>
              <w:jc w:val="right"/>
            </w:pPr>
            <w:r>
              <w:rPr>
                <w:rFonts w:eastAsiaTheme="minorEastAsia"/>
                <w:color w:val="000000" w:themeColor="text1"/>
                <w:szCs w:val="21"/>
              </w:rPr>
              <w:t>-3.30%</w:t>
            </w:r>
          </w:p>
        </w:tc>
        <w:tc>
          <w:tcPr>
            <w:tcW w:w="1291" w:type="dxa"/>
            <w:vAlign w:val="center"/>
          </w:tcPr>
          <w:p w:rsidR="007C4A5E" w:rsidRDefault="00684409">
            <w:pPr>
              <w:jc w:val="right"/>
            </w:pPr>
            <w:r>
              <w:rPr>
                <w:rFonts w:eastAsiaTheme="minorEastAsia"/>
                <w:color w:val="000000" w:themeColor="text1"/>
                <w:szCs w:val="21"/>
              </w:rPr>
              <w:t>0.40%</w:t>
            </w:r>
          </w:p>
        </w:tc>
        <w:tc>
          <w:tcPr>
            <w:tcW w:w="1291" w:type="dxa"/>
            <w:vAlign w:val="center"/>
          </w:tcPr>
          <w:p w:rsidR="007C4A5E" w:rsidRDefault="00684409">
            <w:pPr>
              <w:jc w:val="right"/>
            </w:pPr>
            <w:r>
              <w:rPr>
                <w:rFonts w:eastAsiaTheme="minorEastAsia"/>
                <w:color w:val="000000" w:themeColor="text1"/>
                <w:szCs w:val="21"/>
              </w:rPr>
              <w:t>-3.15%</w:t>
            </w:r>
          </w:p>
        </w:tc>
        <w:tc>
          <w:tcPr>
            <w:tcW w:w="1291" w:type="dxa"/>
            <w:vAlign w:val="center"/>
          </w:tcPr>
          <w:p w:rsidR="007C4A5E" w:rsidRDefault="00684409">
            <w:pPr>
              <w:jc w:val="right"/>
            </w:pPr>
            <w:r>
              <w:rPr>
                <w:rFonts w:eastAsiaTheme="minorEastAsia"/>
                <w:color w:val="000000" w:themeColor="text1"/>
                <w:szCs w:val="21"/>
              </w:rPr>
              <w:t>0.12%</w:t>
            </w:r>
          </w:p>
        </w:tc>
      </w:tr>
      <w:tr w:rsidR="007C4A5E">
        <w:tc>
          <w:tcPr>
            <w:tcW w:w="1290" w:type="dxa"/>
            <w:vAlign w:val="center"/>
          </w:tcPr>
          <w:p w:rsidR="007C4A5E" w:rsidRDefault="00684409">
            <w:pPr>
              <w:jc w:val="left"/>
            </w:pPr>
            <w:r>
              <w:rPr>
                <w:rFonts w:eastAsiaTheme="minorEastAsia"/>
                <w:color w:val="000000" w:themeColor="text1"/>
                <w:szCs w:val="21"/>
              </w:rPr>
              <w:t>过去三年</w:t>
            </w:r>
          </w:p>
        </w:tc>
        <w:tc>
          <w:tcPr>
            <w:tcW w:w="1291" w:type="dxa"/>
            <w:vAlign w:val="center"/>
          </w:tcPr>
          <w:p w:rsidR="007C4A5E" w:rsidRDefault="00684409">
            <w:pPr>
              <w:jc w:val="right"/>
            </w:pPr>
            <w:r>
              <w:rPr>
                <w:rFonts w:eastAsiaTheme="minorEastAsia"/>
                <w:color w:val="000000" w:themeColor="text1"/>
                <w:szCs w:val="21"/>
              </w:rPr>
              <w:t>-</w:t>
            </w:r>
          </w:p>
        </w:tc>
        <w:tc>
          <w:tcPr>
            <w:tcW w:w="1291" w:type="dxa"/>
            <w:vAlign w:val="center"/>
          </w:tcPr>
          <w:p w:rsidR="007C4A5E" w:rsidRDefault="00684409">
            <w:pPr>
              <w:jc w:val="right"/>
            </w:pPr>
            <w:r>
              <w:rPr>
                <w:rFonts w:eastAsiaTheme="minorEastAsia"/>
                <w:color w:val="000000" w:themeColor="text1"/>
                <w:szCs w:val="21"/>
              </w:rPr>
              <w:t>-</w:t>
            </w:r>
          </w:p>
        </w:tc>
        <w:tc>
          <w:tcPr>
            <w:tcW w:w="1291" w:type="dxa"/>
            <w:vAlign w:val="center"/>
          </w:tcPr>
          <w:p w:rsidR="007C4A5E" w:rsidRDefault="00684409">
            <w:pPr>
              <w:jc w:val="right"/>
            </w:pPr>
            <w:r>
              <w:rPr>
                <w:rFonts w:eastAsiaTheme="minorEastAsia"/>
                <w:color w:val="000000" w:themeColor="text1"/>
                <w:szCs w:val="21"/>
              </w:rPr>
              <w:t>-</w:t>
            </w:r>
          </w:p>
        </w:tc>
        <w:tc>
          <w:tcPr>
            <w:tcW w:w="1291" w:type="dxa"/>
            <w:vAlign w:val="center"/>
          </w:tcPr>
          <w:p w:rsidR="007C4A5E" w:rsidRDefault="00684409">
            <w:pPr>
              <w:jc w:val="right"/>
            </w:pPr>
            <w:r>
              <w:rPr>
                <w:rFonts w:eastAsiaTheme="minorEastAsia"/>
                <w:color w:val="000000" w:themeColor="text1"/>
                <w:szCs w:val="21"/>
              </w:rPr>
              <w:t>-</w:t>
            </w:r>
          </w:p>
        </w:tc>
        <w:tc>
          <w:tcPr>
            <w:tcW w:w="1291" w:type="dxa"/>
            <w:vAlign w:val="center"/>
          </w:tcPr>
          <w:p w:rsidR="007C4A5E" w:rsidRDefault="00684409">
            <w:pPr>
              <w:jc w:val="right"/>
            </w:pPr>
            <w:r>
              <w:rPr>
                <w:rFonts w:eastAsiaTheme="minorEastAsia"/>
                <w:color w:val="000000" w:themeColor="text1"/>
                <w:szCs w:val="21"/>
              </w:rPr>
              <w:t>-</w:t>
            </w:r>
          </w:p>
        </w:tc>
        <w:tc>
          <w:tcPr>
            <w:tcW w:w="1291" w:type="dxa"/>
            <w:vAlign w:val="center"/>
          </w:tcPr>
          <w:p w:rsidR="007C4A5E" w:rsidRDefault="00684409">
            <w:pPr>
              <w:jc w:val="right"/>
            </w:pPr>
            <w:r>
              <w:rPr>
                <w:rFonts w:eastAsiaTheme="minorEastAsia"/>
                <w:color w:val="000000" w:themeColor="text1"/>
                <w:szCs w:val="21"/>
              </w:rPr>
              <w:t>-</w:t>
            </w:r>
          </w:p>
        </w:tc>
      </w:tr>
      <w:tr w:rsidR="007C4A5E">
        <w:tc>
          <w:tcPr>
            <w:tcW w:w="1290" w:type="dxa"/>
            <w:vAlign w:val="center"/>
          </w:tcPr>
          <w:p w:rsidR="007C4A5E" w:rsidRDefault="00684409">
            <w:pPr>
              <w:jc w:val="left"/>
            </w:pPr>
            <w:r>
              <w:rPr>
                <w:rFonts w:eastAsiaTheme="minorEastAsia"/>
                <w:color w:val="000000" w:themeColor="text1"/>
                <w:szCs w:val="21"/>
              </w:rPr>
              <w:t>过去五年</w:t>
            </w:r>
          </w:p>
        </w:tc>
        <w:tc>
          <w:tcPr>
            <w:tcW w:w="1291" w:type="dxa"/>
            <w:vAlign w:val="center"/>
          </w:tcPr>
          <w:p w:rsidR="007C4A5E" w:rsidRDefault="00684409">
            <w:pPr>
              <w:jc w:val="right"/>
            </w:pPr>
            <w:r>
              <w:rPr>
                <w:rFonts w:eastAsiaTheme="minorEastAsia"/>
                <w:color w:val="000000" w:themeColor="text1"/>
                <w:szCs w:val="21"/>
              </w:rPr>
              <w:t>-</w:t>
            </w:r>
          </w:p>
        </w:tc>
        <w:tc>
          <w:tcPr>
            <w:tcW w:w="1291" w:type="dxa"/>
            <w:vAlign w:val="center"/>
          </w:tcPr>
          <w:p w:rsidR="007C4A5E" w:rsidRDefault="00684409">
            <w:pPr>
              <w:jc w:val="right"/>
            </w:pPr>
            <w:r>
              <w:rPr>
                <w:rFonts w:eastAsiaTheme="minorEastAsia"/>
                <w:color w:val="000000" w:themeColor="text1"/>
                <w:szCs w:val="21"/>
              </w:rPr>
              <w:t>-</w:t>
            </w:r>
          </w:p>
        </w:tc>
        <w:tc>
          <w:tcPr>
            <w:tcW w:w="1291" w:type="dxa"/>
            <w:vAlign w:val="center"/>
          </w:tcPr>
          <w:p w:rsidR="007C4A5E" w:rsidRDefault="00684409">
            <w:pPr>
              <w:jc w:val="right"/>
            </w:pPr>
            <w:r>
              <w:rPr>
                <w:rFonts w:eastAsiaTheme="minorEastAsia"/>
                <w:color w:val="000000" w:themeColor="text1"/>
                <w:szCs w:val="21"/>
              </w:rPr>
              <w:t>-</w:t>
            </w:r>
          </w:p>
        </w:tc>
        <w:tc>
          <w:tcPr>
            <w:tcW w:w="1291" w:type="dxa"/>
            <w:vAlign w:val="center"/>
          </w:tcPr>
          <w:p w:rsidR="007C4A5E" w:rsidRDefault="00684409">
            <w:pPr>
              <w:jc w:val="right"/>
            </w:pPr>
            <w:r>
              <w:rPr>
                <w:rFonts w:eastAsiaTheme="minorEastAsia"/>
                <w:color w:val="000000" w:themeColor="text1"/>
                <w:szCs w:val="21"/>
              </w:rPr>
              <w:t>-</w:t>
            </w:r>
          </w:p>
        </w:tc>
        <w:tc>
          <w:tcPr>
            <w:tcW w:w="1291" w:type="dxa"/>
            <w:vAlign w:val="center"/>
          </w:tcPr>
          <w:p w:rsidR="007C4A5E" w:rsidRDefault="00684409">
            <w:pPr>
              <w:jc w:val="right"/>
            </w:pPr>
            <w:r>
              <w:rPr>
                <w:rFonts w:eastAsiaTheme="minorEastAsia"/>
                <w:color w:val="000000" w:themeColor="text1"/>
                <w:szCs w:val="21"/>
              </w:rPr>
              <w:t>-</w:t>
            </w:r>
          </w:p>
        </w:tc>
        <w:tc>
          <w:tcPr>
            <w:tcW w:w="1291" w:type="dxa"/>
            <w:vAlign w:val="center"/>
          </w:tcPr>
          <w:p w:rsidR="007C4A5E" w:rsidRDefault="00684409">
            <w:pPr>
              <w:jc w:val="right"/>
            </w:pPr>
            <w:r>
              <w:rPr>
                <w:rFonts w:eastAsiaTheme="minorEastAsia"/>
                <w:color w:val="000000" w:themeColor="text1"/>
                <w:szCs w:val="21"/>
              </w:rPr>
              <w:t>-</w:t>
            </w:r>
          </w:p>
        </w:tc>
      </w:tr>
      <w:tr w:rsidR="007C4A5E">
        <w:tc>
          <w:tcPr>
            <w:tcW w:w="1290" w:type="dxa"/>
            <w:vAlign w:val="center"/>
          </w:tcPr>
          <w:p w:rsidR="007C4A5E" w:rsidRDefault="00684409">
            <w:pPr>
              <w:jc w:val="left"/>
            </w:pPr>
            <w:r>
              <w:rPr>
                <w:rFonts w:eastAsiaTheme="minorEastAsia"/>
                <w:color w:val="000000" w:themeColor="text1"/>
                <w:szCs w:val="21"/>
              </w:rPr>
              <w:t>自基金合同生效起至今</w:t>
            </w:r>
          </w:p>
        </w:tc>
        <w:tc>
          <w:tcPr>
            <w:tcW w:w="1291" w:type="dxa"/>
            <w:vAlign w:val="center"/>
          </w:tcPr>
          <w:p w:rsidR="007C4A5E" w:rsidRDefault="00684409">
            <w:pPr>
              <w:jc w:val="right"/>
            </w:pPr>
            <w:r>
              <w:rPr>
                <w:rFonts w:eastAsiaTheme="minorEastAsia"/>
                <w:color w:val="000000" w:themeColor="text1"/>
                <w:szCs w:val="21"/>
              </w:rPr>
              <w:t>-11.99%</w:t>
            </w:r>
          </w:p>
        </w:tc>
        <w:tc>
          <w:tcPr>
            <w:tcW w:w="1291" w:type="dxa"/>
            <w:vAlign w:val="center"/>
          </w:tcPr>
          <w:p w:rsidR="007C4A5E" w:rsidRDefault="00684409">
            <w:pPr>
              <w:jc w:val="right"/>
            </w:pPr>
            <w:r>
              <w:rPr>
                <w:rFonts w:eastAsiaTheme="minorEastAsia"/>
                <w:color w:val="000000" w:themeColor="text1"/>
                <w:szCs w:val="21"/>
              </w:rPr>
              <w:t>0.48%</w:t>
            </w:r>
          </w:p>
        </w:tc>
        <w:tc>
          <w:tcPr>
            <w:tcW w:w="1291" w:type="dxa"/>
            <w:vAlign w:val="center"/>
          </w:tcPr>
          <w:p w:rsidR="007C4A5E" w:rsidRDefault="00684409">
            <w:pPr>
              <w:jc w:val="right"/>
            </w:pPr>
            <w:r>
              <w:rPr>
                <w:rFonts w:eastAsiaTheme="minorEastAsia"/>
                <w:color w:val="000000" w:themeColor="text1"/>
                <w:szCs w:val="21"/>
              </w:rPr>
              <w:t>0.13%</w:t>
            </w:r>
          </w:p>
        </w:tc>
        <w:tc>
          <w:tcPr>
            <w:tcW w:w="1291" w:type="dxa"/>
            <w:vAlign w:val="center"/>
          </w:tcPr>
          <w:p w:rsidR="007C4A5E" w:rsidRDefault="00684409">
            <w:pPr>
              <w:jc w:val="right"/>
            </w:pPr>
            <w:r>
              <w:rPr>
                <w:rFonts w:eastAsiaTheme="minorEastAsia"/>
                <w:color w:val="000000" w:themeColor="text1"/>
                <w:szCs w:val="21"/>
              </w:rPr>
              <w:t>0.47%</w:t>
            </w:r>
          </w:p>
        </w:tc>
        <w:tc>
          <w:tcPr>
            <w:tcW w:w="1291" w:type="dxa"/>
            <w:vAlign w:val="center"/>
          </w:tcPr>
          <w:p w:rsidR="007C4A5E" w:rsidRDefault="00684409">
            <w:pPr>
              <w:jc w:val="right"/>
            </w:pPr>
            <w:r>
              <w:rPr>
                <w:rFonts w:eastAsiaTheme="minorEastAsia"/>
                <w:color w:val="000000" w:themeColor="text1"/>
                <w:szCs w:val="21"/>
              </w:rPr>
              <w:t>-12.12%</w:t>
            </w:r>
          </w:p>
        </w:tc>
        <w:tc>
          <w:tcPr>
            <w:tcW w:w="1291" w:type="dxa"/>
            <w:vAlign w:val="center"/>
          </w:tcPr>
          <w:p w:rsidR="007C4A5E" w:rsidRDefault="00684409">
            <w:pPr>
              <w:jc w:val="right"/>
            </w:pPr>
            <w:r>
              <w:rPr>
                <w:rFonts w:eastAsiaTheme="minorEastAsia"/>
                <w:color w:val="000000" w:themeColor="text1"/>
                <w:szCs w:val="21"/>
              </w:rPr>
              <w:t>0.01%</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lastRenderedPageBreak/>
        <w:t>2</w:t>
      </w:r>
      <w:r w:rsidRPr="00B27A29">
        <w:rPr>
          <w:rFonts w:eastAsiaTheme="minorEastAsia"/>
          <w:b/>
          <w:color w:val="000000" w:themeColor="text1"/>
          <w:szCs w:val="21"/>
        </w:rPr>
        <w:t>、</w:t>
      </w:r>
      <w:r w:rsidRPr="00B27A29">
        <w:rPr>
          <w:rFonts w:eastAsiaTheme="minorEastAsia"/>
          <w:b/>
          <w:color w:val="000000" w:themeColor="text1"/>
          <w:kern w:val="0"/>
          <w:szCs w:val="21"/>
        </w:rPr>
        <w:t>摩根博睿均衡一年持有混合</w:t>
      </w:r>
      <w:r w:rsidRPr="00B27A29">
        <w:rPr>
          <w:rFonts w:eastAsiaTheme="minorEastAsia"/>
          <w:b/>
          <w:color w:val="000000" w:themeColor="text1"/>
          <w:kern w:val="0"/>
          <w:szCs w:val="21"/>
        </w:rPr>
        <w:t>(FOF)C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7C4A5E">
        <w:tc>
          <w:tcPr>
            <w:tcW w:w="1290" w:type="dxa"/>
            <w:vAlign w:val="center"/>
          </w:tcPr>
          <w:p w:rsidR="007C4A5E" w:rsidRDefault="00684409">
            <w:pPr>
              <w:jc w:val="left"/>
            </w:pPr>
            <w:r>
              <w:rPr>
                <w:rFonts w:eastAsiaTheme="minorEastAsia"/>
                <w:color w:val="000000" w:themeColor="text1"/>
                <w:szCs w:val="21"/>
              </w:rPr>
              <w:t>过去三个月</w:t>
            </w:r>
          </w:p>
        </w:tc>
        <w:tc>
          <w:tcPr>
            <w:tcW w:w="1291" w:type="dxa"/>
            <w:vAlign w:val="center"/>
          </w:tcPr>
          <w:p w:rsidR="007C4A5E" w:rsidRDefault="00684409">
            <w:pPr>
              <w:jc w:val="right"/>
            </w:pPr>
            <w:r>
              <w:rPr>
                <w:rFonts w:eastAsiaTheme="minorEastAsia"/>
                <w:color w:val="000000" w:themeColor="text1"/>
                <w:szCs w:val="21"/>
              </w:rPr>
              <w:t>-4.14%</w:t>
            </w:r>
          </w:p>
        </w:tc>
        <w:tc>
          <w:tcPr>
            <w:tcW w:w="1291" w:type="dxa"/>
            <w:vAlign w:val="center"/>
          </w:tcPr>
          <w:p w:rsidR="007C4A5E" w:rsidRDefault="00684409">
            <w:pPr>
              <w:jc w:val="right"/>
            </w:pPr>
            <w:r>
              <w:rPr>
                <w:rFonts w:eastAsiaTheme="minorEastAsia"/>
                <w:color w:val="000000" w:themeColor="text1"/>
                <w:szCs w:val="21"/>
              </w:rPr>
              <w:t>0.52%</w:t>
            </w:r>
          </w:p>
        </w:tc>
        <w:tc>
          <w:tcPr>
            <w:tcW w:w="1291" w:type="dxa"/>
            <w:vAlign w:val="center"/>
          </w:tcPr>
          <w:p w:rsidR="007C4A5E" w:rsidRDefault="00684409">
            <w:pPr>
              <w:jc w:val="right"/>
            </w:pPr>
            <w:r>
              <w:rPr>
                <w:rFonts w:eastAsiaTheme="minorEastAsia"/>
                <w:color w:val="000000" w:themeColor="text1"/>
                <w:szCs w:val="21"/>
              </w:rPr>
              <w:t>-2.70%</w:t>
            </w:r>
          </w:p>
        </w:tc>
        <w:tc>
          <w:tcPr>
            <w:tcW w:w="1291" w:type="dxa"/>
            <w:vAlign w:val="center"/>
          </w:tcPr>
          <w:p w:rsidR="007C4A5E" w:rsidRDefault="00684409">
            <w:pPr>
              <w:jc w:val="right"/>
            </w:pPr>
            <w:r>
              <w:rPr>
                <w:rFonts w:eastAsiaTheme="minorEastAsia"/>
                <w:color w:val="000000" w:themeColor="text1"/>
                <w:szCs w:val="21"/>
              </w:rPr>
              <w:t>0.39%</w:t>
            </w:r>
          </w:p>
        </w:tc>
        <w:tc>
          <w:tcPr>
            <w:tcW w:w="1291" w:type="dxa"/>
            <w:vAlign w:val="center"/>
          </w:tcPr>
          <w:p w:rsidR="007C4A5E" w:rsidRDefault="00684409">
            <w:pPr>
              <w:jc w:val="right"/>
            </w:pPr>
            <w:r>
              <w:rPr>
                <w:rFonts w:eastAsiaTheme="minorEastAsia"/>
                <w:color w:val="000000" w:themeColor="text1"/>
                <w:szCs w:val="21"/>
              </w:rPr>
              <w:t>-1.44%</w:t>
            </w:r>
          </w:p>
        </w:tc>
        <w:tc>
          <w:tcPr>
            <w:tcW w:w="1291" w:type="dxa"/>
            <w:vAlign w:val="center"/>
          </w:tcPr>
          <w:p w:rsidR="007C4A5E" w:rsidRDefault="00684409">
            <w:pPr>
              <w:jc w:val="right"/>
            </w:pPr>
            <w:r>
              <w:rPr>
                <w:rFonts w:eastAsiaTheme="minorEastAsia"/>
                <w:color w:val="000000" w:themeColor="text1"/>
                <w:szCs w:val="21"/>
              </w:rPr>
              <w:t>0.13%</w:t>
            </w:r>
          </w:p>
        </w:tc>
      </w:tr>
      <w:tr w:rsidR="007C4A5E">
        <w:tc>
          <w:tcPr>
            <w:tcW w:w="1290" w:type="dxa"/>
            <w:vAlign w:val="center"/>
          </w:tcPr>
          <w:p w:rsidR="007C4A5E" w:rsidRDefault="00684409">
            <w:pPr>
              <w:jc w:val="left"/>
            </w:pPr>
            <w:r>
              <w:rPr>
                <w:rFonts w:eastAsiaTheme="minorEastAsia"/>
                <w:color w:val="000000" w:themeColor="text1"/>
                <w:szCs w:val="21"/>
              </w:rPr>
              <w:t>过去六个月</w:t>
            </w:r>
          </w:p>
        </w:tc>
        <w:tc>
          <w:tcPr>
            <w:tcW w:w="1291" w:type="dxa"/>
            <w:vAlign w:val="center"/>
          </w:tcPr>
          <w:p w:rsidR="007C4A5E" w:rsidRDefault="00684409">
            <w:pPr>
              <w:jc w:val="right"/>
            </w:pPr>
            <w:r>
              <w:rPr>
                <w:rFonts w:eastAsiaTheme="minorEastAsia"/>
                <w:color w:val="000000" w:themeColor="text1"/>
                <w:szCs w:val="21"/>
              </w:rPr>
              <w:t>-7.46%</w:t>
            </w:r>
          </w:p>
        </w:tc>
        <w:tc>
          <w:tcPr>
            <w:tcW w:w="1291" w:type="dxa"/>
            <w:vAlign w:val="center"/>
          </w:tcPr>
          <w:p w:rsidR="007C4A5E" w:rsidRDefault="00684409">
            <w:pPr>
              <w:jc w:val="right"/>
            </w:pPr>
            <w:r>
              <w:rPr>
                <w:rFonts w:eastAsiaTheme="minorEastAsia"/>
                <w:color w:val="000000" w:themeColor="text1"/>
                <w:szCs w:val="21"/>
              </w:rPr>
              <w:t>0.56%</w:t>
            </w:r>
          </w:p>
        </w:tc>
        <w:tc>
          <w:tcPr>
            <w:tcW w:w="1291" w:type="dxa"/>
            <w:vAlign w:val="center"/>
          </w:tcPr>
          <w:p w:rsidR="007C4A5E" w:rsidRDefault="00684409">
            <w:pPr>
              <w:jc w:val="right"/>
            </w:pPr>
            <w:r>
              <w:rPr>
                <w:rFonts w:eastAsiaTheme="minorEastAsia"/>
                <w:color w:val="000000" w:themeColor="text1"/>
                <w:szCs w:val="21"/>
              </w:rPr>
              <w:t>-4.46%</w:t>
            </w:r>
          </w:p>
        </w:tc>
        <w:tc>
          <w:tcPr>
            <w:tcW w:w="1291" w:type="dxa"/>
            <w:vAlign w:val="center"/>
          </w:tcPr>
          <w:p w:rsidR="007C4A5E" w:rsidRDefault="00684409">
            <w:pPr>
              <w:jc w:val="right"/>
            </w:pPr>
            <w:r>
              <w:rPr>
                <w:rFonts w:eastAsiaTheme="minorEastAsia"/>
                <w:color w:val="000000" w:themeColor="text1"/>
                <w:szCs w:val="21"/>
              </w:rPr>
              <w:t>0.41%</w:t>
            </w:r>
          </w:p>
        </w:tc>
        <w:tc>
          <w:tcPr>
            <w:tcW w:w="1291" w:type="dxa"/>
            <w:vAlign w:val="center"/>
          </w:tcPr>
          <w:p w:rsidR="007C4A5E" w:rsidRDefault="00684409">
            <w:pPr>
              <w:jc w:val="right"/>
            </w:pPr>
            <w:r>
              <w:rPr>
                <w:rFonts w:eastAsiaTheme="minorEastAsia"/>
                <w:color w:val="000000" w:themeColor="text1"/>
                <w:szCs w:val="21"/>
              </w:rPr>
              <w:t>-3.00%</w:t>
            </w:r>
          </w:p>
        </w:tc>
        <w:tc>
          <w:tcPr>
            <w:tcW w:w="1291" w:type="dxa"/>
            <w:vAlign w:val="center"/>
          </w:tcPr>
          <w:p w:rsidR="007C4A5E" w:rsidRDefault="00684409">
            <w:pPr>
              <w:jc w:val="right"/>
            </w:pPr>
            <w:r>
              <w:rPr>
                <w:rFonts w:eastAsiaTheme="minorEastAsia"/>
                <w:color w:val="000000" w:themeColor="text1"/>
                <w:szCs w:val="21"/>
              </w:rPr>
              <w:t>0.15%</w:t>
            </w:r>
          </w:p>
        </w:tc>
      </w:tr>
      <w:tr w:rsidR="007C4A5E">
        <w:tc>
          <w:tcPr>
            <w:tcW w:w="1290" w:type="dxa"/>
            <w:vAlign w:val="center"/>
          </w:tcPr>
          <w:p w:rsidR="007C4A5E" w:rsidRDefault="00684409">
            <w:pPr>
              <w:jc w:val="left"/>
            </w:pPr>
            <w:r>
              <w:rPr>
                <w:rFonts w:eastAsiaTheme="minorEastAsia"/>
                <w:color w:val="000000" w:themeColor="text1"/>
                <w:szCs w:val="21"/>
              </w:rPr>
              <w:t>过去一年</w:t>
            </w:r>
          </w:p>
        </w:tc>
        <w:tc>
          <w:tcPr>
            <w:tcW w:w="1291" w:type="dxa"/>
            <w:vAlign w:val="center"/>
          </w:tcPr>
          <w:p w:rsidR="007C4A5E" w:rsidRDefault="00684409">
            <w:pPr>
              <w:jc w:val="right"/>
            </w:pPr>
            <w:r>
              <w:rPr>
                <w:rFonts w:eastAsiaTheme="minorEastAsia"/>
                <w:color w:val="000000" w:themeColor="text1"/>
                <w:szCs w:val="21"/>
              </w:rPr>
              <w:t>-6.92%</w:t>
            </w:r>
          </w:p>
        </w:tc>
        <w:tc>
          <w:tcPr>
            <w:tcW w:w="1291" w:type="dxa"/>
            <w:vAlign w:val="center"/>
          </w:tcPr>
          <w:p w:rsidR="007C4A5E" w:rsidRDefault="00684409">
            <w:pPr>
              <w:jc w:val="right"/>
            </w:pPr>
            <w:r>
              <w:rPr>
                <w:rFonts w:eastAsiaTheme="minorEastAsia"/>
                <w:color w:val="000000" w:themeColor="text1"/>
                <w:szCs w:val="21"/>
              </w:rPr>
              <w:t>0.52%</w:t>
            </w:r>
          </w:p>
        </w:tc>
        <w:tc>
          <w:tcPr>
            <w:tcW w:w="1291" w:type="dxa"/>
            <w:vAlign w:val="center"/>
          </w:tcPr>
          <w:p w:rsidR="007C4A5E" w:rsidRDefault="00684409">
            <w:pPr>
              <w:jc w:val="right"/>
            </w:pPr>
            <w:r>
              <w:rPr>
                <w:rFonts w:eastAsiaTheme="minorEastAsia"/>
                <w:color w:val="000000" w:themeColor="text1"/>
                <w:szCs w:val="21"/>
              </w:rPr>
              <w:t>-3.30%</w:t>
            </w:r>
          </w:p>
        </w:tc>
        <w:tc>
          <w:tcPr>
            <w:tcW w:w="1291" w:type="dxa"/>
            <w:vAlign w:val="center"/>
          </w:tcPr>
          <w:p w:rsidR="007C4A5E" w:rsidRDefault="00684409">
            <w:pPr>
              <w:jc w:val="right"/>
            </w:pPr>
            <w:r>
              <w:rPr>
                <w:rFonts w:eastAsiaTheme="minorEastAsia"/>
                <w:color w:val="000000" w:themeColor="text1"/>
                <w:szCs w:val="21"/>
              </w:rPr>
              <w:t>0.40%</w:t>
            </w:r>
          </w:p>
        </w:tc>
        <w:tc>
          <w:tcPr>
            <w:tcW w:w="1291" w:type="dxa"/>
            <w:vAlign w:val="center"/>
          </w:tcPr>
          <w:p w:rsidR="007C4A5E" w:rsidRDefault="00684409">
            <w:pPr>
              <w:jc w:val="right"/>
            </w:pPr>
            <w:r>
              <w:rPr>
                <w:rFonts w:eastAsiaTheme="minorEastAsia"/>
                <w:color w:val="000000" w:themeColor="text1"/>
                <w:szCs w:val="21"/>
              </w:rPr>
              <w:t>-3.62%</w:t>
            </w:r>
          </w:p>
        </w:tc>
        <w:tc>
          <w:tcPr>
            <w:tcW w:w="1291" w:type="dxa"/>
            <w:vAlign w:val="center"/>
          </w:tcPr>
          <w:p w:rsidR="007C4A5E" w:rsidRDefault="00684409">
            <w:pPr>
              <w:jc w:val="right"/>
            </w:pPr>
            <w:r>
              <w:rPr>
                <w:rFonts w:eastAsiaTheme="minorEastAsia"/>
                <w:color w:val="000000" w:themeColor="text1"/>
                <w:szCs w:val="21"/>
              </w:rPr>
              <w:t>0.12%</w:t>
            </w:r>
          </w:p>
        </w:tc>
      </w:tr>
      <w:tr w:rsidR="007C4A5E">
        <w:tc>
          <w:tcPr>
            <w:tcW w:w="1290" w:type="dxa"/>
            <w:vAlign w:val="center"/>
          </w:tcPr>
          <w:p w:rsidR="007C4A5E" w:rsidRDefault="00684409">
            <w:pPr>
              <w:jc w:val="left"/>
            </w:pPr>
            <w:r>
              <w:rPr>
                <w:rFonts w:eastAsiaTheme="minorEastAsia"/>
                <w:color w:val="000000" w:themeColor="text1"/>
                <w:szCs w:val="21"/>
              </w:rPr>
              <w:t>过去三年</w:t>
            </w:r>
          </w:p>
        </w:tc>
        <w:tc>
          <w:tcPr>
            <w:tcW w:w="1291" w:type="dxa"/>
            <w:vAlign w:val="center"/>
          </w:tcPr>
          <w:p w:rsidR="007C4A5E" w:rsidRDefault="00684409">
            <w:pPr>
              <w:jc w:val="right"/>
            </w:pPr>
            <w:r>
              <w:rPr>
                <w:rFonts w:eastAsiaTheme="minorEastAsia"/>
                <w:color w:val="000000" w:themeColor="text1"/>
                <w:szCs w:val="21"/>
              </w:rPr>
              <w:t>-</w:t>
            </w:r>
          </w:p>
        </w:tc>
        <w:tc>
          <w:tcPr>
            <w:tcW w:w="1291" w:type="dxa"/>
            <w:vAlign w:val="center"/>
          </w:tcPr>
          <w:p w:rsidR="007C4A5E" w:rsidRDefault="00684409">
            <w:pPr>
              <w:jc w:val="right"/>
            </w:pPr>
            <w:r>
              <w:rPr>
                <w:rFonts w:eastAsiaTheme="minorEastAsia"/>
                <w:color w:val="000000" w:themeColor="text1"/>
                <w:szCs w:val="21"/>
              </w:rPr>
              <w:t>-</w:t>
            </w:r>
          </w:p>
        </w:tc>
        <w:tc>
          <w:tcPr>
            <w:tcW w:w="1291" w:type="dxa"/>
            <w:vAlign w:val="center"/>
          </w:tcPr>
          <w:p w:rsidR="007C4A5E" w:rsidRDefault="00684409">
            <w:pPr>
              <w:jc w:val="right"/>
            </w:pPr>
            <w:r>
              <w:rPr>
                <w:rFonts w:eastAsiaTheme="minorEastAsia"/>
                <w:color w:val="000000" w:themeColor="text1"/>
                <w:szCs w:val="21"/>
              </w:rPr>
              <w:t>-</w:t>
            </w:r>
          </w:p>
        </w:tc>
        <w:tc>
          <w:tcPr>
            <w:tcW w:w="1291" w:type="dxa"/>
            <w:vAlign w:val="center"/>
          </w:tcPr>
          <w:p w:rsidR="007C4A5E" w:rsidRDefault="00684409">
            <w:pPr>
              <w:jc w:val="right"/>
            </w:pPr>
            <w:r>
              <w:rPr>
                <w:rFonts w:eastAsiaTheme="minorEastAsia"/>
                <w:color w:val="000000" w:themeColor="text1"/>
                <w:szCs w:val="21"/>
              </w:rPr>
              <w:t>-</w:t>
            </w:r>
          </w:p>
        </w:tc>
        <w:tc>
          <w:tcPr>
            <w:tcW w:w="1291" w:type="dxa"/>
            <w:vAlign w:val="center"/>
          </w:tcPr>
          <w:p w:rsidR="007C4A5E" w:rsidRDefault="00684409">
            <w:pPr>
              <w:jc w:val="right"/>
            </w:pPr>
            <w:r>
              <w:rPr>
                <w:rFonts w:eastAsiaTheme="minorEastAsia"/>
                <w:color w:val="000000" w:themeColor="text1"/>
                <w:szCs w:val="21"/>
              </w:rPr>
              <w:t>-</w:t>
            </w:r>
          </w:p>
        </w:tc>
        <w:tc>
          <w:tcPr>
            <w:tcW w:w="1291" w:type="dxa"/>
            <w:vAlign w:val="center"/>
          </w:tcPr>
          <w:p w:rsidR="007C4A5E" w:rsidRDefault="00684409">
            <w:pPr>
              <w:jc w:val="right"/>
            </w:pPr>
            <w:r>
              <w:rPr>
                <w:rFonts w:eastAsiaTheme="minorEastAsia"/>
                <w:color w:val="000000" w:themeColor="text1"/>
                <w:szCs w:val="21"/>
              </w:rPr>
              <w:t>-</w:t>
            </w:r>
          </w:p>
        </w:tc>
      </w:tr>
      <w:tr w:rsidR="007C4A5E">
        <w:tc>
          <w:tcPr>
            <w:tcW w:w="1290" w:type="dxa"/>
            <w:vAlign w:val="center"/>
          </w:tcPr>
          <w:p w:rsidR="007C4A5E" w:rsidRDefault="00684409">
            <w:pPr>
              <w:jc w:val="left"/>
            </w:pPr>
            <w:r>
              <w:rPr>
                <w:rFonts w:eastAsiaTheme="minorEastAsia"/>
                <w:color w:val="000000" w:themeColor="text1"/>
                <w:szCs w:val="21"/>
              </w:rPr>
              <w:t>过去五年</w:t>
            </w:r>
          </w:p>
        </w:tc>
        <w:tc>
          <w:tcPr>
            <w:tcW w:w="1291" w:type="dxa"/>
            <w:vAlign w:val="center"/>
          </w:tcPr>
          <w:p w:rsidR="007C4A5E" w:rsidRDefault="00684409">
            <w:pPr>
              <w:jc w:val="right"/>
            </w:pPr>
            <w:r>
              <w:rPr>
                <w:rFonts w:eastAsiaTheme="minorEastAsia"/>
                <w:color w:val="000000" w:themeColor="text1"/>
                <w:szCs w:val="21"/>
              </w:rPr>
              <w:t>-</w:t>
            </w:r>
          </w:p>
        </w:tc>
        <w:tc>
          <w:tcPr>
            <w:tcW w:w="1291" w:type="dxa"/>
            <w:vAlign w:val="center"/>
          </w:tcPr>
          <w:p w:rsidR="007C4A5E" w:rsidRDefault="00684409">
            <w:pPr>
              <w:jc w:val="right"/>
            </w:pPr>
            <w:r>
              <w:rPr>
                <w:rFonts w:eastAsiaTheme="minorEastAsia"/>
                <w:color w:val="000000" w:themeColor="text1"/>
                <w:szCs w:val="21"/>
              </w:rPr>
              <w:t>-</w:t>
            </w:r>
          </w:p>
        </w:tc>
        <w:tc>
          <w:tcPr>
            <w:tcW w:w="1291" w:type="dxa"/>
            <w:vAlign w:val="center"/>
          </w:tcPr>
          <w:p w:rsidR="007C4A5E" w:rsidRDefault="00684409">
            <w:pPr>
              <w:jc w:val="right"/>
            </w:pPr>
            <w:r>
              <w:rPr>
                <w:rFonts w:eastAsiaTheme="minorEastAsia"/>
                <w:color w:val="000000" w:themeColor="text1"/>
                <w:szCs w:val="21"/>
              </w:rPr>
              <w:t>-</w:t>
            </w:r>
          </w:p>
        </w:tc>
        <w:tc>
          <w:tcPr>
            <w:tcW w:w="1291" w:type="dxa"/>
            <w:vAlign w:val="center"/>
          </w:tcPr>
          <w:p w:rsidR="007C4A5E" w:rsidRDefault="00684409">
            <w:pPr>
              <w:jc w:val="right"/>
            </w:pPr>
            <w:r>
              <w:rPr>
                <w:rFonts w:eastAsiaTheme="minorEastAsia"/>
                <w:color w:val="000000" w:themeColor="text1"/>
                <w:szCs w:val="21"/>
              </w:rPr>
              <w:t>-</w:t>
            </w:r>
          </w:p>
        </w:tc>
        <w:tc>
          <w:tcPr>
            <w:tcW w:w="1291" w:type="dxa"/>
            <w:vAlign w:val="center"/>
          </w:tcPr>
          <w:p w:rsidR="007C4A5E" w:rsidRDefault="00684409">
            <w:pPr>
              <w:jc w:val="right"/>
            </w:pPr>
            <w:r>
              <w:rPr>
                <w:rFonts w:eastAsiaTheme="minorEastAsia"/>
                <w:color w:val="000000" w:themeColor="text1"/>
                <w:szCs w:val="21"/>
              </w:rPr>
              <w:t>-</w:t>
            </w:r>
          </w:p>
        </w:tc>
        <w:tc>
          <w:tcPr>
            <w:tcW w:w="1291" w:type="dxa"/>
            <w:vAlign w:val="center"/>
          </w:tcPr>
          <w:p w:rsidR="007C4A5E" w:rsidRDefault="00684409">
            <w:pPr>
              <w:jc w:val="right"/>
            </w:pPr>
            <w:r>
              <w:rPr>
                <w:rFonts w:eastAsiaTheme="minorEastAsia"/>
                <w:color w:val="000000" w:themeColor="text1"/>
                <w:szCs w:val="21"/>
              </w:rPr>
              <w:t>-</w:t>
            </w:r>
          </w:p>
        </w:tc>
      </w:tr>
      <w:tr w:rsidR="007C4A5E">
        <w:tc>
          <w:tcPr>
            <w:tcW w:w="1290" w:type="dxa"/>
            <w:vAlign w:val="center"/>
          </w:tcPr>
          <w:p w:rsidR="007C4A5E" w:rsidRDefault="00684409">
            <w:pPr>
              <w:jc w:val="left"/>
            </w:pPr>
            <w:r>
              <w:rPr>
                <w:rFonts w:eastAsiaTheme="minorEastAsia"/>
                <w:color w:val="000000" w:themeColor="text1"/>
                <w:szCs w:val="21"/>
              </w:rPr>
              <w:t>自基金合同生效起至今</w:t>
            </w:r>
          </w:p>
        </w:tc>
        <w:tc>
          <w:tcPr>
            <w:tcW w:w="1291" w:type="dxa"/>
            <w:vAlign w:val="center"/>
          </w:tcPr>
          <w:p w:rsidR="007C4A5E" w:rsidRDefault="00684409">
            <w:pPr>
              <w:jc w:val="right"/>
            </w:pPr>
            <w:r>
              <w:rPr>
                <w:rFonts w:eastAsiaTheme="minorEastAsia"/>
                <w:color w:val="000000" w:themeColor="text1"/>
                <w:szCs w:val="21"/>
              </w:rPr>
              <w:t>-12.73%</w:t>
            </w:r>
          </w:p>
        </w:tc>
        <w:tc>
          <w:tcPr>
            <w:tcW w:w="1291" w:type="dxa"/>
            <w:vAlign w:val="center"/>
          </w:tcPr>
          <w:p w:rsidR="007C4A5E" w:rsidRDefault="00684409">
            <w:pPr>
              <w:jc w:val="right"/>
            </w:pPr>
            <w:r>
              <w:rPr>
                <w:rFonts w:eastAsiaTheme="minorEastAsia"/>
                <w:color w:val="000000" w:themeColor="text1"/>
                <w:szCs w:val="21"/>
              </w:rPr>
              <w:t>0.48%</w:t>
            </w:r>
          </w:p>
        </w:tc>
        <w:tc>
          <w:tcPr>
            <w:tcW w:w="1291" w:type="dxa"/>
            <w:vAlign w:val="center"/>
          </w:tcPr>
          <w:p w:rsidR="007C4A5E" w:rsidRDefault="00684409">
            <w:pPr>
              <w:jc w:val="right"/>
            </w:pPr>
            <w:r>
              <w:rPr>
                <w:rFonts w:eastAsiaTheme="minorEastAsia"/>
                <w:color w:val="000000" w:themeColor="text1"/>
                <w:szCs w:val="21"/>
              </w:rPr>
              <w:t>0.13%</w:t>
            </w:r>
          </w:p>
        </w:tc>
        <w:tc>
          <w:tcPr>
            <w:tcW w:w="1291" w:type="dxa"/>
            <w:vAlign w:val="center"/>
          </w:tcPr>
          <w:p w:rsidR="007C4A5E" w:rsidRDefault="00684409">
            <w:pPr>
              <w:jc w:val="right"/>
            </w:pPr>
            <w:r>
              <w:rPr>
                <w:rFonts w:eastAsiaTheme="minorEastAsia"/>
                <w:color w:val="000000" w:themeColor="text1"/>
                <w:szCs w:val="21"/>
              </w:rPr>
              <w:t>0.47%</w:t>
            </w:r>
          </w:p>
        </w:tc>
        <w:tc>
          <w:tcPr>
            <w:tcW w:w="1291" w:type="dxa"/>
            <w:vAlign w:val="center"/>
          </w:tcPr>
          <w:p w:rsidR="007C4A5E" w:rsidRDefault="00684409">
            <w:pPr>
              <w:jc w:val="right"/>
            </w:pPr>
            <w:r>
              <w:rPr>
                <w:rFonts w:eastAsiaTheme="minorEastAsia"/>
                <w:color w:val="000000" w:themeColor="text1"/>
                <w:szCs w:val="21"/>
              </w:rPr>
              <w:t>-12.86%</w:t>
            </w:r>
          </w:p>
        </w:tc>
        <w:tc>
          <w:tcPr>
            <w:tcW w:w="1291" w:type="dxa"/>
            <w:vAlign w:val="center"/>
          </w:tcPr>
          <w:p w:rsidR="007C4A5E" w:rsidRDefault="00684409">
            <w:pPr>
              <w:jc w:val="right"/>
            </w:pPr>
            <w:r>
              <w:rPr>
                <w:rFonts w:eastAsiaTheme="minorEastAsia"/>
                <w:color w:val="000000" w:themeColor="text1"/>
                <w:szCs w:val="21"/>
              </w:rPr>
              <w:t>0.01%</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摩根博睿均衡一年持有期混合型基金中基金</w:t>
      </w:r>
      <w:r w:rsidRPr="00B27A29">
        <w:rPr>
          <w:rFonts w:eastAsiaTheme="minorEastAsia"/>
          <w:color w:val="000000" w:themeColor="text1"/>
          <w:szCs w:val="21"/>
        </w:rPr>
        <w:t>(FOF)</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(2022</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4</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27</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12</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．摩根博睿均衡一年持有混合</w:t>
      </w:r>
      <w:r w:rsidRPr="00B27A29">
        <w:rPr>
          <w:rFonts w:eastAsiaTheme="minorEastAsia"/>
          <w:color w:val="000000" w:themeColor="text1"/>
          <w:szCs w:val="21"/>
        </w:rPr>
        <w:t>(FOF)A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7C4A5E" w:rsidRDefault="00684409">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27</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．摩根博睿均衡一年持有混合</w:t>
      </w:r>
      <w:r w:rsidRPr="00B27A29">
        <w:rPr>
          <w:rFonts w:eastAsiaTheme="minorEastAsia"/>
          <w:color w:val="000000" w:themeColor="text1"/>
          <w:szCs w:val="21"/>
        </w:rPr>
        <w:t>(FOF)C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lastRenderedPageBreak/>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7C4A5E" w:rsidRDefault="00684409">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27</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7C4A5E">
        <w:tc>
          <w:tcPr>
            <w:tcW w:w="952" w:type="dxa"/>
            <w:vAlign w:val="center"/>
          </w:tcPr>
          <w:p w:rsidR="007C4A5E" w:rsidRDefault="00684409">
            <w:pPr>
              <w:jc w:val="center"/>
            </w:pPr>
            <w:r>
              <w:rPr>
                <w:rFonts w:eastAsiaTheme="minorEastAsia"/>
                <w:color w:val="000000" w:themeColor="text1"/>
                <w:szCs w:val="21"/>
              </w:rPr>
              <w:t>杜习杰</w:t>
            </w:r>
          </w:p>
        </w:tc>
        <w:tc>
          <w:tcPr>
            <w:tcW w:w="930" w:type="dxa"/>
            <w:vAlign w:val="center"/>
          </w:tcPr>
          <w:p w:rsidR="007C4A5E" w:rsidRDefault="00684409">
            <w:pPr>
              <w:jc w:val="center"/>
            </w:pPr>
            <w:r>
              <w:rPr>
                <w:rFonts w:eastAsiaTheme="minorEastAsia"/>
                <w:color w:val="000000" w:themeColor="text1"/>
                <w:szCs w:val="21"/>
              </w:rPr>
              <w:t>本基金基金经理</w:t>
            </w:r>
          </w:p>
        </w:tc>
        <w:tc>
          <w:tcPr>
            <w:tcW w:w="1210" w:type="dxa"/>
            <w:vAlign w:val="center"/>
          </w:tcPr>
          <w:p w:rsidR="007C4A5E" w:rsidRDefault="00684409">
            <w:pPr>
              <w:jc w:val="center"/>
            </w:pPr>
            <w:r>
              <w:rPr>
                <w:rFonts w:eastAsiaTheme="minorEastAsia"/>
                <w:color w:val="000000" w:themeColor="text1"/>
                <w:szCs w:val="21"/>
              </w:rPr>
              <w:t>2022-04-27</w:t>
            </w:r>
          </w:p>
        </w:tc>
        <w:tc>
          <w:tcPr>
            <w:tcW w:w="1309" w:type="dxa"/>
            <w:vAlign w:val="center"/>
          </w:tcPr>
          <w:p w:rsidR="007C4A5E" w:rsidRDefault="00684409">
            <w:pPr>
              <w:jc w:val="center"/>
            </w:pPr>
            <w:r>
              <w:rPr>
                <w:rFonts w:eastAsiaTheme="minorEastAsia"/>
                <w:color w:val="000000" w:themeColor="text1"/>
                <w:szCs w:val="21"/>
              </w:rPr>
              <w:t>-</w:t>
            </w:r>
          </w:p>
        </w:tc>
        <w:tc>
          <w:tcPr>
            <w:tcW w:w="1254" w:type="dxa"/>
            <w:vAlign w:val="center"/>
          </w:tcPr>
          <w:p w:rsidR="007C4A5E" w:rsidRDefault="00684409">
            <w:pPr>
              <w:jc w:val="center"/>
            </w:pPr>
            <w:r>
              <w:rPr>
                <w:rFonts w:eastAsiaTheme="minorEastAsia"/>
                <w:color w:val="000000" w:themeColor="text1"/>
                <w:szCs w:val="21"/>
              </w:rPr>
              <w:t>15</w:t>
            </w:r>
            <w:r>
              <w:rPr>
                <w:rFonts w:eastAsiaTheme="minorEastAsia"/>
                <w:color w:val="000000" w:themeColor="text1"/>
                <w:szCs w:val="21"/>
              </w:rPr>
              <w:t>年</w:t>
            </w:r>
          </w:p>
        </w:tc>
        <w:tc>
          <w:tcPr>
            <w:tcW w:w="3276" w:type="dxa"/>
            <w:vAlign w:val="center"/>
          </w:tcPr>
          <w:p w:rsidR="007C4A5E" w:rsidRDefault="00684409">
            <w:r>
              <w:rPr>
                <w:rFonts w:eastAsiaTheme="minorEastAsia"/>
                <w:color w:val="000000" w:themeColor="text1"/>
                <w:szCs w:val="21"/>
              </w:rPr>
              <w:t>杜习杰先生曾任长信基金任研究员。</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月起加入摩根基金管理（中国）有限公司（原上投摩根基金管理有限公司），历任研究员、投资经理兼研究员，现任组合基金投资部基金经理。</w:t>
            </w:r>
          </w:p>
        </w:tc>
      </w:tr>
      <w:tr w:rsidR="007C4A5E">
        <w:tc>
          <w:tcPr>
            <w:tcW w:w="952" w:type="dxa"/>
            <w:vAlign w:val="center"/>
          </w:tcPr>
          <w:p w:rsidR="007C4A5E" w:rsidRDefault="00684409">
            <w:pPr>
              <w:jc w:val="center"/>
            </w:pPr>
            <w:r>
              <w:rPr>
                <w:rFonts w:eastAsiaTheme="minorEastAsia"/>
                <w:color w:val="000000" w:themeColor="text1"/>
                <w:szCs w:val="21"/>
              </w:rPr>
              <w:t>吴春杰</w:t>
            </w:r>
          </w:p>
        </w:tc>
        <w:tc>
          <w:tcPr>
            <w:tcW w:w="930" w:type="dxa"/>
            <w:vAlign w:val="center"/>
          </w:tcPr>
          <w:p w:rsidR="007C4A5E" w:rsidRDefault="00684409">
            <w:pPr>
              <w:jc w:val="center"/>
            </w:pPr>
            <w:r>
              <w:rPr>
                <w:rFonts w:eastAsiaTheme="minorEastAsia"/>
                <w:color w:val="000000" w:themeColor="text1"/>
                <w:szCs w:val="21"/>
              </w:rPr>
              <w:t>本基金基金经理</w:t>
            </w:r>
          </w:p>
        </w:tc>
        <w:tc>
          <w:tcPr>
            <w:tcW w:w="1210" w:type="dxa"/>
            <w:vAlign w:val="center"/>
          </w:tcPr>
          <w:p w:rsidR="007C4A5E" w:rsidRDefault="00684409">
            <w:pPr>
              <w:jc w:val="center"/>
            </w:pPr>
            <w:r>
              <w:rPr>
                <w:rFonts w:eastAsiaTheme="minorEastAsia"/>
                <w:color w:val="000000" w:themeColor="text1"/>
                <w:szCs w:val="21"/>
              </w:rPr>
              <w:t>2022-11-11</w:t>
            </w:r>
          </w:p>
        </w:tc>
        <w:tc>
          <w:tcPr>
            <w:tcW w:w="1309" w:type="dxa"/>
            <w:vAlign w:val="center"/>
          </w:tcPr>
          <w:p w:rsidR="007C4A5E" w:rsidRDefault="00684409">
            <w:pPr>
              <w:jc w:val="center"/>
            </w:pPr>
            <w:r>
              <w:rPr>
                <w:rFonts w:eastAsiaTheme="minorEastAsia"/>
                <w:color w:val="000000" w:themeColor="text1"/>
                <w:szCs w:val="21"/>
              </w:rPr>
              <w:t>-</w:t>
            </w:r>
          </w:p>
        </w:tc>
        <w:tc>
          <w:tcPr>
            <w:tcW w:w="1254" w:type="dxa"/>
            <w:vAlign w:val="center"/>
          </w:tcPr>
          <w:p w:rsidR="007C4A5E" w:rsidRDefault="00684409">
            <w:pPr>
              <w:jc w:val="center"/>
            </w:pPr>
            <w:r>
              <w:rPr>
                <w:rFonts w:eastAsiaTheme="minorEastAsia"/>
                <w:color w:val="000000" w:themeColor="text1"/>
                <w:szCs w:val="21"/>
              </w:rPr>
              <w:t>13</w:t>
            </w:r>
            <w:r>
              <w:rPr>
                <w:rFonts w:eastAsiaTheme="minorEastAsia"/>
                <w:color w:val="000000" w:themeColor="text1"/>
                <w:szCs w:val="21"/>
              </w:rPr>
              <w:t>年</w:t>
            </w:r>
          </w:p>
        </w:tc>
        <w:tc>
          <w:tcPr>
            <w:tcW w:w="3276" w:type="dxa"/>
            <w:vAlign w:val="center"/>
          </w:tcPr>
          <w:p w:rsidR="007C4A5E" w:rsidRDefault="00684409">
            <w:r>
              <w:rPr>
                <w:rFonts w:eastAsiaTheme="minorEastAsia"/>
                <w:color w:val="000000" w:themeColor="text1"/>
                <w:szCs w:val="21"/>
              </w:rPr>
              <w:t>吴春杰女士曾任长江证券股份有限公司宏观策略分析师，中国太平洋人寿保险有限公司资产配置中心配置策略经理，上海景熙资产管理有限公司投资经理</w:t>
            </w:r>
            <w:r>
              <w:rPr>
                <w:rFonts w:eastAsiaTheme="minorEastAsia"/>
                <w:color w:val="000000" w:themeColor="text1"/>
                <w:szCs w:val="21"/>
              </w:rPr>
              <w:t>/</w:t>
            </w:r>
            <w:r>
              <w:rPr>
                <w:rFonts w:eastAsiaTheme="minorEastAsia"/>
                <w:color w:val="000000" w:themeColor="text1"/>
                <w:szCs w:val="21"/>
              </w:rPr>
              <w:t>宏观策略研究。</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月加入摩根基金管理（中国）有限公司（原上投摩根</w:t>
            </w:r>
            <w:r>
              <w:rPr>
                <w:rFonts w:eastAsiaTheme="minorEastAsia"/>
                <w:color w:val="000000" w:themeColor="text1"/>
                <w:szCs w:val="21"/>
              </w:rPr>
              <w:lastRenderedPageBreak/>
              <w:t>基金管理有限公司），历任宏观研究员，现任高级基金经理。</w:t>
            </w:r>
          </w:p>
        </w:tc>
      </w:tr>
      <w:tr w:rsidR="007C4A5E">
        <w:tc>
          <w:tcPr>
            <w:tcW w:w="952" w:type="dxa"/>
            <w:vAlign w:val="center"/>
          </w:tcPr>
          <w:p w:rsidR="007C4A5E" w:rsidRDefault="00684409">
            <w:pPr>
              <w:jc w:val="center"/>
            </w:pPr>
            <w:r>
              <w:rPr>
                <w:rFonts w:eastAsiaTheme="minorEastAsia"/>
                <w:color w:val="000000" w:themeColor="text1"/>
                <w:szCs w:val="21"/>
              </w:rPr>
              <w:lastRenderedPageBreak/>
              <w:t>恩学海</w:t>
            </w:r>
          </w:p>
        </w:tc>
        <w:tc>
          <w:tcPr>
            <w:tcW w:w="930" w:type="dxa"/>
            <w:vAlign w:val="center"/>
          </w:tcPr>
          <w:p w:rsidR="007C4A5E" w:rsidRDefault="00684409">
            <w:pPr>
              <w:jc w:val="center"/>
            </w:pPr>
            <w:r>
              <w:rPr>
                <w:rFonts w:eastAsiaTheme="minorEastAsia"/>
                <w:color w:val="000000" w:themeColor="text1"/>
                <w:szCs w:val="21"/>
              </w:rPr>
              <w:t>本基金基金经理、资产配置及退休金管理首席投资官</w:t>
            </w:r>
          </w:p>
        </w:tc>
        <w:tc>
          <w:tcPr>
            <w:tcW w:w="1210" w:type="dxa"/>
            <w:vAlign w:val="center"/>
          </w:tcPr>
          <w:p w:rsidR="007C4A5E" w:rsidRDefault="00684409">
            <w:pPr>
              <w:jc w:val="center"/>
            </w:pPr>
            <w:r>
              <w:rPr>
                <w:rFonts w:eastAsiaTheme="minorEastAsia"/>
                <w:color w:val="000000" w:themeColor="text1"/>
                <w:szCs w:val="21"/>
              </w:rPr>
              <w:t>2022-04-27</w:t>
            </w:r>
          </w:p>
        </w:tc>
        <w:tc>
          <w:tcPr>
            <w:tcW w:w="1309" w:type="dxa"/>
            <w:vAlign w:val="center"/>
          </w:tcPr>
          <w:p w:rsidR="007C4A5E" w:rsidRDefault="00684409">
            <w:pPr>
              <w:jc w:val="center"/>
            </w:pPr>
            <w:r>
              <w:rPr>
                <w:rFonts w:eastAsiaTheme="minorEastAsia"/>
                <w:color w:val="000000" w:themeColor="text1"/>
                <w:szCs w:val="21"/>
              </w:rPr>
              <w:t>-</w:t>
            </w:r>
          </w:p>
        </w:tc>
        <w:tc>
          <w:tcPr>
            <w:tcW w:w="1254" w:type="dxa"/>
            <w:vAlign w:val="center"/>
          </w:tcPr>
          <w:p w:rsidR="007C4A5E" w:rsidRDefault="00684409">
            <w:pPr>
              <w:jc w:val="center"/>
            </w:pPr>
            <w:r>
              <w:rPr>
                <w:rFonts w:eastAsiaTheme="minorEastAsia"/>
                <w:color w:val="000000" w:themeColor="text1"/>
                <w:szCs w:val="21"/>
              </w:rPr>
              <w:t>29</w:t>
            </w:r>
            <w:r>
              <w:rPr>
                <w:rFonts w:eastAsiaTheme="minorEastAsia"/>
                <w:color w:val="000000" w:themeColor="text1"/>
                <w:szCs w:val="21"/>
              </w:rPr>
              <w:t>年</w:t>
            </w:r>
          </w:p>
        </w:tc>
        <w:tc>
          <w:tcPr>
            <w:tcW w:w="3276" w:type="dxa"/>
            <w:vAlign w:val="center"/>
          </w:tcPr>
          <w:p w:rsidR="007C4A5E" w:rsidRDefault="00684409">
            <w:r>
              <w:rPr>
                <w:rFonts w:eastAsiaTheme="minorEastAsia"/>
                <w:color w:val="000000" w:themeColor="text1"/>
                <w:szCs w:val="21"/>
              </w:rPr>
              <w:t>恩学海先生曾就职于通用数据公司。自</w:t>
            </w:r>
            <w:r>
              <w:rPr>
                <w:rFonts w:eastAsiaTheme="minorEastAsia"/>
                <w:color w:val="000000" w:themeColor="text1"/>
                <w:szCs w:val="21"/>
              </w:rPr>
              <w:t>1994</w:t>
            </w:r>
            <w:r>
              <w:rPr>
                <w:rFonts w:eastAsiaTheme="minorEastAsia"/>
                <w:color w:val="000000" w:themeColor="text1"/>
                <w:szCs w:val="21"/>
              </w:rPr>
              <w:t>年至</w:t>
            </w:r>
            <w:r>
              <w:rPr>
                <w:rFonts w:eastAsiaTheme="minorEastAsia"/>
                <w:color w:val="000000" w:themeColor="text1"/>
                <w:szCs w:val="21"/>
              </w:rPr>
              <w:t>2017</w:t>
            </w:r>
            <w:r>
              <w:rPr>
                <w:rFonts w:eastAsiaTheme="minorEastAsia"/>
                <w:color w:val="000000" w:themeColor="text1"/>
                <w:szCs w:val="21"/>
              </w:rPr>
              <w:t>年就职于美国富达投资集团，先后于资本市场部任高级程序设计和系统分析员、项目经理；于资产管理服务部任高级量化分析师；于战略顾问部、全球资产配置任基金经理、基金策略师；自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月加入摩根基金管理（中国）有限公司（原上投摩根基金管理有限公司），现任资产配置及退休金管理首席投资官。</w:t>
            </w:r>
          </w:p>
        </w:tc>
      </w:tr>
    </w:tbl>
    <w:p w:rsidR="007C4A5E" w:rsidRDefault="00684409">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7C4A5E" w:rsidRDefault="00684409">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恩学海先生、杜习杰先生为本基金首任基金经理，其任职日期指本基金基金合同生效之日。</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3.</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7C4A5E" w:rsidRDefault="00684409">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7C4A5E" w:rsidRDefault="00684409">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w:t>
      </w:r>
      <w:r>
        <w:rPr>
          <w:rFonts w:eastAsiaTheme="minorEastAsia"/>
          <w:color w:val="000000" w:themeColor="text1"/>
          <w:szCs w:val="21"/>
        </w:rPr>
        <w:lastRenderedPageBreak/>
        <w:t>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7C4A5E" w:rsidRDefault="00684409">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7C4A5E" w:rsidRDefault="00684409">
      <w:pPr>
        <w:spacing w:line="360" w:lineRule="auto"/>
        <w:ind w:firstLineChars="200" w:firstLine="420"/>
        <w:rPr>
          <w:rFonts w:eastAsiaTheme="minorEastAsia"/>
          <w:color w:val="000000" w:themeColor="text1"/>
          <w:szCs w:val="21"/>
        </w:rPr>
      </w:pPr>
      <w:r>
        <w:rPr>
          <w:rFonts w:eastAsiaTheme="minorEastAsia"/>
          <w:color w:val="000000" w:themeColor="text1"/>
          <w:szCs w:val="21"/>
        </w:rPr>
        <w:t>进入四季度，国内经济总体平稳运行，结构上，工业生产同比回升，消费数据在去年低基数下反弹，但同时，部分投资与新开工进入季节性淡季；出口增速负值修复，通胀低位震荡略不及预期，反映出当前内、外需存在的压力。随着金融工作会议、中央经济工作会议的召开，政策面发力扩内需、防范化解风险的信号更加明朗，包括财政方面超</w:t>
      </w:r>
      <w:r>
        <w:rPr>
          <w:rFonts w:eastAsiaTheme="minorEastAsia"/>
          <w:color w:val="000000" w:themeColor="text1"/>
          <w:szCs w:val="21"/>
        </w:rPr>
        <w:t>1.3</w:t>
      </w:r>
      <w:r>
        <w:rPr>
          <w:rFonts w:eastAsiaTheme="minorEastAsia"/>
          <w:color w:val="000000" w:themeColor="text1"/>
          <w:szCs w:val="21"/>
        </w:rPr>
        <w:t>万亿的特别再融资债发行、增发</w:t>
      </w:r>
      <w:r>
        <w:rPr>
          <w:rFonts w:eastAsiaTheme="minorEastAsia"/>
          <w:color w:val="000000" w:themeColor="text1"/>
          <w:szCs w:val="21"/>
        </w:rPr>
        <w:t>1</w:t>
      </w:r>
      <w:r>
        <w:rPr>
          <w:rFonts w:eastAsiaTheme="minorEastAsia"/>
          <w:color w:val="000000" w:themeColor="text1"/>
          <w:szCs w:val="21"/>
        </w:rPr>
        <w:t>万亿特别国债，以及货币政策在量、价工具上的积极操作等，总体来讲，有助于</w:t>
      </w:r>
      <w:r>
        <w:rPr>
          <w:rFonts w:eastAsiaTheme="minorEastAsia"/>
          <w:color w:val="000000" w:themeColor="text1"/>
          <w:szCs w:val="21"/>
        </w:rPr>
        <w:t>2024</w:t>
      </w:r>
      <w:r>
        <w:rPr>
          <w:rFonts w:eastAsiaTheme="minorEastAsia"/>
          <w:color w:val="000000" w:themeColor="text1"/>
          <w:szCs w:val="21"/>
        </w:rPr>
        <w:t>年经济修复动力的积蓄。</w:t>
      </w:r>
    </w:p>
    <w:p w:rsidR="007C4A5E" w:rsidRDefault="00684409">
      <w:pPr>
        <w:spacing w:line="360" w:lineRule="auto"/>
        <w:ind w:firstLineChars="200" w:firstLine="420"/>
        <w:rPr>
          <w:rFonts w:eastAsiaTheme="minorEastAsia"/>
          <w:color w:val="000000" w:themeColor="text1"/>
          <w:szCs w:val="21"/>
        </w:rPr>
      </w:pPr>
      <w:r>
        <w:rPr>
          <w:rFonts w:eastAsiaTheme="minorEastAsia"/>
          <w:color w:val="000000" w:themeColor="text1"/>
          <w:szCs w:val="21"/>
        </w:rPr>
        <w:t>国内股票市场震荡走弱，中证</w:t>
      </w:r>
      <w:r>
        <w:rPr>
          <w:rFonts w:eastAsiaTheme="minorEastAsia"/>
          <w:color w:val="000000" w:themeColor="text1"/>
          <w:szCs w:val="21"/>
        </w:rPr>
        <w:t>800</w:t>
      </w:r>
      <w:r>
        <w:rPr>
          <w:rFonts w:eastAsiaTheme="minorEastAsia"/>
          <w:color w:val="000000" w:themeColor="text1"/>
          <w:szCs w:val="21"/>
        </w:rPr>
        <w:t>指数全季下跌</w:t>
      </w:r>
      <w:r>
        <w:rPr>
          <w:rFonts w:eastAsiaTheme="minorEastAsia"/>
          <w:color w:val="000000" w:themeColor="text1"/>
          <w:szCs w:val="21"/>
        </w:rPr>
        <w:t>6.4%</w:t>
      </w:r>
      <w:r>
        <w:rPr>
          <w:rFonts w:eastAsiaTheme="minorEastAsia"/>
          <w:color w:val="000000" w:themeColor="text1"/>
          <w:szCs w:val="21"/>
        </w:rPr>
        <w:t>。一方面，市场在经济基本面数据未出现持续改善前，对政策面持续加码的预期强于现实；另一方面，北上资金仍延续了三季度的流出态势。市场对于央行后续继续降准、降息保持乐观预期下，国内债券收益率曲线整体下移，</w:t>
      </w:r>
      <w:r>
        <w:rPr>
          <w:rFonts w:eastAsiaTheme="minorEastAsia"/>
          <w:color w:val="000000" w:themeColor="text1"/>
          <w:szCs w:val="21"/>
        </w:rPr>
        <w:t>10</w:t>
      </w:r>
      <w:r>
        <w:rPr>
          <w:rFonts w:eastAsiaTheme="minorEastAsia"/>
          <w:color w:val="000000" w:themeColor="text1"/>
          <w:szCs w:val="21"/>
        </w:rPr>
        <w:t>年国债到期收益率下降</w:t>
      </w:r>
      <w:r>
        <w:rPr>
          <w:rFonts w:eastAsiaTheme="minorEastAsia"/>
          <w:color w:val="000000" w:themeColor="text1"/>
          <w:szCs w:val="21"/>
        </w:rPr>
        <w:t>12BP</w:t>
      </w:r>
      <w:r>
        <w:rPr>
          <w:rFonts w:eastAsiaTheme="minorEastAsia"/>
          <w:color w:val="000000" w:themeColor="text1"/>
          <w:szCs w:val="21"/>
        </w:rPr>
        <w:t>至</w:t>
      </w:r>
      <w:r>
        <w:rPr>
          <w:rFonts w:eastAsiaTheme="minorEastAsia"/>
          <w:color w:val="000000" w:themeColor="text1"/>
          <w:szCs w:val="21"/>
        </w:rPr>
        <w:t>2.56%</w:t>
      </w:r>
      <w:r>
        <w:rPr>
          <w:rFonts w:eastAsiaTheme="minorEastAsia"/>
          <w:color w:val="000000" w:themeColor="text1"/>
          <w:szCs w:val="21"/>
        </w:rPr>
        <w:t>。</w:t>
      </w:r>
    </w:p>
    <w:p w:rsidR="007C4A5E" w:rsidRDefault="00684409">
      <w:pPr>
        <w:spacing w:line="360" w:lineRule="auto"/>
        <w:ind w:firstLineChars="200" w:firstLine="420"/>
        <w:rPr>
          <w:rFonts w:eastAsiaTheme="minorEastAsia"/>
          <w:color w:val="000000" w:themeColor="text1"/>
          <w:szCs w:val="21"/>
        </w:rPr>
      </w:pPr>
      <w:r>
        <w:rPr>
          <w:rFonts w:eastAsiaTheme="minorEastAsia"/>
          <w:color w:val="000000" w:themeColor="text1"/>
          <w:szCs w:val="21"/>
        </w:rPr>
        <w:t>海外方面，四季度美国通胀回落、就业市场指标边际弱化，美债收益率由</w:t>
      </w:r>
      <w:r>
        <w:rPr>
          <w:rFonts w:eastAsiaTheme="minorEastAsia"/>
          <w:color w:val="000000" w:themeColor="text1"/>
          <w:szCs w:val="21"/>
        </w:rPr>
        <w:t>5%</w:t>
      </w:r>
      <w:r>
        <w:rPr>
          <w:rFonts w:eastAsiaTheme="minorEastAsia"/>
          <w:color w:val="000000" w:themeColor="text1"/>
          <w:szCs w:val="21"/>
        </w:rPr>
        <w:t>的高位快速下行至</w:t>
      </w:r>
      <w:r>
        <w:rPr>
          <w:rFonts w:eastAsiaTheme="minorEastAsia"/>
          <w:color w:val="000000" w:themeColor="text1"/>
          <w:szCs w:val="21"/>
        </w:rPr>
        <w:t>3.87%</w:t>
      </w:r>
      <w:r>
        <w:rPr>
          <w:rFonts w:eastAsiaTheme="minorEastAsia"/>
          <w:color w:val="000000" w:themeColor="text1"/>
          <w:szCs w:val="21"/>
        </w:rPr>
        <w:t>，有利于提振风险资产的估值水平，标普</w:t>
      </w:r>
      <w:r>
        <w:rPr>
          <w:rFonts w:eastAsiaTheme="minorEastAsia"/>
          <w:color w:val="000000" w:themeColor="text1"/>
          <w:szCs w:val="21"/>
        </w:rPr>
        <w:t>500</w:t>
      </w:r>
      <w:r>
        <w:rPr>
          <w:rFonts w:eastAsiaTheme="minorEastAsia"/>
          <w:color w:val="000000" w:themeColor="text1"/>
          <w:szCs w:val="21"/>
        </w:rPr>
        <w:t>指数震荡上涨</w:t>
      </w:r>
      <w:r>
        <w:rPr>
          <w:rFonts w:eastAsiaTheme="minorEastAsia"/>
          <w:color w:val="000000" w:themeColor="text1"/>
          <w:szCs w:val="21"/>
        </w:rPr>
        <w:t>11.2%</w:t>
      </w:r>
      <w:r>
        <w:rPr>
          <w:rFonts w:eastAsiaTheme="minorEastAsia"/>
          <w:color w:val="000000" w:themeColor="text1"/>
          <w:szCs w:val="21"/>
        </w:rPr>
        <w:t>。另类资产方面，</w:t>
      </w:r>
      <w:r>
        <w:rPr>
          <w:rFonts w:eastAsiaTheme="minorEastAsia"/>
          <w:color w:val="000000" w:themeColor="text1"/>
          <w:szCs w:val="21"/>
        </w:rPr>
        <w:t>COMEX</w:t>
      </w:r>
      <w:r>
        <w:rPr>
          <w:rFonts w:eastAsiaTheme="minorEastAsia"/>
          <w:color w:val="000000" w:themeColor="text1"/>
          <w:szCs w:val="21"/>
        </w:rPr>
        <w:t>黄金上涨</w:t>
      </w:r>
      <w:r>
        <w:rPr>
          <w:rFonts w:eastAsiaTheme="minorEastAsia"/>
          <w:color w:val="000000" w:themeColor="text1"/>
          <w:szCs w:val="21"/>
        </w:rPr>
        <w:t>11%</w:t>
      </w:r>
      <w:r>
        <w:rPr>
          <w:rFonts w:eastAsiaTheme="minorEastAsia"/>
          <w:color w:val="000000" w:themeColor="text1"/>
          <w:szCs w:val="21"/>
        </w:rPr>
        <w:t>，海外发达市场</w:t>
      </w:r>
      <w:r>
        <w:rPr>
          <w:rFonts w:eastAsiaTheme="minorEastAsia"/>
          <w:color w:val="000000" w:themeColor="text1"/>
          <w:szCs w:val="21"/>
        </w:rPr>
        <w:t>Reits</w:t>
      </w:r>
      <w:r>
        <w:rPr>
          <w:rFonts w:eastAsiaTheme="minorEastAsia"/>
          <w:color w:val="000000" w:themeColor="text1"/>
          <w:szCs w:val="21"/>
        </w:rPr>
        <w:t>亦有较好表现。</w:t>
      </w:r>
    </w:p>
    <w:p w:rsidR="007C4A5E" w:rsidRDefault="00684409">
      <w:pPr>
        <w:spacing w:line="360" w:lineRule="auto"/>
        <w:ind w:firstLineChars="200" w:firstLine="420"/>
        <w:rPr>
          <w:rFonts w:eastAsiaTheme="minorEastAsia"/>
          <w:color w:val="000000" w:themeColor="text1"/>
          <w:szCs w:val="21"/>
        </w:rPr>
      </w:pPr>
      <w:r>
        <w:rPr>
          <w:rFonts w:eastAsiaTheme="minorEastAsia"/>
          <w:color w:val="000000" w:themeColor="text1"/>
          <w:szCs w:val="21"/>
        </w:rPr>
        <w:t>12</w:t>
      </w:r>
      <w:r>
        <w:rPr>
          <w:rFonts w:eastAsiaTheme="minorEastAsia"/>
          <w:color w:val="000000" w:themeColor="text1"/>
          <w:szCs w:val="21"/>
        </w:rPr>
        <w:t>月中央经济工作会议已经释放了进一步推动经济回升向好的预期，后续关注</w:t>
      </w:r>
      <w:r>
        <w:rPr>
          <w:rFonts w:eastAsiaTheme="minorEastAsia"/>
          <w:color w:val="000000" w:themeColor="text1"/>
          <w:szCs w:val="21"/>
        </w:rPr>
        <w:t>2024</w:t>
      </w:r>
      <w:r>
        <w:rPr>
          <w:rFonts w:eastAsiaTheme="minorEastAsia"/>
          <w:color w:val="000000" w:themeColor="text1"/>
          <w:szCs w:val="21"/>
        </w:rPr>
        <w:t>年初两会将制定的各项经济目标以及财政、货币政策发力的力度，其对各类资产的潜在回报与市场信心的恢复均较为重要。新旧经济动能的结构调整过程中，</w:t>
      </w:r>
      <w:r>
        <w:rPr>
          <w:rFonts w:eastAsiaTheme="minorEastAsia"/>
          <w:color w:val="000000" w:themeColor="text1"/>
          <w:szCs w:val="21"/>
        </w:rPr>
        <w:t>“</w:t>
      </w:r>
      <w:r>
        <w:rPr>
          <w:rFonts w:eastAsiaTheme="minorEastAsia"/>
          <w:color w:val="000000" w:themeColor="text1"/>
          <w:szCs w:val="21"/>
        </w:rPr>
        <w:t>先立后破</w:t>
      </w:r>
      <w:r>
        <w:rPr>
          <w:rFonts w:eastAsiaTheme="minorEastAsia"/>
          <w:color w:val="000000" w:themeColor="text1"/>
          <w:szCs w:val="21"/>
        </w:rPr>
        <w:t>”</w:t>
      </w:r>
      <w:r>
        <w:rPr>
          <w:rFonts w:eastAsiaTheme="minorEastAsia"/>
          <w:color w:val="000000" w:themeColor="text1"/>
          <w:szCs w:val="21"/>
        </w:rPr>
        <w:t>的定调有望为旧经济托住下行的底，同时，经济内生的修复动力在经历疫后第一年的曲折后，一些适应国内需求升级的科技创新领域也有望迎来较好的增长。</w:t>
      </w:r>
    </w:p>
    <w:p w:rsidR="007C4A5E" w:rsidRDefault="00684409">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对于国内权益来讲，当前历史绝对估值分位、相对债券资产的估值均处在较高吸引力的水平，具备长期配置价值。临近年底，企业盈利预期指标有所企稳，并有望逐步修复。进入</w:t>
      </w:r>
      <w:r>
        <w:rPr>
          <w:rFonts w:eastAsiaTheme="minorEastAsia"/>
          <w:color w:val="000000" w:themeColor="text1"/>
          <w:szCs w:val="21"/>
        </w:rPr>
        <w:t>2024</w:t>
      </w:r>
      <w:r>
        <w:rPr>
          <w:rFonts w:eastAsiaTheme="minorEastAsia"/>
          <w:color w:val="000000" w:themeColor="text1"/>
          <w:szCs w:val="21"/>
        </w:rPr>
        <w:t>年，关注市场能否有增量资金流入，以打破存量资金博弈的格局。对于国内债券来讲，托底经济增长的政策在发力中，内外利差仍为负值，相对</w:t>
      </w:r>
      <w:r>
        <w:rPr>
          <w:rFonts w:eastAsiaTheme="minorEastAsia"/>
          <w:color w:val="000000" w:themeColor="text1"/>
          <w:szCs w:val="21"/>
        </w:rPr>
        <w:t>A</w:t>
      </w:r>
      <w:r>
        <w:rPr>
          <w:rFonts w:eastAsiaTheme="minorEastAsia"/>
          <w:color w:val="000000" w:themeColor="text1"/>
          <w:szCs w:val="21"/>
        </w:rPr>
        <w:t>股配置价值处在偏低的位置。但考虑到当前处在地方化债进程中、实际利率高位下，货币政策仍有进一步宽松的空间，国内债券的下行风险相对可控。</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海外方面，美债、美股延续过去一个季度的同时大幅上涨，依赖美国经济软着陆且美联储快速进入降息周期的预期叠加。中期来看，前期高利率对企业、居民部门的冲击在逐步上升，对美债收益率下行的逻辑有支撑；经济增长趋弱对股权回报的影响相对负面，可等待更好的时机配置发达国家权益资产。对于港股，来自国内经济基本面、海外高利率环境的压力均有望逐步缓和。</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7C4A5E" w:rsidRDefault="00684409">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本报告期摩根博睿均衡一年</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:-4.01%</w:t>
      </w:r>
      <w:r>
        <w:rPr>
          <w:rFonts w:eastAsiaTheme="minorEastAsia"/>
          <w:color w:val="000000" w:themeColor="text1"/>
          <w:szCs w:val="21"/>
        </w:rPr>
        <w:t>，同期业绩比较基准收益率为</w:t>
      </w:r>
      <w:r>
        <w:rPr>
          <w:rFonts w:eastAsiaTheme="minorEastAsia"/>
          <w:color w:val="000000" w:themeColor="text1"/>
          <w:szCs w:val="21"/>
        </w:rPr>
        <w:t>:-2.70%</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摩根博睿均衡一年</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:-4.14%</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:-2.70%</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2824"/>
        <w:gridCol w:w="2552"/>
        <w:gridCol w:w="2801"/>
      </w:tblGrid>
      <w:tr w:rsidR="006336AE" w:rsidRPr="007B5F21" w:rsidTr="00342FE7">
        <w:tc>
          <w:tcPr>
            <w:tcW w:w="720" w:type="dxa"/>
            <w:vAlign w:val="center"/>
          </w:tcPr>
          <w:p w:rsidR="006336AE" w:rsidRPr="007B5F21" w:rsidRDefault="006336AE" w:rsidP="00342FE7">
            <w:pPr>
              <w:spacing w:before="29" w:line="360" w:lineRule="auto"/>
              <w:ind w:left="17"/>
              <w:jc w:val="center"/>
              <w:rPr>
                <w:rFonts w:eastAsiaTheme="minorEastAsia"/>
                <w:color w:val="000000" w:themeColor="text1"/>
                <w:sz w:val="24"/>
              </w:rPr>
            </w:pPr>
            <w:r w:rsidRPr="007B5F21">
              <w:rPr>
                <w:rFonts w:eastAsiaTheme="minorEastAsia"/>
                <w:color w:val="000000" w:themeColor="text1"/>
                <w:sz w:val="24"/>
              </w:rPr>
              <w:t>序号</w:t>
            </w:r>
          </w:p>
        </w:tc>
        <w:tc>
          <w:tcPr>
            <w:tcW w:w="2824" w:type="dxa"/>
            <w:vAlign w:val="center"/>
          </w:tcPr>
          <w:p w:rsidR="006336AE" w:rsidRPr="007B5F21" w:rsidRDefault="006336AE" w:rsidP="00342FE7">
            <w:pPr>
              <w:spacing w:before="29" w:line="360" w:lineRule="auto"/>
              <w:ind w:left="17"/>
              <w:jc w:val="center"/>
              <w:rPr>
                <w:rFonts w:eastAsiaTheme="minorEastAsia"/>
                <w:color w:val="000000" w:themeColor="text1"/>
                <w:sz w:val="24"/>
              </w:rPr>
            </w:pPr>
            <w:r w:rsidRPr="007B5F21">
              <w:rPr>
                <w:rFonts w:eastAsiaTheme="minorEastAsia"/>
                <w:color w:val="000000" w:themeColor="text1"/>
                <w:sz w:val="24"/>
              </w:rPr>
              <w:t>项目</w:t>
            </w:r>
          </w:p>
        </w:tc>
        <w:tc>
          <w:tcPr>
            <w:tcW w:w="2552" w:type="dxa"/>
            <w:vAlign w:val="center"/>
          </w:tcPr>
          <w:p w:rsidR="006336AE" w:rsidRPr="007B5F21" w:rsidRDefault="006336AE" w:rsidP="00342FE7">
            <w:pPr>
              <w:spacing w:before="29" w:line="360" w:lineRule="auto"/>
              <w:ind w:left="17"/>
              <w:jc w:val="center"/>
              <w:rPr>
                <w:rFonts w:eastAsiaTheme="minorEastAsia"/>
                <w:color w:val="000000" w:themeColor="text1"/>
                <w:sz w:val="24"/>
              </w:rPr>
            </w:pPr>
            <w:r w:rsidRPr="007B5F21">
              <w:rPr>
                <w:rFonts w:eastAsiaTheme="minorEastAsia"/>
                <w:color w:val="000000" w:themeColor="text1"/>
                <w:sz w:val="24"/>
              </w:rPr>
              <w:t>金额</w:t>
            </w:r>
            <w:r w:rsidRPr="007B5F21">
              <w:rPr>
                <w:rFonts w:eastAsiaTheme="minorEastAsia"/>
                <w:color w:val="000000" w:themeColor="text1"/>
                <w:sz w:val="24"/>
              </w:rPr>
              <w:t>(</w:t>
            </w:r>
            <w:r w:rsidRPr="007B5F21">
              <w:rPr>
                <w:rFonts w:eastAsiaTheme="minorEastAsia"/>
                <w:color w:val="000000" w:themeColor="text1"/>
                <w:sz w:val="24"/>
              </w:rPr>
              <w:t>元</w:t>
            </w:r>
            <w:r w:rsidRPr="007B5F21">
              <w:rPr>
                <w:rFonts w:eastAsiaTheme="minorEastAsia"/>
                <w:color w:val="000000" w:themeColor="text1"/>
                <w:sz w:val="24"/>
              </w:rPr>
              <w:t>)</w:t>
            </w:r>
          </w:p>
        </w:tc>
        <w:tc>
          <w:tcPr>
            <w:tcW w:w="2801" w:type="dxa"/>
            <w:vAlign w:val="center"/>
          </w:tcPr>
          <w:p w:rsidR="006336AE" w:rsidRPr="007B5F21" w:rsidRDefault="006336AE" w:rsidP="00342FE7">
            <w:pPr>
              <w:spacing w:before="29" w:line="360" w:lineRule="auto"/>
              <w:ind w:left="17"/>
              <w:jc w:val="center"/>
              <w:rPr>
                <w:rFonts w:eastAsiaTheme="minorEastAsia"/>
                <w:color w:val="000000" w:themeColor="text1"/>
                <w:sz w:val="24"/>
              </w:rPr>
            </w:pPr>
            <w:r w:rsidRPr="007B5F21">
              <w:rPr>
                <w:rFonts w:eastAsiaTheme="minorEastAsia"/>
                <w:color w:val="000000" w:themeColor="text1"/>
                <w:sz w:val="24"/>
              </w:rPr>
              <w:t>占基金总资产的比例</w:t>
            </w:r>
            <w:r w:rsidRPr="007B5F21">
              <w:rPr>
                <w:rFonts w:eastAsiaTheme="minorEastAsia"/>
                <w:color w:val="000000" w:themeColor="text1"/>
                <w:sz w:val="24"/>
              </w:rPr>
              <w:t>(%)</w:t>
            </w:r>
          </w:p>
        </w:tc>
      </w:tr>
      <w:tr w:rsidR="006336AE" w:rsidRPr="007B5F21" w:rsidTr="00342FE7">
        <w:tc>
          <w:tcPr>
            <w:tcW w:w="720" w:type="dxa"/>
            <w:vAlign w:val="center"/>
          </w:tcPr>
          <w:p w:rsidR="006336AE" w:rsidRPr="007B5F21" w:rsidRDefault="006336AE" w:rsidP="00342FE7">
            <w:pPr>
              <w:spacing w:before="29" w:line="360" w:lineRule="auto"/>
              <w:ind w:left="17"/>
              <w:jc w:val="center"/>
              <w:rPr>
                <w:rFonts w:eastAsiaTheme="minorEastAsia"/>
                <w:color w:val="000000" w:themeColor="text1"/>
                <w:sz w:val="24"/>
              </w:rPr>
            </w:pPr>
            <w:r w:rsidRPr="007B5F21">
              <w:rPr>
                <w:rFonts w:eastAsiaTheme="minorEastAsia"/>
                <w:color w:val="000000" w:themeColor="text1"/>
                <w:sz w:val="24"/>
              </w:rPr>
              <w:t>1</w:t>
            </w:r>
          </w:p>
        </w:tc>
        <w:tc>
          <w:tcPr>
            <w:tcW w:w="2824" w:type="dxa"/>
            <w:vAlign w:val="center"/>
          </w:tcPr>
          <w:p w:rsidR="006336AE" w:rsidRPr="007B5F21" w:rsidRDefault="006336AE" w:rsidP="00342FE7">
            <w:pPr>
              <w:spacing w:before="29" w:line="360" w:lineRule="auto"/>
              <w:ind w:left="17"/>
              <w:jc w:val="left"/>
              <w:rPr>
                <w:rFonts w:eastAsiaTheme="minorEastAsia"/>
                <w:color w:val="000000" w:themeColor="text1"/>
                <w:sz w:val="24"/>
              </w:rPr>
            </w:pPr>
            <w:r w:rsidRPr="007B5F21">
              <w:rPr>
                <w:rFonts w:eastAsiaTheme="minorEastAsia"/>
                <w:color w:val="000000" w:themeColor="text1"/>
                <w:sz w:val="24"/>
              </w:rPr>
              <w:t>权益投资</w:t>
            </w:r>
          </w:p>
        </w:tc>
        <w:tc>
          <w:tcPr>
            <w:tcW w:w="2552"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w:t>
            </w:r>
          </w:p>
        </w:tc>
        <w:tc>
          <w:tcPr>
            <w:tcW w:w="2801"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w:t>
            </w:r>
          </w:p>
        </w:tc>
      </w:tr>
      <w:tr w:rsidR="006336AE" w:rsidRPr="007B5F21" w:rsidTr="00342FE7">
        <w:tc>
          <w:tcPr>
            <w:tcW w:w="720" w:type="dxa"/>
            <w:vAlign w:val="center"/>
          </w:tcPr>
          <w:p w:rsidR="006336AE" w:rsidRPr="007B5F21" w:rsidRDefault="006336AE" w:rsidP="00342FE7">
            <w:pPr>
              <w:spacing w:before="29" w:line="360" w:lineRule="auto"/>
              <w:ind w:left="17"/>
              <w:jc w:val="center"/>
              <w:rPr>
                <w:rFonts w:eastAsiaTheme="minorEastAsia"/>
                <w:color w:val="000000" w:themeColor="text1"/>
                <w:sz w:val="24"/>
              </w:rPr>
            </w:pPr>
          </w:p>
        </w:tc>
        <w:tc>
          <w:tcPr>
            <w:tcW w:w="2824" w:type="dxa"/>
            <w:vAlign w:val="center"/>
          </w:tcPr>
          <w:p w:rsidR="006336AE" w:rsidRPr="007B5F21" w:rsidRDefault="006336AE" w:rsidP="00342FE7">
            <w:pPr>
              <w:spacing w:before="29" w:line="360" w:lineRule="auto"/>
              <w:ind w:left="17"/>
              <w:jc w:val="left"/>
              <w:rPr>
                <w:rFonts w:eastAsiaTheme="minorEastAsia"/>
                <w:color w:val="000000" w:themeColor="text1"/>
                <w:sz w:val="24"/>
              </w:rPr>
            </w:pPr>
            <w:r w:rsidRPr="007B5F21">
              <w:rPr>
                <w:rFonts w:eastAsiaTheme="minorEastAsia"/>
                <w:color w:val="000000" w:themeColor="text1"/>
                <w:sz w:val="24"/>
              </w:rPr>
              <w:t>其中：股票</w:t>
            </w:r>
          </w:p>
        </w:tc>
        <w:tc>
          <w:tcPr>
            <w:tcW w:w="2552"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w:t>
            </w:r>
          </w:p>
        </w:tc>
        <w:tc>
          <w:tcPr>
            <w:tcW w:w="2801"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w:t>
            </w:r>
          </w:p>
        </w:tc>
      </w:tr>
      <w:tr w:rsidR="006336AE" w:rsidRPr="007B5F21" w:rsidTr="00342FE7">
        <w:tc>
          <w:tcPr>
            <w:tcW w:w="720" w:type="dxa"/>
            <w:vAlign w:val="center"/>
          </w:tcPr>
          <w:p w:rsidR="006336AE" w:rsidRPr="007B5F21" w:rsidRDefault="006336AE" w:rsidP="00342FE7">
            <w:pPr>
              <w:spacing w:before="29" w:line="360" w:lineRule="auto"/>
              <w:ind w:left="17"/>
              <w:jc w:val="center"/>
              <w:rPr>
                <w:rFonts w:eastAsiaTheme="minorEastAsia"/>
                <w:color w:val="000000" w:themeColor="text1"/>
                <w:sz w:val="24"/>
              </w:rPr>
            </w:pPr>
            <w:r w:rsidRPr="007B5F21">
              <w:rPr>
                <w:rFonts w:eastAsiaTheme="minorEastAsia" w:hint="eastAsia"/>
                <w:color w:val="000000" w:themeColor="text1"/>
                <w:sz w:val="24"/>
              </w:rPr>
              <w:t>2</w:t>
            </w:r>
          </w:p>
        </w:tc>
        <w:tc>
          <w:tcPr>
            <w:tcW w:w="2824" w:type="dxa"/>
            <w:vAlign w:val="center"/>
          </w:tcPr>
          <w:p w:rsidR="006336AE" w:rsidRPr="007B5F21" w:rsidRDefault="006336AE" w:rsidP="00342FE7">
            <w:pPr>
              <w:spacing w:before="29" w:line="360" w:lineRule="auto"/>
              <w:ind w:left="17"/>
              <w:jc w:val="left"/>
              <w:rPr>
                <w:rFonts w:eastAsiaTheme="minorEastAsia"/>
                <w:color w:val="000000" w:themeColor="text1"/>
                <w:sz w:val="24"/>
              </w:rPr>
            </w:pPr>
            <w:r w:rsidRPr="007B5F21">
              <w:rPr>
                <w:rFonts w:ascii="宋体" w:hAnsi="宋体" w:hint="eastAsia"/>
                <w:sz w:val="24"/>
              </w:rPr>
              <w:t>基金投资</w:t>
            </w:r>
          </w:p>
        </w:tc>
        <w:tc>
          <w:tcPr>
            <w:tcW w:w="2552"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hint="eastAsia"/>
                <w:color w:val="000000" w:themeColor="text1"/>
                <w:sz w:val="24"/>
              </w:rPr>
              <w:t>363,111,435.78</w:t>
            </w:r>
          </w:p>
        </w:tc>
        <w:tc>
          <w:tcPr>
            <w:tcW w:w="2801"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hint="eastAsia"/>
                <w:color w:val="000000" w:themeColor="text1"/>
                <w:sz w:val="24"/>
              </w:rPr>
              <w:t>94.18</w:t>
            </w:r>
          </w:p>
        </w:tc>
      </w:tr>
      <w:tr w:rsidR="006336AE" w:rsidRPr="007B5F21" w:rsidTr="00342FE7">
        <w:tc>
          <w:tcPr>
            <w:tcW w:w="720" w:type="dxa"/>
            <w:vAlign w:val="center"/>
          </w:tcPr>
          <w:p w:rsidR="006336AE" w:rsidRPr="007B5F21" w:rsidRDefault="006336AE" w:rsidP="00342FE7">
            <w:pPr>
              <w:spacing w:before="29" w:line="360" w:lineRule="auto"/>
              <w:ind w:left="17"/>
              <w:jc w:val="center"/>
              <w:rPr>
                <w:rFonts w:eastAsiaTheme="minorEastAsia"/>
                <w:color w:val="000000" w:themeColor="text1"/>
                <w:sz w:val="24"/>
              </w:rPr>
            </w:pPr>
            <w:r w:rsidRPr="007B5F21">
              <w:rPr>
                <w:rFonts w:eastAsiaTheme="minorEastAsia" w:hint="eastAsia"/>
                <w:color w:val="000000" w:themeColor="text1"/>
                <w:sz w:val="24"/>
              </w:rPr>
              <w:t>3</w:t>
            </w:r>
          </w:p>
        </w:tc>
        <w:tc>
          <w:tcPr>
            <w:tcW w:w="2824" w:type="dxa"/>
            <w:vAlign w:val="center"/>
          </w:tcPr>
          <w:p w:rsidR="006336AE" w:rsidRPr="007B5F21" w:rsidRDefault="006336AE" w:rsidP="00342FE7">
            <w:pPr>
              <w:spacing w:before="29" w:line="360" w:lineRule="auto"/>
              <w:ind w:left="17"/>
              <w:jc w:val="left"/>
              <w:rPr>
                <w:rFonts w:eastAsiaTheme="minorEastAsia"/>
                <w:color w:val="000000" w:themeColor="text1"/>
                <w:sz w:val="24"/>
              </w:rPr>
            </w:pPr>
            <w:r w:rsidRPr="007B5F21">
              <w:rPr>
                <w:rFonts w:eastAsiaTheme="minorEastAsia"/>
                <w:color w:val="000000" w:themeColor="text1"/>
                <w:sz w:val="24"/>
              </w:rPr>
              <w:t>固定收益投资</w:t>
            </w:r>
          </w:p>
        </w:tc>
        <w:tc>
          <w:tcPr>
            <w:tcW w:w="2552"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9,330,614.79</w:t>
            </w:r>
          </w:p>
        </w:tc>
        <w:tc>
          <w:tcPr>
            <w:tcW w:w="2801"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2.42</w:t>
            </w:r>
          </w:p>
        </w:tc>
      </w:tr>
      <w:tr w:rsidR="006336AE" w:rsidRPr="007B5F21" w:rsidTr="00342FE7">
        <w:tc>
          <w:tcPr>
            <w:tcW w:w="720" w:type="dxa"/>
            <w:vAlign w:val="center"/>
          </w:tcPr>
          <w:p w:rsidR="006336AE" w:rsidRPr="007B5F21" w:rsidRDefault="006336AE" w:rsidP="00342FE7">
            <w:pPr>
              <w:spacing w:before="29" w:line="360" w:lineRule="auto"/>
              <w:ind w:left="17"/>
              <w:jc w:val="center"/>
              <w:rPr>
                <w:rFonts w:eastAsiaTheme="minorEastAsia"/>
                <w:color w:val="000000" w:themeColor="text1"/>
                <w:sz w:val="24"/>
              </w:rPr>
            </w:pPr>
          </w:p>
        </w:tc>
        <w:tc>
          <w:tcPr>
            <w:tcW w:w="2824" w:type="dxa"/>
            <w:vAlign w:val="center"/>
          </w:tcPr>
          <w:p w:rsidR="006336AE" w:rsidRPr="007B5F21" w:rsidRDefault="006336AE" w:rsidP="00342FE7">
            <w:pPr>
              <w:spacing w:before="29" w:line="360" w:lineRule="auto"/>
              <w:ind w:left="17"/>
              <w:jc w:val="left"/>
              <w:rPr>
                <w:rFonts w:eastAsiaTheme="minorEastAsia"/>
                <w:color w:val="000000" w:themeColor="text1"/>
                <w:sz w:val="24"/>
              </w:rPr>
            </w:pPr>
            <w:r w:rsidRPr="007B5F21">
              <w:rPr>
                <w:rFonts w:eastAsiaTheme="minorEastAsia"/>
                <w:color w:val="000000" w:themeColor="text1"/>
                <w:sz w:val="24"/>
              </w:rPr>
              <w:t>其中：债券</w:t>
            </w:r>
          </w:p>
        </w:tc>
        <w:tc>
          <w:tcPr>
            <w:tcW w:w="2552"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9,330,614.79</w:t>
            </w:r>
          </w:p>
        </w:tc>
        <w:tc>
          <w:tcPr>
            <w:tcW w:w="2801"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2.42</w:t>
            </w:r>
          </w:p>
        </w:tc>
      </w:tr>
      <w:tr w:rsidR="006336AE" w:rsidRPr="007B5F21" w:rsidTr="00342FE7">
        <w:tc>
          <w:tcPr>
            <w:tcW w:w="720" w:type="dxa"/>
            <w:vAlign w:val="center"/>
          </w:tcPr>
          <w:p w:rsidR="006336AE" w:rsidRPr="007B5F21" w:rsidRDefault="006336AE" w:rsidP="00342FE7">
            <w:pPr>
              <w:spacing w:before="29" w:line="360" w:lineRule="auto"/>
              <w:ind w:left="17"/>
              <w:jc w:val="center"/>
              <w:rPr>
                <w:rFonts w:eastAsiaTheme="minorEastAsia"/>
                <w:color w:val="000000" w:themeColor="text1"/>
                <w:sz w:val="24"/>
              </w:rPr>
            </w:pPr>
          </w:p>
        </w:tc>
        <w:tc>
          <w:tcPr>
            <w:tcW w:w="2824" w:type="dxa"/>
            <w:vAlign w:val="center"/>
          </w:tcPr>
          <w:p w:rsidR="006336AE" w:rsidRPr="007B5F21" w:rsidRDefault="006336AE" w:rsidP="00342FE7">
            <w:pPr>
              <w:autoSpaceDE w:val="0"/>
              <w:autoSpaceDN w:val="0"/>
              <w:adjustRightInd w:val="0"/>
              <w:spacing w:before="29" w:line="360" w:lineRule="auto"/>
              <w:ind w:left="17" w:firstLineChars="300" w:firstLine="720"/>
              <w:jc w:val="left"/>
              <w:rPr>
                <w:rFonts w:eastAsiaTheme="minorEastAsia"/>
                <w:color w:val="000000" w:themeColor="text1"/>
                <w:sz w:val="24"/>
              </w:rPr>
            </w:pPr>
            <w:r w:rsidRPr="007B5F21">
              <w:rPr>
                <w:rFonts w:eastAsiaTheme="minorEastAsia"/>
                <w:color w:val="000000" w:themeColor="text1"/>
                <w:sz w:val="24"/>
              </w:rPr>
              <w:t>资产支持证券</w:t>
            </w:r>
          </w:p>
        </w:tc>
        <w:tc>
          <w:tcPr>
            <w:tcW w:w="2552"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w:t>
            </w:r>
          </w:p>
        </w:tc>
        <w:tc>
          <w:tcPr>
            <w:tcW w:w="2801"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w:t>
            </w:r>
          </w:p>
        </w:tc>
      </w:tr>
      <w:tr w:rsidR="006336AE" w:rsidRPr="007B5F21" w:rsidTr="00342FE7">
        <w:tc>
          <w:tcPr>
            <w:tcW w:w="720" w:type="dxa"/>
            <w:vAlign w:val="center"/>
          </w:tcPr>
          <w:p w:rsidR="006336AE" w:rsidRPr="007B5F21" w:rsidRDefault="006336AE" w:rsidP="00342FE7">
            <w:pPr>
              <w:spacing w:before="29" w:line="360" w:lineRule="auto"/>
              <w:ind w:left="17"/>
              <w:jc w:val="center"/>
              <w:rPr>
                <w:rFonts w:eastAsiaTheme="minorEastAsia"/>
                <w:color w:val="000000" w:themeColor="text1"/>
                <w:sz w:val="24"/>
              </w:rPr>
            </w:pPr>
            <w:r w:rsidRPr="007B5F21">
              <w:rPr>
                <w:rFonts w:eastAsiaTheme="minorEastAsia" w:hint="eastAsia"/>
                <w:color w:val="000000" w:themeColor="text1"/>
                <w:sz w:val="24"/>
              </w:rPr>
              <w:t>4</w:t>
            </w:r>
          </w:p>
        </w:tc>
        <w:tc>
          <w:tcPr>
            <w:tcW w:w="2824" w:type="dxa"/>
            <w:vAlign w:val="center"/>
          </w:tcPr>
          <w:p w:rsidR="006336AE" w:rsidRPr="007B5F21" w:rsidRDefault="006336AE" w:rsidP="00342FE7">
            <w:pPr>
              <w:spacing w:before="29" w:line="360" w:lineRule="auto"/>
              <w:ind w:leftChars="50" w:left="105"/>
              <w:rPr>
                <w:rFonts w:eastAsiaTheme="minorEastAsia"/>
                <w:color w:val="000000" w:themeColor="text1"/>
                <w:sz w:val="24"/>
              </w:rPr>
            </w:pPr>
            <w:r w:rsidRPr="007B5F21">
              <w:rPr>
                <w:rFonts w:eastAsiaTheme="minorEastAsia"/>
                <w:color w:val="000000" w:themeColor="text1"/>
                <w:sz w:val="24"/>
              </w:rPr>
              <w:t>贵金属投资</w:t>
            </w:r>
          </w:p>
        </w:tc>
        <w:tc>
          <w:tcPr>
            <w:tcW w:w="2552"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w:t>
            </w:r>
          </w:p>
        </w:tc>
        <w:tc>
          <w:tcPr>
            <w:tcW w:w="2801"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w:t>
            </w:r>
          </w:p>
        </w:tc>
      </w:tr>
      <w:tr w:rsidR="006336AE" w:rsidRPr="007B5F21" w:rsidTr="00342FE7">
        <w:tc>
          <w:tcPr>
            <w:tcW w:w="720" w:type="dxa"/>
            <w:vAlign w:val="center"/>
          </w:tcPr>
          <w:p w:rsidR="006336AE" w:rsidRPr="007B5F21" w:rsidRDefault="006336AE" w:rsidP="00342FE7">
            <w:pPr>
              <w:spacing w:before="29" w:line="360" w:lineRule="auto"/>
              <w:ind w:left="17"/>
              <w:jc w:val="center"/>
              <w:rPr>
                <w:rFonts w:eastAsiaTheme="minorEastAsia"/>
                <w:color w:val="000000" w:themeColor="text1"/>
                <w:sz w:val="24"/>
              </w:rPr>
            </w:pPr>
            <w:r w:rsidRPr="007B5F21">
              <w:rPr>
                <w:rFonts w:eastAsiaTheme="minorEastAsia" w:hint="eastAsia"/>
                <w:color w:val="000000" w:themeColor="text1"/>
                <w:sz w:val="24"/>
              </w:rPr>
              <w:t>5</w:t>
            </w:r>
          </w:p>
        </w:tc>
        <w:tc>
          <w:tcPr>
            <w:tcW w:w="2824" w:type="dxa"/>
            <w:vAlign w:val="center"/>
          </w:tcPr>
          <w:p w:rsidR="006336AE" w:rsidRPr="007B5F21" w:rsidRDefault="006336AE" w:rsidP="00342FE7">
            <w:pPr>
              <w:spacing w:before="29" w:line="360" w:lineRule="auto"/>
              <w:ind w:left="17"/>
              <w:jc w:val="left"/>
              <w:rPr>
                <w:rFonts w:eastAsiaTheme="minorEastAsia"/>
                <w:color w:val="000000" w:themeColor="text1"/>
                <w:sz w:val="24"/>
              </w:rPr>
            </w:pPr>
            <w:r w:rsidRPr="007B5F21">
              <w:rPr>
                <w:rFonts w:eastAsiaTheme="minorEastAsia"/>
                <w:color w:val="000000" w:themeColor="text1"/>
                <w:sz w:val="24"/>
              </w:rPr>
              <w:t>金融衍生品投资</w:t>
            </w:r>
          </w:p>
        </w:tc>
        <w:tc>
          <w:tcPr>
            <w:tcW w:w="2552"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w:t>
            </w:r>
          </w:p>
        </w:tc>
        <w:tc>
          <w:tcPr>
            <w:tcW w:w="2801"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w:t>
            </w:r>
          </w:p>
        </w:tc>
      </w:tr>
      <w:tr w:rsidR="006336AE" w:rsidRPr="007B5F21" w:rsidTr="00342FE7">
        <w:tc>
          <w:tcPr>
            <w:tcW w:w="720" w:type="dxa"/>
            <w:vAlign w:val="center"/>
          </w:tcPr>
          <w:p w:rsidR="006336AE" w:rsidRPr="007B5F21" w:rsidRDefault="006336AE" w:rsidP="00342FE7">
            <w:pPr>
              <w:spacing w:before="29" w:line="360" w:lineRule="auto"/>
              <w:ind w:left="17"/>
              <w:jc w:val="center"/>
              <w:rPr>
                <w:rFonts w:eastAsiaTheme="minorEastAsia"/>
                <w:color w:val="000000" w:themeColor="text1"/>
                <w:sz w:val="24"/>
              </w:rPr>
            </w:pPr>
            <w:r w:rsidRPr="007B5F21">
              <w:rPr>
                <w:rFonts w:eastAsiaTheme="minorEastAsia" w:hint="eastAsia"/>
                <w:color w:val="000000" w:themeColor="text1"/>
                <w:sz w:val="24"/>
              </w:rPr>
              <w:lastRenderedPageBreak/>
              <w:t>6</w:t>
            </w:r>
          </w:p>
        </w:tc>
        <w:tc>
          <w:tcPr>
            <w:tcW w:w="2824" w:type="dxa"/>
            <w:vAlign w:val="center"/>
          </w:tcPr>
          <w:p w:rsidR="006336AE" w:rsidRPr="007B5F21" w:rsidRDefault="006336AE" w:rsidP="00342FE7">
            <w:pPr>
              <w:spacing w:before="29" w:line="360" w:lineRule="auto"/>
              <w:ind w:left="17"/>
              <w:jc w:val="left"/>
              <w:rPr>
                <w:rFonts w:eastAsiaTheme="minorEastAsia"/>
                <w:color w:val="000000" w:themeColor="text1"/>
                <w:sz w:val="24"/>
              </w:rPr>
            </w:pPr>
            <w:r w:rsidRPr="007B5F21">
              <w:rPr>
                <w:rFonts w:eastAsiaTheme="minorEastAsia"/>
                <w:color w:val="000000" w:themeColor="text1"/>
                <w:sz w:val="24"/>
              </w:rPr>
              <w:t>买入返售金融资产</w:t>
            </w:r>
          </w:p>
        </w:tc>
        <w:tc>
          <w:tcPr>
            <w:tcW w:w="2552"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w:t>
            </w:r>
          </w:p>
        </w:tc>
        <w:tc>
          <w:tcPr>
            <w:tcW w:w="2801"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w:t>
            </w:r>
          </w:p>
        </w:tc>
      </w:tr>
      <w:tr w:rsidR="006336AE" w:rsidRPr="007B5F21" w:rsidTr="00342FE7">
        <w:tc>
          <w:tcPr>
            <w:tcW w:w="720" w:type="dxa"/>
            <w:vAlign w:val="center"/>
          </w:tcPr>
          <w:p w:rsidR="006336AE" w:rsidRPr="007B5F21" w:rsidRDefault="006336AE" w:rsidP="00342FE7">
            <w:pPr>
              <w:spacing w:before="29" w:line="360" w:lineRule="auto"/>
              <w:ind w:left="17"/>
              <w:jc w:val="center"/>
              <w:rPr>
                <w:rFonts w:eastAsiaTheme="minorEastAsia"/>
                <w:color w:val="000000" w:themeColor="text1"/>
                <w:sz w:val="24"/>
              </w:rPr>
            </w:pPr>
          </w:p>
        </w:tc>
        <w:tc>
          <w:tcPr>
            <w:tcW w:w="2824" w:type="dxa"/>
            <w:vAlign w:val="center"/>
          </w:tcPr>
          <w:p w:rsidR="006336AE" w:rsidRPr="007B5F21" w:rsidRDefault="006336AE" w:rsidP="00342FE7">
            <w:pPr>
              <w:spacing w:before="29" w:line="360" w:lineRule="auto"/>
              <w:ind w:left="17"/>
              <w:jc w:val="left"/>
              <w:rPr>
                <w:rFonts w:eastAsiaTheme="minorEastAsia"/>
                <w:color w:val="000000" w:themeColor="text1"/>
                <w:sz w:val="24"/>
              </w:rPr>
            </w:pPr>
            <w:r w:rsidRPr="007B5F21">
              <w:rPr>
                <w:rFonts w:eastAsiaTheme="minorEastAsia"/>
                <w:color w:val="000000" w:themeColor="text1"/>
                <w:sz w:val="24"/>
              </w:rPr>
              <w:t>其中：买断式回购的买入返售金融资产</w:t>
            </w:r>
          </w:p>
        </w:tc>
        <w:tc>
          <w:tcPr>
            <w:tcW w:w="2552"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w:t>
            </w:r>
          </w:p>
        </w:tc>
        <w:tc>
          <w:tcPr>
            <w:tcW w:w="2801"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w:t>
            </w:r>
          </w:p>
        </w:tc>
      </w:tr>
      <w:tr w:rsidR="006336AE" w:rsidRPr="007B5F21" w:rsidTr="00342FE7">
        <w:tc>
          <w:tcPr>
            <w:tcW w:w="720" w:type="dxa"/>
            <w:vAlign w:val="center"/>
          </w:tcPr>
          <w:p w:rsidR="006336AE" w:rsidRPr="007B5F21" w:rsidRDefault="006336AE" w:rsidP="00342FE7">
            <w:pPr>
              <w:spacing w:before="29" w:line="360" w:lineRule="auto"/>
              <w:ind w:left="17"/>
              <w:jc w:val="center"/>
              <w:rPr>
                <w:rFonts w:eastAsiaTheme="minorEastAsia"/>
                <w:color w:val="000000" w:themeColor="text1"/>
                <w:sz w:val="24"/>
              </w:rPr>
            </w:pPr>
            <w:r w:rsidRPr="007B5F21">
              <w:rPr>
                <w:rFonts w:eastAsiaTheme="minorEastAsia" w:hint="eastAsia"/>
                <w:color w:val="000000" w:themeColor="text1"/>
                <w:sz w:val="24"/>
              </w:rPr>
              <w:t>7</w:t>
            </w:r>
          </w:p>
        </w:tc>
        <w:tc>
          <w:tcPr>
            <w:tcW w:w="2824" w:type="dxa"/>
            <w:vAlign w:val="center"/>
          </w:tcPr>
          <w:p w:rsidR="006336AE" w:rsidRPr="007B5F21" w:rsidRDefault="006336AE" w:rsidP="00342FE7">
            <w:pPr>
              <w:spacing w:before="29" w:line="360" w:lineRule="auto"/>
              <w:ind w:left="17"/>
              <w:jc w:val="left"/>
              <w:rPr>
                <w:rFonts w:eastAsiaTheme="minorEastAsia"/>
                <w:color w:val="000000" w:themeColor="text1"/>
                <w:sz w:val="24"/>
              </w:rPr>
            </w:pPr>
            <w:r w:rsidRPr="007B5F21">
              <w:rPr>
                <w:rFonts w:eastAsiaTheme="minorEastAsia"/>
                <w:color w:val="000000" w:themeColor="text1"/>
                <w:sz w:val="24"/>
              </w:rPr>
              <w:t>银行存款和结算备付金合计</w:t>
            </w:r>
          </w:p>
        </w:tc>
        <w:tc>
          <w:tcPr>
            <w:tcW w:w="2552"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10,988,404.66</w:t>
            </w:r>
          </w:p>
        </w:tc>
        <w:tc>
          <w:tcPr>
            <w:tcW w:w="2801"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2.85</w:t>
            </w:r>
          </w:p>
        </w:tc>
      </w:tr>
      <w:tr w:rsidR="006336AE" w:rsidRPr="007B5F21" w:rsidTr="00342FE7">
        <w:tc>
          <w:tcPr>
            <w:tcW w:w="720" w:type="dxa"/>
            <w:vAlign w:val="center"/>
          </w:tcPr>
          <w:p w:rsidR="006336AE" w:rsidRPr="007B5F21" w:rsidRDefault="006336AE" w:rsidP="00342FE7">
            <w:pPr>
              <w:spacing w:before="29" w:line="360" w:lineRule="auto"/>
              <w:ind w:left="17"/>
              <w:jc w:val="center"/>
              <w:rPr>
                <w:rFonts w:eastAsiaTheme="minorEastAsia"/>
                <w:color w:val="000000" w:themeColor="text1"/>
                <w:sz w:val="24"/>
              </w:rPr>
            </w:pPr>
            <w:r w:rsidRPr="007B5F21">
              <w:rPr>
                <w:rFonts w:eastAsiaTheme="minorEastAsia"/>
                <w:color w:val="000000" w:themeColor="text1"/>
                <w:sz w:val="24"/>
              </w:rPr>
              <w:t>8</w:t>
            </w:r>
          </w:p>
        </w:tc>
        <w:tc>
          <w:tcPr>
            <w:tcW w:w="2824" w:type="dxa"/>
            <w:vAlign w:val="center"/>
          </w:tcPr>
          <w:p w:rsidR="006336AE" w:rsidRPr="007B5F21" w:rsidRDefault="006336AE" w:rsidP="00342FE7">
            <w:pPr>
              <w:spacing w:line="360" w:lineRule="auto"/>
              <w:rPr>
                <w:rFonts w:eastAsiaTheme="minorEastAsia"/>
                <w:color w:val="000000" w:themeColor="text1"/>
                <w:sz w:val="24"/>
              </w:rPr>
            </w:pPr>
            <w:r w:rsidRPr="007B5F21">
              <w:rPr>
                <w:rFonts w:eastAsiaTheme="minorEastAsia"/>
                <w:color w:val="000000" w:themeColor="text1"/>
                <w:sz w:val="24"/>
              </w:rPr>
              <w:t>其他各项资产</w:t>
            </w:r>
          </w:p>
        </w:tc>
        <w:tc>
          <w:tcPr>
            <w:tcW w:w="2552" w:type="dxa"/>
            <w:vAlign w:val="center"/>
          </w:tcPr>
          <w:p w:rsidR="006336AE" w:rsidRPr="007B5F21" w:rsidRDefault="006336AE" w:rsidP="00342FE7">
            <w:pPr>
              <w:spacing w:line="360" w:lineRule="auto"/>
              <w:jc w:val="right"/>
              <w:rPr>
                <w:rFonts w:eastAsiaTheme="minorEastAsia"/>
                <w:color w:val="000000" w:themeColor="text1"/>
                <w:sz w:val="24"/>
              </w:rPr>
            </w:pPr>
            <w:r w:rsidRPr="007B5F21">
              <w:rPr>
                <w:rFonts w:eastAsiaTheme="minorEastAsia"/>
                <w:color w:val="000000" w:themeColor="text1"/>
                <w:sz w:val="24"/>
              </w:rPr>
              <w:t>2,110,855.85</w:t>
            </w:r>
          </w:p>
        </w:tc>
        <w:tc>
          <w:tcPr>
            <w:tcW w:w="2801" w:type="dxa"/>
            <w:vAlign w:val="center"/>
          </w:tcPr>
          <w:p w:rsidR="006336AE" w:rsidRPr="007B5F21" w:rsidRDefault="006336AE" w:rsidP="00342FE7">
            <w:pPr>
              <w:spacing w:line="360" w:lineRule="auto"/>
              <w:jc w:val="right"/>
              <w:rPr>
                <w:rFonts w:eastAsiaTheme="minorEastAsia"/>
                <w:color w:val="000000" w:themeColor="text1"/>
                <w:sz w:val="24"/>
              </w:rPr>
            </w:pPr>
            <w:r w:rsidRPr="007B5F21">
              <w:rPr>
                <w:rFonts w:eastAsiaTheme="minorEastAsia"/>
                <w:color w:val="000000" w:themeColor="text1"/>
                <w:sz w:val="24"/>
              </w:rPr>
              <w:t>0.55</w:t>
            </w:r>
          </w:p>
        </w:tc>
      </w:tr>
      <w:tr w:rsidR="006336AE" w:rsidRPr="007B5F21" w:rsidTr="00342FE7">
        <w:tc>
          <w:tcPr>
            <w:tcW w:w="720" w:type="dxa"/>
            <w:vAlign w:val="center"/>
          </w:tcPr>
          <w:p w:rsidR="006336AE" w:rsidRPr="007B5F21" w:rsidRDefault="006336AE" w:rsidP="00342FE7">
            <w:pPr>
              <w:spacing w:before="29" w:line="360" w:lineRule="auto"/>
              <w:ind w:left="17"/>
              <w:jc w:val="center"/>
              <w:rPr>
                <w:rFonts w:eastAsiaTheme="minorEastAsia"/>
                <w:color w:val="000000" w:themeColor="text1"/>
                <w:sz w:val="24"/>
              </w:rPr>
            </w:pPr>
            <w:r w:rsidRPr="007B5F21">
              <w:rPr>
                <w:rFonts w:eastAsiaTheme="minorEastAsia"/>
                <w:color w:val="000000" w:themeColor="text1"/>
                <w:sz w:val="24"/>
              </w:rPr>
              <w:t>9</w:t>
            </w:r>
          </w:p>
        </w:tc>
        <w:tc>
          <w:tcPr>
            <w:tcW w:w="2824" w:type="dxa"/>
            <w:vAlign w:val="center"/>
          </w:tcPr>
          <w:p w:rsidR="006336AE" w:rsidRPr="007B5F21" w:rsidRDefault="006336AE" w:rsidP="00342FE7">
            <w:pPr>
              <w:spacing w:line="360" w:lineRule="auto"/>
              <w:rPr>
                <w:rFonts w:eastAsiaTheme="minorEastAsia"/>
                <w:color w:val="000000" w:themeColor="text1"/>
                <w:sz w:val="24"/>
              </w:rPr>
            </w:pPr>
            <w:r w:rsidRPr="007B5F21">
              <w:rPr>
                <w:rFonts w:eastAsiaTheme="minorEastAsia"/>
                <w:color w:val="000000" w:themeColor="text1"/>
                <w:sz w:val="24"/>
              </w:rPr>
              <w:t>合计</w:t>
            </w:r>
          </w:p>
        </w:tc>
        <w:tc>
          <w:tcPr>
            <w:tcW w:w="2552" w:type="dxa"/>
            <w:vAlign w:val="center"/>
          </w:tcPr>
          <w:p w:rsidR="006336AE" w:rsidRPr="007B5F21" w:rsidRDefault="006336AE" w:rsidP="00342FE7">
            <w:pPr>
              <w:spacing w:line="360" w:lineRule="auto"/>
              <w:jc w:val="right"/>
              <w:rPr>
                <w:rFonts w:eastAsiaTheme="minorEastAsia"/>
                <w:color w:val="000000" w:themeColor="text1"/>
                <w:sz w:val="24"/>
              </w:rPr>
            </w:pPr>
            <w:r w:rsidRPr="007B5F21">
              <w:rPr>
                <w:rFonts w:eastAsiaTheme="minorEastAsia"/>
                <w:color w:val="000000" w:themeColor="text1"/>
                <w:sz w:val="24"/>
              </w:rPr>
              <w:t>385,541,311.08</w:t>
            </w:r>
          </w:p>
        </w:tc>
        <w:tc>
          <w:tcPr>
            <w:tcW w:w="2801" w:type="dxa"/>
            <w:vAlign w:val="center"/>
          </w:tcPr>
          <w:p w:rsidR="006336AE" w:rsidRPr="007B5F21" w:rsidRDefault="006336AE" w:rsidP="00342FE7">
            <w:pPr>
              <w:spacing w:line="360" w:lineRule="auto"/>
              <w:jc w:val="right"/>
              <w:rPr>
                <w:rFonts w:eastAsiaTheme="minorEastAsia"/>
                <w:color w:val="000000" w:themeColor="text1"/>
                <w:sz w:val="24"/>
              </w:rPr>
            </w:pPr>
            <w:r w:rsidRPr="007B5F21">
              <w:rPr>
                <w:rFonts w:eastAsiaTheme="minorEastAsia"/>
                <w:color w:val="000000" w:themeColor="text1"/>
                <w:sz w:val="24"/>
              </w:rPr>
              <w:t>100.00</w:t>
            </w:r>
          </w:p>
        </w:tc>
      </w:tr>
    </w:tbl>
    <w:p w:rsidR="006336AE" w:rsidRPr="006336AE" w:rsidRDefault="006336AE">
      <w:pPr>
        <w:autoSpaceDE w:val="0"/>
        <w:autoSpaceDN w:val="0"/>
        <w:adjustRightInd w:val="0"/>
        <w:spacing w:line="360" w:lineRule="auto"/>
        <w:jc w:val="left"/>
        <w:rPr>
          <w:rFonts w:eastAsiaTheme="minorEastAsia"/>
          <w:b/>
          <w:color w:val="000000" w:themeColor="text1"/>
          <w:kern w:val="0"/>
          <w:szCs w:val="21"/>
        </w:rPr>
      </w:pP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本基金本报告期末未持有股票。</w:t>
      </w:r>
    </w:p>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报告期末按公允价值占基金资产净值比例大小排序的前十名股票投资明细</w:t>
      </w:r>
    </w:p>
    <w:p w:rsidR="00B27A29" w:rsidRPr="00B27A29" w:rsidRDefault="00B27A29" w:rsidP="00B27A29">
      <w:pPr>
        <w:spacing w:line="360" w:lineRule="auto"/>
        <w:ind w:firstLineChars="200" w:firstLine="420"/>
        <w:rPr>
          <w:rFonts w:eastAsiaTheme="minorEastAsia"/>
          <w:szCs w:val="21"/>
        </w:rPr>
      </w:pPr>
      <w:r w:rsidRPr="00B27A29">
        <w:rPr>
          <w:rFonts w:eastAsiaTheme="minorEastAsia"/>
          <w:szCs w:val="21"/>
        </w:rPr>
        <w:t>本基金本报告期末未持有股票。</w:t>
      </w:r>
    </w:p>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835"/>
        <w:gridCol w:w="1616"/>
      </w:tblGrid>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26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债券品种</w:t>
            </w:r>
          </w:p>
        </w:tc>
        <w:tc>
          <w:tcPr>
            <w:tcW w:w="283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r w:rsidRPr="00B27A29">
              <w:rPr>
                <w:rFonts w:eastAsiaTheme="minorEastAsia"/>
                <w:color w:val="000000" w:themeColor="text1"/>
                <w:szCs w:val="21"/>
              </w:rPr>
              <w:t>％</w:t>
            </w: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国家债券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9,330,614.79</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2.46</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央行票据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其中：政策性金融债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企业短期融资券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中期票据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可转债（可交换债）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同业存单</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9</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其他</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10</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合计</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9,330,614.79</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2.46</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lastRenderedPageBreak/>
        <w:t xml:space="preserve">5.5 </w:t>
      </w:r>
      <w:r w:rsidRPr="00B27A29">
        <w:rPr>
          <w:rFonts w:eastAsiaTheme="minorEastAsia"/>
          <w:b/>
          <w:color w:val="000000" w:themeColor="text1"/>
          <w:kern w:val="0"/>
          <w:szCs w:val="21"/>
        </w:rPr>
        <w:t>报告期末按公允价值占基金资产净值比例大小排序的前五名债券投资明细</w:t>
      </w:r>
    </w:p>
    <w:tbl>
      <w:tblPr>
        <w:tblStyle w:val="afa"/>
        <w:tblW w:w="9021" w:type="dxa"/>
        <w:tblInd w:w="108" w:type="dxa"/>
        <w:tblLayout w:type="fixed"/>
        <w:tblLook w:val="04A0" w:firstRow="1" w:lastRow="0" w:firstColumn="1" w:lastColumn="0" w:noHBand="0" w:noVBand="1"/>
      </w:tblPr>
      <w:tblGrid>
        <w:gridCol w:w="1504"/>
        <w:gridCol w:w="1504"/>
        <w:gridCol w:w="1504"/>
        <w:gridCol w:w="1503"/>
        <w:gridCol w:w="1503"/>
        <w:gridCol w:w="1503"/>
      </w:tblGrid>
      <w:tr w:rsidR="005E6DF3" w:rsidRPr="00B27A29">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债券代码</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债券名称</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数量（张）</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公允价值</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占基金资产净值比例（％）</w:t>
            </w:r>
          </w:p>
        </w:tc>
      </w:tr>
      <w:tr w:rsidR="007C4A5E">
        <w:tc>
          <w:tcPr>
            <w:tcW w:w="1504" w:type="dxa"/>
            <w:vAlign w:val="center"/>
          </w:tcPr>
          <w:p w:rsidR="007C4A5E" w:rsidRDefault="00684409">
            <w:pPr>
              <w:jc w:val="center"/>
            </w:pPr>
            <w:r>
              <w:rPr>
                <w:rFonts w:eastAsiaTheme="minorEastAsia"/>
                <w:color w:val="000000" w:themeColor="text1"/>
                <w:szCs w:val="21"/>
              </w:rPr>
              <w:t>1</w:t>
            </w:r>
          </w:p>
        </w:tc>
        <w:tc>
          <w:tcPr>
            <w:tcW w:w="1504" w:type="dxa"/>
            <w:vAlign w:val="center"/>
          </w:tcPr>
          <w:p w:rsidR="007C4A5E" w:rsidRDefault="00684409">
            <w:pPr>
              <w:jc w:val="center"/>
            </w:pPr>
            <w:r>
              <w:rPr>
                <w:rFonts w:eastAsiaTheme="minorEastAsia"/>
                <w:color w:val="000000" w:themeColor="text1"/>
                <w:szCs w:val="21"/>
              </w:rPr>
              <w:t>019703</w:t>
            </w:r>
          </w:p>
        </w:tc>
        <w:tc>
          <w:tcPr>
            <w:tcW w:w="1504" w:type="dxa"/>
            <w:vAlign w:val="center"/>
          </w:tcPr>
          <w:p w:rsidR="007C4A5E" w:rsidRDefault="00684409">
            <w:pPr>
              <w:jc w:val="center"/>
            </w:pPr>
            <w:r>
              <w:rPr>
                <w:rFonts w:eastAsiaTheme="minorEastAsia"/>
                <w:color w:val="000000" w:themeColor="text1"/>
                <w:szCs w:val="21"/>
              </w:rPr>
              <w:t>23</w:t>
            </w:r>
            <w:r>
              <w:rPr>
                <w:rFonts w:eastAsiaTheme="minorEastAsia"/>
                <w:color w:val="000000" w:themeColor="text1"/>
                <w:szCs w:val="21"/>
              </w:rPr>
              <w:t>国债</w:t>
            </w:r>
            <w:r>
              <w:rPr>
                <w:rFonts w:eastAsiaTheme="minorEastAsia"/>
                <w:color w:val="000000" w:themeColor="text1"/>
                <w:szCs w:val="21"/>
              </w:rPr>
              <w:t>10</w:t>
            </w:r>
          </w:p>
        </w:tc>
        <w:tc>
          <w:tcPr>
            <w:tcW w:w="1503" w:type="dxa"/>
            <w:vAlign w:val="center"/>
          </w:tcPr>
          <w:p w:rsidR="007C4A5E" w:rsidRDefault="00684409">
            <w:pPr>
              <w:jc w:val="right"/>
            </w:pPr>
            <w:r>
              <w:rPr>
                <w:rFonts w:eastAsiaTheme="minorEastAsia"/>
                <w:color w:val="000000" w:themeColor="text1"/>
                <w:szCs w:val="21"/>
              </w:rPr>
              <w:t>92,000</w:t>
            </w:r>
          </w:p>
        </w:tc>
        <w:tc>
          <w:tcPr>
            <w:tcW w:w="1503" w:type="dxa"/>
            <w:vAlign w:val="center"/>
          </w:tcPr>
          <w:p w:rsidR="007C4A5E" w:rsidRDefault="00684409">
            <w:pPr>
              <w:jc w:val="right"/>
            </w:pPr>
            <w:r>
              <w:rPr>
                <w:rFonts w:eastAsiaTheme="minorEastAsia"/>
                <w:color w:val="000000" w:themeColor="text1"/>
                <w:szCs w:val="21"/>
              </w:rPr>
              <w:t>9,330,614.79</w:t>
            </w:r>
          </w:p>
        </w:tc>
        <w:tc>
          <w:tcPr>
            <w:tcW w:w="1503" w:type="dxa"/>
            <w:vAlign w:val="center"/>
          </w:tcPr>
          <w:p w:rsidR="007C4A5E" w:rsidRDefault="00684409">
            <w:pPr>
              <w:jc w:val="right"/>
            </w:pPr>
            <w:r>
              <w:rPr>
                <w:rFonts w:eastAsiaTheme="minorEastAsia"/>
                <w:color w:val="000000" w:themeColor="text1"/>
                <w:szCs w:val="21"/>
              </w:rPr>
              <w:t>2.46</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14,874.10</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2,092,000.00</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3,896.12</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85.63</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lastRenderedPageBreak/>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2,110,855.85</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C45886" w:rsidRPr="00414345" w:rsidRDefault="005C671B" w:rsidP="00C45886">
      <w:pPr>
        <w:spacing w:before="29" w:line="288" w:lineRule="auto"/>
        <w:rPr>
          <w:color w:val="000000"/>
          <w:sz w:val="24"/>
        </w:rPr>
      </w:pPr>
      <w:r w:rsidRPr="00B27A29">
        <w:rPr>
          <w:rFonts w:eastAsiaTheme="minorEastAsia"/>
          <w:color w:val="000000" w:themeColor="text1"/>
          <w:szCs w:val="21"/>
        </w:rPr>
        <w:t>因四舍五入原因，投资组合报告中分项之和与合计可能存在尾差。</w:t>
      </w:r>
    </w:p>
    <w:p w:rsidR="00C45886" w:rsidRDefault="00C45886" w:rsidP="00C45886">
      <w:pPr>
        <w:spacing w:before="29" w:line="288" w:lineRule="auto"/>
        <w:ind w:firstLineChars="200" w:firstLine="480"/>
        <w:rPr>
          <w:color w:val="000000"/>
          <w:sz w:val="24"/>
        </w:rPr>
      </w:pPr>
    </w:p>
    <w:p w:rsidR="00C45886" w:rsidRDefault="00C45886" w:rsidP="00C45886">
      <w:pPr>
        <w:spacing w:before="29" w:line="288" w:lineRule="auto"/>
        <w:ind w:firstLineChars="200" w:firstLine="480"/>
        <w:rPr>
          <w:color w:val="000000"/>
          <w:sz w:val="24"/>
        </w:rPr>
      </w:pPr>
    </w:p>
    <w:p w:rsidR="00C45886" w:rsidRPr="00575270" w:rsidRDefault="00C45886" w:rsidP="00C45886">
      <w:pPr>
        <w:pStyle w:val="1"/>
        <w:spacing w:beforeLines="100" w:before="312" w:afterLines="100" w:after="312" w:line="360" w:lineRule="auto"/>
        <w:jc w:val="center"/>
        <w:rPr>
          <w:rFonts w:eastAsiaTheme="minorEastAsia"/>
          <w:color w:val="000000" w:themeColor="text1"/>
          <w:kern w:val="0"/>
          <w:sz w:val="24"/>
          <w:szCs w:val="24"/>
        </w:rPr>
      </w:pPr>
      <w:r w:rsidRPr="00575270">
        <w:rPr>
          <w:rFonts w:eastAsiaTheme="minorEastAsia"/>
          <w:color w:val="000000" w:themeColor="text1"/>
          <w:kern w:val="0"/>
          <w:sz w:val="24"/>
          <w:szCs w:val="24"/>
        </w:rPr>
        <w:t>§6</w:t>
      </w:r>
      <w:r w:rsidRPr="00575270">
        <w:rPr>
          <w:rFonts w:eastAsiaTheme="minorEastAsia" w:hint="eastAsia"/>
          <w:color w:val="000000" w:themeColor="text1"/>
          <w:kern w:val="0"/>
          <w:sz w:val="24"/>
          <w:szCs w:val="24"/>
        </w:rPr>
        <w:t xml:space="preserve">  </w:t>
      </w:r>
      <w:r w:rsidRPr="00575270">
        <w:rPr>
          <w:rFonts w:eastAsiaTheme="minorEastAsia" w:hint="eastAsia"/>
          <w:color w:val="000000" w:themeColor="text1"/>
          <w:kern w:val="0"/>
          <w:sz w:val="24"/>
          <w:szCs w:val="24"/>
        </w:rPr>
        <w:t>基金中基金</w:t>
      </w:r>
    </w:p>
    <w:p w:rsidR="00C45886" w:rsidRPr="00575270" w:rsidRDefault="00C45886" w:rsidP="00C45886">
      <w:pPr>
        <w:adjustRightInd w:val="0"/>
        <w:snapToGrid w:val="0"/>
        <w:spacing w:line="360" w:lineRule="auto"/>
        <w:rPr>
          <w:rFonts w:eastAsiaTheme="minorEastAsia"/>
          <w:b/>
          <w:color w:val="000000" w:themeColor="text1"/>
          <w:kern w:val="0"/>
          <w:sz w:val="24"/>
        </w:rPr>
      </w:pPr>
      <w:r w:rsidRPr="00575270">
        <w:rPr>
          <w:rFonts w:eastAsiaTheme="minorEastAsia"/>
          <w:b/>
          <w:color w:val="000000" w:themeColor="text1"/>
          <w:kern w:val="0"/>
          <w:sz w:val="24"/>
        </w:rPr>
        <w:t>6.1</w:t>
      </w:r>
      <w:r w:rsidRPr="00575270">
        <w:rPr>
          <w:rFonts w:eastAsiaTheme="minorEastAsia" w:hint="eastAsia"/>
          <w:b/>
          <w:color w:val="000000" w:themeColor="text1"/>
          <w:kern w:val="0"/>
          <w:sz w:val="24"/>
        </w:rPr>
        <w:t xml:space="preserve"> </w:t>
      </w:r>
      <w:r w:rsidRPr="00575270">
        <w:rPr>
          <w:rFonts w:eastAsiaTheme="minorEastAsia" w:hint="eastAsia"/>
          <w:b/>
          <w:color w:val="000000" w:themeColor="text1"/>
          <w:kern w:val="0"/>
          <w:sz w:val="24"/>
        </w:rPr>
        <w:t>报告期末按公允价值占基金资产净值比例大小排序的前十名基金投资明细</w:t>
      </w:r>
    </w:p>
    <w:tbl>
      <w:tblPr>
        <w:tblStyle w:val="afa"/>
        <w:tblW w:w="5000" w:type="pct"/>
        <w:tblLayout w:type="fixed"/>
        <w:tblLook w:val="04A0" w:firstRow="1" w:lastRow="0" w:firstColumn="1" w:lastColumn="0" w:noHBand="0" w:noVBand="1"/>
      </w:tblPr>
      <w:tblGrid>
        <w:gridCol w:w="817"/>
        <w:gridCol w:w="1133"/>
        <w:gridCol w:w="1135"/>
        <w:gridCol w:w="1135"/>
        <w:gridCol w:w="1133"/>
        <w:gridCol w:w="1276"/>
        <w:gridCol w:w="1135"/>
        <w:gridCol w:w="1272"/>
      </w:tblGrid>
      <w:tr w:rsidR="00C45886" w:rsidRPr="00575270" w:rsidTr="00342FE7">
        <w:tc>
          <w:tcPr>
            <w:tcW w:w="452" w:type="pct"/>
            <w:vAlign w:val="center"/>
          </w:tcPr>
          <w:p w:rsidR="00C45886" w:rsidRPr="00575270" w:rsidRDefault="00C45886" w:rsidP="00342FE7">
            <w:pPr>
              <w:pStyle w:val="Default"/>
              <w:spacing w:line="276" w:lineRule="auto"/>
              <w:jc w:val="center"/>
              <w:rPr>
                <w:rFonts w:ascii="Times New Roman" w:hAnsi="Times New Roman" w:cs="Times New Roman"/>
              </w:rPr>
            </w:pPr>
            <w:r w:rsidRPr="00575270">
              <w:rPr>
                <w:rFonts w:ascii="Times New Roman" w:hAnsi="Times New Roman" w:cs="Times New Roman"/>
              </w:rPr>
              <w:t>序号</w:t>
            </w:r>
          </w:p>
        </w:tc>
        <w:tc>
          <w:tcPr>
            <w:tcW w:w="627" w:type="pct"/>
            <w:vAlign w:val="center"/>
          </w:tcPr>
          <w:p w:rsidR="00C45886" w:rsidRPr="00575270" w:rsidRDefault="00C45886" w:rsidP="00342FE7">
            <w:pPr>
              <w:pStyle w:val="Default"/>
              <w:spacing w:line="276" w:lineRule="auto"/>
              <w:jc w:val="center"/>
              <w:rPr>
                <w:rFonts w:ascii="Times New Roman" w:hAnsi="Times New Roman" w:cs="Times New Roman"/>
              </w:rPr>
            </w:pPr>
            <w:r w:rsidRPr="00575270">
              <w:rPr>
                <w:rFonts w:ascii="Times New Roman" w:hAnsi="Times New Roman" w:cs="Times New Roman"/>
              </w:rPr>
              <w:t>基金代码</w:t>
            </w:r>
          </w:p>
        </w:tc>
        <w:tc>
          <w:tcPr>
            <w:tcW w:w="628" w:type="pct"/>
            <w:vAlign w:val="center"/>
          </w:tcPr>
          <w:p w:rsidR="00C45886" w:rsidRPr="00575270" w:rsidRDefault="00C45886" w:rsidP="00342FE7">
            <w:pPr>
              <w:pStyle w:val="Default"/>
              <w:spacing w:line="276" w:lineRule="auto"/>
              <w:jc w:val="center"/>
              <w:rPr>
                <w:rFonts w:ascii="Times New Roman" w:hAnsi="Times New Roman" w:cs="Times New Roman"/>
              </w:rPr>
            </w:pPr>
            <w:r w:rsidRPr="00575270">
              <w:rPr>
                <w:rFonts w:ascii="Times New Roman" w:hAnsi="Times New Roman" w:cs="Times New Roman"/>
              </w:rPr>
              <w:t>基金名称</w:t>
            </w:r>
          </w:p>
        </w:tc>
        <w:tc>
          <w:tcPr>
            <w:tcW w:w="628" w:type="pct"/>
            <w:vAlign w:val="center"/>
          </w:tcPr>
          <w:p w:rsidR="00C45886" w:rsidRPr="00575270" w:rsidRDefault="00C45886" w:rsidP="00342FE7">
            <w:pPr>
              <w:pStyle w:val="Default"/>
              <w:spacing w:line="276" w:lineRule="auto"/>
              <w:jc w:val="center"/>
              <w:rPr>
                <w:rFonts w:ascii="Times New Roman" w:hAnsi="Times New Roman" w:cs="Times New Roman"/>
              </w:rPr>
            </w:pPr>
            <w:r w:rsidRPr="00575270">
              <w:rPr>
                <w:rFonts w:ascii="Times New Roman" w:hAnsi="Times New Roman" w:cs="Times New Roman"/>
              </w:rPr>
              <w:t>运作方式</w:t>
            </w:r>
          </w:p>
        </w:tc>
        <w:tc>
          <w:tcPr>
            <w:tcW w:w="627" w:type="pct"/>
            <w:vAlign w:val="center"/>
          </w:tcPr>
          <w:p w:rsidR="00C45886" w:rsidRPr="00575270" w:rsidRDefault="00C45886" w:rsidP="00342FE7">
            <w:pPr>
              <w:pStyle w:val="Default"/>
              <w:spacing w:line="276" w:lineRule="auto"/>
              <w:jc w:val="center"/>
              <w:rPr>
                <w:rFonts w:ascii="Times New Roman" w:hAnsi="Times New Roman" w:cs="Times New Roman"/>
              </w:rPr>
            </w:pPr>
            <w:r w:rsidRPr="00575270">
              <w:rPr>
                <w:rFonts w:ascii="Times New Roman" w:hAnsi="Times New Roman" w:cs="Times New Roman"/>
              </w:rPr>
              <w:t>持有份额（份）</w:t>
            </w:r>
          </w:p>
        </w:tc>
        <w:tc>
          <w:tcPr>
            <w:tcW w:w="706" w:type="pct"/>
            <w:vAlign w:val="center"/>
          </w:tcPr>
          <w:p w:rsidR="00C45886" w:rsidRPr="00575270" w:rsidRDefault="00C45886" w:rsidP="00342FE7">
            <w:pPr>
              <w:pStyle w:val="Default"/>
              <w:spacing w:line="276" w:lineRule="auto"/>
              <w:jc w:val="center"/>
              <w:rPr>
                <w:rFonts w:ascii="Times New Roman" w:hAnsi="Times New Roman" w:cs="Times New Roman"/>
              </w:rPr>
            </w:pPr>
            <w:r w:rsidRPr="00575270">
              <w:rPr>
                <w:rFonts w:ascii="Times New Roman" w:hAnsi="Times New Roman" w:cs="Times New Roman"/>
              </w:rPr>
              <w:t>公允价值（元）</w:t>
            </w:r>
          </w:p>
        </w:tc>
        <w:tc>
          <w:tcPr>
            <w:tcW w:w="628" w:type="pct"/>
            <w:vAlign w:val="center"/>
          </w:tcPr>
          <w:p w:rsidR="00C45886" w:rsidRPr="00575270" w:rsidRDefault="00C45886" w:rsidP="00342FE7">
            <w:pPr>
              <w:pStyle w:val="Default"/>
              <w:spacing w:line="276" w:lineRule="auto"/>
              <w:rPr>
                <w:rFonts w:ascii="Times New Roman" w:hAnsi="Times New Roman" w:cs="Times New Roman"/>
              </w:rPr>
            </w:pPr>
            <w:r w:rsidRPr="00575270">
              <w:rPr>
                <w:rFonts w:ascii="Times New Roman" w:hAnsi="Times New Roman" w:cs="Times New Roman"/>
              </w:rPr>
              <w:t>占基金资产净值比例</w:t>
            </w:r>
          </w:p>
        </w:tc>
        <w:tc>
          <w:tcPr>
            <w:tcW w:w="704" w:type="pct"/>
            <w:vAlign w:val="center"/>
          </w:tcPr>
          <w:p w:rsidR="00C45886" w:rsidRPr="00575270" w:rsidRDefault="00C45886" w:rsidP="00342FE7">
            <w:pPr>
              <w:pStyle w:val="Default"/>
              <w:spacing w:line="276" w:lineRule="auto"/>
              <w:rPr>
                <w:rFonts w:ascii="Times New Roman" w:hAnsi="Times New Roman" w:cs="Times New Roman"/>
              </w:rPr>
            </w:pPr>
            <w:r w:rsidRPr="00575270">
              <w:rPr>
                <w:rFonts w:ascii="Times New Roman" w:hAnsi="Times New Roman" w:cs="Times New Roman"/>
              </w:rPr>
              <w:t>是否属于基金管理人及管理人关联方所管理的基金</w:t>
            </w:r>
          </w:p>
        </w:tc>
      </w:tr>
      <w:tr w:rsidR="007C4A5E">
        <w:tc>
          <w:tcPr>
            <w:tcW w:w="817" w:type="dxa"/>
            <w:vAlign w:val="center"/>
          </w:tcPr>
          <w:p w:rsidR="007C4A5E" w:rsidRDefault="00684409">
            <w:pPr>
              <w:jc w:val="center"/>
            </w:pPr>
            <w:r>
              <w:rPr>
                <w:sz w:val="24"/>
              </w:rPr>
              <w:t>1</w:t>
            </w:r>
          </w:p>
        </w:tc>
        <w:tc>
          <w:tcPr>
            <w:tcW w:w="1133" w:type="dxa"/>
            <w:vAlign w:val="center"/>
          </w:tcPr>
          <w:p w:rsidR="007C4A5E" w:rsidRDefault="00684409">
            <w:pPr>
              <w:jc w:val="center"/>
            </w:pPr>
            <w:r>
              <w:rPr>
                <w:sz w:val="24"/>
              </w:rPr>
              <w:t>002702</w:t>
            </w:r>
          </w:p>
        </w:tc>
        <w:tc>
          <w:tcPr>
            <w:tcW w:w="1135" w:type="dxa"/>
            <w:vAlign w:val="center"/>
          </w:tcPr>
          <w:p w:rsidR="007C4A5E" w:rsidRDefault="00684409">
            <w:pPr>
              <w:jc w:val="center"/>
            </w:pPr>
            <w:r>
              <w:rPr>
                <w:sz w:val="24"/>
              </w:rPr>
              <w:t>东方红汇阳债券</w:t>
            </w:r>
            <w:r>
              <w:rPr>
                <w:sz w:val="24"/>
              </w:rPr>
              <w:t>C</w:t>
            </w:r>
          </w:p>
        </w:tc>
        <w:tc>
          <w:tcPr>
            <w:tcW w:w="1135" w:type="dxa"/>
            <w:vAlign w:val="center"/>
          </w:tcPr>
          <w:p w:rsidR="007C4A5E" w:rsidRDefault="00684409">
            <w:pPr>
              <w:jc w:val="center"/>
            </w:pPr>
            <w:r>
              <w:rPr>
                <w:sz w:val="24"/>
              </w:rPr>
              <w:t>契约型开放式</w:t>
            </w:r>
          </w:p>
        </w:tc>
        <w:tc>
          <w:tcPr>
            <w:tcW w:w="1133" w:type="dxa"/>
            <w:vAlign w:val="center"/>
          </w:tcPr>
          <w:p w:rsidR="007C4A5E" w:rsidRDefault="00684409">
            <w:pPr>
              <w:jc w:val="center"/>
            </w:pPr>
            <w:r>
              <w:rPr>
                <w:sz w:val="24"/>
              </w:rPr>
              <w:t>17,340,339.71</w:t>
            </w:r>
          </w:p>
        </w:tc>
        <w:tc>
          <w:tcPr>
            <w:tcW w:w="1276" w:type="dxa"/>
            <w:vAlign w:val="center"/>
          </w:tcPr>
          <w:p w:rsidR="007C4A5E" w:rsidRDefault="00684409">
            <w:pPr>
              <w:jc w:val="center"/>
            </w:pPr>
            <w:r>
              <w:rPr>
                <w:sz w:val="24"/>
              </w:rPr>
              <w:t>18,254,175.61</w:t>
            </w:r>
          </w:p>
        </w:tc>
        <w:tc>
          <w:tcPr>
            <w:tcW w:w="1135" w:type="dxa"/>
            <w:vAlign w:val="center"/>
          </w:tcPr>
          <w:p w:rsidR="007C4A5E" w:rsidRDefault="00684409">
            <w:pPr>
              <w:jc w:val="center"/>
            </w:pPr>
            <w:r>
              <w:rPr>
                <w:sz w:val="24"/>
              </w:rPr>
              <w:t>4.81%</w:t>
            </w:r>
          </w:p>
        </w:tc>
        <w:tc>
          <w:tcPr>
            <w:tcW w:w="1272" w:type="dxa"/>
            <w:vAlign w:val="center"/>
          </w:tcPr>
          <w:p w:rsidR="007C4A5E" w:rsidRDefault="00684409">
            <w:pPr>
              <w:jc w:val="center"/>
            </w:pPr>
            <w:r>
              <w:rPr>
                <w:sz w:val="24"/>
              </w:rPr>
              <w:t>否</w:t>
            </w:r>
          </w:p>
        </w:tc>
      </w:tr>
      <w:tr w:rsidR="007C4A5E">
        <w:tc>
          <w:tcPr>
            <w:tcW w:w="817" w:type="dxa"/>
            <w:vAlign w:val="center"/>
          </w:tcPr>
          <w:p w:rsidR="007C4A5E" w:rsidRDefault="00684409">
            <w:pPr>
              <w:jc w:val="center"/>
            </w:pPr>
            <w:r>
              <w:rPr>
                <w:sz w:val="24"/>
              </w:rPr>
              <w:t>2</w:t>
            </w:r>
          </w:p>
        </w:tc>
        <w:tc>
          <w:tcPr>
            <w:tcW w:w="1133" w:type="dxa"/>
            <w:vAlign w:val="center"/>
          </w:tcPr>
          <w:p w:rsidR="007C4A5E" w:rsidRDefault="00684409">
            <w:pPr>
              <w:jc w:val="center"/>
            </w:pPr>
            <w:r>
              <w:rPr>
                <w:sz w:val="24"/>
              </w:rPr>
              <w:t>512070</w:t>
            </w:r>
          </w:p>
        </w:tc>
        <w:tc>
          <w:tcPr>
            <w:tcW w:w="1135" w:type="dxa"/>
            <w:vAlign w:val="center"/>
          </w:tcPr>
          <w:p w:rsidR="007C4A5E" w:rsidRDefault="00684409">
            <w:pPr>
              <w:jc w:val="center"/>
            </w:pPr>
            <w:r>
              <w:rPr>
                <w:sz w:val="24"/>
              </w:rPr>
              <w:t>易方达沪深</w:t>
            </w:r>
            <w:r>
              <w:rPr>
                <w:sz w:val="24"/>
              </w:rPr>
              <w:t>300</w:t>
            </w:r>
            <w:r>
              <w:rPr>
                <w:sz w:val="24"/>
              </w:rPr>
              <w:t>非银</w:t>
            </w:r>
            <w:r>
              <w:rPr>
                <w:sz w:val="24"/>
              </w:rPr>
              <w:t>ETF</w:t>
            </w:r>
          </w:p>
        </w:tc>
        <w:tc>
          <w:tcPr>
            <w:tcW w:w="1135" w:type="dxa"/>
            <w:vAlign w:val="center"/>
          </w:tcPr>
          <w:p w:rsidR="007C4A5E" w:rsidRDefault="00744B8C">
            <w:pPr>
              <w:jc w:val="center"/>
            </w:pPr>
            <w:r>
              <w:rPr>
                <w:rFonts w:hint="eastAsia"/>
                <w:sz w:val="24"/>
              </w:rPr>
              <w:t>交易型</w:t>
            </w:r>
            <w:r w:rsidR="00353352">
              <w:rPr>
                <w:rFonts w:hint="eastAsia"/>
                <w:sz w:val="24"/>
              </w:rPr>
              <w:t>开放式</w:t>
            </w:r>
          </w:p>
        </w:tc>
        <w:tc>
          <w:tcPr>
            <w:tcW w:w="1133" w:type="dxa"/>
            <w:vAlign w:val="center"/>
          </w:tcPr>
          <w:p w:rsidR="007C4A5E" w:rsidRDefault="00684409">
            <w:pPr>
              <w:jc w:val="center"/>
            </w:pPr>
            <w:r>
              <w:rPr>
                <w:sz w:val="24"/>
              </w:rPr>
              <w:t>30,267,100.00</w:t>
            </w:r>
          </w:p>
        </w:tc>
        <w:tc>
          <w:tcPr>
            <w:tcW w:w="1276" w:type="dxa"/>
            <w:vAlign w:val="center"/>
          </w:tcPr>
          <w:p w:rsidR="007C4A5E" w:rsidRDefault="00684409">
            <w:pPr>
              <w:jc w:val="center"/>
            </w:pPr>
            <w:r>
              <w:rPr>
                <w:sz w:val="24"/>
              </w:rPr>
              <w:t>18,008,924.50</w:t>
            </w:r>
          </w:p>
        </w:tc>
        <w:tc>
          <w:tcPr>
            <w:tcW w:w="1135" w:type="dxa"/>
            <w:vAlign w:val="center"/>
          </w:tcPr>
          <w:p w:rsidR="007C4A5E" w:rsidRDefault="00684409">
            <w:pPr>
              <w:jc w:val="center"/>
            </w:pPr>
            <w:r>
              <w:rPr>
                <w:sz w:val="24"/>
              </w:rPr>
              <w:t>4.74%</w:t>
            </w:r>
          </w:p>
        </w:tc>
        <w:tc>
          <w:tcPr>
            <w:tcW w:w="1272" w:type="dxa"/>
            <w:vAlign w:val="center"/>
          </w:tcPr>
          <w:p w:rsidR="007C4A5E" w:rsidRDefault="00684409">
            <w:pPr>
              <w:jc w:val="center"/>
            </w:pPr>
            <w:r>
              <w:rPr>
                <w:sz w:val="24"/>
              </w:rPr>
              <w:t>否</w:t>
            </w:r>
          </w:p>
        </w:tc>
      </w:tr>
      <w:tr w:rsidR="007C4A5E">
        <w:tc>
          <w:tcPr>
            <w:tcW w:w="817" w:type="dxa"/>
            <w:vAlign w:val="center"/>
          </w:tcPr>
          <w:p w:rsidR="007C4A5E" w:rsidRDefault="00684409">
            <w:pPr>
              <w:jc w:val="center"/>
            </w:pPr>
            <w:r>
              <w:rPr>
                <w:sz w:val="24"/>
              </w:rPr>
              <w:t>3</w:t>
            </w:r>
          </w:p>
        </w:tc>
        <w:tc>
          <w:tcPr>
            <w:tcW w:w="1133" w:type="dxa"/>
            <w:vAlign w:val="center"/>
          </w:tcPr>
          <w:p w:rsidR="007C4A5E" w:rsidRDefault="00684409">
            <w:pPr>
              <w:jc w:val="center"/>
            </w:pPr>
            <w:r>
              <w:rPr>
                <w:sz w:val="24"/>
              </w:rPr>
              <w:t>006551</w:t>
            </w:r>
          </w:p>
        </w:tc>
        <w:tc>
          <w:tcPr>
            <w:tcW w:w="1135" w:type="dxa"/>
            <w:vAlign w:val="center"/>
          </w:tcPr>
          <w:p w:rsidR="007C4A5E" w:rsidRDefault="00684409">
            <w:pPr>
              <w:jc w:val="center"/>
            </w:pPr>
            <w:r>
              <w:rPr>
                <w:sz w:val="24"/>
              </w:rPr>
              <w:t>中庚价值领航混合</w:t>
            </w:r>
          </w:p>
        </w:tc>
        <w:tc>
          <w:tcPr>
            <w:tcW w:w="1135" w:type="dxa"/>
            <w:vAlign w:val="center"/>
          </w:tcPr>
          <w:p w:rsidR="007C4A5E" w:rsidRDefault="00684409">
            <w:pPr>
              <w:jc w:val="center"/>
            </w:pPr>
            <w:r>
              <w:rPr>
                <w:sz w:val="24"/>
              </w:rPr>
              <w:t>契约型开放式</w:t>
            </w:r>
          </w:p>
        </w:tc>
        <w:tc>
          <w:tcPr>
            <w:tcW w:w="1133" w:type="dxa"/>
            <w:vAlign w:val="center"/>
          </w:tcPr>
          <w:p w:rsidR="007C4A5E" w:rsidRDefault="00684409">
            <w:pPr>
              <w:jc w:val="center"/>
            </w:pPr>
            <w:r>
              <w:rPr>
                <w:sz w:val="24"/>
              </w:rPr>
              <w:t>8,212,129.92</w:t>
            </w:r>
          </w:p>
        </w:tc>
        <w:tc>
          <w:tcPr>
            <w:tcW w:w="1276" w:type="dxa"/>
            <w:vAlign w:val="center"/>
          </w:tcPr>
          <w:p w:rsidR="007C4A5E" w:rsidRDefault="00684409">
            <w:pPr>
              <w:jc w:val="center"/>
            </w:pPr>
            <w:r>
              <w:rPr>
                <w:sz w:val="24"/>
              </w:rPr>
              <w:t>17,949,252.37</w:t>
            </w:r>
          </w:p>
        </w:tc>
        <w:tc>
          <w:tcPr>
            <w:tcW w:w="1135" w:type="dxa"/>
            <w:vAlign w:val="center"/>
          </w:tcPr>
          <w:p w:rsidR="007C4A5E" w:rsidRDefault="00684409">
            <w:pPr>
              <w:jc w:val="center"/>
            </w:pPr>
            <w:r>
              <w:rPr>
                <w:sz w:val="24"/>
              </w:rPr>
              <w:t>4.73%</w:t>
            </w:r>
          </w:p>
        </w:tc>
        <w:tc>
          <w:tcPr>
            <w:tcW w:w="1272" w:type="dxa"/>
            <w:vAlign w:val="center"/>
          </w:tcPr>
          <w:p w:rsidR="007C4A5E" w:rsidRDefault="00684409">
            <w:pPr>
              <w:jc w:val="center"/>
            </w:pPr>
            <w:r>
              <w:rPr>
                <w:sz w:val="24"/>
              </w:rPr>
              <w:t>否</w:t>
            </w:r>
          </w:p>
        </w:tc>
      </w:tr>
      <w:tr w:rsidR="007C4A5E">
        <w:tc>
          <w:tcPr>
            <w:tcW w:w="817" w:type="dxa"/>
            <w:vAlign w:val="center"/>
          </w:tcPr>
          <w:p w:rsidR="007C4A5E" w:rsidRDefault="00684409">
            <w:pPr>
              <w:jc w:val="center"/>
            </w:pPr>
            <w:r>
              <w:rPr>
                <w:sz w:val="24"/>
              </w:rPr>
              <w:t>4</w:t>
            </w:r>
          </w:p>
        </w:tc>
        <w:tc>
          <w:tcPr>
            <w:tcW w:w="1133" w:type="dxa"/>
            <w:vAlign w:val="center"/>
          </w:tcPr>
          <w:p w:rsidR="007C4A5E" w:rsidRDefault="00684409">
            <w:pPr>
              <w:jc w:val="center"/>
            </w:pPr>
            <w:r>
              <w:rPr>
                <w:sz w:val="24"/>
              </w:rPr>
              <w:t>006567</w:t>
            </w:r>
          </w:p>
        </w:tc>
        <w:tc>
          <w:tcPr>
            <w:tcW w:w="1135" w:type="dxa"/>
            <w:vAlign w:val="center"/>
          </w:tcPr>
          <w:p w:rsidR="007C4A5E" w:rsidRDefault="00684409">
            <w:pPr>
              <w:jc w:val="center"/>
            </w:pPr>
            <w:r>
              <w:rPr>
                <w:sz w:val="24"/>
              </w:rPr>
              <w:t>中泰星元灵活配置混</w:t>
            </w:r>
            <w:r>
              <w:rPr>
                <w:sz w:val="24"/>
              </w:rPr>
              <w:lastRenderedPageBreak/>
              <w:t>合</w:t>
            </w:r>
            <w:r>
              <w:rPr>
                <w:sz w:val="24"/>
              </w:rPr>
              <w:t>A</w:t>
            </w:r>
          </w:p>
        </w:tc>
        <w:tc>
          <w:tcPr>
            <w:tcW w:w="1135" w:type="dxa"/>
            <w:vAlign w:val="center"/>
          </w:tcPr>
          <w:p w:rsidR="007C4A5E" w:rsidRDefault="00684409">
            <w:pPr>
              <w:jc w:val="center"/>
            </w:pPr>
            <w:r>
              <w:rPr>
                <w:sz w:val="24"/>
              </w:rPr>
              <w:lastRenderedPageBreak/>
              <w:t>契约型开放式</w:t>
            </w:r>
          </w:p>
        </w:tc>
        <w:tc>
          <w:tcPr>
            <w:tcW w:w="1133" w:type="dxa"/>
            <w:vAlign w:val="center"/>
          </w:tcPr>
          <w:p w:rsidR="007C4A5E" w:rsidRDefault="00684409">
            <w:pPr>
              <w:jc w:val="center"/>
            </w:pPr>
            <w:r>
              <w:rPr>
                <w:sz w:val="24"/>
              </w:rPr>
              <w:t>6,958,210.88</w:t>
            </w:r>
          </w:p>
        </w:tc>
        <w:tc>
          <w:tcPr>
            <w:tcW w:w="1276" w:type="dxa"/>
            <w:vAlign w:val="center"/>
          </w:tcPr>
          <w:p w:rsidR="007C4A5E" w:rsidRDefault="00684409">
            <w:pPr>
              <w:jc w:val="center"/>
            </w:pPr>
            <w:r>
              <w:rPr>
                <w:sz w:val="24"/>
              </w:rPr>
              <w:t>15,604,483.72</w:t>
            </w:r>
          </w:p>
        </w:tc>
        <w:tc>
          <w:tcPr>
            <w:tcW w:w="1135" w:type="dxa"/>
            <w:vAlign w:val="center"/>
          </w:tcPr>
          <w:p w:rsidR="007C4A5E" w:rsidRDefault="00684409">
            <w:pPr>
              <w:jc w:val="center"/>
            </w:pPr>
            <w:r>
              <w:rPr>
                <w:sz w:val="24"/>
              </w:rPr>
              <w:t>4.11%</w:t>
            </w:r>
          </w:p>
        </w:tc>
        <w:tc>
          <w:tcPr>
            <w:tcW w:w="1272" w:type="dxa"/>
            <w:vAlign w:val="center"/>
          </w:tcPr>
          <w:p w:rsidR="007C4A5E" w:rsidRDefault="00684409">
            <w:pPr>
              <w:jc w:val="center"/>
            </w:pPr>
            <w:r>
              <w:rPr>
                <w:sz w:val="24"/>
              </w:rPr>
              <w:t>否</w:t>
            </w:r>
          </w:p>
        </w:tc>
      </w:tr>
      <w:tr w:rsidR="007C4A5E">
        <w:tc>
          <w:tcPr>
            <w:tcW w:w="817" w:type="dxa"/>
            <w:vAlign w:val="center"/>
          </w:tcPr>
          <w:p w:rsidR="007C4A5E" w:rsidRDefault="00684409">
            <w:pPr>
              <w:jc w:val="center"/>
            </w:pPr>
            <w:r>
              <w:rPr>
                <w:sz w:val="24"/>
              </w:rPr>
              <w:t>5</w:t>
            </w:r>
          </w:p>
        </w:tc>
        <w:tc>
          <w:tcPr>
            <w:tcW w:w="1133" w:type="dxa"/>
            <w:vAlign w:val="center"/>
          </w:tcPr>
          <w:p w:rsidR="007C4A5E" w:rsidRDefault="00684409">
            <w:pPr>
              <w:jc w:val="center"/>
            </w:pPr>
            <w:r>
              <w:rPr>
                <w:sz w:val="24"/>
              </w:rPr>
              <w:t>968050</w:t>
            </w:r>
          </w:p>
        </w:tc>
        <w:tc>
          <w:tcPr>
            <w:tcW w:w="1135" w:type="dxa"/>
            <w:vAlign w:val="center"/>
          </w:tcPr>
          <w:p w:rsidR="007C4A5E" w:rsidRDefault="00684409">
            <w:pPr>
              <w:jc w:val="center"/>
            </w:pPr>
            <w:r>
              <w:rPr>
                <w:sz w:val="24"/>
              </w:rPr>
              <w:t>摩根国际债券人民币对冲累计</w:t>
            </w:r>
          </w:p>
        </w:tc>
        <w:tc>
          <w:tcPr>
            <w:tcW w:w="1135" w:type="dxa"/>
            <w:vAlign w:val="center"/>
          </w:tcPr>
          <w:p w:rsidR="007C4A5E" w:rsidRDefault="00684409">
            <w:pPr>
              <w:jc w:val="center"/>
            </w:pPr>
            <w:r>
              <w:rPr>
                <w:sz w:val="24"/>
              </w:rPr>
              <w:t>契约型开放式</w:t>
            </w:r>
          </w:p>
        </w:tc>
        <w:tc>
          <w:tcPr>
            <w:tcW w:w="1133" w:type="dxa"/>
            <w:vAlign w:val="center"/>
          </w:tcPr>
          <w:p w:rsidR="007C4A5E" w:rsidRDefault="00684409">
            <w:pPr>
              <w:jc w:val="center"/>
            </w:pPr>
            <w:r>
              <w:rPr>
                <w:sz w:val="24"/>
              </w:rPr>
              <w:t>1,432,878.35</w:t>
            </w:r>
          </w:p>
        </w:tc>
        <w:tc>
          <w:tcPr>
            <w:tcW w:w="1276" w:type="dxa"/>
            <w:vAlign w:val="center"/>
          </w:tcPr>
          <w:p w:rsidR="007C4A5E" w:rsidRDefault="00684409">
            <w:pPr>
              <w:jc w:val="center"/>
            </w:pPr>
            <w:r>
              <w:rPr>
                <w:sz w:val="24"/>
              </w:rPr>
              <w:t>15,288,811.99</w:t>
            </w:r>
          </w:p>
        </w:tc>
        <w:tc>
          <w:tcPr>
            <w:tcW w:w="1135" w:type="dxa"/>
            <w:vAlign w:val="center"/>
          </w:tcPr>
          <w:p w:rsidR="007C4A5E" w:rsidRDefault="00684409">
            <w:pPr>
              <w:jc w:val="center"/>
            </w:pPr>
            <w:r>
              <w:rPr>
                <w:sz w:val="24"/>
              </w:rPr>
              <w:t>4.03%</w:t>
            </w:r>
          </w:p>
        </w:tc>
        <w:tc>
          <w:tcPr>
            <w:tcW w:w="1272" w:type="dxa"/>
            <w:vAlign w:val="center"/>
          </w:tcPr>
          <w:p w:rsidR="007C4A5E" w:rsidRDefault="00684409">
            <w:pPr>
              <w:jc w:val="center"/>
            </w:pPr>
            <w:r>
              <w:rPr>
                <w:sz w:val="24"/>
              </w:rPr>
              <w:t>是</w:t>
            </w:r>
          </w:p>
        </w:tc>
      </w:tr>
      <w:tr w:rsidR="007C4A5E">
        <w:tc>
          <w:tcPr>
            <w:tcW w:w="817" w:type="dxa"/>
            <w:vAlign w:val="center"/>
          </w:tcPr>
          <w:p w:rsidR="007C4A5E" w:rsidRDefault="00684409">
            <w:pPr>
              <w:jc w:val="center"/>
            </w:pPr>
            <w:r>
              <w:rPr>
                <w:sz w:val="24"/>
              </w:rPr>
              <w:t>6</w:t>
            </w:r>
          </w:p>
        </w:tc>
        <w:tc>
          <w:tcPr>
            <w:tcW w:w="1133" w:type="dxa"/>
            <w:vAlign w:val="center"/>
          </w:tcPr>
          <w:p w:rsidR="007C4A5E" w:rsidRDefault="00684409">
            <w:pPr>
              <w:jc w:val="center"/>
            </w:pPr>
            <w:r>
              <w:rPr>
                <w:sz w:val="24"/>
              </w:rPr>
              <w:t>519756</w:t>
            </w:r>
          </w:p>
        </w:tc>
        <w:tc>
          <w:tcPr>
            <w:tcW w:w="1135" w:type="dxa"/>
            <w:vAlign w:val="center"/>
          </w:tcPr>
          <w:p w:rsidR="007C4A5E" w:rsidRDefault="00684409">
            <w:pPr>
              <w:jc w:val="center"/>
            </w:pPr>
            <w:r>
              <w:rPr>
                <w:sz w:val="24"/>
              </w:rPr>
              <w:t>交银国企改革灵活配置混合</w:t>
            </w:r>
            <w:r>
              <w:rPr>
                <w:sz w:val="24"/>
              </w:rPr>
              <w:t>A</w:t>
            </w:r>
          </w:p>
        </w:tc>
        <w:tc>
          <w:tcPr>
            <w:tcW w:w="1135" w:type="dxa"/>
            <w:vAlign w:val="center"/>
          </w:tcPr>
          <w:p w:rsidR="007C4A5E" w:rsidRDefault="00684409">
            <w:pPr>
              <w:jc w:val="center"/>
            </w:pPr>
            <w:r>
              <w:rPr>
                <w:sz w:val="24"/>
              </w:rPr>
              <w:t>契约型开放式</w:t>
            </w:r>
          </w:p>
        </w:tc>
        <w:tc>
          <w:tcPr>
            <w:tcW w:w="1133" w:type="dxa"/>
            <w:vAlign w:val="center"/>
          </w:tcPr>
          <w:p w:rsidR="007C4A5E" w:rsidRDefault="00684409">
            <w:pPr>
              <w:jc w:val="center"/>
            </w:pPr>
            <w:r>
              <w:rPr>
                <w:sz w:val="24"/>
              </w:rPr>
              <w:t>9,881,162.97</w:t>
            </w:r>
          </w:p>
        </w:tc>
        <w:tc>
          <w:tcPr>
            <w:tcW w:w="1276" w:type="dxa"/>
            <w:vAlign w:val="center"/>
          </w:tcPr>
          <w:p w:rsidR="007C4A5E" w:rsidRDefault="00684409">
            <w:pPr>
              <w:jc w:val="center"/>
            </w:pPr>
            <w:r>
              <w:rPr>
                <w:sz w:val="24"/>
              </w:rPr>
              <w:t>15,281,218.53</w:t>
            </w:r>
          </w:p>
        </w:tc>
        <w:tc>
          <w:tcPr>
            <w:tcW w:w="1135" w:type="dxa"/>
            <w:vAlign w:val="center"/>
          </w:tcPr>
          <w:p w:rsidR="007C4A5E" w:rsidRDefault="00684409">
            <w:pPr>
              <w:jc w:val="center"/>
            </w:pPr>
            <w:r>
              <w:rPr>
                <w:sz w:val="24"/>
              </w:rPr>
              <w:t>4.02%</w:t>
            </w:r>
          </w:p>
        </w:tc>
        <w:tc>
          <w:tcPr>
            <w:tcW w:w="1272" w:type="dxa"/>
            <w:vAlign w:val="center"/>
          </w:tcPr>
          <w:p w:rsidR="007C4A5E" w:rsidRDefault="00684409">
            <w:pPr>
              <w:jc w:val="center"/>
            </w:pPr>
            <w:r>
              <w:rPr>
                <w:sz w:val="24"/>
              </w:rPr>
              <w:t>否</w:t>
            </w:r>
          </w:p>
        </w:tc>
      </w:tr>
      <w:tr w:rsidR="007C4A5E">
        <w:tc>
          <w:tcPr>
            <w:tcW w:w="817" w:type="dxa"/>
            <w:vAlign w:val="center"/>
          </w:tcPr>
          <w:p w:rsidR="007C4A5E" w:rsidRDefault="00684409">
            <w:pPr>
              <w:jc w:val="center"/>
            </w:pPr>
            <w:r>
              <w:rPr>
                <w:sz w:val="24"/>
              </w:rPr>
              <w:t>7</w:t>
            </w:r>
          </w:p>
        </w:tc>
        <w:tc>
          <w:tcPr>
            <w:tcW w:w="1133" w:type="dxa"/>
            <w:vAlign w:val="center"/>
          </w:tcPr>
          <w:p w:rsidR="007C4A5E" w:rsidRDefault="00684409">
            <w:pPr>
              <w:jc w:val="center"/>
            </w:pPr>
            <w:r>
              <w:rPr>
                <w:sz w:val="24"/>
              </w:rPr>
              <w:t>001856</w:t>
            </w:r>
          </w:p>
        </w:tc>
        <w:tc>
          <w:tcPr>
            <w:tcW w:w="1135" w:type="dxa"/>
            <w:vAlign w:val="center"/>
          </w:tcPr>
          <w:p w:rsidR="007C4A5E" w:rsidRDefault="00684409">
            <w:pPr>
              <w:jc w:val="center"/>
            </w:pPr>
            <w:r>
              <w:rPr>
                <w:sz w:val="24"/>
              </w:rPr>
              <w:t>易方达环保主题混合</w:t>
            </w:r>
            <w:r>
              <w:rPr>
                <w:sz w:val="24"/>
              </w:rPr>
              <w:t>A</w:t>
            </w:r>
          </w:p>
        </w:tc>
        <w:tc>
          <w:tcPr>
            <w:tcW w:w="1135" w:type="dxa"/>
            <w:vAlign w:val="center"/>
          </w:tcPr>
          <w:p w:rsidR="007C4A5E" w:rsidRDefault="00684409">
            <w:pPr>
              <w:jc w:val="center"/>
            </w:pPr>
            <w:r>
              <w:rPr>
                <w:sz w:val="24"/>
              </w:rPr>
              <w:t>契约型开放式</w:t>
            </w:r>
          </w:p>
        </w:tc>
        <w:tc>
          <w:tcPr>
            <w:tcW w:w="1133" w:type="dxa"/>
            <w:vAlign w:val="center"/>
          </w:tcPr>
          <w:p w:rsidR="007C4A5E" w:rsidRDefault="00684409">
            <w:pPr>
              <w:jc w:val="center"/>
            </w:pPr>
            <w:r>
              <w:rPr>
                <w:sz w:val="24"/>
              </w:rPr>
              <w:t>4,434,763.28</w:t>
            </w:r>
          </w:p>
        </w:tc>
        <w:tc>
          <w:tcPr>
            <w:tcW w:w="1276" w:type="dxa"/>
            <w:vAlign w:val="center"/>
          </w:tcPr>
          <w:p w:rsidR="007C4A5E" w:rsidRDefault="00684409">
            <w:pPr>
              <w:jc w:val="center"/>
            </w:pPr>
            <w:r>
              <w:rPr>
                <w:sz w:val="24"/>
              </w:rPr>
              <w:t>13,769,939.98</w:t>
            </w:r>
          </w:p>
        </w:tc>
        <w:tc>
          <w:tcPr>
            <w:tcW w:w="1135" w:type="dxa"/>
            <w:vAlign w:val="center"/>
          </w:tcPr>
          <w:p w:rsidR="007C4A5E" w:rsidRDefault="00684409">
            <w:pPr>
              <w:jc w:val="center"/>
            </w:pPr>
            <w:r>
              <w:rPr>
                <w:sz w:val="24"/>
              </w:rPr>
              <w:t>3.63%</w:t>
            </w:r>
          </w:p>
        </w:tc>
        <w:tc>
          <w:tcPr>
            <w:tcW w:w="1272" w:type="dxa"/>
            <w:vAlign w:val="center"/>
          </w:tcPr>
          <w:p w:rsidR="007C4A5E" w:rsidRDefault="00684409">
            <w:pPr>
              <w:jc w:val="center"/>
            </w:pPr>
            <w:r>
              <w:rPr>
                <w:sz w:val="24"/>
              </w:rPr>
              <w:t>否</w:t>
            </w:r>
          </w:p>
        </w:tc>
      </w:tr>
      <w:tr w:rsidR="007C4A5E">
        <w:tc>
          <w:tcPr>
            <w:tcW w:w="817" w:type="dxa"/>
            <w:vAlign w:val="center"/>
          </w:tcPr>
          <w:p w:rsidR="007C4A5E" w:rsidRDefault="00684409">
            <w:pPr>
              <w:jc w:val="center"/>
            </w:pPr>
            <w:r>
              <w:rPr>
                <w:sz w:val="24"/>
              </w:rPr>
              <w:t>8</w:t>
            </w:r>
          </w:p>
        </w:tc>
        <w:tc>
          <w:tcPr>
            <w:tcW w:w="1133" w:type="dxa"/>
            <w:vAlign w:val="center"/>
          </w:tcPr>
          <w:p w:rsidR="007C4A5E" w:rsidRDefault="00684409">
            <w:pPr>
              <w:jc w:val="center"/>
            </w:pPr>
            <w:r>
              <w:rPr>
                <w:sz w:val="24"/>
              </w:rPr>
              <w:t>513180</w:t>
            </w:r>
          </w:p>
        </w:tc>
        <w:tc>
          <w:tcPr>
            <w:tcW w:w="1135" w:type="dxa"/>
            <w:vAlign w:val="center"/>
          </w:tcPr>
          <w:p w:rsidR="007C4A5E" w:rsidRDefault="00684409">
            <w:pPr>
              <w:jc w:val="center"/>
            </w:pPr>
            <w:r>
              <w:rPr>
                <w:sz w:val="24"/>
              </w:rPr>
              <w:t>华夏恒生科技</w:t>
            </w:r>
            <w:r>
              <w:rPr>
                <w:sz w:val="24"/>
              </w:rPr>
              <w:t>ETF(QDII)</w:t>
            </w:r>
          </w:p>
        </w:tc>
        <w:tc>
          <w:tcPr>
            <w:tcW w:w="1135" w:type="dxa"/>
            <w:vAlign w:val="center"/>
          </w:tcPr>
          <w:p w:rsidR="007C4A5E" w:rsidRDefault="00ED6DBF">
            <w:pPr>
              <w:jc w:val="center"/>
            </w:pPr>
            <w:r>
              <w:rPr>
                <w:rFonts w:hint="eastAsia"/>
                <w:sz w:val="24"/>
              </w:rPr>
              <w:t>交易型开放式</w:t>
            </w:r>
          </w:p>
        </w:tc>
        <w:tc>
          <w:tcPr>
            <w:tcW w:w="1133" w:type="dxa"/>
            <w:vAlign w:val="center"/>
          </w:tcPr>
          <w:p w:rsidR="007C4A5E" w:rsidRDefault="00684409">
            <w:pPr>
              <w:jc w:val="center"/>
            </w:pPr>
            <w:r>
              <w:rPr>
                <w:sz w:val="24"/>
              </w:rPr>
              <w:t>27,133,900.00</w:t>
            </w:r>
          </w:p>
        </w:tc>
        <w:tc>
          <w:tcPr>
            <w:tcW w:w="1276" w:type="dxa"/>
            <w:vAlign w:val="center"/>
          </w:tcPr>
          <w:p w:rsidR="007C4A5E" w:rsidRDefault="00684409">
            <w:pPr>
              <w:jc w:val="center"/>
            </w:pPr>
            <w:r>
              <w:rPr>
                <w:sz w:val="24"/>
              </w:rPr>
              <w:t>13,539,816.10</w:t>
            </w:r>
          </w:p>
        </w:tc>
        <w:tc>
          <w:tcPr>
            <w:tcW w:w="1135" w:type="dxa"/>
            <w:vAlign w:val="center"/>
          </w:tcPr>
          <w:p w:rsidR="007C4A5E" w:rsidRDefault="00684409">
            <w:pPr>
              <w:jc w:val="center"/>
            </w:pPr>
            <w:r>
              <w:rPr>
                <w:sz w:val="24"/>
              </w:rPr>
              <w:t>3.57%</w:t>
            </w:r>
          </w:p>
        </w:tc>
        <w:tc>
          <w:tcPr>
            <w:tcW w:w="1272" w:type="dxa"/>
            <w:vAlign w:val="center"/>
          </w:tcPr>
          <w:p w:rsidR="007C4A5E" w:rsidRDefault="00684409">
            <w:pPr>
              <w:jc w:val="center"/>
            </w:pPr>
            <w:r>
              <w:rPr>
                <w:sz w:val="24"/>
              </w:rPr>
              <w:t>否</w:t>
            </w:r>
          </w:p>
        </w:tc>
      </w:tr>
      <w:tr w:rsidR="007C4A5E">
        <w:tc>
          <w:tcPr>
            <w:tcW w:w="817" w:type="dxa"/>
            <w:vAlign w:val="center"/>
          </w:tcPr>
          <w:p w:rsidR="007C4A5E" w:rsidRDefault="00684409">
            <w:pPr>
              <w:jc w:val="center"/>
            </w:pPr>
            <w:r>
              <w:rPr>
                <w:sz w:val="24"/>
              </w:rPr>
              <w:t>9</w:t>
            </w:r>
          </w:p>
        </w:tc>
        <w:tc>
          <w:tcPr>
            <w:tcW w:w="1133" w:type="dxa"/>
            <w:vAlign w:val="center"/>
          </w:tcPr>
          <w:p w:rsidR="007C4A5E" w:rsidRDefault="00684409">
            <w:pPr>
              <w:jc w:val="center"/>
            </w:pPr>
            <w:r>
              <w:rPr>
                <w:sz w:val="24"/>
              </w:rPr>
              <w:t>004868</w:t>
            </w:r>
          </w:p>
        </w:tc>
        <w:tc>
          <w:tcPr>
            <w:tcW w:w="1135" w:type="dxa"/>
            <w:vAlign w:val="center"/>
          </w:tcPr>
          <w:p w:rsidR="007C4A5E" w:rsidRDefault="00684409">
            <w:pPr>
              <w:jc w:val="center"/>
            </w:pPr>
            <w:r>
              <w:rPr>
                <w:sz w:val="24"/>
              </w:rPr>
              <w:t>交银股息优化混合</w:t>
            </w:r>
          </w:p>
        </w:tc>
        <w:tc>
          <w:tcPr>
            <w:tcW w:w="1135" w:type="dxa"/>
            <w:vAlign w:val="center"/>
          </w:tcPr>
          <w:p w:rsidR="007C4A5E" w:rsidRDefault="00684409">
            <w:pPr>
              <w:jc w:val="center"/>
            </w:pPr>
            <w:r>
              <w:rPr>
                <w:sz w:val="24"/>
              </w:rPr>
              <w:t>契约型开放式</w:t>
            </w:r>
          </w:p>
        </w:tc>
        <w:tc>
          <w:tcPr>
            <w:tcW w:w="1133" w:type="dxa"/>
            <w:vAlign w:val="center"/>
          </w:tcPr>
          <w:p w:rsidR="007C4A5E" w:rsidRDefault="00684409">
            <w:pPr>
              <w:jc w:val="center"/>
            </w:pPr>
            <w:r>
              <w:rPr>
                <w:sz w:val="24"/>
              </w:rPr>
              <w:t>5,998,728.26</w:t>
            </w:r>
          </w:p>
        </w:tc>
        <w:tc>
          <w:tcPr>
            <w:tcW w:w="1276" w:type="dxa"/>
            <w:vAlign w:val="center"/>
          </w:tcPr>
          <w:p w:rsidR="007C4A5E" w:rsidRDefault="00684409">
            <w:pPr>
              <w:jc w:val="center"/>
            </w:pPr>
            <w:r>
              <w:rPr>
                <w:sz w:val="24"/>
              </w:rPr>
              <w:t>13,401,158.93</w:t>
            </w:r>
          </w:p>
        </w:tc>
        <w:tc>
          <w:tcPr>
            <w:tcW w:w="1135" w:type="dxa"/>
            <w:vAlign w:val="center"/>
          </w:tcPr>
          <w:p w:rsidR="007C4A5E" w:rsidRDefault="00684409">
            <w:pPr>
              <w:jc w:val="center"/>
            </w:pPr>
            <w:r>
              <w:rPr>
                <w:sz w:val="24"/>
              </w:rPr>
              <w:t>3.53%</w:t>
            </w:r>
          </w:p>
        </w:tc>
        <w:tc>
          <w:tcPr>
            <w:tcW w:w="1272" w:type="dxa"/>
            <w:vAlign w:val="center"/>
          </w:tcPr>
          <w:p w:rsidR="007C4A5E" w:rsidRDefault="00684409">
            <w:pPr>
              <w:jc w:val="center"/>
            </w:pPr>
            <w:r>
              <w:rPr>
                <w:sz w:val="24"/>
              </w:rPr>
              <w:t>否</w:t>
            </w:r>
          </w:p>
        </w:tc>
      </w:tr>
      <w:tr w:rsidR="007C4A5E">
        <w:tc>
          <w:tcPr>
            <w:tcW w:w="817" w:type="dxa"/>
            <w:vAlign w:val="center"/>
          </w:tcPr>
          <w:p w:rsidR="007C4A5E" w:rsidRDefault="00684409">
            <w:pPr>
              <w:jc w:val="center"/>
            </w:pPr>
            <w:r>
              <w:rPr>
                <w:sz w:val="24"/>
              </w:rPr>
              <w:t>10</w:t>
            </w:r>
          </w:p>
        </w:tc>
        <w:tc>
          <w:tcPr>
            <w:tcW w:w="1133" w:type="dxa"/>
            <w:vAlign w:val="center"/>
          </w:tcPr>
          <w:p w:rsidR="007C4A5E" w:rsidRDefault="00684409">
            <w:pPr>
              <w:jc w:val="center"/>
            </w:pPr>
            <w:r>
              <w:rPr>
                <w:sz w:val="24"/>
              </w:rPr>
              <w:t>377240</w:t>
            </w:r>
          </w:p>
        </w:tc>
        <w:tc>
          <w:tcPr>
            <w:tcW w:w="1135" w:type="dxa"/>
            <w:vAlign w:val="center"/>
          </w:tcPr>
          <w:p w:rsidR="007C4A5E" w:rsidRDefault="00684409">
            <w:pPr>
              <w:jc w:val="center"/>
            </w:pPr>
            <w:r>
              <w:rPr>
                <w:sz w:val="24"/>
              </w:rPr>
              <w:t>摩根新兴动力混合</w:t>
            </w:r>
            <w:r>
              <w:rPr>
                <w:sz w:val="24"/>
              </w:rPr>
              <w:t>A</w:t>
            </w:r>
          </w:p>
        </w:tc>
        <w:tc>
          <w:tcPr>
            <w:tcW w:w="1135" w:type="dxa"/>
            <w:vAlign w:val="center"/>
          </w:tcPr>
          <w:p w:rsidR="007C4A5E" w:rsidRDefault="00684409">
            <w:pPr>
              <w:jc w:val="center"/>
            </w:pPr>
            <w:r>
              <w:rPr>
                <w:sz w:val="24"/>
              </w:rPr>
              <w:t>契约型开放式</w:t>
            </w:r>
          </w:p>
        </w:tc>
        <w:tc>
          <w:tcPr>
            <w:tcW w:w="1133" w:type="dxa"/>
            <w:vAlign w:val="center"/>
          </w:tcPr>
          <w:p w:rsidR="007C4A5E" w:rsidRDefault="00684409">
            <w:pPr>
              <w:jc w:val="center"/>
            </w:pPr>
            <w:r>
              <w:rPr>
                <w:sz w:val="24"/>
              </w:rPr>
              <w:t>2,939,725.44</w:t>
            </w:r>
          </w:p>
        </w:tc>
        <w:tc>
          <w:tcPr>
            <w:tcW w:w="1276" w:type="dxa"/>
            <w:vAlign w:val="center"/>
          </w:tcPr>
          <w:p w:rsidR="007C4A5E" w:rsidRDefault="00684409">
            <w:pPr>
              <w:jc w:val="center"/>
            </w:pPr>
            <w:r>
              <w:rPr>
                <w:sz w:val="24"/>
              </w:rPr>
              <w:t>12,886,874.41</w:t>
            </w:r>
          </w:p>
        </w:tc>
        <w:tc>
          <w:tcPr>
            <w:tcW w:w="1135" w:type="dxa"/>
            <w:vAlign w:val="center"/>
          </w:tcPr>
          <w:p w:rsidR="007C4A5E" w:rsidRDefault="00684409">
            <w:pPr>
              <w:jc w:val="center"/>
            </w:pPr>
            <w:r>
              <w:rPr>
                <w:sz w:val="24"/>
              </w:rPr>
              <w:t>3.39%</w:t>
            </w:r>
          </w:p>
        </w:tc>
        <w:tc>
          <w:tcPr>
            <w:tcW w:w="1272" w:type="dxa"/>
            <w:vAlign w:val="center"/>
          </w:tcPr>
          <w:p w:rsidR="007C4A5E" w:rsidRDefault="00684409">
            <w:pPr>
              <w:jc w:val="center"/>
            </w:pPr>
            <w:r>
              <w:rPr>
                <w:sz w:val="24"/>
              </w:rPr>
              <w:t>是</w:t>
            </w:r>
          </w:p>
        </w:tc>
      </w:tr>
    </w:tbl>
    <w:p w:rsidR="00C45886" w:rsidRPr="00575270" w:rsidRDefault="00C45886" w:rsidP="00C45886">
      <w:pPr>
        <w:adjustRightInd w:val="0"/>
        <w:snapToGrid w:val="0"/>
        <w:spacing w:beforeLines="50" w:before="156" w:line="360" w:lineRule="auto"/>
        <w:rPr>
          <w:rFonts w:eastAsiaTheme="minorEastAsia"/>
          <w:b/>
          <w:color w:val="000000" w:themeColor="text1"/>
          <w:kern w:val="0"/>
          <w:sz w:val="24"/>
        </w:rPr>
      </w:pPr>
      <w:r w:rsidRPr="00575270">
        <w:rPr>
          <w:rFonts w:eastAsiaTheme="minorEastAsia"/>
          <w:b/>
          <w:color w:val="000000" w:themeColor="text1"/>
          <w:kern w:val="0"/>
          <w:sz w:val="24"/>
        </w:rPr>
        <w:t>6.2</w:t>
      </w:r>
      <w:r w:rsidRPr="00575270">
        <w:rPr>
          <w:rFonts w:eastAsiaTheme="minorEastAsia" w:hint="eastAsia"/>
          <w:b/>
          <w:color w:val="000000" w:themeColor="text1"/>
          <w:kern w:val="0"/>
          <w:sz w:val="24"/>
        </w:rPr>
        <w:t xml:space="preserve"> </w:t>
      </w:r>
      <w:r w:rsidRPr="00575270">
        <w:rPr>
          <w:rFonts w:eastAsiaTheme="minorEastAsia" w:hint="eastAsia"/>
          <w:b/>
          <w:color w:val="000000" w:themeColor="text1"/>
          <w:kern w:val="0"/>
          <w:sz w:val="24"/>
        </w:rPr>
        <w:t>当期交易及持有基金产生的费用</w:t>
      </w:r>
    </w:p>
    <w:tbl>
      <w:tblPr>
        <w:tblStyle w:val="afa"/>
        <w:tblW w:w="0" w:type="auto"/>
        <w:tblLayout w:type="fixed"/>
        <w:tblLook w:val="04A0" w:firstRow="1" w:lastRow="0" w:firstColumn="1" w:lastColumn="0" w:noHBand="0" w:noVBand="1"/>
      </w:tblPr>
      <w:tblGrid>
        <w:gridCol w:w="3012"/>
        <w:gridCol w:w="3012"/>
        <w:gridCol w:w="3012"/>
      </w:tblGrid>
      <w:tr w:rsidR="00C45886" w:rsidRPr="00575270" w:rsidTr="00342FE7">
        <w:tc>
          <w:tcPr>
            <w:tcW w:w="3012" w:type="dxa"/>
            <w:vAlign w:val="center"/>
          </w:tcPr>
          <w:p w:rsidR="00C45886" w:rsidRPr="00575270" w:rsidRDefault="00C45886" w:rsidP="00342FE7">
            <w:pPr>
              <w:adjustRightInd w:val="0"/>
              <w:snapToGrid w:val="0"/>
              <w:spacing w:beforeLines="50" w:before="156" w:line="276" w:lineRule="auto"/>
              <w:jc w:val="center"/>
              <w:rPr>
                <w:rFonts w:eastAsiaTheme="minorEastAsia"/>
                <w:color w:val="000000" w:themeColor="text1"/>
                <w:sz w:val="24"/>
              </w:rPr>
            </w:pPr>
            <w:r w:rsidRPr="00575270">
              <w:rPr>
                <w:sz w:val="24"/>
              </w:rPr>
              <w:t>项目</w:t>
            </w:r>
          </w:p>
        </w:tc>
        <w:tc>
          <w:tcPr>
            <w:tcW w:w="3012" w:type="dxa"/>
            <w:vAlign w:val="center"/>
          </w:tcPr>
          <w:p w:rsidR="00C45886" w:rsidRPr="00575270" w:rsidRDefault="00C45886" w:rsidP="00342FE7">
            <w:pPr>
              <w:spacing w:line="276" w:lineRule="auto"/>
              <w:jc w:val="center"/>
              <w:rPr>
                <w:sz w:val="24"/>
              </w:rPr>
            </w:pPr>
            <w:r w:rsidRPr="00575270">
              <w:rPr>
                <w:sz w:val="24"/>
              </w:rPr>
              <w:t>本期费用</w:t>
            </w:r>
          </w:p>
        </w:tc>
        <w:tc>
          <w:tcPr>
            <w:tcW w:w="3012" w:type="dxa"/>
            <w:vAlign w:val="center"/>
          </w:tcPr>
          <w:p w:rsidR="00C45886" w:rsidRPr="00575270" w:rsidRDefault="00C45886" w:rsidP="00342FE7">
            <w:pPr>
              <w:spacing w:line="276" w:lineRule="auto"/>
              <w:jc w:val="center"/>
              <w:rPr>
                <w:sz w:val="24"/>
              </w:rPr>
            </w:pPr>
            <w:r w:rsidRPr="00575270">
              <w:rPr>
                <w:sz w:val="24"/>
              </w:rPr>
              <w:t>其中：交易及持有基金管理人以及管理人关联方所管理基金产生的费用</w:t>
            </w:r>
          </w:p>
        </w:tc>
      </w:tr>
      <w:tr w:rsidR="00C45886" w:rsidRPr="00575270" w:rsidTr="00342FE7">
        <w:tc>
          <w:tcPr>
            <w:tcW w:w="3012" w:type="dxa"/>
            <w:vAlign w:val="center"/>
          </w:tcPr>
          <w:p w:rsidR="00C45886" w:rsidRPr="00575270" w:rsidRDefault="00C45886" w:rsidP="00342FE7">
            <w:pPr>
              <w:adjustRightInd w:val="0"/>
              <w:snapToGrid w:val="0"/>
              <w:spacing w:beforeLines="50" w:before="156" w:line="276" w:lineRule="auto"/>
              <w:rPr>
                <w:rFonts w:eastAsiaTheme="minorEastAsia"/>
                <w:color w:val="000000" w:themeColor="text1"/>
                <w:sz w:val="24"/>
              </w:rPr>
            </w:pPr>
            <w:r w:rsidRPr="00575270">
              <w:rPr>
                <w:sz w:val="24"/>
              </w:rPr>
              <w:t>当期交易基金产生的申购费</w:t>
            </w:r>
          </w:p>
        </w:tc>
        <w:tc>
          <w:tcPr>
            <w:tcW w:w="3012" w:type="dxa"/>
            <w:vAlign w:val="center"/>
          </w:tcPr>
          <w:p w:rsidR="00C45886" w:rsidRPr="00575270" w:rsidRDefault="00C45886" w:rsidP="00342FE7">
            <w:pPr>
              <w:adjustRightInd w:val="0"/>
              <w:snapToGrid w:val="0"/>
              <w:spacing w:beforeLines="50" w:before="156" w:line="276" w:lineRule="auto"/>
              <w:jc w:val="right"/>
              <w:rPr>
                <w:rFonts w:eastAsiaTheme="minorEastAsia"/>
                <w:color w:val="000000" w:themeColor="text1"/>
                <w:sz w:val="24"/>
              </w:rPr>
            </w:pPr>
            <w:r w:rsidRPr="00575270">
              <w:rPr>
                <w:rFonts w:eastAsiaTheme="minorEastAsia" w:hint="eastAsia"/>
                <w:color w:val="000000" w:themeColor="text1"/>
                <w:sz w:val="24"/>
              </w:rPr>
              <w:t>849.15</w:t>
            </w:r>
          </w:p>
        </w:tc>
        <w:tc>
          <w:tcPr>
            <w:tcW w:w="3012" w:type="dxa"/>
            <w:vAlign w:val="center"/>
          </w:tcPr>
          <w:p w:rsidR="00C45886" w:rsidRPr="00575270" w:rsidRDefault="00C45886" w:rsidP="00342FE7">
            <w:pPr>
              <w:adjustRightInd w:val="0"/>
              <w:snapToGrid w:val="0"/>
              <w:spacing w:beforeLines="50" w:before="156" w:line="276" w:lineRule="auto"/>
              <w:jc w:val="right"/>
              <w:rPr>
                <w:rFonts w:eastAsiaTheme="minorEastAsia"/>
                <w:color w:val="000000" w:themeColor="text1"/>
                <w:sz w:val="24"/>
              </w:rPr>
            </w:pPr>
            <w:r w:rsidRPr="00575270">
              <w:rPr>
                <w:rFonts w:eastAsiaTheme="minorEastAsia" w:hint="eastAsia"/>
                <w:color w:val="000000" w:themeColor="text1"/>
                <w:sz w:val="24"/>
              </w:rPr>
              <w:t>-</w:t>
            </w:r>
          </w:p>
        </w:tc>
      </w:tr>
      <w:tr w:rsidR="00C45886" w:rsidRPr="00575270" w:rsidTr="00342FE7">
        <w:tc>
          <w:tcPr>
            <w:tcW w:w="3012" w:type="dxa"/>
            <w:vAlign w:val="center"/>
          </w:tcPr>
          <w:p w:rsidR="00C45886" w:rsidRPr="00575270" w:rsidRDefault="00C45886" w:rsidP="00342FE7">
            <w:pPr>
              <w:adjustRightInd w:val="0"/>
              <w:snapToGrid w:val="0"/>
              <w:spacing w:beforeLines="50" w:before="156" w:line="276" w:lineRule="auto"/>
              <w:rPr>
                <w:rFonts w:eastAsiaTheme="minorEastAsia"/>
                <w:color w:val="000000" w:themeColor="text1"/>
                <w:sz w:val="24"/>
              </w:rPr>
            </w:pPr>
            <w:r w:rsidRPr="00575270">
              <w:rPr>
                <w:sz w:val="24"/>
              </w:rPr>
              <w:t>当期交易基金产生的赎回费（元）</w:t>
            </w:r>
          </w:p>
        </w:tc>
        <w:tc>
          <w:tcPr>
            <w:tcW w:w="3012" w:type="dxa"/>
            <w:vAlign w:val="center"/>
          </w:tcPr>
          <w:p w:rsidR="00C45886" w:rsidRPr="00575270" w:rsidRDefault="00C45886" w:rsidP="00342FE7">
            <w:pPr>
              <w:adjustRightInd w:val="0"/>
              <w:snapToGrid w:val="0"/>
              <w:spacing w:beforeLines="50" w:before="156" w:line="276" w:lineRule="auto"/>
              <w:jc w:val="right"/>
              <w:rPr>
                <w:rFonts w:eastAsiaTheme="minorEastAsia"/>
                <w:color w:val="000000" w:themeColor="text1"/>
                <w:sz w:val="24"/>
              </w:rPr>
            </w:pPr>
            <w:r w:rsidRPr="00575270">
              <w:rPr>
                <w:rFonts w:eastAsiaTheme="minorEastAsia" w:hint="eastAsia"/>
                <w:color w:val="000000" w:themeColor="text1"/>
                <w:sz w:val="24"/>
              </w:rPr>
              <w:t>29,965.95</w:t>
            </w:r>
          </w:p>
        </w:tc>
        <w:tc>
          <w:tcPr>
            <w:tcW w:w="3012" w:type="dxa"/>
            <w:vAlign w:val="center"/>
          </w:tcPr>
          <w:p w:rsidR="00C45886" w:rsidRPr="00575270" w:rsidRDefault="00C45886" w:rsidP="00342FE7">
            <w:pPr>
              <w:adjustRightInd w:val="0"/>
              <w:snapToGrid w:val="0"/>
              <w:spacing w:beforeLines="50" w:before="156" w:line="276" w:lineRule="auto"/>
              <w:jc w:val="right"/>
              <w:rPr>
                <w:rFonts w:eastAsiaTheme="minorEastAsia"/>
                <w:color w:val="000000" w:themeColor="text1"/>
                <w:sz w:val="24"/>
              </w:rPr>
            </w:pPr>
            <w:r w:rsidRPr="00575270">
              <w:rPr>
                <w:rFonts w:eastAsiaTheme="minorEastAsia" w:hint="eastAsia"/>
                <w:color w:val="000000" w:themeColor="text1"/>
                <w:sz w:val="24"/>
              </w:rPr>
              <w:t>4,517.17</w:t>
            </w:r>
          </w:p>
        </w:tc>
      </w:tr>
      <w:tr w:rsidR="00C45886" w:rsidRPr="00575270" w:rsidTr="00342FE7">
        <w:tc>
          <w:tcPr>
            <w:tcW w:w="3012" w:type="dxa"/>
            <w:vAlign w:val="center"/>
          </w:tcPr>
          <w:p w:rsidR="00C45886" w:rsidRPr="00575270" w:rsidRDefault="00C45886" w:rsidP="00342FE7">
            <w:pPr>
              <w:adjustRightInd w:val="0"/>
              <w:snapToGrid w:val="0"/>
              <w:spacing w:beforeLines="50" w:before="156" w:line="276" w:lineRule="auto"/>
              <w:rPr>
                <w:rFonts w:eastAsiaTheme="minorEastAsia"/>
                <w:color w:val="000000" w:themeColor="text1"/>
                <w:sz w:val="24"/>
              </w:rPr>
            </w:pPr>
            <w:r w:rsidRPr="00575270">
              <w:rPr>
                <w:sz w:val="24"/>
              </w:rPr>
              <w:t>当期持有基金产生的应支付销售服务费（元）</w:t>
            </w:r>
          </w:p>
        </w:tc>
        <w:tc>
          <w:tcPr>
            <w:tcW w:w="3012" w:type="dxa"/>
            <w:vAlign w:val="center"/>
          </w:tcPr>
          <w:p w:rsidR="00C45886" w:rsidRPr="00575270" w:rsidRDefault="00684409" w:rsidP="00342FE7">
            <w:pPr>
              <w:adjustRightInd w:val="0"/>
              <w:snapToGrid w:val="0"/>
              <w:spacing w:beforeLines="50" w:before="156" w:line="276" w:lineRule="auto"/>
              <w:jc w:val="right"/>
              <w:rPr>
                <w:rFonts w:eastAsiaTheme="minorEastAsia"/>
                <w:color w:val="000000" w:themeColor="text1"/>
                <w:sz w:val="24"/>
              </w:rPr>
            </w:pPr>
            <w:r>
              <w:rPr>
                <w:rFonts w:eastAsiaTheme="minorEastAsia"/>
                <w:color w:val="000000" w:themeColor="text1"/>
                <w:sz w:val="24"/>
              </w:rPr>
              <w:t>40</w:t>
            </w:r>
            <w:r w:rsidR="00C45886" w:rsidRPr="00575270">
              <w:rPr>
                <w:rFonts w:eastAsiaTheme="minorEastAsia" w:hint="eastAsia"/>
                <w:color w:val="000000" w:themeColor="text1"/>
                <w:sz w:val="24"/>
              </w:rPr>
              <w:t>,</w:t>
            </w:r>
            <w:r>
              <w:rPr>
                <w:rFonts w:eastAsiaTheme="minorEastAsia"/>
                <w:color w:val="000000" w:themeColor="text1"/>
                <w:sz w:val="24"/>
              </w:rPr>
              <w:t>928</w:t>
            </w:r>
            <w:r w:rsidR="00C45886" w:rsidRPr="00575270">
              <w:rPr>
                <w:rFonts w:eastAsiaTheme="minorEastAsia" w:hint="eastAsia"/>
                <w:color w:val="000000" w:themeColor="text1"/>
                <w:sz w:val="24"/>
              </w:rPr>
              <w:t>.</w:t>
            </w:r>
            <w:r>
              <w:rPr>
                <w:rFonts w:eastAsiaTheme="minorEastAsia"/>
                <w:color w:val="000000" w:themeColor="text1"/>
                <w:sz w:val="24"/>
              </w:rPr>
              <w:t>80</w:t>
            </w:r>
          </w:p>
        </w:tc>
        <w:tc>
          <w:tcPr>
            <w:tcW w:w="3012" w:type="dxa"/>
            <w:vAlign w:val="center"/>
          </w:tcPr>
          <w:p w:rsidR="00C45886" w:rsidRPr="00575270" w:rsidRDefault="00C45886" w:rsidP="00342FE7">
            <w:pPr>
              <w:adjustRightInd w:val="0"/>
              <w:snapToGrid w:val="0"/>
              <w:spacing w:beforeLines="50" w:before="156" w:line="276" w:lineRule="auto"/>
              <w:jc w:val="right"/>
              <w:rPr>
                <w:rFonts w:eastAsiaTheme="minorEastAsia"/>
                <w:color w:val="000000" w:themeColor="text1"/>
                <w:sz w:val="24"/>
              </w:rPr>
            </w:pPr>
            <w:r w:rsidRPr="00575270">
              <w:rPr>
                <w:rFonts w:eastAsiaTheme="minorEastAsia" w:hint="eastAsia"/>
                <w:color w:val="000000" w:themeColor="text1"/>
                <w:sz w:val="24"/>
              </w:rPr>
              <w:t>84.14</w:t>
            </w:r>
          </w:p>
        </w:tc>
      </w:tr>
      <w:tr w:rsidR="00C45886" w:rsidRPr="00575270" w:rsidTr="00342FE7">
        <w:tc>
          <w:tcPr>
            <w:tcW w:w="3012" w:type="dxa"/>
            <w:vAlign w:val="center"/>
          </w:tcPr>
          <w:p w:rsidR="00C45886" w:rsidRPr="00575270" w:rsidRDefault="00C45886" w:rsidP="00342FE7">
            <w:pPr>
              <w:adjustRightInd w:val="0"/>
              <w:snapToGrid w:val="0"/>
              <w:spacing w:beforeLines="50" w:before="156" w:line="276" w:lineRule="auto"/>
              <w:rPr>
                <w:rFonts w:eastAsiaTheme="minorEastAsia"/>
                <w:color w:val="000000" w:themeColor="text1"/>
                <w:sz w:val="24"/>
              </w:rPr>
            </w:pPr>
            <w:r w:rsidRPr="00575270">
              <w:rPr>
                <w:sz w:val="24"/>
              </w:rPr>
              <w:t>当期持有基金产生的应支付管理费（元）</w:t>
            </w:r>
          </w:p>
        </w:tc>
        <w:tc>
          <w:tcPr>
            <w:tcW w:w="3012" w:type="dxa"/>
            <w:vAlign w:val="center"/>
          </w:tcPr>
          <w:p w:rsidR="00C45886" w:rsidRPr="00575270" w:rsidRDefault="00C45886" w:rsidP="00342FE7">
            <w:pPr>
              <w:adjustRightInd w:val="0"/>
              <w:snapToGrid w:val="0"/>
              <w:spacing w:beforeLines="50" w:before="156" w:line="276" w:lineRule="auto"/>
              <w:jc w:val="right"/>
              <w:rPr>
                <w:rFonts w:eastAsiaTheme="minorEastAsia"/>
                <w:color w:val="000000" w:themeColor="text1"/>
                <w:sz w:val="24"/>
              </w:rPr>
            </w:pPr>
            <w:r w:rsidRPr="00575270">
              <w:rPr>
                <w:rFonts w:eastAsiaTheme="minorEastAsia" w:hint="eastAsia"/>
                <w:color w:val="000000" w:themeColor="text1"/>
                <w:sz w:val="24"/>
              </w:rPr>
              <w:t>8</w:t>
            </w:r>
            <w:r w:rsidR="00684409">
              <w:rPr>
                <w:rFonts w:eastAsiaTheme="minorEastAsia"/>
                <w:color w:val="000000" w:themeColor="text1"/>
                <w:sz w:val="24"/>
              </w:rPr>
              <w:t>39</w:t>
            </w:r>
            <w:r w:rsidRPr="00575270">
              <w:rPr>
                <w:rFonts w:eastAsiaTheme="minorEastAsia" w:hint="eastAsia"/>
                <w:color w:val="000000" w:themeColor="text1"/>
                <w:sz w:val="24"/>
              </w:rPr>
              <w:t>,</w:t>
            </w:r>
            <w:r w:rsidR="00684409">
              <w:rPr>
                <w:rFonts w:eastAsiaTheme="minorEastAsia"/>
                <w:color w:val="000000" w:themeColor="text1"/>
                <w:sz w:val="24"/>
              </w:rPr>
              <w:t>369</w:t>
            </w:r>
            <w:r w:rsidRPr="00575270">
              <w:rPr>
                <w:rFonts w:eastAsiaTheme="minorEastAsia" w:hint="eastAsia"/>
                <w:color w:val="000000" w:themeColor="text1"/>
                <w:sz w:val="24"/>
              </w:rPr>
              <w:t>.</w:t>
            </w:r>
            <w:r w:rsidR="00684409">
              <w:rPr>
                <w:rFonts w:eastAsiaTheme="minorEastAsia"/>
                <w:color w:val="000000" w:themeColor="text1"/>
                <w:sz w:val="24"/>
              </w:rPr>
              <w:t>82</w:t>
            </w:r>
          </w:p>
        </w:tc>
        <w:tc>
          <w:tcPr>
            <w:tcW w:w="3012" w:type="dxa"/>
            <w:vAlign w:val="center"/>
          </w:tcPr>
          <w:p w:rsidR="00C45886" w:rsidRPr="00575270" w:rsidRDefault="009B4860" w:rsidP="00342FE7">
            <w:pPr>
              <w:adjustRightInd w:val="0"/>
              <w:snapToGrid w:val="0"/>
              <w:spacing w:beforeLines="50" w:before="156" w:line="276" w:lineRule="auto"/>
              <w:jc w:val="right"/>
              <w:rPr>
                <w:rFonts w:eastAsiaTheme="minorEastAsia"/>
                <w:color w:val="000000" w:themeColor="text1"/>
                <w:sz w:val="24"/>
              </w:rPr>
            </w:pPr>
            <w:r>
              <w:rPr>
                <w:rFonts w:eastAsiaTheme="minorEastAsia"/>
                <w:color w:val="000000" w:themeColor="text1"/>
                <w:sz w:val="24"/>
              </w:rPr>
              <w:t>72</w:t>
            </w:r>
            <w:r w:rsidR="00C45886" w:rsidRPr="00575270">
              <w:rPr>
                <w:rFonts w:eastAsiaTheme="minorEastAsia" w:hint="eastAsia"/>
                <w:color w:val="000000" w:themeColor="text1"/>
                <w:sz w:val="24"/>
              </w:rPr>
              <w:t>,</w:t>
            </w:r>
            <w:r>
              <w:rPr>
                <w:rFonts w:eastAsiaTheme="minorEastAsia"/>
                <w:color w:val="000000" w:themeColor="text1"/>
                <w:sz w:val="24"/>
              </w:rPr>
              <w:t>285</w:t>
            </w:r>
            <w:r w:rsidR="00C45886" w:rsidRPr="00575270">
              <w:rPr>
                <w:rFonts w:eastAsiaTheme="minorEastAsia" w:hint="eastAsia"/>
                <w:color w:val="000000" w:themeColor="text1"/>
                <w:sz w:val="24"/>
              </w:rPr>
              <w:t>.</w:t>
            </w:r>
            <w:r>
              <w:rPr>
                <w:rFonts w:eastAsiaTheme="minorEastAsia"/>
                <w:color w:val="000000" w:themeColor="text1"/>
                <w:sz w:val="24"/>
              </w:rPr>
              <w:t>34</w:t>
            </w:r>
          </w:p>
        </w:tc>
      </w:tr>
      <w:tr w:rsidR="00C45886" w:rsidRPr="00575270" w:rsidTr="00342FE7">
        <w:tc>
          <w:tcPr>
            <w:tcW w:w="3012" w:type="dxa"/>
            <w:vAlign w:val="center"/>
          </w:tcPr>
          <w:p w:rsidR="00C45886" w:rsidRPr="00575270" w:rsidRDefault="00C45886" w:rsidP="00342FE7">
            <w:pPr>
              <w:adjustRightInd w:val="0"/>
              <w:snapToGrid w:val="0"/>
              <w:spacing w:beforeLines="50" w:before="156" w:line="276" w:lineRule="auto"/>
              <w:rPr>
                <w:rFonts w:eastAsiaTheme="minorEastAsia"/>
                <w:color w:val="000000" w:themeColor="text1"/>
                <w:sz w:val="24"/>
              </w:rPr>
            </w:pPr>
            <w:r w:rsidRPr="00575270">
              <w:rPr>
                <w:sz w:val="24"/>
              </w:rPr>
              <w:t>当期持有基金产生的应支</w:t>
            </w:r>
            <w:r w:rsidRPr="00575270">
              <w:rPr>
                <w:sz w:val="24"/>
              </w:rPr>
              <w:lastRenderedPageBreak/>
              <w:t>付托管费（元）</w:t>
            </w:r>
          </w:p>
        </w:tc>
        <w:tc>
          <w:tcPr>
            <w:tcW w:w="3012" w:type="dxa"/>
            <w:vAlign w:val="center"/>
          </w:tcPr>
          <w:p w:rsidR="00C45886" w:rsidRPr="00575270" w:rsidRDefault="00C45886" w:rsidP="00342FE7">
            <w:pPr>
              <w:adjustRightInd w:val="0"/>
              <w:snapToGrid w:val="0"/>
              <w:spacing w:beforeLines="50" w:before="156" w:line="276" w:lineRule="auto"/>
              <w:jc w:val="right"/>
              <w:rPr>
                <w:rFonts w:eastAsiaTheme="minorEastAsia"/>
                <w:color w:val="000000" w:themeColor="text1"/>
                <w:sz w:val="24"/>
              </w:rPr>
            </w:pPr>
            <w:r w:rsidRPr="00575270">
              <w:rPr>
                <w:rFonts w:eastAsiaTheme="minorEastAsia" w:hint="eastAsia"/>
                <w:color w:val="000000" w:themeColor="text1"/>
                <w:sz w:val="24"/>
              </w:rPr>
              <w:lastRenderedPageBreak/>
              <w:t>146,991.51</w:t>
            </w:r>
          </w:p>
        </w:tc>
        <w:tc>
          <w:tcPr>
            <w:tcW w:w="3012" w:type="dxa"/>
            <w:vAlign w:val="center"/>
          </w:tcPr>
          <w:p w:rsidR="00C45886" w:rsidRPr="00575270" w:rsidRDefault="00C45886" w:rsidP="00342FE7">
            <w:pPr>
              <w:adjustRightInd w:val="0"/>
              <w:snapToGrid w:val="0"/>
              <w:spacing w:beforeLines="50" w:before="156" w:line="276" w:lineRule="auto"/>
              <w:jc w:val="right"/>
              <w:rPr>
                <w:rFonts w:eastAsiaTheme="minorEastAsia"/>
                <w:color w:val="000000" w:themeColor="text1"/>
                <w:sz w:val="24"/>
              </w:rPr>
            </w:pPr>
            <w:r w:rsidRPr="00575270">
              <w:rPr>
                <w:rFonts w:eastAsiaTheme="minorEastAsia" w:hint="eastAsia"/>
                <w:color w:val="000000" w:themeColor="text1"/>
                <w:sz w:val="24"/>
              </w:rPr>
              <w:t>1</w:t>
            </w:r>
            <w:r w:rsidR="009B4860">
              <w:rPr>
                <w:rFonts w:eastAsiaTheme="minorEastAsia"/>
                <w:color w:val="000000" w:themeColor="text1"/>
                <w:sz w:val="24"/>
              </w:rPr>
              <w:t>2</w:t>
            </w:r>
            <w:r w:rsidRPr="00575270">
              <w:rPr>
                <w:rFonts w:eastAsiaTheme="minorEastAsia" w:hint="eastAsia"/>
                <w:color w:val="000000" w:themeColor="text1"/>
                <w:sz w:val="24"/>
              </w:rPr>
              <w:t>,</w:t>
            </w:r>
            <w:r w:rsidR="009B4860">
              <w:rPr>
                <w:rFonts w:eastAsiaTheme="minorEastAsia"/>
                <w:color w:val="000000" w:themeColor="text1"/>
                <w:sz w:val="24"/>
              </w:rPr>
              <w:t>756</w:t>
            </w:r>
            <w:r w:rsidRPr="00575270">
              <w:rPr>
                <w:rFonts w:eastAsiaTheme="minorEastAsia" w:hint="eastAsia"/>
                <w:color w:val="000000" w:themeColor="text1"/>
                <w:sz w:val="24"/>
              </w:rPr>
              <w:t>.</w:t>
            </w:r>
            <w:r w:rsidR="009B4860">
              <w:rPr>
                <w:rFonts w:eastAsiaTheme="minorEastAsia"/>
                <w:color w:val="000000" w:themeColor="text1"/>
                <w:sz w:val="24"/>
              </w:rPr>
              <w:t>10</w:t>
            </w:r>
          </w:p>
        </w:tc>
      </w:tr>
      <w:tr w:rsidR="007C4A5E">
        <w:tc>
          <w:tcPr>
            <w:tcW w:w="3012" w:type="dxa"/>
            <w:vAlign w:val="center"/>
          </w:tcPr>
          <w:p w:rsidR="007C4A5E" w:rsidRDefault="00684409">
            <w:pPr>
              <w:jc w:val="left"/>
            </w:pPr>
            <w:r>
              <w:rPr>
                <w:rFonts w:eastAsiaTheme="minorEastAsia"/>
                <w:color w:val="000000" w:themeColor="text1"/>
                <w:sz w:val="24"/>
              </w:rPr>
              <w:t>当期交易基金产生的交易费（元）</w:t>
            </w:r>
          </w:p>
        </w:tc>
        <w:tc>
          <w:tcPr>
            <w:tcW w:w="3012" w:type="dxa"/>
            <w:vAlign w:val="center"/>
          </w:tcPr>
          <w:p w:rsidR="007C4A5E" w:rsidRDefault="00684409">
            <w:pPr>
              <w:jc w:val="right"/>
            </w:pPr>
            <w:r>
              <w:rPr>
                <w:rFonts w:eastAsiaTheme="minorEastAsia"/>
                <w:color w:val="000000" w:themeColor="text1"/>
                <w:sz w:val="24"/>
              </w:rPr>
              <w:t>8,791.43</w:t>
            </w:r>
          </w:p>
        </w:tc>
        <w:tc>
          <w:tcPr>
            <w:tcW w:w="3012" w:type="dxa"/>
            <w:vAlign w:val="center"/>
          </w:tcPr>
          <w:p w:rsidR="007C4A5E" w:rsidRDefault="00684409">
            <w:pPr>
              <w:jc w:val="right"/>
            </w:pPr>
            <w:r>
              <w:rPr>
                <w:rFonts w:eastAsiaTheme="minorEastAsia"/>
                <w:color w:val="000000" w:themeColor="text1"/>
                <w:sz w:val="24"/>
              </w:rPr>
              <w:t>-</w:t>
            </w:r>
          </w:p>
        </w:tc>
      </w:tr>
      <w:tr w:rsidR="007C4A5E">
        <w:tc>
          <w:tcPr>
            <w:tcW w:w="3012" w:type="dxa"/>
            <w:vAlign w:val="center"/>
          </w:tcPr>
          <w:p w:rsidR="007C4A5E" w:rsidRDefault="00684409">
            <w:pPr>
              <w:jc w:val="left"/>
            </w:pPr>
            <w:r>
              <w:rPr>
                <w:rFonts w:eastAsiaTheme="minorEastAsia"/>
                <w:color w:val="000000" w:themeColor="text1"/>
                <w:sz w:val="24"/>
              </w:rPr>
              <w:t>当期交易基金产生的转换费（元）</w:t>
            </w:r>
          </w:p>
        </w:tc>
        <w:tc>
          <w:tcPr>
            <w:tcW w:w="3012" w:type="dxa"/>
            <w:vAlign w:val="center"/>
          </w:tcPr>
          <w:p w:rsidR="007C4A5E" w:rsidRDefault="00684409">
            <w:pPr>
              <w:jc w:val="right"/>
            </w:pPr>
            <w:r>
              <w:rPr>
                <w:rFonts w:eastAsiaTheme="minorEastAsia"/>
                <w:color w:val="000000" w:themeColor="text1"/>
                <w:sz w:val="24"/>
              </w:rPr>
              <w:t>-</w:t>
            </w:r>
          </w:p>
        </w:tc>
        <w:tc>
          <w:tcPr>
            <w:tcW w:w="3012" w:type="dxa"/>
            <w:vAlign w:val="center"/>
          </w:tcPr>
          <w:p w:rsidR="007C4A5E" w:rsidRDefault="00684409">
            <w:pPr>
              <w:jc w:val="right"/>
            </w:pPr>
            <w:r>
              <w:rPr>
                <w:rFonts w:eastAsiaTheme="minorEastAsia"/>
                <w:color w:val="000000" w:themeColor="text1"/>
                <w:sz w:val="24"/>
              </w:rPr>
              <w:t>-</w:t>
            </w:r>
          </w:p>
        </w:tc>
      </w:tr>
    </w:tbl>
    <w:p w:rsidR="00C45886" w:rsidRPr="00575270" w:rsidRDefault="00C45886" w:rsidP="00C45886">
      <w:pPr>
        <w:adjustRightInd w:val="0"/>
        <w:snapToGrid w:val="0"/>
        <w:spacing w:beforeLines="50" w:before="156" w:line="360" w:lineRule="auto"/>
        <w:rPr>
          <w:rFonts w:eastAsiaTheme="minorEastAsia"/>
          <w:b/>
          <w:color w:val="000000" w:themeColor="text1"/>
          <w:kern w:val="0"/>
          <w:sz w:val="24"/>
        </w:rPr>
      </w:pPr>
      <w:r w:rsidRPr="00575270">
        <w:rPr>
          <w:rFonts w:eastAsiaTheme="minorEastAsia"/>
          <w:b/>
          <w:color w:val="000000" w:themeColor="text1"/>
          <w:kern w:val="0"/>
          <w:sz w:val="24"/>
        </w:rPr>
        <w:t>6.3</w:t>
      </w:r>
      <w:r w:rsidRPr="00575270">
        <w:rPr>
          <w:rFonts w:eastAsiaTheme="minorEastAsia" w:hint="eastAsia"/>
          <w:b/>
          <w:color w:val="000000" w:themeColor="text1"/>
          <w:kern w:val="0"/>
          <w:sz w:val="24"/>
        </w:rPr>
        <w:t xml:space="preserve"> </w:t>
      </w:r>
      <w:r w:rsidRPr="00575270">
        <w:rPr>
          <w:rFonts w:eastAsiaTheme="minorEastAsia" w:hint="eastAsia"/>
          <w:b/>
          <w:color w:val="000000" w:themeColor="text1"/>
          <w:kern w:val="0"/>
          <w:sz w:val="24"/>
        </w:rPr>
        <w:t>本报告期持有的基金发生的重大影响事件</w:t>
      </w:r>
    </w:p>
    <w:p w:rsidR="00C45886" w:rsidRPr="00575270" w:rsidRDefault="00C45886" w:rsidP="00C45886">
      <w:pPr>
        <w:autoSpaceDE w:val="0"/>
        <w:autoSpaceDN w:val="0"/>
        <w:adjustRightInd w:val="0"/>
        <w:spacing w:line="360" w:lineRule="auto"/>
        <w:ind w:firstLineChars="200" w:firstLine="480"/>
        <w:jc w:val="left"/>
        <w:rPr>
          <w:rFonts w:eastAsiaTheme="minorEastAsia"/>
          <w:color w:val="000000" w:themeColor="text1"/>
          <w:sz w:val="24"/>
        </w:rPr>
      </w:pPr>
      <w:r w:rsidRPr="00575270">
        <w:rPr>
          <w:rFonts w:eastAsiaTheme="minorEastAsia" w:hint="eastAsia"/>
          <w:color w:val="000000" w:themeColor="text1"/>
          <w:sz w:val="24"/>
        </w:rPr>
        <w:t>无。</w:t>
      </w:r>
    </w:p>
    <w:p w:rsidR="005E6DF3" w:rsidRPr="00C45886" w:rsidRDefault="005E6DF3">
      <w:pPr>
        <w:spacing w:line="360" w:lineRule="auto"/>
        <w:ind w:firstLineChars="200" w:firstLine="420"/>
        <w:rPr>
          <w:rFonts w:eastAsiaTheme="minorEastAsia"/>
          <w:color w:val="000000" w:themeColor="text1"/>
          <w:szCs w:val="21"/>
        </w:rPr>
      </w:pPr>
    </w:p>
    <w:p w:rsidR="005E6DF3" w:rsidRPr="00B27A29" w:rsidRDefault="00C45886">
      <w:pPr>
        <w:pStyle w:val="1"/>
        <w:spacing w:beforeLines="100" w:before="312" w:afterLines="100" w:after="312" w:line="360" w:lineRule="auto"/>
        <w:jc w:val="center"/>
        <w:rPr>
          <w:rFonts w:eastAsiaTheme="minorEastAsia"/>
          <w:color w:val="000000" w:themeColor="text1"/>
          <w:kern w:val="0"/>
          <w:sz w:val="21"/>
          <w:szCs w:val="21"/>
        </w:rPr>
      </w:pPr>
      <w:r w:rsidRPr="005A3D62">
        <w:rPr>
          <w:rFonts w:eastAsiaTheme="minorEastAsia"/>
          <w:color w:val="000000" w:themeColor="text1"/>
          <w:kern w:val="0"/>
          <w:sz w:val="24"/>
          <w:szCs w:val="24"/>
        </w:rPr>
        <w:t>§7</w:t>
      </w:r>
      <w:r w:rsidR="005C671B" w:rsidRPr="00B27A29">
        <w:rPr>
          <w:rFonts w:eastAsiaTheme="minorEastAsia"/>
          <w:color w:val="000000" w:themeColor="text1"/>
          <w:kern w:val="0"/>
          <w:sz w:val="21"/>
          <w:szCs w:val="21"/>
        </w:rPr>
        <w:t xml:space="preserve">  </w:t>
      </w:r>
      <w:r w:rsidR="005C671B"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摩根博睿均衡一年持有混合</w:t>
            </w:r>
            <w:r w:rsidRPr="00B27A29">
              <w:rPr>
                <w:rFonts w:eastAsiaTheme="minorEastAsia"/>
                <w:color w:val="000000" w:themeColor="text1"/>
                <w:szCs w:val="21"/>
              </w:rPr>
              <w:t>(FOF)A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摩根博睿均衡一年持有混合</w:t>
            </w:r>
            <w:r w:rsidRPr="00B27A29">
              <w:rPr>
                <w:rFonts w:eastAsiaTheme="minorEastAsia"/>
                <w:color w:val="000000" w:themeColor="text1"/>
                <w:szCs w:val="21"/>
              </w:rPr>
              <w:t>(FOF)C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220,151,104.50</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265,474,622.82</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22,838.31</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104,574.08</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19,904,431.29</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32,418,975.02</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200,269,511.52</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233,160,221.88</w:t>
            </w:r>
          </w:p>
        </w:tc>
      </w:tr>
    </w:tbl>
    <w:p w:rsidR="005E6DF3" w:rsidRPr="00B27A29" w:rsidRDefault="00C45886">
      <w:pPr>
        <w:pStyle w:val="1"/>
        <w:tabs>
          <w:tab w:val="center" w:pos="4156"/>
          <w:tab w:val="right" w:pos="8312"/>
        </w:tabs>
        <w:spacing w:beforeLines="100" w:before="312" w:afterLines="100" w:after="312" w:line="360" w:lineRule="auto"/>
        <w:jc w:val="center"/>
        <w:rPr>
          <w:color w:val="000000" w:themeColor="text1"/>
          <w:sz w:val="21"/>
          <w:szCs w:val="21"/>
        </w:rPr>
      </w:pPr>
      <w:r>
        <w:rPr>
          <w:rFonts w:eastAsiaTheme="minorEastAsia"/>
          <w:color w:val="000000" w:themeColor="text1"/>
          <w:kern w:val="0"/>
          <w:sz w:val="21"/>
          <w:szCs w:val="21"/>
        </w:rPr>
        <w:t>§</w:t>
      </w:r>
      <w:r w:rsidR="005C671B" w:rsidRPr="00B27A29">
        <w:rPr>
          <w:rFonts w:eastAsiaTheme="minorEastAsia"/>
          <w:color w:val="000000" w:themeColor="text1"/>
          <w:kern w:val="0"/>
          <w:sz w:val="21"/>
          <w:szCs w:val="21"/>
        </w:rPr>
        <w:t>8</w:t>
      </w:r>
      <w:r w:rsidR="00916691">
        <w:rPr>
          <w:rFonts w:eastAsiaTheme="minorEastAsia"/>
          <w:color w:val="000000" w:themeColor="text1"/>
          <w:kern w:val="0"/>
          <w:sz w:val="21"/>
          <w:szCs w:val="21"/>
        </w:rPr>
        <w:t xml:space="preserve">  </w:t>
      </w:r>
      <w:r w:rsidR="005C671B"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8.1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363" w:type="dxa"/>
        <w:tblInd w:w="108" w:type="dxa"/>
        <w:tblLayout w:type="fixed"/>
        <w:tblLook w:val="04A0" w:firstRow="1" w:lastRow="0" w:firstColumn="1" w:lastColumn="0" w:noHBand="0" w:noVBand="1"/>
      </w:tblPr>
      <w:tblGrid>
        <w:gridCol w:w="2977"/>
        <w:gridCol w:w="2693"/>
        <w:gridCol w:w="2693"/>
      </w:tblGrid>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摩根博睿均衡一年持有混合</w:t>
            </w:r>
            <w:r w:rsidRPr="00B27A29">
              <w:rPr>
                <w:rFonts w:eastAsiaTheme="minorEastAsia"/>
                <w:color w:val="000000" w:themeColor="text1"/>
                <w:szCs w:val="21"/>
              </w:rPr>
              <w:t>(FOF)A</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摩根博睿均衡一年持有混合</w:t>
            </w:r>
            <w:r w:rsidRPr="00B27A29">
              <w:rPr>
                <w:rFonts w:eastAsiaTheme="minorEastAsia"/>
                <w:color w:val="000000" w:themeColor="text1"/>
                <w:szCs w:val="21"/>
              </w:rPr>
              <w:t>(FOF)C</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pStyle w:val="ab"/>
              <w:adjustRightInd w:val="0"/>
              <w:snapToGrid w:val="0"/>
              <w:spacing w:line="360" w:lineRule="exact"/>
              <w:rPr>
                <w:rFonts w:eastAsia="方正仿宋简体"/>
                <w:color w:val="000000" w:themeColor="text1"/>
                <w:sz w:val="21"/>
                <w:szCs w:val="21"/>
              </w:rPr>
            </w:pPr>
            <w:r w:rsidRPr="00B27A29">
              <w:rPr>
                <w:color w:val="000000" w:themeColor="text1"/>
                <w:sz w:val="21"/>
                <w:szCs w:val="21"/>
              </w:rPr>
              <w:t>报告期期初管理人持有的本基金份额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1,103,955.84</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rFonts w:eastAsiaTheme="minorEastAsia"/>
                <w:color w:val="000000" w:themeColor="text1"/>
                <w:kern w:val="0"/>
                <w:szCs w:val="21"/>
              </w:rPr>
              <w:t>报告期期间</w:t>
            </w:r>
            <w:r w:rsidRPr="00B27A29">
              <w:rPr>
                <w:color w:val="000000" w:themeColor="text1"/>
                <w:szCs w:val="21"/>
              </w:rPr>
              <w:t>买入</w:t>
            </w:r>
            <w:r w:rsidRPr="00B27A29">
              <w:rPr>
                <w:color w:val="000000" w:themeColor="text1"/>
                <w:szCs w:val="21"/>
              </w:rPr>
              <w:t>/</w:t>
            </w:r>
            <w:r w:rsidRPr="00B27A29">
              <w:rPr>
                <w:color w:val="000000" w:themeColor="text1"/>
                <w:szCs w:val="21"/>
              </w:rPr>
              <w:t>申购总份额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rFonts w:eastAsiaTheme="minorEastAsia"/>
                <w:color w:val="000000" w:themeColor="text1"/>
                <w:kern w:val="0"/>
                <w:szCs w:val="21"/>
              </w:rPr>
              <w:t>报告期期间</w:t>
            </w:r>
            <w:r w:rsidRPr="00B27A29">
              <w:rPr>
                <w:color w:val="000000" w:themeColor="text1"/>
                <w:szCs w:val="21"/>
              </w:rPr>
              <w:t>卖出</w:t>
            </w:r>
            <w:r w:rsidRPr="00B27A29">
              <w:rPr>
                <w:color w:val="000000" w:themeColor="text1"/>
                <w:szCs w:val="21"/>
              </w:rPr>
              <w:t>/</w:t>
            </w:r>
            <w:r w:rsidRPr="00B27A29">
              <w:rPr>
                <w:color w:val="000000" w:themeColor="text1"/>
                <w:szCs w:val="21"/>
              </w:rPr>
              <w:t>赎回总份额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color w:val="000000" w:themeColor="text1"/>
                <w:szCs w:val="21"/>
              </w:rPr>
              <w:t>报告期期末管理人持有的本基金份额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1,103,955.84</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color w:val="000000" w:themeColor="text1"/>
                <w:szCs w:val="21"/>
              </w:rPr>
              <w:t>报告期期末持有的本基金份额</w:t>
            </w:r>
            <w:r w:rsidRPr="00B27A29">
              <w:rPr>
                <w:color w:val="000000" w:themeColor="text1"/>
                <w:szCs w:val="21"/>
              </w:rPr>
              <w:lastRenderedPageBreak/>
              <w:t>占基金总份额比例（</w:t>
            </w:r>
            <w:r w:rsidRPr="00B27A29">
              <w:rPr>
                <w:color w:val="000000" w:themeColor="text1"/>
                <w:szCs w:val="21"/>
              </w:rPr>
              <w:t>%</w:t>
            </w:r>
            <w:r w:rsidRPr="00B27A29">
              <w:rPr>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lastRenderedPageBreak/>
              <w:t>0.25</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bl>
    <w:p w:rsidR="005E6DF3" w:rsidRPr="00B27A29" w:rsidRDefault="005C671B">
      <w:pPr>
        <w:spacing w:beforeLines="100" w:before="312" w:line="360" w:lineRule="auto"/>
        <w:jc w:val="left"/>
        <w:rPr>
          <w:color w:val="000000" w:themeColor="text1"/>
          <w:szCs w:val="21"/>
        </w:rPr>
      </w:pPr>
      <w:r w:rsidRPr="00B27A29">
        <w:rPr>
          <w:b/>
          <w:color w:val="000000" w:themeColor="text1"/>
          <w:szCs w:val="21"/>
        </w:rPr>
        <w:t>8.2</w:t>
      </w:r>
      <w:r w:rsidRPr="00B27A29">
        <w:rPr>
          <w:b/>
          <w:color w:val="000000"/>
          <w:szCs w:val="21"/>
          <w:shd w:val="clear" w:color="auto" w:fill="FFFFFF"/>
        </w:rPr>
        <w:t>基金管理人运用固有资金投资本基金交易明细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§9 </w:t>
      </w:r>
      <w:r w:rsidR="00916691">
        <w:rPr>
          <w:rFonts w:eastAsiaTheme="minorEastAsia"/>
          <w:color w:val="000000" w:themeColor="text1"/>
          <w:kern w:val="0"/>
          <w:sz w:val="21"/>
          <w:szCs w:val="21"/>
        </w:rPr>
        <w:t xml:space="preserve">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9.1</w:t>
      </w:r>
      <w:r w:rsidRPr="00B27A29">
        <w:rPr>
          <w:rFonts w:eastAsiaTheme="minorEastAsia"/>
          <w:b/>
          <w:bCs/>
          <w:color w:val="000000" w:themeColor="text1"/>
          <w:kern w:val="0"/>
          <w:szCs w:val="21"/>
        </w:rPr>
        <w:t>备查文件目录</w:t>
      </w:r>
    </w:p>
    <w:p w:rsidR="007C4A5E" w:rsidRDefault="00684409">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w:t>
      </w:r>
      <w:r>
        <w:rPr>
          <w:rFonts w:eastAsiaTheme="minorEastAsia"/>
          <w:color w:val="000000" w:themeColor="text1"/>
          <w:szCs w:val="21"/>
        </w:rPr>
        <w:t>中国证监会准予本基金募集注册的文件</w:t>
      </w:r>
    </w:p>
    <w:p w:rsidR="007C4A5E" w:rsidRDefault="00684409">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 xml:space="preserve">) </w:t>
      </w:r>
      <w:r>
        <w:rPr>
          <w:rFonts w:eastAsiaTheme="minorEastAsia"/>
          <w:color w:val="000000" w:themeColor="text1"/>
          <w:szCs w:val="21"/>
        </w:rPr>
        <w:t>摩根博睿均衡一年持有期混合型基金中基金</w:t>
      </w:r>
      <w:r>
        <w:rPr>
          <w:rFonts w:eastAsiaTheme="minorEastAsia"/>
          <w:color w:val="000000" w:themeColor="text1"/>
          <w:szCs w:val="21"/>
        </w:rPr>
        <w:t>(FOF)</w:t>
      </w:r>
      <w:r>
        <w:rPr>
          <w:rFonts w:eastAsiaTheme="minorEastAsia"/>
          <w:color w:val="000000" w:themeColor="text1"/>
          <w:szCs w:val="21"/>
        </w:rPr>
        <w:t>基金合同</w:t>
      </w:r>
    </w:p>
    <w:p w:rsidR="007C4A5E" w:rsidRDefault="00684409">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 xml:space="preserve">) </w:t>
      </w:r>
      <w:r>
        <w:rPr>
          <w:rFonts w:eastAsiaTheme="minorEastAsia"/>
          <w:color w:val="000000" w:themeColor="text1"/>
          <w:szCs w:val="21"/>
        </w:rPr>
        <w:t>摩根博睿均衡一年持有期混合型基金中基金</w:t>
      </w:r>
      <w:r>
        <w:rPr>
          <w:rFonts w:eastAsiaTheme="minorEastAsia"/>
          <w:color w:val="000000" w:themeColor="text1"/>
          <w:szCs w:val="21"/>
        </w:rPr>
        <w:t>(FOF)</w:t>
      </w:r>
      <w:r>
        <w:rPr>
          <w:rFonts w:eastAsiaTheme="minorEastAsia"/>
          <w:color w:val="000000" w:themeColor="text1"/>
          <w:szCs w:val="21"/>
        </w:rPr>
        <w:t>托管协议</w:t>
      </w:r>
    </w:p>
    <w:p w:rsidR="007C4A5E" w:rsidRDefault="00684409">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w:t>
      </w:r>
      <w:r>
        <w:rPr>
          <w:rFonts w:eastAsiaTheme="minorEastAsia"/>
          <w:color w:val="000000" w:themeColor="text1"/>
          <w:szCs w:val="21"/>
        </w:rPr>
        <w:t>法律意见书</w:t>
      </w:r>
    </w:p>
    <w:p w:rsidR="007C4A5E" w:rsidRDefault="00684409">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w:t>
      </w:r>
      <w:r>
        <w:rPr>
          <w:rFonts w:eastAsiaTheme="minorEastAsia"/>
          <w:color w:val="000000" w:themeColor="text1"/>
          <w:szCs w:val="21"/>
        </w:rPr>
        <w:t>基金管理人业务资格批件、营业执照</w:t>
      </w:r>
    </w:p>
    <w:p w:rsidR="007C4A5E" w:rsidRDefault="00684409">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六</w:t>
      </w:r>
      <w:r>
        <w:rPr>
          <w:rFonts w:eastAsiaTheme="minorEastAsia"/>
          <w:color w:val="000000" w:themeColor="text1"/>
          <w:szCs w:val="21"/>
        </w:rPr>
        <w:t>)</w:t>
      </w:r>
      <w:r>
        <w:rPr>
          <w:rFonts w:eastAsiaTheme="minorEastAsia"/>
          <w:color w:val="000000" w:themeColor="text1"/>
          <w:szCs w:val="21"/>
        </w:rPr>
        <w:t>基金托管人业务资格批件、营业执照</w:t>
      </w:r>
    </w:p>
    <w:p w:rsidR="007C4A5E" w:rsidRDefault="00684409">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七</w:t>
      </w:r>
      <w:r>
        <w:rPr>
          <w:rFonts w:eastAsiaTheme="minorEastAsia"/>
          <w:color w:val="000000" w:themeColor="text1"/>
          <w:szCs w:val="21"/>
        </w:rPr>
        <w:t>)</w:t>
      </w:r>
      <w:r>
        <w:rPr>
          <w:rFonts w:eastAsiaTheme="minorEastAsia"/>
          <w:color w:val="000000" w:themeColor="text1"/>
          <w:szCs w:val="21"/>
        </w:rPr>
        <w:t>摩根基金管理（中国）有限公司开放式基金业务规则</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w:t>
      </w:r>
      <w:r w:rsidRPr="00B27A29">
        <w:rPr>
          <w:rFonts w:eastAsiaTheme="minorEastAsia"/>
          <w:color w:val="000000" w:themeColor="text1"/>
          <w:szCs w:val="21"/>
        </w:rPr>
        <w:t>八</w:t>
      </w:r>
      <w:r w:rsidRPr="00B27A29">
        <w:rPr>
          <w:rFonts w:eastAsiaTheme="minorEastAsia"/>
          <w:color w:val="000000" w:themeColor="text1"/>
          <w:szCs w:val="21"/>
        </w:rPr>
        <w:t>)</w:t>
      </w:r>
      <w:r w:rsidRPr="00B27A29">
        <w:rPr>
          <w:rFonts w:eastAsiaTheme="minorEastAsia"/>
          <w:color w:val="000000" w:themeColor="text1"/>
          <w:szCs w:val="21"/>
        </w:rPr>
        <w:t>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9.2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基金管理人或基金托管人处。</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9.3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二〇二四年一月二十二日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D1A" w:rsidRDefault="00045D1A">
      <w:r>
        <w:separator/>
      </w:r>
    </w:p>
  </w:endnote>
  <w:endnote w:type="continuationSeparator" w:id="0">
    <w:p w:rsidR="00045D1A" w:rsidRDefault="00045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variable"/>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16796D">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16796D">
      <w:rPr>
        <w:noProof/>
        <w:kern w:val="0"/>
        <w:szCs w:val="21"/>
      </w:rPr>
      <w:t>15</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16796D">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D1A" w:rsidRDefault="00045D1A">
      <w:r>
        <w:separator/>
      </w:r>
    </w:p>
  </w:footnote>
  <w:footnote w:type="continuationSeparator" w:id="0">
    <w:p w:rsidR="00045D1A" w:rsidRDefault="00045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摩根博睿均衡一年持有期混合型基金中基金</w:t>
    </w:r>
    <w:r>
      <w:t>(FOF)2023</w:t>
    </w:r>
    <w:r>
      <w:t>年第</w:t>
    </w:r>
    <w:r>
      <w:t>4</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5D1A"/>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6796D"/>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0AC2"/>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2C84"/>
    <w:rsid w:val="00353352"/>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36AE"/>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4409"/>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4F4B"/>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4B8C"/>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4A5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691"/>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4860"/>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1100"/>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623C"/>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45886"/>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448"/>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49A"/>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2EB"/>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6DBF"/>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348290-9ECE-46D4-8370-784E42D68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37</TotalTime>
  <Pages>15</Pages>
  <Words>1323</Words>
  <Characters>7544</Characters>
  <Application>Microsoft Office Word</Application>
  <DocSecurity>0</DocSecurity>
  <Lines>62</Lines>
  <Paragraphs>17</Paragraphs>
  <ScaleCrop>false</ScaleCrop>
  <Company>TRT. Ltd. Co.</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Wentian.Zhou@FA</cp:lastModifiedBy>
  <cp:revision>231</cp:revision>
  <cp:lastPrinted>2007-07-19T00:46:00Z</cp:lastPrinted>
  <dcterms:created xsi:type="dcterms:W3CDTF">2013-06-21T06:56:00Z</dcterms:created>
  <dcterms:modified xsi:type="dcterms:W3CDTF">2024-01-19T05:21:00Z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