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47A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5146FB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C0FB93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2407F9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F6BA82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01FF53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摩根博</w:t>
      </w:r>
      <w:proofErr w:type="gramStart"/>
      <w:r w:rsidRPr="00B27A29">
        <w:rPr>
          <w:rFonts w:eastAsiaTheme="minorEastAsia"/>
          <w:b/>
          <w:color w:val="000000" w:themeColor="text1"/>
          <w:sz w:val="36"/>
          <w:szCs w:val="36"/>
        </w:rPr>
        <w:t>睿</w:t>
      </w:r>
      <w:proofErr w:type="gramEnd"/>
      <w:r w:rsidRPr="00B27A29">
        <w:rPr>
          <w:rFonts w:eastAsiaTheme="minorEastAsia"/>
          <w:b/>
          <w:color w:val="000000" w:themeColor="text1"/>
          <w:sz w:val="36"/>
          <w:szCs w:val="36"/>
        </w:rPr>
        <w:t>均衡一年持有期混合型基金中基金</w:t>
      </w:r>
      <w:r w:rsidRPr="00B27A29">
        <w:rPr>
          <w:rFonts w:eastAsiaTheme="minorEastAsia"/>
          <w:b/>
          <w:color w:val="000000" w:themeColor="text1"/>
          <w:sz w:val="36"/>
          <w:szCs w:val="36"/>
        </w:rPr>
        <w:t>(FOF)</w:t>
      </w:r>
    </w:p>
    <w:p w14:paraId="150FB054"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15EC3C8B"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2DB528D" w14:textId="77777777" w:rsidR="005E6DF3" w:rsidRPr="00B27A29" w:rsidRDefault="005E6DF3">
      <w:pPr>
        <w:spacing w:line="360" w:lineRule="auto"/>
        <w:jc w:val="center"/>
        <w:rPr>
          <w:rFonts w:eastAsiaTheme="minorEastAsia"/>
          <w:b/>
          <w:color w:val="000000" w:themeColor="text1"/>
          <w:szCs w:val="21"/>
        </w:rPr>
      </w:pPr>
    </w:p>
    <w:p w14:paraId="52FAAB96" w14:textId="77777777" w:rsidR="005E6DF3" w:rsidRPr="00B27A29" w:rsidRDefault="005E6DF3">
      <w:pPr>
        <w:spacing w:line="360" w:lineRule="auto"/>
        <w:jc w:val="center"/>
        <w:rPr>
          <w:rFonts w:eastAsiaTheme="minorEastAsia"/>
          <w:b/>
          <w:color w:val="000000" w:themeColor="text1"/>
          <w:szCs w:val="21"/>
        </w:rPr>
      </w:pPr>
    </w:p>
    <w:p w14:paraId="75957474" w14:textId="77777777" w:rsidR="005E6DF3" w:rsidRPr="00B27A29" w:rsidRDefault="005E6DF3">
      <w:pPr>
        <w:spacing w:line="360" w:lineRule="auto"/>
        <w:jc w:val="center"/>
        <w:rPr>
          <w:rFonts w:eastAsiaTheme="minorEastAsia"/>
          <w:b/>
          <w:color w:val="000000" w:themeColor="text1"/>
          <w:szCs w:val="21"/>
        </w:rPr>
      </w:pPr>
    </w:p>
    <w:p w14:paraId="01A1739D" w14:textId="77777777" w:rsidR="005E6DF3" w:rsidRPr="00B27A29" w:rsidRDefault="005E6DF3">
      <w:pPr>
        <w:spacing w:line="360" w:lineRule="auto"/>
        <w:jc w:val="center"/>
        <w:rPr>
          <w:rFonts w:eastAsiaTheme="minorEastAsia"/>
          <w:b/>
          <w:color w:val="000000" w:themeColor="text1"/>
          <w:szCs w:val="21"/>
        </w:rPr>
      </w:pPr>
    </w:p>
    <w:p w14:paraId="29DD100C" w14:textId="77777777" w:rsidR="005E6DF3" w:rsidRPr="00B27A29" w:rsidRDefault="005E6DF3">
      <w:pPr>
        <w:spacing w:line="360" w:lineRule="auto"/>
        <w:jc w:val="center"/>
        <w:rPr>
          <w:rFonts w:eastAsiaTheme="minorEastAsia"/>
          <w:b/>
          <w:color w:val="000000" w:themeColor="text1"/>
          <w:szCs w:val="21"/>
        </w:rPr>
      </w:pPr>
    </w:p>
    <w:p w14:paraId="20BD772D" w14:textId="77777777" w:rsidR="005E6DF3" w:rsidRPr="00B27A29" w:rsidRDefault="005E6DF3">
      <w:pPr>
        <w:spacing w:line="360" w:lineRule="auto"/>
        <w:jc w:val="center"/>
        <w:rPr>
          <w:rFonts w:eastAsiaTheme="minorEastAsia"/>
          <w:b/>
          <w:color w:val="000000" w:themeColor="text1"/>
          <w:szCs w:val="21"/>
        </w:rPr>
      </w:pPr>
    </w:p>
    <w:p w14:paraId="1F91BE06" w14:textId="77777777" w:rsidR="005E6DF3" w:rsidRPr="00B27A29" w:rsidRDefault="005E6DF3">
      <w:pPr>
        <w:spacing w:line="360" w:lineRule="auto"/>
        <w:jc w:val="center"/>
        <w:rPr>
          <w:rFonts w:eastAsiaTheme="minorEastAsia"/>
          <w:b/>
          <w:color w:val="000000" w:themeColor="text1"/>
          <w:szCs w:val="21"/>
        </w:rPr>
      </w:pPr>
    </w:p>
    <w:p w14:paraId="35339EA5" w14:textId="77777777" w:rsidR="005E6DF3" w:rsidRPr="00B27A29" w:rsidRDefault="005E6DF3">
      <w:pPr>
        <w:spacing w:line="360" w:lineRule="auto"/>
        <w:jc w:val="center"/>
        <w:rPr>
          <w:rFonts w:eastAsiaTheme="minorEastAsia"/>
          <w:b/>
          <w:color w:val="000000" w:themeColor="text1"/>
          <w:szCs w:val="21"/>
        </w:rPr>
      </w:pPr>
    </w:p>
    <w:p w14:paraId="1859F374" w14:textId="77777777" w:rsidR="005E6DF3" w:rsidRPr="00B27A29" w:rsidRDefault="005E6DF3">
      <w:pPr>
        <w:spacing w:line="360" w:lineRule="auto"/>
        <w:jc w:val="center"/>
        <w:rPr>
          <w:rFonts w:eastAsiaTheme="minorEastAsia"/>
          <w:b/>
          <w:color w:val="000000" w:themeColor="text1"/>
          <w:szCs w:val="21"/>
        </w:rPr>
      </w:pPr>
    </w:p>
    <w:p w14:paraId="4DDD5A41" w14:textId="77777777" w:rsidR="005E6DF3" w:rsidRPr="00B27A29" w:rsidRDefault="005E6DF3">
      <w:pPr>
        <w:spacing w:line="360" w:lineRule="auto"/>
        <w:jc w:val="center"/>
        <w:rPr>
          <w:rFonts w:eastAsiaTheme="minorEastAsia"/>
          <w:b/>
          <w:color w:val="000000" w:themeColor="text1"/>
          <w:szCs w:val="21"/>
        </w:rPr>
      </w:pPr>
    </w:p>
    <w:p w14:paraId="3FDC5F25" w14:textId="77777777" w:rsidR="005E6DF3" w:rsidRPr="00B27A29" w:rsidRDefault="005E6DF3">
      <w:pPr>
        <w:spacing w:line="360" w:lineRule="auto"/>
        <w:jc w:val="center"/>
        <w:rPr>
          <w:rFonts w:eastAsiaTheme="minorEastAsia"/>
          <w:b/>
          <w:color w:val="000000" w:themeColor="text1"/>
          <w:szCs w:val="21"/>
        </w:rPr>
      </w:pPr>
    </w:p>
    <w:p w14:paraId="043AE36A" w14:textId="77777777" w:rsidR="005E6DF3" w:rsidRPr="00B27A29" w:rsidRDefault="005E6DF3">
      <w:pPr>
        <w:spacing w:line="360" w:lineRule="auto"/>
        <w:jc w:val="center"/>
        <w:rPr>
          <w:rFonts w:eastAsiaTheme="minorEastAsia"/>
          <w:b/>
          <w:color w:val="000000" w:themeColor="text1"/>
          <w:szCs w:val="21"/>
        </w:rPr>
      </w:pPr>
    </w:p>
    <w:p w14:paraId="62330C3C" w14:textId="77777777" w:rsidR="005E6DF3" w:rsidRPr="00B27A29" w:rsidRDefault="005E6DF3">
      <w:pPr>
        <w:spacing w:line="360" w:lineRule="auto"/>
        <w:jc w:val="center"/>
        <w:rPr>
          <w:rFonts w:eastAsiaTheme="minorEastAsia"/>
          <w:b/>
          <w:color w:val="000000" w:themeColor="text1"/>
          <w:szCs w:val="21"/>
        </w:rPr>
      </w:pPr>
    </w:p>
    <w:p w14:paraId="5B693283" w14:textId="77777777" w:rsidR="005E6DF3" w:rsidRPr="00B27A29" w:rsidRDefault="005E6DF3">
      <w:pPr>
        <w:spacing w:line="360" w:lineRule="auto"/>
        <w:rPr>
          <w:rFonts w:eastAsiaTheme="minorEastAsia"/>
          <w:b/>
          <w:color w:val="000000" w:themeColor="text1"/>
          <w:szCs w:val="21"/>
        </w:rPr>
      </w:pPr>
    </w:p>
    <w:p w14:paraId="6DC3A7D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060A3A8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14:paraId="5172E2E4"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3F772CFB"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5A055F17"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B1DE141"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45743AB"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2CBD4C9"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60AED871"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2EB2547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0A5E91C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CF6C666" w14:textId="77777777">
        <w:tc>
          <w:tcPr>
            <w:tcW w:w="2835" w:type="dxa"/>
            <w:vAlign w:val="center"/>
          </w:tcPr>
          <w:p w14:paraId="690A41A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985616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摩根博</w:t>
            </w:r>
            <w:proofErr w:type="gramStart"/>
            <w:r w:rsidRPr="00B27A29">
              <w:rPr>
                <w:rFonts w:eastAsiaTheme="minorEastAsia"/>
                <w:color w:val="000000" w:themeColor="text1"/>
                <w:kern w:val="0"/>
                <w:szCs w:val="21"/>
              </w:rPr>
              <w:t>睿</w:t>
            </w:r>
            <w:proofErr w:type="gramEnd"/>
            <w:r w:rsidRPr="00B27A29">
              <w:rPr>
                <w:rFonts w:eastAsiaTheme="minorEastAsia"/>
                <w:color w:val="000000" w:themeColor="text1"/>
                <w:kern w:val="0"/>
                <w:szCs w:val="21"/>
              </w:rPr>
              <w:t>均衡一年持有混合</w:t>
            </w:r>
            <w:r w:rsidRPr="00B27A29">
              <w:rPr>
                <w:rFonts w:eastAsiaTheme="minorEastAsia"/>
                <w:color w:val="000000" w:themeColor="text1"/>
                <w:kern w:val="0"/>
                <w:szCs w:val="21"/>
              </w:rPr>
              <w:t>(FOF)</w:t>
            </w:r>
          </w:p>
        </w:tc>
      </w:tr>
      <w:tr w:rsidR="005E6DF3" w:rsidRPr="00B27A29" w14:paraId="47739875" w14:textId="77777777">
        <w:tc>
          <w:tcPr>
            <w:tcW w:w="2835" w:type="dxa"/>
            <w:vAlign w:val="center"/>
          </w:tcPr>
          <w:p w14:paraId="4225F4F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532C31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015359</w:t>
            </w:r>
          </w:p>
        </w:tc>
      </w:tr>
      <w:tr w:rsidR="005E6DF3" w:rsidRPr="00B27A29" w14:paraId="32A848E8" w14:textId="77777777">
        <w:tc>
          <w:tcPr>
            <w:tcW w:w="2835" w:type="dxa"/>
            <w:vAlign w:val="center"/>
          </w:tcPr>
          <w:p w14:paraId="38AC9C7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50FA700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417EC9EE" w14:textId="77777777">
        <w:tc>
          <w:tcPr>
            <w:tcW w:w="2835" w:type="dxa"/>
            <w:vAlign w:val="center"/>
          </w:tcPr>
          <w:p w14:paraId="7D01C4F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7EF46E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14:paraId="32DF8850" w14:textId="77777777">
        <w:tc>
          <w:tcPr>
            <w:tcW w:w="2835" w:type="dxa"/>
            <w:vAlign w:val="center"/>
          </w:tcPr>
          <w:p w14:paraId="38157F0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BB7525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307,526,480.12</w:t>
            </w:r>
            <w:r w:rsidRPr="00B27A29">
              <w:rPr>
                <w:rFonts w:eastAsiaTheme="minorEastAsia"/>
                <w:color w:val="000000" w:themeColor="text1"/>
                <w:kern w:val="0"/>
                <w:szCs w:val="21"/>
              </w:rPr>
              <w:t>份</w:t>
            </w:r>
          </w:p>
        </w:tc>
      </w:tr>
      <w:tr w:rsidR="005E6DF3" w:rsidRPr="00B27A29" w14:paraId="3ABCCF1C" w14:textId="77777777">
        <w:tc>
          <w:tcPr>
            <w:tcW w:w="2835" w:type="dxa"/>
            <w:vAlign w:val="center"/>
          </w:tcPr>
          <w:p w14:paraId="447D265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03420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本基金通过资产配置及优选基金，并结合严格的风险控制，力争实现基金资产的长期稳健增值。</w:t>
            </w:r>
          </w:p>
        </w:tc>
      </w:tr>
      <w:tr w:rsidR="005E6DF3" w:rsidRPr="00B27A29" w14:paraId="3E32BF2A" w14:textId="77777777">
        <w:tc>
          <w:tcPr>
            <w:tcW w:w="2835" w:type="dxa"/>
            <w:vAlign w:val="center"/>
          </w:tcPr>
          <w:p w14:paraId="78622B9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92FA941" w14:textId="77777777" w:rsidR="00AC34D6" w:rsidRDefault="007265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647D1B9F" w14:textId="77777777" w:rsidR="00AC34D6" w:rsidRDefault="007265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在大类资产配置上，本基金将结合产品定位、风险收益特征以及管理人的长期资本市场观点确定基金的资产配置方案。</w:t>
            </w:r>
          </w:p>
          <w:p w14:paraId="2E998A04" w14:textId="77777777" w:rsidR="00AC34D6" w:rsidRDefault="007265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首先，管理人将根据基金业绩基准确定产品的风险收益特征。其次，管理人将根据投</w:t>
            </w:r>
            <w:proofErr w:type="gramStart"/>
            <w:r>
              <w:rPr>
                <w:rFonts w:eastAsiaTheme="minorEastAsia"/>
                <w:color w:val="000000" w:themeColor="text1"/>
                <w:kern w:val="0"/>
                <w:szCs w:val="21"/>
              </w:rPr>
              <w:t>研</w:t>
            </w:r>
            <w:proofErr w:type="gramEnd"/>
            <w:r>
              <w:rPr>
                <w:rFonts w:eastAsiaTheme="minorEastAsia"/>
                <w:color w:val="000000" w:themeColor="text1"/>
                <w:kern w:val="0"/>
                <w:szCs w:val="21"/>
              </w:rPr>
              <w:t>团队的长期资本市场观点对各类型资产的风险收益特征进行判断。最后，结合本基金</w:t>
            </w:r>
            <w:r>
              <w:rPr>
                <w:rFonts w:eastAsiaTheme="minorEastAsia"/>
                <w:color w:val="000000" w:themeColor="text1"/>
                <w:kern w:val="0"/>
                <w:szCs w:val="21"/>
              </w:rPr>
              <w:lastRenderedPageBreak/>
              <w:t>以及各资产类别的风险收益特征，依据现代投资组合理论，模拟得出各大类资产的长期战略配置比例。</w:t>
            </w:r>
          </w:p>
          <w:p w14:paraId="53507A78" w14:textId="77777777" w:rsidR="00AC34D6" w:rsidRDefault="007265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本基金原则上均衡配置于权益类资产和其他资产，并定期结合策略观点，修正资产配置，实现细分资产类别的动态调整。</w:t>
            </w:r>
          </w:p>
          <w:p w14:paraId="51771E37" w14:textId="77777777" w:rsidR="00AC34D6" w:rsidRDefault="007265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14:paraId="61CF0EE7" w14:textId="77777777" w:rsidR="00AC34D6" w:rsidRDefault="007265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通过自下而上的方式优选基金，研究过程中综合运用定量分析和定性分析，优选符合要求且能在中长期创造超额收益的基金。</w:t>
            </w:r>
          </w:p>
          <w:p w14:paraId="5F7B9579" w14:textId="77777777" w:rsidR="00AC34D6" w:rsidRDefault="007265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14:paraId="23222FD4" w14:textId="77777777" w:rsidR="00AC34D6" w:rsidRDefault="007265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优选中长期</w:t>
            </w:r>
            <w:proofErr w:type="gramStart"/>
            <w:r>
              <w:rPr>
                <w:rFonts w:eastAsiaTheme="minorEastAsia"/>
                <w:color w:val="000000" w:themeColor="text1"/>
                <w:kern w:val="0"/>
                <w:szCs w:val="21"/>
              </w:rPr>
              <w:t>景气向好的指数</w:t>
            </w:r>
            <w:proofErr w:type="gramEnd"/>
            <w:r>
              <w:rPr>
                <w:rFonts w:eastAsiaTheme="minorEastAsia"/>
                <w:color w:val="000000" w:themeColor="text1"/>
                <w:kern w:val="0"/>
                <w:szCs w:val="21"/>
              </w:rPr>
              <w:t>基金进行配置，增厚组合收益，并把握阶段性投资机会，获取超额收益。</w:t>
            </w:r>
          </w:p>
          <w:p w14:paraId="7191AEEE" w14:textId="77777777" w:rsidR="00AC34D6" w:rsidRDefault="0072655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14:paraId="7CF0D54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包括公募</w:t>
            </w:r>
            <w:r w:rsidRPr="00B27A29">
              <w:rPr>
                <w:rFonts w:eastAsiaTheme="minorEastAsia"/>
                <w:color w:val="000000" w:themeColor="text1"/>
                <w:kern w:val="0"/>
                <w:szCs w:val="21"/>
              </w:rPr>
              <w:t>REITs</w:t>
            </w:r>
            <w:r w:rsidRPr="00B27A29">
              <w:rPr>
                <w:rFonts w:eastAsiaTheme="minorEastAsia"/>
                <w:color w:val="000000" w:themeColor="text1"/>
                <w:kern w:val="0"/>
                <w:szCs w:val="21"/>
              </w:rPr>
              <w:t>投资策略、股票投资策略、港股投资策略、债券投资策略、证券公司短期公司债投资策略、资产支持证券投资策略、存托凭证投资策略。</w:t>
            </w:r>
          </w:p>
        </w:tc>
      </w:tr>
      <w:tr w:rsidR="005E6DF3" w:rsidRPr="00B27A29" w14:paraId="67B2F97E" w14:textId="77777777">
        <w:tc>
          <w:tcPr>
            <w:tcW w:w="2835" w:type="dxa"/>
            <w:vAlign w:val="center"/>
          </w:tcPr>
          <w:p w14:paraId="3BDC74E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137E19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w:t>
            </w:r>
            <w:proofErr w:type="gramStart"/>
            <w:r w:rsidRPr="00B27A29">
              <w:rPr>
                <w:rFonts w:eastAsiaTheme="minorEastAsia"/>
                <w:color w:val="000000" w:themeColor="text1"/>
                <w:kern w:val="0"/>
                <w:szCs w:val="21"/>
              </w:rPr>
              <w:t>债指数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*40%+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14:paraId="3033681A" w14:textId="77777777">
        <w:tc>
          <w:tcPr>
            <w:tcW w:w="2835" w:type="dxa"/>
            <w:vAlign w:val="center"/>
          </w:tcPr>
          <w:p w14:paraId="581A382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00EA1BA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本基金属于混合型基金中基金，预期风险和收益水平低于股票型基金中基金，高于债券型基金中基金和货币型基金中基金。本基金可投资香港联合交易所上市的股票，将面临港股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2315E404" w14:textId="77777777">
        <w:tc>
          <w:tcPr>
            <w:tcW w:w="2835" w:type="dxa"/>
            <w:vAlign w:val="center"/>
          </w:tcPr>
          <w:p w14:paraId="3F2D7B2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EDA2DA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D8E73C9" w14:textId="77777777">
        <w:tc>
          <w:tcPr>
            <w:tcW w:w="2835" w:type="dxa"/>
            <w:vAlign w:val="center"/>
          </w:tcPr>
          <w:p w14:paraId="19D9357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CE4B8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14:paraId="1CA449D0" w14:textId="77777777">
        <w:tc>
          <w:tcPr>
            <w:tcW w:w="2835" w:type="dxa"/>
            <w:vAlign w:val="center"/>
          </w:tcPr>
          <w:p w14:paraId="4CFCA7C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13BE761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740" w:type="dxa"/>
            <w:vAlign w:val="center"/>
          </w:tcPr>
          <w:p w14:paraId="0CC5D5B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3538FA23" w14:textId="77777777">
        <w:tc>
          <w:tcPr>
            <w:tcW w:w="2835" w:type="dxa"/>
            <w:vAlign w:val="center"/>
          </w:tcPr>
          <w:p w14:paraId="65B067D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B8D3EB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015359</w:t>
            </w:r>
          </w:p>
        </w:tc>
        <w:tc>
          <w:tcPr>
            <w:tcW w:w="2740" w:type="dxa"/>
            <w:vAlign w:val="center"/>
          </w:tcPr>
          <w:p w14:paraId="34AB932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015360</w:t>
            </w:r>
          </w:p>
        </w:tc>
      </w:tr>
      <w:tr w:rsidR="005E6DF3" w:rsidRPr="00B27A29" w14:paraId="3366EB4F" w14:textId="77777777">
        <w:tc>
          <w:tcPr>
            <w:tcW w:w="2835" w:type="dxa"/>
            <w:vAlign w:val="center"/>
          </w:tcPr>
          <w:p w14:paraId="65E0E8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14:paraId="004B3E7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142,210,589.68</w:t>
            </w:r>
            <w:r w:rsidRPr="00B27A29">
              <w:rPr>
                <w:rFonts w:eastAsiaTheme="minorEastAsia"/>
                <w:color w:val="000000" w:themeColor="text1"/>
                <w:kern w:val="0"/>
                <w:szCs w:val="21"/>
              </w:rPr>
              <w:t>份</w:t>
            </w:r>
          </w:p>
        </w:tc>
        <w:tc>
          <w:tcPr>
            <w:tcW w:w="2740" w:type="dxa"/>
            <w:vAlign w:val="center"/>
          </w:tcPr>
          <w:p w14:paraId="61A9351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165,315,890.44</w:t>
            </w:r>
            <w:r w:rsidRPr="00B27A29">
              <w:rPr>
                <w:rFonts w:eastAsiaTheme="minorEastAsia"/>
                <w:color w:val="000000" w:themeColor="text1"/>
                <w:kern w:val="0"/>
                <w:szCs w:val="21"/>
              </w:rPr>
              <w:t>份</w:t>
            </w:r>
          </w:p>
        </w:tc>
      </w:tr>
    </w:tbl>
    <w:p w14:paraId="0E5DF4C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4584C0F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0EBF74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6664B594" w14:textId="77777777">
        <w:tc>
          <w:tcPr>
            <w:tcW w:w="3402" w:type="dxa"/>
            <w:vMerge w:val="restart"/>
            <w:vAlign w:val="center"/>
          </w:tcPr>
          <w:p w14:paraId="477980E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1B532DA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610A622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3F4C8952" w14:textId="77777777">
        <w:tc>
          <w:tcPr>
            <w:tcW w:w="3402" w:type="dxa"/>
            <w:vMerge/>
            <w:vAlign w:val="center"/>
          </w:tcPr>
          <w:p w14:paraId="4096E42E"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77BC846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481" w:type="dxa"/>
            <w:vAlign w:val="center"/>
          </w:tcPr>
          <w:p w14:paraId="162FB55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3BE2C210" w14:textId="77777777">
        <w:tc>
          <w:tcPr>
            <w:tcW w:w="3402" w:type="dxa"/>
            <w:vAlign w:val="center"/>
          </w:tcPr>
          <w:p w14:paraId="763CE9E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9E617F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1,417,237.65</w:t>
            </w:r>
          </w:p>
        </w:tc>
        <w:tc>
          <w:tcPr>
            <w:tcW w:w="2481" w:type="dxa"/>
            <w:vAlign w:val="center"/>
          </w:tcPr>
          <w:p w14:paraId="2B32188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1,404,435.80</w:t>
            </w:r>
          </w:p>
        </w:tc>
      </w:tr>
      <w:tr w:rsidR="005E6DF3" w:rsidRPr="00B27A29" w14:paraId="36A9B037" w14:textId="77777777">
        <w:tc>
          <w:tcPr>
            <w:tcW w:w="3402" w:type="dxa"/>
            <w:vAlign w:val="center"/>
          </w:tcPr>
          <w:p w14:paraId="053BB84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5F1A4FA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-1,435,010.33</w:t>
            </w:r>
          </w:p>
        </w:tc>
        <w:tc>
          <w:tcPr>
            <w:tcW w:w="2481" w:type="dxa"/>
            <w:vAlign w:val="center"/>
          </w:tcPr>
          <w:p w14:paraId="0F6F29F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-1,823,670.71</w:t>
            </w:r>
          </w:p>
        </w:tc>
      </w:tr>
      <w:tr w:rsidR="005E6DF3" w:rsidRPr="00B27A29" w14:paraId="0186C87E" w14:textId="77777777">
        <w:tc>
          <w:tcPr>
            <w:tcW w:w="3402" w:type="dxa"/>
            <w:vAlign w:val="center"/>
          </w:tcPr>
          <w:p w14:paraId="26D9EC6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14EC44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-0.0097</w:t>
            </w:r>
          </w:p>
        </w:tc>
        <w:tc>
          <w:tcPr>
            <w:tcW w:w="2481" w:type="dxa"/>
            <w:vAlign w:val="center"/>
          </w:tcPr>
          <w:p w14:paraId="15CD56C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-0.0106</w:t>
            </w:r>
          </w:p>
        </w:tc>
      </w:tr>
      <w:tr w:rsidR="005E6DF3" w:rsidRPr="00B27A29" w14:paraId="0E8CA1EE" w14:textId="77777777">
        <w:tc>
          <w:tcPr>
            <w:tcW w:w="3402" w:type="dxa"/>
            <w:vAlign w:val="center"/>
          </w:tcPr>
          <w:p w14:paraId="2AC6461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137BC2A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135,440,996.75</w:t>
            </w:r>
          </w:p>
        </w:tc>
        <w:tc>
          <w:tcPr>
            <w:tcW w:w="2481" w:type="dxa"/>
            <w:vAlign w:val="center"/>
          </w:tcPr>
          <w:p w14:paraId="0DE7BEB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155,346,613.54</w:t>
            </w:r>
          </w:p>
        </w:tc>
      </w:tr>
      <w:tr w:rsidR="005E6DF3" w:rsidRPr="00B27A29" w14:paraId="6BA356C8" w14:textId="77777777">
        <w:trPr>
          <w:trHeight w:val="158"/>
        </w:trPr>
        <w:tc>
          <w:tcPr>
            <w:tcW w:w="3402" w:type="dxa"/>
            <w:vAlign w:val="center"/>
          </w:tcPr>
          <w:p w14:paraId="442CD3B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6C2975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0.9524</w:t>
            </w:r>
          </w:p>
        </w:tc>
        <w:tc>
          <w:tcPr>
            <w:tcW w:w="2481" w:type="dxa"/>
            <w:vAlign w:val="center"/>
          </w:tcPr>
          <w:p w14:paraId="7234B8D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0.9397</w:t>
            </w:r>
          </w:p>
        </w:tc>
      </w:tr>
    </w:tbl>
    <w:p w14:paraId="744538A7" w14:textId="77777777" w:rsidR="00AC34D6" w:rsidRDefault="0072655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E9B649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A6DD8E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7327FC8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00F8741"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摩根博</w:t>
      </w:r>
      <w:proofErr w:type="gramStart"/>
      <w:r w:rsidRPr="00B27A29">
        <w:rPr>
          <w:rFonts w:eastAsiaTheme="minorEastAsia"/>
          <w:b/>
          <w:color w:val="000000" w:themeColor="text1"/>
          <w:kern w:val="0"/>
          <w:szCs w:val="21"/>
        </w:rPr>
        <w:t>睿</w:t>
      </w:r>
      <w:proofErr w:type="gramEnd"/>
      <w:r w:rsidRPr="00B27A29">
        <w:rPr>
          <w:rFonts w:eastAsiaTheme="minorEastAsia"/>
          <w:b/>
          <w:color w:val="000000" w:themeColor="text1"/>
          <w:kern w:val="0"/>
          <w:szCs w:val="21"/>
        </w:rPr>
        <w:t>均衡一年持有混合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9C527FF" w14:textId="77777777">
        <w:tc>
          <w:tcPr>
            <w:tcW w:w="1290" w:type="dxa"/>
            <w:vAlign w:val="center"/>
          </w:tcPr>
          <w:p w14:paraId="4EC4BC1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C70219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4C5349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C7E2D4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F9C337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66F564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84E2A9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C34D6" w14:paraId="11830EDD" w14:textId="77777777">
        <w:tc>
          <w:tcPr>
            <w:tcW w:w="1290" w:type="dxa"/>
            <w:vAlign w:val="center"/>
          </w:tcPr>
          <w:p w14:paraId="3B9C1124" w14:textId="77777777" w:rsidR="00AC34D6" w:rsidRDefault="00726552">
            <w:pPr>
              <w:jc w:val="left"/>
            </w:pPr>
            <w:r>
              <w:rPr>
                <w:rFonts w:eastAsiaTheme="minorEastAsia"/>
                <w:color w:val="000000" w:themeColor="text1"/>
                <w:szCs w:val="21"/>
              </w:rPr>
              <w:t>过去三个月</w:t>
            </w:r>
          </w:p>
        </w:tc>
        <w:tc>
          <w:tcPr>
            <w:tcW w:w="1291" w:type="dxa"/>
            <w:vAlign w:val="center"/>
          </w:tcPr>
          <w:p w14:paraId="6D4A720F" w14:textId="77777777" w:rsidR="00AC34D6" w:rsidRDefault="00726552">
            <w:pPr>
              <w:jc w:val="right"/>
            </w:pPr>
            <w:r>
              <w:rPr>
                <w:rFonts w:eastAsiaTheme="minorEastAsia"/>
                <w:color w:val="000000" w:themeColor="text1"/>
                <w:szCs w:val="21"/>
              </w:rPr>
              <w:t>-1.01%</w:t>
            </w:r>
          </w:p>
        </w:tc>
        <w:tc>
          <w:tcPr>
            <w:tcW w:w="1291" w:type="dxa"/>
            <w:vAlign w:val="center"/>
          </w:tcPr>
          <w:p w14:paraId="5C069D70" w14:textId="77777777" w:rsidR="00AC34D6" w:rsidRDefault="00726552">
            <w:pPr>
              <w:jc w:val="right"/>
            </w:pPr>
            <w:r>
              <w:rPr>
                <w:rFonts w:eastAsiaTheme="minorEastAsia"/>
                <w:color w:val="000000" w:themeColor="text1"/>
                <w:szCs w:val="21"/>
              </w:rPr>
              <w:t>1.06%</w:t>
            </w:r>
          </w:p>
        </w:tc>
        <w:tc>
          <w:tcPr>
            <w:tcW w:w="1291" w:type="dxa"/>
            <w:vAlign w:val="center"/>
          </w:tcPr>
          <w:p w14:paraId="04D2B26D" w14:textId="77777777" w:rsidR="00AC34D6" w:rsidRDefault="00726552">
            <w:pPr>
              <w:jc w:val="right"/>
            </w:pPr>
            <w:r>
              <w:rPr>
                <w:rFonts w:eastAsiaTheme="minorEastAsia"/>
                <w:color w:val="000000" w:themeColor="text1"/>
                <w:szCs w:val="21"/>
              </w:rPr>
              <w:t>0.27%</w:t>
            </w:r>
          </w:p>
        </w:tc>
        <w:tc>
          <w:tcPr>
            <w:tcW w:w="1291" w:type="dxa"/>
            <w:vAlign w:val="center"/>
          </w:tcPr>
          <w:p w14:paraId="22139FD2" w14:textId="77777777" w:rsidR="00AC34D6" w:rsidRDefault="00726552">
            <w:pPr>
              <w:jc w:val="right"/>
            </w:pPr>
            <w:r>
              <w:rPr>
                <w:rFonts w:eastAsiaTheme="minorEastAsia"/>
                <w:color w:val="000000" w:themeColor="text1"/>
                <w:szCs w:val="21"/>
              </w:rPr>
              <w:t>0.90%</w:t>
            </w:r>
          </w:p>
        </w:tc>
        <w:tc>
          <w:tcPr>
            <w:tcW w:w="1291" w:type="dxa"/>
            <w:vAlign w:val="center"/>
          </w:tcPr>
          <w:p w14:paraId="65E6F2CF" w14:textId="77777777" w:rsidR="00AC34D6" w:rsidRDefault="00726552">
            <w:pPr>
              <w:jc w:val="right"/>
            </w:pPr>
            <w:r>
              <w:rPr>
                <w:rFonts w:eastAsiaTheme="minorEastAsia"/>
                <w:color w:val="000000" w:themeColor="text1"/>
                <w:szCs w:val="21"/>
              </w:rPr>
              <w:t>-1.28%</w:t>
            </w:r>
          </w:p>
        </w:tc>
        <w:tc>
          <w:tcPr>
            <w:tcW w:w="1291" w:type="dxa"/>
            <w:vAlign w:val="center"/>
          </w:tcPr>
          <w:p w14:paraId="67FDDFE4" w14:textId="77777777" w:rsidR="00AC34D6" w:rsidRDefault="00726552">
            <w:pPr>
              <w:jc w:val="right"/>
            </w:pPr>
            <w:r>
              <w:rPr>
                <w:rFonts w:eastAsiaTheme="minorEastAsia"/>
                <w:color w:val="000000" w:themeColor="text1"/>
                <w:szCs w:val="21"/>
              </w:rPr>
              <w:t>0.16%</w:t>
            </w:r>
          </w:p>
        </w:tc>
      </w:tr>
      <w:tr w:rsidR="00AC34D6" w14:paraId="38E0CF5C" w14:textId="77777777">
        <w:tc>
          <w:tcPr>
            <w:tcW w:w="1290" w:type="dxa"/>
            <w:vAlign w:val="center"/>
          </w:tcPr>
          <w:p w14:paraId="6BDDF060" w14:textId="77777777" w:rsidR="00AC34D6" w:rsidRDefault="00726552">
            <w:pPr>
              <w:jc w:val="left"/>
            </w:pPr>
            <w:r>
              <w:rPr>
                <w:rFonts w:eastAsiaTheme="minorEastAsia"/>
                <w:color w:val="000000" w:themeColor="text1"/>
                <w:szCs w:val="21"/>
              </w:rPr>
              <w:t>过去六个月</w:t>
            </w:r>
          </w:p>
        </w:tc>
        <w:tc>
          <w:tcPr>
            <w:tcW w:w="1291" w:type="dxa"/>
            <w:vAlign w:val="center"/>
          </w:tcPr>
          <w:p w14:paraId="3C5B86A4" w14:textId="77777777" w:rsidR="00AC34D6" w:rsidRDefault="00726552">
            <w:pPr>
              <w:jc w:val="right"/>
            </w:pPr>
            <w:r>
              <w:rPr>
                <w:rFonts w:eastAsiaTheme="minorEastAsia"/>
                <w:color w:val="000000" w:themeColor="text1"/>
                <w:szCs w:val="21"/>
              </w:rPr>
              <w:t>9.51%</w:t>
            </w:r>
          </w:p>
        </w:tc>
        <w:tc>
          <w:tcPr>
            <w:tcW w:w="1291" w:type="dxa"/>
            <w:vAlign w:val="center"/>
          </w:tcPr>
          <w:p w14:paraId="1E490D7C" w14:textId="77777777" w:rsidR="00AC34D6" w:rsidRDefault="00726552">
            <w:pPr>
              <w:jc w:val="right"/>
            </w:pPr>
            <w:r>
              <w:rPr>
                <w:rFonts w:eastAsiaTheme="minorEastAsia"/>
                <w:color w:val="000000" w:themeColor="text1"/>
                <w:szCs w:val="21"/>
              </w:rPr>
              <w:t>1.06%</w:t>
            </w:r>
          </w:p>
        </w:tc>
        <w:tc>
          <w:tcPr>
            <w:tcW w:w="1291" w:type="dxa"/>
            <w:vAlign w:val="center"/>
          </w:tcPr>
          <w:p w14:paraId="73970198" w14:textId="77777777" w:rsidR="00AC34D6" w:rsidRDefault="00726552">
            <w:pPr>
              <w:jc w:val="right"/>
            </w:pPr>
            <w:r>
              <w:rPr>
                <w:rFonts w:eastAsiaTheme="minorEastAsia"/>
                <w:color w:val="000000" w:themeColor="text1"/>
                <w:szCs w:val="21"/>
              </w:rPr>
              <w:t>9.07%</w:t>
            </w:r>
          </w:p>
        </w:tc>
        <w:tc>
          <w:tcPr>
            <w:tcW w:w="1291" w:type="dxa"/>
            <w:vAlign w:val="center"/>
          </w:tcPr>
          <w:p w14:paraId="0325233A" w14:textId="77777777" w:rsidR="00AC34D6" w:rsidRDefault="00726552">
            <w:pPr>
              <w:jc w:val="right"/>
            </w:pPr>
            <w:r>
              <w:rPr>
                <w:rFonts w:eastAsiaTheme="minorEastAsia"/>
                <w:color w:val="000000" w:themeColor="text1"/>
                <w:szCs w:val="21"/>
              </w:rPr>
              <w:t>0.86%</w:t>
            </w:r>
          </w:p>
        </w:tc>
        <w:tc>
          <w:tcPr>
            <w:tcW w:w="1291" w:type="dxa"/>
            <w:vAlign w:val="center"/>
          </w:tcPr>
          <w:p w14:paraId="42C5170D" w14:textId="77777777" w:rsidR="00AC34D6" w:rsidRDefault="00726552">
            <w:pPr>
              <w:jc w:val="right"/>
            </w:pPr>
            <w:r>
              <w:rPr>
                <w:rFonts w:eastAsiaTheme="minorEastAsia"/>
                <w:color w:val="000000" w:themeColor="text1"/>
                <w:szCs w:val="21"/>
              </w:rPr>
              <w:t>0.44%</w:t>
            </w:r>
          </w:p>
        </w:tc>
        <w:tc>
          <w:tcPr>
            <w:tcW w:w="1291" w:type="dxa"/>
            <w:vAlign w:val="center"/>
          </w:tcPr>
          <w:p w14:paraId="1E12234C" w14:textId="77777777" w:rsidR="00AC34D6" w:rsidRDefault="00726552">
            <w:pPr>
              <w:jc w:val="right"/>
            </w:pPr>
            <w:r>
              <w:rPr>
                <w:rFonts w:eastAsiaTheme="minorEastAsia"/>
                <w:color w:val="000000" w:themeColor="text1"/>
                <w:szCs w:val="21"/>
              </w:rPr>
              <w:t>0.20%</w:t>
            </w:r>
          </w:p>
        </w:tc>
      </w:tr>
      <w:tr w:rsidR="00AC34D6" w14:paraId="55C10A31" w14:textId="77777777">
        <w:tc>
          <w:tcPr>
            <w:tcW w:w="1290" w:type="dxa"/>
            <w:vAlign w:val="center"/>
          </w:tcPr>
          <w:p w14:paraId="237FD178" w14:textId="77777777" w:rsidR="00AC34D6" w:rsidRDefault="00726552">
            <w:pPr>
              <w:jc w:val="left"/>
            </w:pPr>
            <w:r>
              <w:rPr>
                <w:rFonts w:eastAsiaTheme="minorEastAsia"/>
                <w:color w:val="000000" w:themeColor="text1"/>
                <w:szCs w:val="21"/>
              </w:rPr>
              <w:t>过去一年</w:t>
            </w:r>
          </w:p>
        </w:tc>
        <w:tc>
          <w:tcPr>
            <w:tcW w:w="1291" w:type="dxa"/>
            <w:vAlign w:val="center"/>
          </w:tcPr>
          <w:p w14:paraId="7993A249" w14:textId="77777777" w:rsidR="00AC34D6" w:rsidRDefault="00726552">
            <w:pPr>
              <w:jc w:val="right"/>
            </w:pPr>
            <w:r>
              <w:rPr>
                <w:rFonts w:eastAsiaTheme="minorEastAsia"/>
                <w:color w:val="000000" w:themeColor="text1"/>
                <w:szCs w:val="21"/>
              </w:rPr>
              <w:t>8.21%</w:t>
            </w:r>
          </w:p>
        </w:tc>
        <w:tc>
          <w:tcPr>
            <w:tcW w:w="1291" w:type="dxa"/>
            <w:vAlign w:val="center"/>
          </w:tcPr>
          <w:p w14:paraId="2FC5C57A" w14:textId="77777777" w:rsidR="00AC34D6" w:rsidRDefault="00726552">
            <w:pPr>
              <w:jc w:val="right"/>
            </w:pPr>
            <w:r>
              <w:rPr>
                <w:rFonts w:eastAsiaTheme="minorEastAsia"/>
                <w:color w:val="000000" w:themeColor="text1"/>
                <w:szCs w:val="21"/>
              </w:rPr>
              <w:t>0.91%</w:t>
            </w:r>
          </w:p>
        </w:tc>
        <w:tc>
          <w:tcPr>
            <w:tcW w:w="1291" w:type="dxa"/>
            <w:vAlign w:val="center"/>
          </w:tcPr>
          <w:p w14:paraId="5135B602" w14:textId="77777777" w:rsidR="00AC34D6" w:rsidRDefault="00726552">
            <w:pPr>
              <w:jc w:val="right"/>
            </w:pPr>
            <w:r>
              <w:rPr>
                <w:rFonts w:eastAsiaTheme="minorEastAsia"/>
                <w:color w:val="000000" w:themeColor="text1"/>
                <w:szCs w:val="21"/>
              </w:rPr>
              <w:t>10.07%</w:t>
            </w:r>
          </w:p>
        </w:tc>
        <w:tc>
          <w:tcPr>
            <w:tcW w:w="1291" w:type="dxa"/>
            <w:vAlign w:val="center"/>
          </w:tcPr>
          <w:p w14:paraId="149438A8" w14:textId="77777777" w:rsidR="00AC34D6" w:rsidRDefault="00726552">
            <w:pPr>
              <w:jc w:val="right"/>
            </w:pPr>
            <w:r>
              <w:rPr>
                <w:rFonts w:eastAsiaTheme="minorEastAsia"/>
                <w:color w:val="000000" w:themeColor="text1"/>
                <w:szCs w:val="21"/>
              </w:rPr>
              <w:t>0.71%</w:t>
            </w:r>
          </w:p>
        </w:tc>
        <w:tc>
          <w:tcPr>
            <w:tcW w:w="1291" w:type="dxa"/>
            <w:vAlign w:val="center"/>
          </w:tcPr>
          <w:p w14:paraId="154E34EA" w14:textId="77777777" w:rsidR="00AC34D6" w:rsidRDefault="00726552">
            <w:pPr>
              <w:jc w:val="right"/>
            </w:pPr>
            <w:r>
              <w:rPr>
                <w:rFonts w:eastAsiaTheme="minorEastAsia"/>
                <w:color w:val="000000" w:themeColor="text1"/>
                <w:szCs w:val="21"/>
              </w:rPr>
              <w:t>-1.86%</w:t>
            </w:r>
          </w:p>
        </w:tc>
        <w:tc>
          <w:tcPr>
            <w:tcW w:w="1291" w:type="dxa"/>
            <w:vAlign w:val="center"/>
          </w:tcPr>
          <w:p w14:paraId="7450AB1A" w14:textId="77777777" w:rsidR="00AC34D6" w:rsidRDefault="00726552">
            <w:pPr>
              <w:jc w:val="right"/>
            </w:pPr>
            <w:r>
              <w:rPr>
                <w:rFonts w:eastAsiaTheme="minorEastAsia"/>
                <w:color w:val="000000" w:themeColor="text1"/>
                <w:szCs w:val="21"/>
              </w:rPr>
              <w:t>0.20%</w:t>
            </w:r>
          </w:p>
        </w:tc>
      </w:tr>
      <w:tr w:rsidR="00AC34D6" w14:paraId="45FADADC" w14:textId="77777777">
        <w:tc>
          <w:tcPr>
            <w:tcW w:w="1290" w:type="dxa"/>
            <w:vAlign w:val="center"/>
          </w:tcPr>
          <w:p w14:paraId="69B0DC7B" w14:textId="77777777" w:rsidR="00AC34D6" w:rsidRDefault="00726552">
            <w:pPr>
              <w:jc w:val="left"/>
            </w:pPr>
            <w:r>
              <w:rPr>
                <w:rFonts w:eastAsiaTheme="minorEastAsia"/>
                <w:color w:val="000000" w:themeColor="text1"/>
                <w:szCs w:val="21"/>
              </w:rPr>
              <w:t>过去三年</w:t>
            </w:r>
          </w:p>
        </w:tc>
        <w:tc>
          <w:tcPr>
            <w:tcW w:w="1291" w:type="dxa"/>
            <w:vAlign w:val="center"/>
          </w:tcPr>
          <w:p w14:paraId="41073CFD" w14:textId="77777777" w:rsidR="00AC34D6" w:rsidRDefault="00726552">
            <w:pPr>
              <w:jc w:val="right"/>
            </w:pPr>
            <w:r>
              <w:rPr>
                <w:rFonts w:eastAsiaTheme="minorEastAsia"/>
                <w:color w:val="000000" w:themeColor="text1"/>
                <w:szCs w:val="21"/>
              </w:rPr>
              <w:t>-</w:t>
            </w:r>
          </w:p>
        </w:tc>
        <w:tc>
          <w:tcPr>
            <w:tcW w:w="1291" w:type="dxa"/>
            <w:vAlign w:val="center"/>
          </w:tcPr>
          <w:p w14:paraId="4DBB9BBD" w14:textId="77777777" w:rsidR="00AC34D6" w:rsidRDefault="00726552">
            <w:pPr>
              <w:jc w:val="right"/>
            </w:pPr>
            <w:r>
              <w:rPr>
                <w:rFonts w:eastAsiaTheme="minorEastAsia"/>
                <w:color w:val="000000" w:themeColor="text1"/>
                <w:szCs w:val="21"/>
              </w:rPr>
              <w:t>-</w:t>
            </w:r>
          </w:p>
        </w:tc>
        <w:tc>
          <w:tcPr>
            <w:tcW w:w="1291" w:type="dxa"/>
            <w:vAlign w:val="center"/>
          </w:tcPr>
          <w:p w14:paraId="315275BB" w14:textId="77777777" w:rsidR="00AC34D6" w:rsidRDefault="00726552">
            <w:pPr>
              <w:jc w:val="right"/>
            </w:pPr>
            <w:r>
              <w:rPr>
                <w:rFonts w:eastAsiaTheme="minorEastAsia"/>
                <w:color w:val="000000" w:themeColor="text1"/>
                <w:szCs w:val="21"/>
              </w:rPr>
              <w:t>-</w:t>
            </w:r>
          </w:p>
        </w:tc>
        <w:tc>
          <w:tcPr>
            <w:tcW w:w="1291" w:type="dxa"/>
            <w:vAlign w:val="center"/>
          </w:tcPr>
          <w:p w14:paraId="437B5921" w14:textId="77777777" w:rsidR="00AC34D6" w:rsidRDefault="00726552">
            <w:pPr>
              <w:jc w:val="right"/>
            </w:pPr>
            <w:r>
              <w:rPr>
                <w:rFonts w:eastAsiaTheme="minorEastAsia"/>
                <w:color w:val="000000" w:themeColor="text1"/>
                <w:szCs w:val="21"/>
              </w:rPr>
              <w:t>-</w:t>
            </w:r>
          </w:p>
        </w:tc>
        <w:tc>
          <w:tcPr>
            <w:tcW w:w="1291" w:type="dxa"/>
            <w:vAlign w:val="center"/>
          </w:tcPr>
          <w:p w14:paraId="6E172ACA" w14:textId="77777777" w:rsidR="00AC34D6" w:rsidRDefault="00726552">
            <w:pPr>
              <w:jc w:val="right"/>
            </w:pPr>
            <w:r>
              <w:rPr>
                <w:rFonts w:eastAsiaTheme="minorEastAsia"/>
                <w:color w:val="000000" w:themeColor="text1"/>
                <w:szCs w:val="21"/>
              </w:rPr>
              <w:t>-</w:t>
            </w:r>
          </w:p>
        </w:tc>
        <w:tc>
          <w:tcPr>
            <w:tcW w:w="1291" w:type="dxa"/>
            <w:vAlign w:val="center"/>
          </w:tcPr>
          <w:p w14:paraId="09D1857E" w14:textId="77777777" w:rsidR="00AC34D6" w:rsidRDefault="00726552">
            <w:pPr>
              <w:jc w:val="right"/>
            </w:pPr>
            <w:r>
              <w:rPr>
                <w:rFonts w:eastAsiaTheme="minorEastAsia"/>
                <w:color w:val="000000" w:themeColor="text1"/>
                <w:szCs w:val="21"/>
              </w:rPr>
              <w:t>-</w:t>
            </w:r>
          </w:p>
        </w:tc>
      </w:tr>
      <w:tr w:rsidR="00AC34D6" w14:paraId="78332167" w14:textId="77777777">
        <w:tc>
          <w:tcPr>
            <w:tcW w:w="1290" w:type="dxa"/>
            <w:vAlign w:val="center"/>
          </w:tcPr>
          <w:p w14:paraId="43AB0A94" w14:textId="77777777" w:rsidR="00AC34D6" w:rsidRDefault="00726552">
            <w:pPr>
              <w:jc w:val="left"/>
            </w:pPr>
            <w:r>
              <w:rPr>
                <w:rFonts w:eastAsiaTheme="minorEastAsia"/>
                <w:color w:val="000000" w:themeColor="text1"/>
                <w:szCs w:val="21"/>
              </w:rPr>
              <w:t>过去五年</w:t>
            </w:r>
          </w:p>
        </w:tc>
        <w:tc>
          <w:tcPr>
            <w:tcW w:w="1291" w:type="dxa"/>
            <w:vAlign w:val="center"/>
          </w:tcPr>
          <w:p w14:paraId="13C1B5BF" w14:textId="77777777" w:rsidR="00AC34D6" w:rsidRDefault="00726552">
            <w:pPr>
              <w:jc w:val="right"/>
            </w:pPr>
            <w:r>
              <w:rPr>
                <w:rFonts w:eastAsiaTheme="minorEastAsia"/>
                <w:color w:val="000000" w:themeColor="text1"/>
                <w:szCs w:val="21"/>
              </w:rPr>
              <w:t>-</w:t>
            </w:r>
          </w:p>
        </w:tc>
        <w:tc>
          <w:tcPr>
            <w:tcW w:w="1291" w:type="dxa"/>
            <w:vAlign w:val="center"/>
          </w:tcPr>
          <w:p w14:paraId="09661C09" w14:textId="77777777" w:rsidR="00AC34D6" w:rsidRDefault="00726552">
            <w:pPr>
              <w:jc w:val="right"/>
            </w:pPr>
            <w:r>
              <w:rPr>
                <w:rFonts w:eastAsiaTheme="minorEastAsia"/>
                <w:color w:val="000000" w:themeColor="text1"/>
                <w:szCs w:val="21"/>
              </w:rPr>
              <w:t>-</w:t>
            </w:r>
          </w:p>
        </w:tc>
        <w:tc>
          <w:tcPr>
            <w:tcW w:w="1291" w:type="dxa"/>
            <w:vAlign w:val="center"/>
          </w:tcPr>
          <w:p w14:paraId="2D4E28DD" w14:textId="77777777" w:rsidR="00AC34D6" w:rsidRDefault="00726552">
            <w:pPr>
              <w:jc w:val="right"/>
            </w:pPr>
            <w:r>
              <w:rPr>
                <w:rFonts w:eastAsiaTheme="minorEastAsia"/>
                <w:color w:val="000000" w:themeColor="text1"/>
                <w:szCs w:val="21"/>
              </w:rPr>
              <w:t>-</w:t>
            </w:r>
          </w:p>
        </w:tc>
        <w:tc>
          <w:tcPr>
            <w:tcW w:w="1291" w:type="dxa"/>
            <w:vAlign w:val="center"/>
          </w:tcPr>
          <w:p w14:paraId="2A82647A" w14:textId="77777777" w:rsidR="00AC34D6" w:rsidRDefault="00726552">
            <w:pPr>
              <w:jc w:val="right"/>
            </w:pPr>
            <w:r>
              <w:rPr>
                <w:rFonts w:eastAsiaTheme="minorEastAsia"/>
                <w:color w:val="000000" w:themeColor="text1"/>
                <w:szCs w:val="21"/>
              </w:rPr>
              <w:t>-</w:t>
            </w:r>
          </w:p>
        </w:tc>
        <w:tc>
          <w:tcPr>
            <w:tcW w:w="1291" w:type="dxa"/>
            <w:vAlign w:val="center"/>
          </w:tcPr>
          <w:p w14:paraId="67556D04" w14:textId="77777777" w:rsidR="00AC34D6" w:rsidRDefault="00726552">
            <w:pPr>
              <w:jc w:val="right"/>
            </w:pPr>
            <w:r>
              <w:rPr>
                <w:rFonts w:eastAsiaTheme="minorEastAsia"/>
                <w:color w:val="000000" w:themeColor="text1"/>
                <w:szCs w:val="21"/>
              </w:rPr>
              <w:t>-</w:t>
            </w:r>
          </w:p>
        </w:tc>
        <w:tc>
          <w:tcPr>
            <w:tcW w:w="1291" w:type="dxa"/>
            <w:vAlign w:val="center"/>
          </w:tcPr>
          <w:p w14:paraId="53442458" w14:textId="77777777" w:rsidR="00AC34D6" w:rsidRDefault="00726552">
            <w:pPr>
              <w:jc w:val="right"/>
            </w:pPr>
            <w:r>
              <w:rPr>
                <w:rFonts w:eastAsiaTheme="minorEastAsia"/>
                <w:color w:val="000000" w:themeColor="text1"/>
                <w:szCs w:val="21"/>
              </w:rPr>
              <w:t>-</w:t>
            </w:r>
          </w:p>
        </w:tc>
      </w:tr>
      <w:tr w:rsidR="00AC34D6" w14:paraId="499A288A" w14:textId="77777777">
        <w:tc>
          <w:tcPr>
            <w:tcW w:w="1290" w:type="dxa"/>
            <w:vAlign w:val="center"/>
          </w:tcPr>
          <w:p w14:paraId="5C9559A9" w14:textId="77777777" w:rsidR="00AC34D6" w:rsidRDefault="00726552">
            <w:pPr>
              <w:jc w:val="left"/>
            </w:pPr>
            <w:r>
              <w:rPr>
                <w:rFonts w:eastAsiaTheme="minorEastAsia"/>
                <w:color w:val="000000" w:themeColor="text1"/>
                <w:szCs w:val="21"/>
              </w:rPr>
              <w:t>自基金合同生效起至今</w:t>
            </w:r>
          </w:p>
        </w:tc>
        <w:tc>
          <w:tcPr>
            <w:tcW w:w="1291" w:type="dxa"/>
            <w:vAlign w:val="center"/>
          </w:tcPr>
          <w:p w14:paraId="689DA24D" w14:textId="77777777" w:rsidR="00AC34D6" w:rsidRDefault="00726552">
            <w:pPr>
              <w:jc w:val="right"/>
            </w:pPr>
            <w:r>
              <w:rPr>
                <w:rFonts w:eastAsiaTheme="minorEastAsia"/>
                <w:color w:val="000000" w:themeColor="text1"/>
                <w:szCs w:val="21"/>
              </w:rPr>
              <w:t>-4.76%</w:t>
            </w:r>
          </w:p>
        </w:tc>
        <w:tc>
          <w:tcPr>
            <w:tcW w:w="1291" w:type="dxa"/>
            <w:vAlign w:val="center"/>
          </w:tcPr>
          <w:p w14:paraId="0268521F" w14:textId="77777777" w:rsidR="00AC34D6" w:rsidRDefault="00726552">
            <w:pPr>
              <w:jc w:val="right"/>
            </w:pPr>
            <w:r>
              <w:rPr>
                <w:rFonts w:eastAsiaTheme="minorEastAsia"/>
                <w:color w:val="000000" w:themeColor="text1"/>
                <w:szCs w:val="21"/>
              </w:rPr>
              <w:t>0.67%</w:t>
            </w:r>
          </w:p>
        </w:tc>
        <w:tc>
          <w:tcPr>
            <w:tcW w:w="1291" w:type="dxa"/>
            <w:vAlign w:val="center"/>
          </w:tcPr>
          <w:p w14:paraId="7723232F" w14:textId="77777777" w:rsidR="00AC34D6" w:rsidRDefault="00726552">
            <w:pPr>
              <w:jc w:val="right"/>
            </w:pPr>
            <w:r>
              <w:rPr>
                <w:rFonts w:eastAsiaTheme="minorEastAsia"/>
                <w:color w:val="000000" w:themeColor="text1"/>
                <w:szCs w:val="21"/>
              </w:rPr>
              <w:t>10.21%</w:t>
            </w:r>
          </w:p>
        </w:tc>
        <w:tc>
          <w:tcPr>
            <w:tcW w:w="1291" w:type="dxa"/>
            <w:vAlign w:val="center"/>
          </w:tcPr>
          <w:p w14:paraId="1A09BD90" w14:textId="77777777" w:rsidR="00AC34D6" w:rsidRDefault="00726552">
            <w:pPr>
              <w:jc w:val="right"/>
            </w:pPr>
            <w:r>
              <w:rPr>
                <w:rFonts w:eastAsiaTheme="minorEastAsia"/>
                <w:color w:val="000000" w:themeColor="text1"/>
                <w:szCs w:val="21"/>
              </w:rPr>
              <w:t>0.57%</w:t>
            </w:r>
          </w:p>
        </w:tc>
        <w:tc>
          <w:tcPr>
            <w:tcW w:w="1291" w:type="dxa"/>
            <w:vAlign w:val="center"/>
          </w:tcPr>
          <w:p w14:paraId="02B9EEB2" w14:textId="77777777" w:rsidR="00AC34D6" w:rsidRDefault="00726552">
            <w:pPr>
              <w:jc w:val="right"/>
            </w:pPr>
            <w:r>
              <w:rPr>
                <w:rFonts w:eastAsiaTheme="minorEastAsia"/>
                <w:color w:val="000000" w:themeColor="text1"/>
                <w:szCs w:val="21"/>
              </w:rPr>
              <w:t>-14.97%</w:t>
            </w:r>
          </w:p>
        </w:tc>
        <w:tc>
          <w:tcPr>
            <w:tcW w:w="1291" w:type="dxa"/>
            <w:vAlign w:val="center"/>
          </w:tcPr>
          <w:p w14:paraId="3206CAAD" w14:textId="77777777" w:rsidR="00AC34D6" w:rsidRDefault="00726552">
            <w:pPr>
              <w:jc w:val="right"/>
            </w:pPr>
            <w:r>
              <w:rPr>
                <w:rFonts w:eastAsiaTheme="minorEastAsia"/>
                <w:color w:val="000000" w:themeColor="text1"/>
                <w:szCs w:val="21"/>
              </w:rPr>
              <w:t>0.10%</w:t>
            </w:r>
          </w:p>
        </w:tc>
      </w:tr>
    </w:tbl>
    <w:p w14:paraId="3A1210DF"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摩根博</w:t>
      </w:r>
      <w:proofErr w:type="gramStart"/>
      <w:r w:rsidRPr="00B27A29">
        <w:rPr>
          <w:rFonts w:eastAsiaTheme="minorEastAsia"/>
          <w:b/>
          <w:color w:val="000000" w:themeColor="text1"/>
          <w:kern w:val="0"/>
          <w:szCs w:val="21"/>
        </w:rPr>
        <w:t>睿</w:t>
      </w:r>
      <w:proofErr w:type="gramEnd"/>
      <w:r w:rsidRPr="00B27A29">
        <w:rPr>
          <w:rFonts w:eastAsiaTheme="minorEastAsia"/>
          <w:b/>
          <w:color w:val="000000" w:themeColor="text1"/>
          <w:kern w:val="0"/>
          <w:szCs w:val="21"/>
        </w:rPr>
        <w:t>均衡一年持有混合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6598161" w14:textId="77777777">
        <w:tc>
          <w:tcPr>
            <w:tcW w:w="1290" w:type="dxa"/>
            <w:vAlign w:val="center"/>
          </w:tcPr>
          <w:p w14:paraId="621E139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6E1E31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2D0D5E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0AAA06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CD8BD6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1E6E99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29B2EA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C34D6" w14:paraId="220958AA" w14:textId="77777777">
        <w:tc>
          <w:tcPr>
            <w:tcW w:w="1290" w:type="dxa"/>
            <w:vAlign w:val="center"/>
          </w:tcPr>
          <w:p w14:paraId="12C54660" w14:textId="77777777" w:rsidR="00AC34D6" w:rsidRDefault="00726552">
            <w:pPr>
              <w:jc w:val="left"/>
            </w:pPr>
            <w:r>
              <w:rPr>
                <w:rFonts w:eastAsiaTheme="minorEastAsia"/>
                <w:color w:val="000000" w:themeColor="text1"/>
                <w:szCs w:val="21"/>
              </w:rPr>
              <w:t>过去三个月</w:t>
            </w:r>
          </w:p>
        </w:tc>
        <w:tc>
          <w:tcPr>
            <w:tcW w:w="1291" w:type="dxa"/>
            <w:vAlign w:val="center"/>
          </w:tcPr>
          <w:p w14:paraId="35298613" w14:textId="77777777" w:rsidR="00AC34D6" w:rsidRDefault="00726552">
            <w:pPr>
              <w:jc w:val="right"/>
            </w:pPr>
            <w:r>
              <w:rPr>
                <w:rFonts w:eastAsiaTheme="minorEastAsia"/>
                <w:color w:val="000000" w:themeColor="text1"/>
                <w:szCs w:val="21"/>
              </w:rPr>
              <w:t>-1.14%</w:t>
            </w:r>
          </w:p>
        </w:tc>
        <w:tc>
          <w:tcPr>
            <w:tcW w:w="1291" w:type="dxa"/>
            <w:vAlign w:val="center"/>
          </w:tcPr>
          <w:p w14:paraId="15095F65" w14:textId="77777777" w:rsidR="00AC34D6" w:rsidRDefault="00726552">
            <w:pPr>
              <w:jc w:val="right"/>
            </w:pPr>
            <w:r>
              <w:rPr>
                <w:rFonts w:eastAsiaTheme="minorEastAsia"/>
                <w:color w:val="000000" w:themeColor="text1"/>
                <w:szCs w:val="21"/>
              </w:rPr>
              <w:t>1.06%</w:t>
            </w:r>
          </w:p>
        </w:tc>
        <w:tc>
          <w:tcPr>
            <w:tcW w:w="1291" w:type="dxa"/>
            <w:vAlign w:val="center"/>
          </w:tcPr>
          <w:p w14:paraId="239D6D06" w14:textId="77777777" w:rsidR="00AC34D6" w:rsidRDefault="00726552">
            <w:pPr>
              <w:jc w:val="right"/>
            </w:pPr>
            <w:r>
              <w:rPr>
                <w:rFonts w:eastAsiaTheme="minorEastAsia"/>
                <w:color w:val="000000" w:themeColor="text1"/>
                <w:szCs w:val="21"/>
              </w:rPr>
              <w:t>0.27%</w:t>
            </w:r>
          </w:p>
        </w:tc>
        <w:tc>
          <w:tcPr>
            <w:tcW w:w="1291" w:type="dxa"/>
            <w:vAlign w:val="center"/>
          </w:tcPr>
          <w:p w14:paraId="696C5605" w14:textId="77777777" w:rsidR="00AC34D6" w:rsidRDefault="00726552">
            <w:pPr>
              <w:jc w:val="right"/>
            </w:pPr>
            <w:r>
              <w:rPr>
                <w:rFonts w:eastAsiaTheme="minorEastAsia"/>
                <w:color w:val="000000" w:themeColor="text1"/>
                <w:szCs w:val="21"/>
              </w:rPr>
              <w:t>0.90%</w:t>
            </w:r>
          </w:p>
        </w:tc>
        <w:tc>
          <w:tcPr>
            <w:tcW w:w="1291" w:type="dxa"/>
            <w:vAlign w:val="center"/>
          </w:tcPr>
          <w:p w14:paraId="7C2CEBA8" w14:textId="77777777" w:rsidR="00AC34D6" w:rsidRDefault="00726552">
            <w:pPr>
              <w:jc w:val="right"/>
            </w:pPr>
            <w:r>
              <w:rPr>
                <w:rFonts w:eastAsiaTheme="minorEastAsia"/>
                <w:color w:val="000000" w:themeColor="text1"/>
                <w:szCs w:val="21"/>
              </w:rPr>
              <w:t>-1.41%</w:t>
            </w:r>
          </w:p>
        </w:tc>
        <w:tc>
          <w:tcPr>
            <w:tcW w:w="1291" w:type="dxa"/>
            <w:vAlign w:val="center"/>
          </w:tcPr>
          <w:p w14:paraId="6259972C" w14:textId="77777777" w:rsidR="00AC34D6" w:rsidRDefault="00726552">
            <w:pPr>
              <w:jc w:val="right"/>
            </w:pPr>
            <w:r>
              <w:rPr>
                <w:rFonts w:eastAsiaTheme="minorEastAsia"/>
                <w:color w:val="000000" w:themeColor="text1"/>
                <w:szCs w:val="21"/>
              </w:rPr>
              <w:t>0.16%</w:t>
            </w:r>
          </w:p>
        </w:tc>
      </w:tr>
      <w:tr w:rsidR="00AC34D6" w14:paraId="07A89FEC" w14:textId="77777777">
        <w:tc>
          <w:tcPr>
            <w:tcW w:w="1290" w:type="dxa"/>
            <w:vAlign w:val="center"/>
          </w:tcPr>
          <w:p w14:paraId="5B9B37E4" w14:textId="77777777" w:rsidR="00AC34D6" w:rsidRDefault="00726552">
            <w:pPr>
              <w:jc w:val="left"/>
            </w:pPr>
            <w:r>
              <w:rPr>
                <w:rFonts w:eastAsiaTheme="minorEastAsia"/>
                <w:color w:val="000000" w:themeColor="text1"/>
                <w:szCs w:val="21"/>
              </w:rPr>
              <w:t>过去六个月</w:t>
            </w:r>
          </w:p>
        </w:tc>
        <w:tc>
          <w:tcPr>
            <w:tcW w:w="1291" w:type="dxa"/>
            <w:vAlign w:val="center"/>
          </w:tcPr>
          <w:p w14:paraId="6CBC0044" w14:textId="77777777" w:rsidR="00AC34D6" w:rsidRDefault="00726552">
            <w:pPr>
              <w:jc w:val="right"/>
            </w:pPr>
            <w:r>
              <w:rPr>
                <w:rFonts w:eastAsiaTheme="minorEastAsia"/>
                <w:color w:val="000000" w:themeColor="text1"/>
                <w:szCs w:val="21"/>
              </w:rPr>
              <w:t>9.23%</w:t>
            </w:r>
          </w:p>
        </w:tc>
        <w:tc>
          <w:tcPr>
            <w:tcW w:w="1291" w:type="dxa"/>
            <w:vAlign w:val="center"/>
          </w:tcPr>
          <w:p w14:paraId="036313C3" w14:textId="77777777" w:rsidR="00AC34D6" w:rsidRDefault="00726552">
            <w:pPr>
              <w:jc w:val="right"/>
            </w:pPr>
            <w:r>
              <w:rPr>
                <w:rFonts w:eastAsiaTheme="minorEastAsia"/>
                <w:color w:val="000000" w:themeColor="text1"/>
                <w:szCs w:val="21"/>
              </w:rPr>
              <w:t>1.06%</w:t>
            </w:r>
          </w:p>
        </w:tc>
        <w:tc>
          <w:tcPr>
            <w:tcW w:w="1291" w:type="dxa"/>
            <w:vAlign w:val="center"/>
          </w:tcPr>
          <w:p w14:paraId="0AF9D86A" w14:textId="77777777" w:rsidR="00AC34D6" w:rsidRDefault="00726552">
            <w:pPr>
              <w:jc w:val="right"/>
            </w:pPr>
            <w:r>
              <w:rPr>
                <w:rFonts w:eastAsiaTheme="minorEastAsia"/>
                <w:color w:val="000000" w:themeColor="text1"/>
                <w:szCs w:val="21"/>
              </w:rPr>
              <w:t>9.07%</w:t>
            </w:r>
          </w:p>
        </w:tc>
        <w:tc>
          <w:tcPr>
            <w:tcW w:w="1291" w:type="dxa"/>
            <w:vAlign w:val="center"/>
          </w:tcPr>
          <w:p w14:paraId="2DF0134E" w14:textId="77777777" w:rsidR="00AC34D6" w:rsidRDefault="00726552">
            <w:pPr>
              <w:jc w:val="right"/>
            </w:pPr>
            <w:r>
              <w:rPr>
                <w:rFonts w:eastAsiaTheme="minorEastAsia"/>
                <w:color w:val="000000" w:themeColor="text1"/>
                <w:szCs w:val="21"/>
              </w:rPr>
              <w:t>0.86%</w:t>
            </w:r>
          </w:p>
        </w:tc>
        <w:tc>
          <w:tcPr>
            <w:tcW w:w="1291" w:type="dxa"/>
            <w:vAlign w:val="center"/>
          </w:tcPr>
          <w:p w14:paraId="6E216509" w14:textId="77777777" w:rsidR="00AC34D6" w:rsidRDefault="00726552">
            <w:pPr>
              <w:jc w:val="right"/>
            </w:pPr>
            <w:r>
              <w:rPr>
                <w:rFonts w:eastAsiaTheme="minorEastAsia"/>
                <w:color w:val="000000" w:themeColor="text1"/>
                <w:szCs w:val="21"/>
              </w:rPr>
              <w:t>0.16%</w:t>
            </w:r>
          </w:p>
        </w:tc>
        <w:tc>
          <w:tcPr>
            <w:tcW w:w="1291" w:type="dxa"/>
            <w:vAlign w:val="center"/>
          </w:tcPr>
          <w:p w14:paraId="122DF1F9" w14:textId="77777777" w:rsidR="00AC34D6" w:rsidRDefault="00726552">
            <w:pPr>
              <w:jc w:val="right"/>
            </w:pPr>
            <w:r>
              <w:rPr>
                <w:rFonts w:eastAsiaTheme="minorEastAsia"/>
                <w:color w:val="000000" w:themeColor="text1"/>
                <w:szCs w:val="21"/>
              </w:rPr>
              <w:t>0.20%</w:t>
            </w:r>
          </w:p>
        </w:tc>
      </w:tr>
      <w:tr w:rsidR="00AC34D6" w14:paraId="1E6E1CF3" w14:textId="77777777">
        <w:tc>
          <w:tcPr>
            <w:tcW w:w="1290" w:type="dxa"/>
            <w:vAlign w:val="center"/>
          </w:tcPr>
          <w:p w14:paraId="6B0BD8A1" w14:textId="77777777" w:rsidR="00AC34D6" w:rsidRDefault="00726552">
            <w:pPr>
              <w:jc w:val="left"/>
            </w:pPr>
            <w:r>
              <w:rPr>
                <w:rFonts w:eastAsiaTheme="minorEastAsia"/>
                <w:color w:val="000000" w:themeColor="text1"/>
                <w:szCs w:val="21"/>
              </w:rPr>
              <w:t>过去一年</w:t>
            </w:r>
          </w:p>
        </w:tc>
        <w:tc>
          <w:tcPr>
            <w:tcW w:w="1291" w:type="dxa"/>
            <w:vAlign w:val="center"/>
          </w:tcPr>
          <w:p w14:paraId="408285A9" w14:textId="77777777" w:rsidR="00AC34D6" w:rsidRDefault="00726552">
            <w:pPr>
              <w:jc w:val="right"/>
            </w:pPr>
            <w:r>
              <w:rPr>
                <w:rFonts w:eastAsiaTheme="minorEastAsia"/>
                <w:color w:val="000000" w:themeColor="text1"/>
                <w:szCs w:val="21"/>
              </w:rPr>
              <w:t>7.68%</w:t>
            </w:r>
          </w:p>
        </w:tc>
        <w:tc>
          <w:tcPr>
            <w:tcW w:w="1291" w:type="dxa"/>
            <w:vAlign w:val="center"/>
          </w:tcPr>
          <w:p w14:paraId="6A4E70E5" w14:textId="77777777" w:rsidR="00AC34D6" w:rsidRDefault="00726552">
            <w:pPr>
              <w:jc w:val="right"/>
            </w:pPr>
            <w:r>
              <w:rPr>
                <w:rFonts w:eastAsiaTheme="minorEastAsia"/>
                <w:color w:val="000000" w:themeColor="text1"/>
                <w:szCs w:val="21"/>
              </w:rPr>
              <w:t>0.91%</w:t>
            </w:r>
          </w:p>
        </w:tc>
        <w:tc>
          <w:tcPr>
            <w:tcW w:w="1291" w:type="dxa"/>
            <w:vAlign w:val="center"/>
          </w:tcPr>
          <w:p w14:paraId="5E4DEC7D" w14:textId="77777777" w:rsidR="00AC34D6" w:rsidRDefault="00726552">
            <w:pPr>
              <w:jc w:val="right"/>
            </w:pPr>
            <w:r>
              <w:rPr>
                <w:rFonts w:eastAsiaTheme="minorEastAsia"/>
                <w:color w:val="000000" w:themeColor="text1"/>
                <w:szCs w:val="21"/>
              </w:rPr>
              <w:t>10.07%</w:t>
            </w:r>
          </w:p>
        </w:tc>
        <w:tc>
          <w:tcPr>
            <w:tcW w:w="1291" w:type="dxa"/>
            <w:vAlign w:val="center"/>
          </w:tcPr>
          <w:p w14:paraId="6E765571" w14:textId="77777777" w:rsidR="00AC34D6" w:rsidRDefault="00726552">
            <w:pPr>
              <w:jc w:val="right"/>
            </w:pPr>
            <w:r>
              <w:rPr>
                <w:rFonts w:eastAsiaTheme="minorEastAsia"/>
                <w:color w:val="000000" w:themeColor="text1"/>
                <w:szCs w:val="21"/>
              </w:rPr>
              <w:t>0.71%</w:t>
            </w:r>
          </w:p>
        </w:tc>
        <w:tc>
          <w:tcPr>
            <w:tcW w:w="1291" w:type="dxa"/>
            <w:vAlign w:val="center"/>
          </w:tcPr>
          <w:p w14:paraId="4CB8CEAE" w14:textId="77777777" w:rsidR="00AC34D6" w:rsidRDefault="00726552">
            <w:pPr>
              <w:jc w:val="right"/>
            </w:pPr>
            <w:r>
              <w:rPr>
                <w:rFonts w:eastAsiaTheme="minorEastAsia"/>
                <w:color w:val="000000" w:themeColor="text1"/>
                <w:szCs w:val="21"/>
              </w:rPr>
              <w:t>-2.39%</w:t>
            </w:r>
          </w:p>
        </w:tc>
        <w:tc>
          <w:tcPr>
            <w:tcW w:w="1291" w:type="dxa"/>
            <w:vAlign w:val="center"/>
          </w:tcPr>
          <w:p w14:paraId="68DDC226" w14:textId="77777777" w:rsidR="00AC34D6" w:rsidRDefault="00726552">
            <w:pPr>
              <w:jc w:val="right"/>
            </w:pPr>
            <w:r>
              <w:rPr>
                <w:rFonts w:eastAsiaTheme="minorEastAsia"/>
                <w:color w:val="000000" w:themeColor="text1"/>
                <w:szCs w:val="21"/>
              </w:rPr>
              <w:t>0.20%</w:t>
            </w:r>
          </w:p>
        </w:tc>
      </w:tr>
      <w:tr w:rsidR="00AC34D6" w14:paraId="66586BC6" w14:textId="77777777">
        <w:tc>
          <w:tcPr>
            <w:tcW w:w="1290" w:type="dxa"/>
            <w:vAlign w:val="center"/>
          </w:tcPr>
          <w:p w14:paraId="01595466" w14:textId="77777777" w:rsidR="00AC34D6" w:rsidRDefault="00726552">
            <w:pPr>
              <w:jc w:val="left"/>
            </w:pPr>
            <w:r>
              <w:rPr>
                <w:rFonts w:eastAsiaTheme="minorEastAsia"/>
                <w:color w:val="000000" w:themeColor="text1"/>
                <w:szCs w:val="21"/>
              </w:rPr>
              <w:t>过去三年</w:t>
            </w:r>
          </w:p>
        </w:tc>
        <w:tc>
          <w:tcPr>
            <w:tcW w:w="1291" w:type="dxa"/>
            <w:vAlign w:val="center"/>
          </w:tcPr>
          <w:p w14:paraId="5B07706B" w14:textId="77777777" w:rsidR="00AC34D6" w:rsidRDefault="00726552">
            <w:pPr>
              <w:jc w:val="right"/>
            </w:pPr>
            <w:r>
              <w:rPr>
                <w:rFonts w:eastAsiaTheme="minorEastAsia"/>
                <w:color w:val="000000" w:themeColor="text1"/>
                <w:szCs w:val="21"/>
              </w:rPr>
              <w:t>-</w:t>
            </w:r>
          </w:p>
        </w:tc>
        <w:tc>
          <w:tcPr>
            <w:tcW w:w="1291" w:type="dxa"/>
            <w:vAlign w:val="center"/>
          </w:tcPr>
          <w:p w14:paraId="4770AEE2" w14:textId="77777777" w:rsidR="00AC34D6" w:rsidRDefault="00726552">
            <w:pPr>
              <w:jc w:val="right"/>
            </w:pPr>
            <w:r>
              <w:rPr>
                <w:rFonts w:eastAsiaTheme="minorEastAsia"/>
                <w:color w:val="000000" w:themeColor="text1"/>
                <w:szCs w:val="21"/>
              </w:rPr>
              <w:t>-</w:t>
            </w:r>
          </w:p>
        </w:tc>
        <w:tc>
          <w:tcPr>
            <w:tcW w:w="1291" w:type="dxa"/>
            <w:vAlign w:val="center"/>
          </w:tcPr>
          <w:p w14:paraId="48F1FCA0" w14:textId="77777777" w:rsidR="00AC34D6" w:rsidRDefault="00726552">
            <w:pPr>
              <w:jc w:val="right"/>
            </w:pPr>
            <w:r>
              <w:rPr>
                <w:rFonts w:eastAsiaTheme="minorEastAsia"/>
                <w:color w:val="000000" w:themeColor="text1"/>
                <w:szCs w:val="21"/>
              </w:rPr>
              <w:t>-</w:t>
            </w:r>
          </w:p>
        </w:tc>
        <w:tc>
          <w:tcPr>
            <w:tcW w:w="1291" w:type="dxa"/>
            <w:vAlign w:val="center"/>
          </w:tcPr>
          <w:p w14:paraId="06756EE1" w14:textId="77777777" w:rsidR="00AC34D6" w:rsidRDefault="00726552">
            <w:pPr>
              <w:jc w:val="right"/>
            </w:pPr>
            <w:r>
              <w:rPr>
                <w:rFonts w:eastAsiaTheme="minorEastAsia"/>
                <w:color w:val="000000" w:themeColor="text1"/>
                <w:szCs w:val="21"/>
              </w:rPr>
              <w:t>-</w:t>
            </w:r>
          </w:p>
        </w:tc>
        <w:tc>
          <w:tcPr>
            <w:tcW w:w="1291" w:type="dxa"/>
            <w:vAlign w:val="center"/>
          </w:tcPr>
          <w:p w14:paraId="622B5EAA" w14:textId="77777777" w:rsidR="00AC34D6" w:rsidRDefault="00726552">
            <w:pPr>
              <w:jc w:val="right"/>
            </w:pPr>
            <w:r>
              <w:rPr>
                <w:rFonts w:eastAsiaTheme="minorEastAsia"/>
                <w:color w:val="000000" w:themeColor="text1"/>
                <w:szCs w:val="21"/>
              </w:rPr>
              <w:t>-</w:t>
            </w:r>
          </w:p>
        </w:tc>
        <w:tc>
          <w:tcPr>
            <w:tcW w:w="1291" w:type="dxa"/>
            <w:vAlign w:val="center"/>
          </w:tcPr>
          <w:p w14:paraId="34DB910D" w14:textId="77777777" w:rsidR="00AC34D6" w:rsidRDefault="00726552">
            <w:pPr>
              <w:jc w:val="right"/>
            </w:pPr>
            <w:r>
              <w:rPr>
                <w:rFonts w:eastAsiaTheme="minorEastAsia"/>
                <w:color w:val="000000" w:themeColor="text1"/>
                <w:szCs w:val="21"/>
              </w:rPr>
              <w:t>-</w:t>
            </w:r>
          </w:p>
        </w:tc>
      </w:tr>
      <w:tr w:rsidR="00AC34D6" w14:paraId="7F18611D" w14:textId="77777777">
        <w:tc>
          <w:tcPr>
            <w:tcW w:w="1290" w:type="dxa"/>
            <w:vAlign w:val="center"/>
          </w:tcPr>
          <w:p w14:paraId="692B72C7" w14:textId="77777777" w:rsidR="00AC34D6" w:rsidRDefault="00726552">
            <w:pPr>
              <w:jc w:val="left"/>
            </w:pPr>
            <w:r>
              <w:rPr>
                <w:rFonts w:eastAsiaTheme="minorEastAsia"/>
                <w:color w:val="000000" w:themeColor="text1"/>
                <w:szCs w:val="21"/>
              </w:rPr>
              <w:t>过去五年</w:t>
            </w:r>
          </w:p>
        </w:tc>
        <w:tc>
          <w:tcPr>
            <w:tcW w:w="1291" w:type="dxa"/>
            <w:vAlign w:val="center"/>
          </w:tcPr>
          <w:p w14:paraId="42DF330E" w14:textId="77777777" w:rsidR="00AC34D6" w:rsidRDefault="00726552">
            <w:pPr>
              <w:jc w:val="right"/>
            </w:pPr>
            <w:r>
              <w:rPr>
                <w:rFonts w:eastAsiaTheme="minorEastAsia"/>
                <w:color w:val="000000" w:themeColor="text1"/>
                <w:szCs w:val="21"/>
              </w:rPr>
              <w:t>-</w:t>
            </w:r>
          </w:p>
        </w:tc>
        <w:tc>
          <w:tcPr>
            <w:tcW w:w="1291" w:type="dxa"/>
            <w:vAlign w:val="center"/>
          </w:tcPr>
          <w:p w14:paraId="07B6761B" w14:textId="77777777" w:rsidR="00AC34D6" w:rsidRDefault="00726552">
            <w:pPr>
              <w:jc w:val="right"/>
            </w:pPr>
            <w:r>
              <w:rPr>
                <w:rFonts w:eastAsiaTheme="minorEastAsia"/>
                <w:color w:val="000000" w:themeColor="text1"/>
                <w:szCs w:val="21"/>
              </w:rPr>
              <w:t>-</w:t>
            </w:r>
          </w:p>
        </w:tc>
        <w:tc>
          <w:tcPr>
            <w:tcW w:w="1291" w:type="dxa"/>
            <w:vAlign w:val="center"/>
          </w:tcPr>
          <w:p w14:paraId="7DDDB15D" w14:textId="77777777" w:rsidR="00AC34D6" w:rsidRDefault="00726552">
            <w:pPr>
              <w:jc w:val="right"/>
            </w:pPr>
            <w:r>
              <w:rPr>
                <w:rFonts w:eastAsiaTheme="minorEastAsia"/>
                <w:color w:val="000000" w:themeColor="text1"/>
                <w:szCs w:val="21"/>
              </w:rPr>
              <w:t>-</w:t>
            </w:r>
          </w:p>
        </w:tc>
        <w:tc>
          <w:tcPr>
            <w:tcW w:w="1291" w:type="dxa"/>
            <w:vAlign w:val="center"/>
          </w:tcPr>
          <w:p w14:paraId="3CEA2888" w14:textId="77777777" w:rsidR="00AC34D6" w:rsidRDefault="00726552">
            <w:pPr>
              <w:jc w:val="right"/>
            </w:pPr>
            <w:r>
              <w:rPr>
                <w:rFonts w:eastAsiaTheme="minorEastAsia"/>
                <w:color w:val="000000" w:themeColor="text1"/>
                <w:szCs w:val="21"/>
              </w:rPr>
              <w:t>-</w:t>
            </w:r>
          </w:p>
        </w:tc>
        <w:tc>
          <w:tcPr>
            <w:tcW w:w="1291" w:type="dxa"/>
            <w:vAlign w:val="center"/>
          </w:tcPr>
          <w:p w14:paraId="7E21CB09" w14:textId="77777777" w:rsidR="00AC34D6" w:rsidRDefault="00726552">
            <w:pPr>
              <w:jc w:val="right"/>
            </w:pPr>
            <w:r>
              <w:rPr>
                <w:rFonts w:eastAsiaTheme="minorEastAsia"/>
                <w:color w:val="000000" w:themeColor="text1"/>
                <w:szCs w:val="21"/>
              </w:rPr>
              <w:t>-</w:t>
            </w:r>
          </w:p>
        </w:tc>
        <w:tc>
          <w:tcPr>
            <w:tcW w:w="1291" w:type="dxa"/>
            <w:vAlign w:val="center"/>
          </w:tcPr>
          <w:p w14:paraId="71770C1B" w14:textId="77777777" w:rsidR="00AC34D6" w:rsidRDefault="00726552">
            <w:pPr>
              <w:jc w:val="right"/>
            </w:pPr>
            <w:r>
              <w:rPr>
                <w:rFonts w:eastAsiaTheme="minorEastAsia"/>
                <w:color w:val="000000" w:themeColor="text1"/>
                <w:szCs w:val="21"/>
              </w:rPr>
              <w:t>-</w:t>
            </w:r>
          </w:p>
        </w:tc>
      </w:tr>
      <w:tr w:rsidR="00AC34D6" w14:paraId="18321691" w14:textId="77777777">
        <w:tc>
          <w:tcPr>
            <w:tcW w:w="1290" w:type="dxa"/>
            <w:vAlign w:val="center"/>
          </w:tcPr>
          <w:p w14:paraId="655298BC" w14:textId="77777777" w:rsidR="00AC34D6" w:rsidRDefault="00726552">
            <w:pPr>
              <w:jc w:val="left"/>
            </w:pPr>
            <w:r>
              <w:rPr>
                <w:rFonts w:eastAsiaTheme="minorEastAsia"/>
                <w:color w:val="000000" w:themeColor="text1"/>
                <w:szCs w:val="21"/>
              </w:rPr>
              <w:t>自基金合同生效起至今</w:t>
            </w:r>
          </w:p>
        </w:tc>
        <w:tc>
          <w:tcPr>
            <w:tcW w:w="1291" w:type="dxa"/>
            <w:vAlign w:val="center"/>
          </w:tcPr>
          <w:p w14:paraId="2CBA403C" w14:textId="77777777" w:rsidR="00AC34D6" w:rsidRDefault="00726552">
            <w:pPr>
              <w:jc w:val="right"/>
            </w:pPr>
            <w:r>
              <w:rPr>
                <w:rFonts w:eastAsiaTheme="minorEastAsia"/>
                <w:color w:val="000000" w:themeColor="text1"/>
                <w:szCs w:val="21"/>
              </w:rPr>
              <w:t>-6.03%</w:t>
            </w:r>
          </w:p>
        </w:tc>
        <w:tc>
          <w:tcPr>
            <w:tcW w:w="1291" w:type="dxa"/>
            <w:vAlign w:val="center"/>
          </w:tcPr>
          <w:p w14:paraId="003F12C5" w14:textId="77777777" w:rsidR="00AC34D6" w:rsidRDefault="00726552">
            <w:pPr>
              <w:jc w:val="right"/>
            </w:pPr>
            <w:r>
              <w:rPr>
                <w:rFonts w:eastAsiaTheme="minorEastAsia"/>
                <w:color w:val="000000" w:themeColor="text1"/>
                <w:szCs w:val="21"/>
              </w:rPr>
              <w:t>0.67%</w:t>
            </w:r>
          </w:p>
        </w:tc>
        <w:tc>
          <w:tcPr>
            <w:tcW w:w="1291" w:type="dxa"/>
            <w:vAlign w:val="center"/>
          </w:tcPr>
          <w:p w14:paraId="0EBFC24C" w14:textId="77777777" w:rsidR="00AC34D6" w:rsidRDefault="00726552">
            <w:pPr>
              <w:jc w:val="right"/>
            </w:pPr>
            <w:r>
              <w:rPr>
                <w:rFonts w:eastAsiaTheme="minorEastAsia"/>
                <w:color w:val="000000" w:themeColor="text1"/>
                <w:szCs w:val="21"/>
              </w:rPr>
              <w:t>10.21%</w:t>
            </w:r>
          </w:p>
        </w:tc>
        <w:tc>
          <w:tcPr>
            <w:tcW w:w="1291" w:type="dxa"/>
            <w:vAlign w:val="center"/>
          </w:tcPr>
          <w:p w14:paraId="6D8D8FF6" w14:textId="77777777" w:rsidR="00AC34D6" w:rsidRDefault="00726552">
            <w:pPr>
              <w:jc w:val="right"/>
            </w:pPr>
            <w:r>
              <w:rPr>
                <w:rFonts w:eastAsiaTheme="minorEastAsia"/>
                <w:color w:val="000000" w:themeColor="text1"/>
                <w:szCs w:val="21"/>
              </w:rPr>
              <w:t>0.57%</w:t>
            </w:r>
          </w:p>
        </w:tc>
        <w:tc>
          <w:tcPr>
            <w:tcW w:w="1291" w:type="dxa"/>
            <w:vAlign w:val="center"/>
          </w:tcPr>
          <w:p w14:paraId="6AD8BAF8" w14:textId="77777777" w:rsidR="00AC34D6" w:rsidRDefault="00726552">
            <w:pPr>
              <w:jc w:val="right"/>
            </w:pPr>
            <w:r>
              <w:rPr>
                <w:rFonts w:eastAsiaTheme="minorEastAsia"/>
                <w:color w:val="000000" w:themeColor="text1"/>
                <w:szCs w:val="21"/>
              </w:rPr>
              <w:t>-16.24%</w:t>
            </w:r>
          </w:p>
        </w:tc>
        <w:tc>
          <w:tcPr>
            <w:tcW w:w="1291" w:type="dxa"/>
            <w:vAlign w:val="center"/>
          </w:tcPr>
          <w:p w14:paraId="1789B003" w14:textId="77777777" w:rsidR="00AC34D6" w:rsidRDefault="00726552">
            <w:pPr>
              <w:jc w:val="right"/>
            </w:pPr>
            <w:r>
              <w:rPr>
                <w:rFonts w:eastAsiaTheme="minorEastAsia"/>
                <w:color w:val="000000" w:themeColor="text1"/>
                <w:szCs w:val="21"/>
              </w:rPr>
              <w:t>0.10%</w:t>
            </w:r>
          </w:p>
        </w:tc>
      </w:tr>
    </w:tbl>
    <w:p w14:paraId="54988A5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7B0051B8"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均衡一年持有期混合型基金中基金</w:t>
      </w:r>
      <w:r w:rsidRPr="00B27A29">
        <w:rPr>
          <w:rFonts w:eastAsiaTheme="minorEastAsia"/>
          <w:color w:val="000000" w:themeColor="text1"/>
          <w:szCs w:val="21"/>
        </w:rPr>
        <w:t>(FOF)</w:t>
      </w:r>
    </w:p>
    <w:p w14:paraId="564BF46E"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AED1214"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3DB553E"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r w:rsidRPr="00B27A29">
        <w:rPr>
          <w:rFonts w:eastAsiaTheme="minorEastAsia"/>
          <w:color w:val="000000" w:themeColor="text1"/>
          <w:szCs w:val="21"/>
        </w:rPr>
        <w:t>：</w:t>
      </w:r>
    </w:p>
    <w:p w14:paraId="00620C69"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BFF724B" wp14:editId="51D080E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C82C64D"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r w:rsidRPr="00B27A29">
        <w:rPr>
          <w:rFonts w:eastAsiaTheme="minorEastAsia"/>
          <w:color w:val="000000" w:themeColor="text1"/>
          <w:szCs w:val="21"/>
        </w:rPr>
        <w:t>：</w:t>
      </w:r>
    </w:p>
    <w:p w14:paraId="4FFE4D9E"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46EF3AEC" wp14:editId="62B4515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9F47FDC"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14:paraId="63DA167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409D3451" w14:textId="77777777" w:rsidR="005E6DF3" w:rsidRPr="00B27A29" w:rsidRDefault="005E6DF3">
      <w:pPr>
        <w:tabs>
          <w:tab w:val="left" w:pos="1800"/>
        </w:tabs>
        <w:spacing w:line="288" w:lineRule="auto"/>
        <w:rPr>
          <w:rFonts w:eastAsiaTheme="minorEastAsia"/>
          <w:color w:val="000000" w:themeColor="text1"/>
          <w:szCs w:val="21"/>
        </w:rPr>
      </w:pPr>
    </w:p>
    <w:p w14:paraId="69ECD3C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D8556A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6494DA09" w14:textId="77777777">
        <w:tc>
          <w:tcPr>
            <w:tcW w:w="952" w:type="dxa"/>
            <w:vMerge w:val="restart"/>
            <w:vAlign w:val="center"/>
          </w:tcPr>
          <w:p w14:paraId="3F5A2AF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12E5D6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6AC324C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5B6765C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28B9378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6F77155E" w14:textId="77777777">
        <w:tc>
          <w:tcPr>
            <w:tcW w:w="952" w:type="dxa"/>
            <w:vMerge/>
            <w:vAlign w:val="center"/>
          </w:tcPr>
          <w:p w14:paraId="3D7D85D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384DC5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6B055E1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47F6FDC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6971C2E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C4E35E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C34D6" w14:paraId="0D2C9E18" w14:textId="77777777">
        <w:tc>
          <w:tcPr>
            <w:tcW w:w="952" w:type="dxa"/>
            <w:vAlign w:val="center"/>
          </w:tcPr>
          <w:p w14:paraId="467B9C4D" w14:textId="77777777" w:rsidR="00AC34D6" w:rsidRDefault="00726552">
            <w:pPr>
              <w:jc w:val="center"/>
            </w:pPr>
            <w:r>
              <w:rPr>
                <w:rFonts w:eastAsiaTheme="minorEastAsia"/>
                <w:color w:val="000000" w:themeColor="text1"/>
                <w:szCs w:val="21"/>
              </w:rPr>
              <w:t>吴春杰</w:t>
            </w:r>
          </w:p>
        </w:tc>
        <w:tc>
          <w:tcPr>
            <w:tcW w:w="930" w:type="dxa"/>
            <w:vAlign w:val="center"/>
          </w:tcPr>
          <w:p w14:paraId="0F281835" w14:textId="77777777" w:rsidR="00AC34D6" w:rsidRDefault="0072655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03561C1" w14:textId="77777777" w:rsidR="00AC34D6" w:rsidRDefault="00726552">
            <w:pPr>
              <w:jc w:val="center"/>
            </w:pPr>
            <w:r>
              <w:rPr>
                <w:rFonts w:eastAsiaTheme="minorEastAsia"/>
                <w:color w:val="000000" w:themeColor="text1"/>
                <w:szCs w:val="21"/>
              </w:rPr>
              <w:t>2022-11-11</w:t>
            </w:r>
          </w:p>
        </w:tc>
        <w:tc>
          <w:tcPr>
            <w:tcW w:w="1309" w:type="dxa"/>
            <w:vAlign w:val="center"/>
          </w:tcPr>
          <w:p w14:paraId="6AF3DAF0" w14:textId="77777777" w:rsidR="00AC34D6" w:rsidRDefault="00726552">
            <w:pPr>
              <w:jc w:val="center"/>
            </w:pPr>
            <w:r>
              <w:rPr>
                <w:rFonts w:eastAsiaTheme="minorEastAsia"/>
                <w:color w:val="000000" w:themeColor="text1"/>
                <w:szCs w:val="21"/>
              </w:rPr>
              <w:t>-</w:t>
            </w:r>
          </w:p>
        </w:tc>
        <w:tc>
          <w:tcPr>
            <w:tcW w:w="1254" w:type="dxa"/>
            <w:vAlign w:val="center"/>
          </w:tcPr>
          <w:p w14:paraId="28232160" w14:textId="77777777" w:rsidR="00AC34D6" w:rsidRDefault="00726552">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66C420D6" w14:textId="77777777" w:rsidR="00AC34D6" w:rsidRDefault="00726552">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r w:rsidR="00AC34D6" w14:paraId="414A73A3" w14:textId="77777777">
        <w:tc>
          <w:tcPr>
            <w:tcW w:w="952" w:type="dxa"/>
            <w:vAlign w:val="center"/>
          </w:tcPr>
          <w:p w14:paraId="03B9A4DC" w14:textId="77777777" w:rsidR="00AC34D6" w:rsidRDefault="00726552">
            <w:pPr>
              <w:jc w:val="center"/>
            </w:pPr>
            <w:r>
              <w:rPr>
                <w:rFonts w:eastAsiaTheme="minorEastAsia"/>
                <w:color w:val="000000" w:themeColor="text1"/>
                <w:szCs w:val="21"/>
              </w:rPr>
              <w:t>恩学海</w:t>
            </w:r>
          </w:p>
        </w:tc>
        <w:tc>
          <w:tcPr>
            <w:tcW w:w="930" w:type="dxa"/>
            <w:vAlign w:val="center"/>
          </w:tcPr>
          <w:p w14:paraId="03F650DC" w14:textId="77777777" w:rsidR="00AC34D6" w:rsidRDefault="00726552">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经理、资产配置</w:t>
            </w:r>
            <w:r>
              <w:rPr>
                <w:rFonts w:eastAsiaTheme="minorEastAsia"/>
                <w:color w:val="000000" w:themeColor="text1"/>
                <w:szCs w:val="21"/>
              </w:rPr>
              <w:lastRenderedPageBreak/>
              <w:t>及退休金管理首席投资官</w:t>
            </w:r>
          </w:p>
        </w:tc>
        <w:tc>
          <w:tcPr>
            <w:tcW w:w="1210" w:type="dxa"/>
            <w:vAlign w:val="center"/>
          </w:tcPr>
          <w:p w14:paraId="1B88BF99" w14:textId="77777777" w:rsidR="00AC34D6" w:rsidRDefault="00726552">
            <w:pPr>
              <w:jc w:val="center"/>
            </w:pPr>
            <w:r>
              <w:rPr>
                <w:rFonts w:eastAsiaTheme="minorEastAsia"/>
                <w:color w:val="000000" w:themeColor="text1"/>
                <w:szCs w:val="21"/>
              </w:rPr>
              <w:lastRenderedPageBreak/>
              <w:t>2022-04-27</w:t>
            </w:r>
          </w:p>
        </w:tc>
        <w:tc>
          <w:tcPr>
            <w:tcW w:w="1309" w:type="dxa"/>
            <w:vAlign w:val="center"/>
          </w:tcPr>
          <w:p w14:paraId="682B027B" w14:textId="77777777" w:rsidR="00AC34D6" w:rsidRDefault="00726552">
            <w:pPr>
              <w:jc w:val="center"/>
            </w:pPr>
            <w:r>
              <w:rPr>
                <w:rFonts w:eastAsiaTheme="minorEastAsia"/>
                <w:color w:val="000000" w:themeColor="text1"/>
                <w:szCs w:val="21"/>
              </w:rPr>
              <w:t>-</w:t>
            </w:r>
          </w:p>
        </w:tc>
        <w:tc>
          <w:tcPr>
            <w:tcW w:w="1254" w:type="dxa"/>
            <w:vAlign w:val="center"/>
          </w:tcPr>
          <w:p w14:paraId="550B27D6" w14:textId="77777777" w:rsidR="00AC34D6" w:rsidRDefault="00726552">
            <w:pPr>
              <w:jc w:val="center"/>
            </w:pPr>
            <w:r>
              <w:rPr>
                <w:rFonts w:eastAsiaTheme="minorEastAsia"/>
                <w:color w:val="000000" w:themeColor="text1"/>
                <w:szCs w:val="21"/>
              </w:rPr>
              <w:t>30</w:t>
            </w:r>
            <w:r>
              <w:rPr>
                <w:rFonts w:eastAsiaTheme="minorEastAsia"/>
                <w:color w:val="000000" w:themeColor="text1"/>
                <w:szCs w:val="21"/>
              </w:rPr>
              <w:t>年</w:t>
            </w:r>
          </w:p>
        </w:tc>
        <w:tc>
          <w:tcPr>
            <w:tcW w:w="3276" w:type="dxa"/>
            <w:vAlign w:val="center"/>
          </w:tcPr>
          <w:p w14:paraId="28041FF3" w14:textId="77777777" w:rsidR="00AC34D6" w:rsidRDefault="00726552">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w:t>
            </w:r>
            <w:r>
              <w:rPr>
                <w:rFonts w:eastAsiaTheme="minorEastAsia"/>
                <w:color w:val="000000" w:themeColor="text1"/>
                <w:szCs w:val="21"/>
              </w:rPr>
              <w:lastRenderedPageBreak/>
              <w:t>项目经理；于资产管理服务部任高级量化分析师；于战略顾问部、全球资产配置</w:t>
            </w:r>
            <w:proofErr w:type="gramStart"/>
            <w:r>
              <w:rPr>
                <w:rFonts w:eastAsiaTheme="minorEastAsia"/>
                <w:color w:val="000000" w:themeColor="text1"/>
                <w:szCs w:val="21"/>
              </w:rPr>
              <w:t>任基金</w:t>
            </w:r>
            <w:proofErr w:type="gramEnd"/>
            <w:r>
              <w:rPr>
                <w:rFonts w:eastAsiaTheme="minorEastAsia"/>
                <w:color w:val="000000" w:themeColor="text1"/>
                <w:szCs w:val="21"/>
              </w:rPr>
              <w:t>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月加入摩根基金管理（中国）有限公司（原上投摩根基金管理有限公司），现任资产配置及退休金管理首席投资官。</w:t>
            </w:r>
          </w:p>
        </w:tc>
      </w:tr>
    </w:tbl>
    <w:p w14:paraId="6042FD31" w14:textId="77777777" w:rsidR="00AC34D6" w:rsidRDefault="0072655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4F83DDC" w14:textId="77777777" w:rsidR="00AC34D6" w:rsidRDefault="0072655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恩学海先生为本基金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r>
        <w:rPr>
          <w:rFonts w:eastAsiaTheme="minorEastAsia"/>
          <w:color w:val="000000" w:themeColor="text1"/>
          <w:szCs w:val="21"/>
        </w:rPr>
        <w:t xml:space="preserve"> </w:t>
      </w:r>
    </w:p>
    <w:p w14:paraId="4269DA7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71EEF44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71D201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3365722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5D9A4A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98F5E83"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C297D04"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EADC97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C177B6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BE51035"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14:paraId="0DAB7E5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719EB0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085B34B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2E01B535"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年四季度，国内权益市场走势以震荡为主，区间中证</w:t>
      </w:r>
      <w:r>
        <w:rPr>
          <w:rFonts w:eastAsiaTheme="minorEastAsia"/>
          <w:color w:val="000000" w:themeColor="text1"/>
          <w:szCs w:val="21"/>
        </w:rPr>
        <w:t>800</w:t>
      </w:r>
      <w:r>
        <w:rPr>
          <w:rFonts w:eastAsiaTheme="minorEastAsia"/>
          <w:color w:val="000000" w:themeColor="text1"/>
          <w:szCs w:val="21"/>
        </w:rPr>
        <w:t>涨跌幅为</w:t>
      </w:r>
      <w:r>
        <w:rPr>
          <w:rFonts w:eastAsiaTheme="minorEastAsia"/>
          <w:color w:val="000000" w:themeColor="text1"/>
          <w:szCs w:val="21"/>
        </w:rPr>
        <w:t>-1.6%</w:t>
      </w:r>
      <w:r>
        <w:rPr>
          <w:rFonts w:eastAsiaTheme="minorEastAsia"/>
          <w:color w:val="000000" w:themeColor="text1"/>
          <w:szCs w:val="21"/>
        </w:rPr>
        <w:t>。三季度末，</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日金融部门的国新办发布会及</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日的政治局会议，政策面释放了稳股市、稳房市、</w:t>
      </w:r>
      <w:proofErr w:type="gramStart"/>
      <w:r>
        <w:rPr>
          <w:rFonts w:eastAsiaTheme="minorEastAsia"/>
          <w:color w:val="000000" w:themeColor="text1"/>
          <w:szCs w:val="21"/>
        </w:rPr>
        <w:t>稳经济</w:t>
      </w:r>
      <w:proofErr w:type="gramEnd"/>
      <w:r>
        <w:rPr>
          <w:rFonts w:eastAsiaTheme="minorEastAsia"/>
          <w:color w:val="000000" w:themeColor="text1"/>
          <w:szCs w:val="21"/>
        </w:rPr>
        <w:t>的信号，</w:t>
      </w:r>
      <w:r>
        <w:rPr>
          <w:rFonts w:eastAsiaTheme="minorEastAsia"/>
          <w:color w:val="000000" w:themeColor="text1"/>
          <w:szCs w:val="21"/>
        </w:rPr>
        <w:t>A</w:t>
      </w:r>
      <w:proofErr w:type="gramStart"/>
      <w:r>
        <w:rPr>
          <w:rFonts w:eastAsiaTheme="minorEastAsia"/>
          <w:color w:val="000000" w:themeColor="text1"/>
          <w:szCs w:val="21"/>
        </w:rPr>
        <w:t>股经历</w:t>
      </w:r>
      <w:proofErr w:type="gramEnd"/>
      <w:r>
        <w:rPr>
          <w:rFonts w:eastAsiaTheme="minorEastAsia"/>
          <w:color w:val="000000" w:themeColor="text1"/>
          <w:szCs w:val="21"/>
        </w:rPr>
        <w:t>快速上涨后，四季度进入对</w:t>
      </w:r>
      <w:proofErr w:type="gramStart"/>
      <w:r>
        <w:rPr>
          <w:rFonts w:eastAsiaTheme="minorEastAsia"/>
          <w:color w:val="000000" w:themeColor="text1"/>
          <w:szCs w:val="21"/>
        </w:rPr>
        <w:t>具体稳增长</w:t>
      </w:r>
      <w:proofErr w:type="gramEnd"/>
      <w:r>
        <w:rPr>
          <w:rFonts w:eastAsiaTheme="minorEastAsia"/>
          <w:color w:val="000000" w:themeColor="text1"/>
          <w:szCs w:val="21"/>
        </w:rPr>
        <w:t>政策力度、政策效果的观察期。国内债券方面，在适度宽松的货币政策基调下，市场对降准、降息持有较高期待，国债收益率曲线整体下移，截至季末，</w:t>
      </w:r>
      <w:r>
        <w:rPr>
          <w:rFonts w:eastAsiaTheme="minorEastAsia"/>
          <w:color w:val="000000" w:themeColor="text1"/>
          <w:szCs w:val="21"/>
        </w:rPr>
        <w:t>10</w:t>
      </w:r>
      <w:r>
        <w:rPr>
          <w:rFonts w:eastAsiaTheme="minorEastAsia"/>
          <w:color w:val="000000" w:themeColor="text1"/>
          <w:szCs w:val="21"/>
        </w:rPr>
        <w:t>年期国债本季度下行</w:t>
      </w:r>
      <w:r>
        <w:rPr>
          <w:rFonts w:eastAsiaTheme="minorEastAsia"/>
          <w:color w:val="000000" w:themeColor="text1"/>
          <w:szCs w:val="21"/>
        </w:rPr>
        <w:t>48BP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w:t>
      </w:r>
    </w:p>
    <w:p w14:paraId="1291879A"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海外方面，美股延续小幅反弹。美国大选落定，胜选者主张更大力度的减税政策、放松监管政策或将有利于美股盈利增长，</w:t>
      </w:r>
      <w:proofErr w:type="gramStart"/>
      <w:r>
        <w:rPr>
          <w:rFonts w:eastAsiaTheme="minorEastAsia"/>
          <w:color w:val="000000" w:themeColor="text1"/>
          <w:szCs w:val="21"/>
        </w:rPr>
        <w:t>标普</w:t>
      </w:r>
      <w:proofErr w:type="gramEnd"/>
      <w:r>
        <w:rPr>
          <w:rFonts w:eastAsiaTheme="minorEastAsia"/>
          <w:color w:val="000000" w:themeColor="text1"/>
          <w:szCs w:val="21"/>
        </w:rPr>
        <w:t>500</w:t>
      </w:r>
      <w:r>
        <w:rPr>
          <w:rFonts w:eastAsiaTheme="minorEastAsia"/>
          <w:color w:val="000000" w:themeColor="text1"/>
          <w:szCs w:val="21"/>
        </w:rPr>
        <w:t>指数季度涨跌幅为</w:t>
      </w:r>
      <w:r>
        <w:rPr>
          <w:rFonts w:eastAsiaTheme="minorEastAsia"/>
          <w:color w:val="000000" w:themeColor="text1"/>
          <w:szCs w:val="21"/>
        </w:rPr>
        <w:t>2.1%</w:t>
      </w:r>
      <w:r>
        <w:rPr>
          <w:rFonts w:eastAsiaTheme="minorEastAsia"/>
          <w:color w:val="000000" w:themeColor="text1"/>
          <w:szCs w:val="21"/>
        </w:rPr>
        <w:t>。在随后</w:t>
      </w:r>
      <w:r>
        <w:rPr>
          <w:rFonts w:eastAsiaTheme="minorEastAsia"/>
          <w:color w:val="000000" w:themeColor="text1"/>
          <w:szCs w:val="21"/>
        </w:rPr>
        <w:t>12</w:t>
      </w:r>
      <w:r>
        <w:rPr>
          <w:rFonts w:eastAsiaTheme="minorEastAsia"/>
          <w:color w:val="000000" w:themeColor="text1"/>
          <w:szCs w:val="21"/>
        </w:rPr>
        <w:t>月议</w:t>
      </w:r>
      <w:proofErr w:type="gramStart"/>
      <w:r>
        <w:rPr>
          <w:rFonts w:eastAsiaTheme="minorEastAsia"/>
          <w:color w:val="000000" w:themeColor="text1"/>
          <w:szCs w:val="21"/>
        </w:rPr>
        <w:t>息会议</w:t>
      </w:r>
      <w:proofErr w:type="gramEnd"/>
      <w:r>
        <w:rPr>
          <w:rFonts w:eastAsiaTheme="minorEastAsia"/>
          <w:color w:val="000000" w:themeColor="text1"/>
          <w:szCs w:val="21"/>
        </w:rPr>
        <w:t>上，美联储虽延续降息</w:t>
      </w:r>
      <w:r>
        <w:rPr>
          <w:rFonts w:eastAsiaTheme="minorEastAsia"/>
          <w:color w:val="000000" w:themeColor="text1"/>
          <w:szCs w:val="21"/>
        </w:rPr>
        <w:t>25BP</w:t>
      </w:r>
      <w:r>
        <w:rPr>
          <w:rFonts w:eastAsiaTheme="minorEastAsia"/>
          <w:color w:val="000000" w:themeColor="text1"/>
          <w:szCs w:val="21"/>
        </w:rPr>
        <w:t>，但对后续降息节奏偏谨慎，亦反映了大选对美国未来经济前景可能发生的潜在影响的预期变化，截至季末，</w:t>
      </w:r>
      <w:proofErr w:type="gramStart"/>
      <w:r>
        <w:rPr>
          <w:rFonts w:eastAsiaTheme="minorEastAsia"/>
          <w:color w:val="000000" w:themeColor="text1"/>
          <w:szCs w:val="21"/>
        </w:rPr>
        <w:t>10</w:t>
      </w:r>
      <w:r>
        <w:rPr>
          <w:rFonts w:eastAsiaTheme="minorEastAsia"/>
          <w:color w:val="000000" w:themeColor="text1"/>
          <w:szCs w:val="21"/>
        </w:rPr>
        <w:t>年期美债</w:t>
      </w:r>
      <w:proofErr w:type="gramEnd"/>
      <w:r>
        <w:rPr>
          <w:rFonts w:eastAsiaTheme="minorEastAsia"/>
          <w:color w:val="000000" w:themeColor="text1"/>
          <w:szCs w:val="21"/>
        </w:rPr>
        <w:t>收益率季度大幅上行</w:t>
      </w:r>
      <w:r>
        <w:rPr>
          <w:rFonts w:eastAsiaTheme="minorEastAsia"/>
          <w:color w:val="000000" w:themeColor="text1"/>
          <w:szCs w:val="21"/>
        </w:rPr>
        <w:t>77BP</w:t>
      </w:r>
      <w:r>
        <w:rPr>
          <w:rFonts w:eastAsiaTheme="minorEastAsia"/>
          <w:color w:val="000000" w:themeColor="text1"/>
          <w:szCs w:val="21"/>
        </w:rPr>
        <w:t>至</w:t>
      </w:r>
      <w:r>
        <w:rPr>
          <w:rFonts w:eastAsiaTheme="minorEastAsia"/>
          <w:color w:val="000000" w:themeColor="text1"/>
          <w:szCs w:val="21"/>
        </w:rPr>
        <w:t>4.58%</w:t>
      </w:r>
      <w:r>
        <w:rPr>
          <w:rFonts w:eastAsiaTheme="minorEastAsia"/>
          <w:color w:val="000000" w:themeColor="text1"/>
          <w:szCs w:val="21"/>
        </w:rPr>
        <w:t>。</w:t>
      </w:r>
    </w:p>
    <w:p w14:paraId="740BCE26"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四季度，基金</w:t>
      </w:r>
      <w:r>
        <w:rPr>
          <w:rFonts w:eastAsiaTheme="minorEastAsia"/>
          <w:color w:val="000000" w:themeColor="text1"/>
          <w:szCs w:val="21"/>
        </w:rPr>
        <w:t>A</w:t>
      </w:r>
      <w:r>
        <w:rPr>
          <w:rFonts w:eastAsiaTheme="minorEastAsia"/>
          <w:color w:val="000000" w:themeColor="text1"/>
          <w:szCs w:val="21"/>
        </w:rPr>
        <w:t>份额累计收益率</w:t>
      </w:r>
      <w:r>
        <w:rPr>
          <w:rFonts w:eastAsiaTheme="minorEastAsia"/>
          <w:color w:val="000000" w:themeColor="text1"/>
          <w:szCs w:val="21"/>
        </w:rPr>
        <w:t>-1.01%</w:t>
      </w:r>
      <w:r>
        <w:rPr>
          <w:rFonts w:eastAsiaTheme="minorEastAsia"/>
          <w:color w:val="000000" w:themeColor="text1"/>
          <w:szCs w:val="21"/>
        </w:rPr>
        <w:t>，</w:t>
      </w:r>
      <w:r>
        <w:rPr>
          <w:rFonts w:eastAsiaTheme="minorEastAsia"/>
          <w:color w:val="000000" w:themeColor="text1"/>
          <w:szCs w:val="21"/>
        </w:rPr>
        <w:t>C</w:t>
      </w:r>
      <w:r>
        <w:rPr>
          <w:rFonts w:eastAsiaTheme="minorEastAsia"/>
          <w:color w:val="000000" w:themeColor="text1"/>
          <w:szCs w:val="21"/>
        </w:rPr>
        <w:t>份额累计收益率</w:t>
      </w:r>
      <w:r>
        <w:rPr>
          <w:rFonts w:eastAsiaTheme="minorEastAsia"/>
          <w:color w:val="000000" w:themeColor="text1"/>
          <w:szCs w:val="21"/>
        </w:rPr>
        <w:t>-1.14%</w:t>
      </w:r>
      <w:r>
        <w:rPr>
          <w:rFonts w:eastAsiaTheme="minorEastAsia"/>
          <w:color w:val="000000" w:themeColor="text1"/>
          <w:szCs w:val="21"/>
        </w:rPr>
        <w:t>，基准累计收益率</w:t>
      </w:r>
      <w:r>
        <w:rPr>
          <w:rFonts w:eastAsiaTheme="minorEastAsia"/>
          <w:color w:val="000000" w:themeColor="text1"/>
          <w:szCs w:val="21"/>
        </w:rPr>
        <w:t>0.27%</w:t>
      </w:r>
      <w:r>
        <w:rPr>
          <w:rFonts w:eastAsiaTheme="minorEastAsia"/>
          <w:color w:val="000000" w:themeColor="text1"/>
          <w:szCs w:val="21"/>
        </w:rPr>
        <w:t>。组合围绕业绩比较基准运作，结合战术资产配置观点进行多元化配置，整体超配高风险资产，结构上阶段性超配国内权益及电子板块</w:t>
      </w:r>
      <w:proofErr w:type="gramStart"/>
      <w:r>
        <w:rPr>
          <w:rFonts w:eastAsiaTheme="minorEastAsia"/>
          <w:color w:val="000000" w:themeColor="text1"/>
          <w:szCs w:val="21"/>
        </w:rPr>
        <w:t>具正贡献</w:t>
      </w:r>
      <w:proofErr w:type="gramEnd"/>
      <w:r>
        <w:rPr>
          <w:rFonts w:eastAsiaTheme="minorEastAsia"/>
          <w:color w:val="000000" w:themeColor="text1"/>
          <w:szCs w:val="21"/>
        </w:rPr>
        <w:t>，黄金等多元资产丰富收益来源。</w:t>
      </w:r>
    </w:p>
    <w:p w14:paraId="03F07248"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从全球宏观变化来讲，美联储降息周期的开启叠加美国大选结束，市场对于基准情形经济</w:t>
      </w:r>
      <w:r>
        <w:rPr>
          <w:rFonts w:eastAsiaTheme="minorEastAsia"/>
          <w:color w:val="000000" w:themeColor="text1"/>
          <w:szCs w:val="21"/>
        </w:rPr>
        <w:t>“</w:t>
      </w:r>
      <w:r>
        <w:rPr>
          <w:rFonts w:eastAsiaTheme="minorEastAsia"/>
          <w:color w:val="000000" w:themeColor="text1"/>
          <w:szCs w:val="21"/>
        </w:rPr>
        <w:t>软着陆</w:t>
      </w:r>
      <w:r>
        <w:rPr>
          <w:rFonts w:eastAsiaTheme="minorEastAsia"/>
          <w:color w:val="000000" w:themeColor="text1"/>
          <w:szCs w:val="21"/>
        </w:rPr>
        <w:t>”</w:t>
      </w:r>
      <w:r>
        <w:rPr>
          <w:rFonts w:eastAsiaTheme="minorEastAsia"/>
          <w:color w:val="000000" w:themeColor="text1"/>
          <w:szCs w:val="21"/>
        </w:rPr>
        <w:t>的信心逐步上升，从而支持对风险资产的配置，发达市场债券有利的配置时点有所延后。</w:t>
      </w:r>
    </w:p>
    <w:p w14:paraId="3A5CEBFA"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国内权益市场方面，三季度以来，国内宏观经济政策开始积极调整，</w:t>
      </w:r>
      <w:r>
        <w:rPr>
          <w:rFonts w:eastAsiaTheme="minorEastAsia"/>
          <w:color w:val="000000" w:themeColor="text1"/>
          <w:szCs w:val="21"/>
        </w:rPr>
        <w:t>11</w:t>
      </w:r>
      <w:r>
        <w:rPr>
          <w:rFonts w:eastAsiaTheme="minorEastAsia"/>
          <w:color w:val="000000" w:themeColor="text1"/>
          <w:szCs w:val="21"/>
        </w:rPr>
        <w:t>月初</w:t>
      </w:r>
      <w:r>
        <w:rPr>
          <w:rFonts w:eastAsiaTheme="minorEastAsia"/>
          <w:color w:val="000000" w:themeColor="text1"/>
          <w:szCs w:val="21"/>
        </w:rPr>
        <w:t>12</w:t>
      </w:r>
      <w:proofErr w:type="gramStart"/>
      <w:r>
        <w:rPr>
          <w:rFonts w:eastAsiaTheme="minorEastAsia"/>
          <w:color w:val="000000" w:themeColor="text1"/>
          <w:szCs w:val="21"/>
        </w:rPr>
        <w:t>万亿</w:t>
      </w:r>
      <w:proofErr w:type="gramEnd"/>
      <w:r>
        <w:rPr>
          <w:rFonts w:eastAsiaTheme="minorEastAsia"/>
          <w:color w:val="000000" w:themeColor="text1"/>
          <w:szCs w:val="21"/>
        </w:rPr>
        <w:t>地方财政债务置换方案出台、四季度货币政策表述转为</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，总体起到了稳定资本市场信心的效果。一方面，</w:t>
      </w:r>
      <w:r>
        <w:rPr>
          <w:rFonts w:eastAsiaTheme="minorEastAsia"/>
          <w:color w:val="000000" w:themeColor="text1"/>
          <w:szCs w:val="21"/>
        </w:rPr>
        <w:t>A</w:t>
      </w:r>
      <w:r>
        <w:rPr>
          <w:rFonts w:eastAsiaTheme="minorEastAsia"/>
          <w:color w:val="000000" w:themeColor="text1"/>
          <w:szCs w:val="21"/>
        </w:rPr>
        <w:t>股成交量持续处在较高水平，市场活跃度较好；另一方面，市场增量资金来源扩展，央行创设的互换便利工具逐步落地，以中证</w:t>
      </w:r>
      <w:r>
        <w:rPr>
          <w:rFonts w:eastAsiaTheme="minorEastAsia"/>
          <w:color w:val="000000" w:themeColor="text1"/>
          <w:szCs w:val="21"/>
        </w:rPr>
        <w:t>A500</w:t>
      </w:r>
      <w:r>
        <w:rPr>
          <w:rFonts w:eastAsiaTheme="minorEastAsia"/>
          <w:color w:val="000000" w:themeColor="text1"/>
          <w:szCs w:val="21"/>
        </w:rPr>
        <w:t>指数为代表</w:t>
      </w:r>
      <w:proofErr w:type="gramStart"/>
      <w:r>
        <w:rPr>
          <w:rFonts w:eastAsiaTheme="minorEastAsia"/>
          <w:color w:val="000000" w:themeColor="text1"/>
          <w:szCs w:val="21"/>
        </w:rPr>
        <w:t>的宽基</w:t>
      </w:r>
      <w:proofErr w:type="gramEnd"/>
      <w:r>
        <w:rPr>
          <w:rFonts w:eastAsiaTheme="minorEastAsia"/>
          <w:color w:val="000000" w:themeColor="text1"/>
          <w:szCs w:val="21"/>
        </w:rPr>
        <w:t>ETF</w:t>
      </w:r>
      <w:r>
        <w:rPr>
          <w:rFonts w:eastAsiaTheme="minorEastAsia"/>
          <w:color w:val="000000" w:themeColor="text1"/>
          <w:szCs w:val="21"/>
        </w:rPr>
        <w:t>基金批量新发，同时，高风险偏好的两融资金余额呈现上升趋势。结构上，已经出台的</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补贴中对于拉动以家电、汽车为代表的消费品起到了较好的效果，预计</w:t>
      </w:r>
      <w:r>
        <w:rPr>
          <w:rFonts w:eastAsiaTheme="minorEastAsia"/>
          <w:color w:val="000000" w:themeColor="text1"/>
          <w:szCs w:val="21"/>
        </w:rPr>
        <w:t>2025</w:t>
      </w:r>
      <w:r>
        <w:rPr>
          <w:rFonts w:eastAsiaTheme="minorEastAsia"/>
          <w:color w:val="000000" w:themeColor="text1"/>
          <w:szCs w:val="21"/>
        </w:rPr>
        <w:t>年内需消费政策仍将是稳定经济增长的有力抓手。同时，与中长期经济结构调整方向相匹配的科技成长方向，也有望受益于相关产业的支持性政策。目前，我们对高风险资产持中性</w:t>
      </w:r>
      <w:proofErr w:type="gramStart"/>
      <w:r>
        <w:rPr>
          <w:rFonts w:eastAsiaTheme="minorEastAsia"/>
          <w:color w:val="000000" w:themeColor="text1"/>
          <w:szCs w:val="21"/>
        </w:rPr>
        <w:t>偏积极</w:t>
      </w:r>
      <w:proofErr w:type="gramEnd"/>
      <w:r>
        <w:rPr>
          <w:rFonts w:eastAsiaTheme="minorEastAsia"/>
          <w:color w:val="000000" w:themeColor="text1"/>
          <w:szCs w:val="21"/>
        </w:rPr>
        <w:t>的看法，后续关注春节前后市场流动性的变化、</w:t>
      </w:r>
      <w:r>
        <w:rPr>
          <w:rFonts w:eastAsiaTheme="minorEastAsia"/>
          <w:color w:val="000000" w:themeColor="text1"/>
          <w:szCs w:val="21"/>
        </w:rPr>
        <w:t>3</w:t>
      </w:r>
      <w:r>
        <w:rPr>
          <w:rFonts w:eastAsiaTheme="minorEastAsia"/>
          <w:color w:val="000000" w:themeColor="text1"/>
          <w:szCs w:val="21"/>
        </w:rPr>
        <w:t>月初两会制定的经济工作目标、财政政策的发力方向，跟踪评估政策对经济基本面的影响，进而评估是否调整投资组合。港股方面，与国内经济复苏密切相关，部分港股上市企业盈利</w:t>
      </w:r>
      <w:r>
        <w:rPr>
          <w:rFonts w:eastAsiaTheme="minorEastAsia"/>
          <w:color w:val="000000" w:themeColor="text1"/>
          <w:szCs w:val="21"/>
        </w:rPr>
        <w:lastRenderedPageBreak/>
        <w:t>预期有所改善，同时有望受益于海外流动性环境改善，估值具吸引力。</w:t>
      </w:r>
    </w:p>
    <w:p w14:paraId="19D5BC0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对于国内债券来讲，托底经济增长的政策在发力中，内外利差仍为负值，国内债相对</w:t>
      </w:r>
      <w:r w:rsidRPr="00B27A29">
        <w:rPr>
          <w:rFonts w:eastAsiaTheme="minorEastAsia"/>
          <w:color w:val="000000" w:themeColor="text1"/>
          <w:szCs w:val="21"/>
        </w:rPr>
        <w:t>A</w:t>
      </w:r>
      <w:r w:rsidRPr="00B27A29">
        <w:rPr>
          <w:rFonts w:eastAsiaTheme="minorEastAsia"/>
          <w:color w:val="000000" w:themeColor="text1"/>
          <w:szCs w:val="21"/>
        </w:rPr>
        <w:t>股股息率所反映的估值亦较贵。但考虑到当前处在地方政府化</w:t>
      </w:r>
      <w:proofErr w:type="gramStart"/>
      <w:r w:rsidRPr="00B27A29">
        <w:rPr>
          <w:rFonts w:eastAsiaTheme="minorEastAsia"/>
          <w:color w:val="000000" w:themeColor="text1"/>
          <w:szCs w:val="21"/>
        </w:rPr>
        <w:t>债进程</w:t>
      </w:r>
      <w:proofErr w:type="gramEnd"/>
      <w:r w:rsidRPr="00B27A29">
        <w:rPr>
          <w:rFonts w:eastAsiaTheme="minorEastAsia"/>
          <w:color w:val="000000" w:themeColor="text1"/>
          <w:szCs w:val="21"/>
        </w:rPr>
        <w:t>中，实际利率高位下，货币政策为支持性的基调，国内债券的风险相对可控。考虑四季度债券收益率的大幅下行反映出对于潜在的降准、降息已有较大程度的抢跑，且年初将进入新</w:t>
      </w:r>
      <w:proofErr w:type="gramStart"/>
      <w:r w:rsidRPr="00B27A29">
        <w:rPr>
          <w:rFonts w:eastAsiaTheme="minorEastAsia"/>
          <w:color w:val="000000" w:themeColor="text1"/>
          <w:szCs w:val="21"/>
        </w:rPr>
        <w:t>一轮稳增长</w:t>
      </w:r>
      <w:proofErr w:type="gramEnd"/>
      <w:r w:rsidRPr="00B27A29">
        <w:rPr>
          <w:rFonts w:eastAsiaTheme="minorEastAsia"/>
          <w:color w:val="000000" w:themeColor="text1"/>
          <w:szCs w:val="21"/>
        </w:rPr>
        <w:t>政策验证期，长久期利率的波动或有上升，</w:t>
      </w:r>
      <w:proofErr w:type="gramStart"/>
      <w:r w:rsidRPr="00B27A29">
        <w:rPr>
          <w:rFonts w:eastAsiaTheme="minorEastAsia"/>
          <w:color w:val="000000" w:themeColor="text1"/>
          <w:szCs w:val="21"/>
        </w:rPr>
        <w:t>后续仍</w:t>
      </w:r>
      <w:proofErr w:type="gramEnd"/>
      <w:r w:rsidRPr="00B27A29">
        <w:rPr>
          <w:rFonts w:eastAsiaTheme="minorEastAsia"/>
          <w:color w:val="000000" w:themeColor="text1"/>
          <w:szCs w:val="21"/>
        </w:rPr>
        <w:t>以中短债策略为主。</w:t>
      </w:r>
    </w:p>
    <w:p w14:paraId="379B02B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50C47D86"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本报告期摩根博</w:t>
      </w:r>
      <w:proofErr w:type="gramStart"/>
      <w:r>
        <w:rPr>
          <w:rFonts w:eastAsiaTheme="minorEastAsia"/>
          <w:color w:val="000000" w:themeColor="text1"/>
          <w:szCs w:val="21"/>
        </w:rPr>
        <w:t>睿</w:t>
      </w:r>
      <w:proofErr w:type="gramEnd"/>
      <w:r>
        <w:rPr>
          <w:rFonts w:eastAsiaTheme="minorEastAsia"/>
          <w:color w:val="000000" w:themeColor="text1"/>
          <w:szCs w:val="21"/>
        </w:rPr>
        <w:t>均衡一年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:-1.01%</w:t>
      </w:r>
      <w:r>
        <w:rPr>
          <w:rFonts w:eastAsiaTheme="minorEastAsia"/>
          <w:color w:val="000000" w:themeColor="text1"/>
          <w:szCs w:val="21"/>
        </w:rPr>
        <w:t>，同期业绩比较基准收益率为</w:t>
      </w:r>
      <w:r>
        <w:rPr>
          <w:rFonts w:eastAsiaTheme="minorEastAsia"/>
          <w:color w:val="000000" w:themeColor="text1"/>
          <w:szCs w:val="21"/>
        </w:rPr>
        <w:t>:0.27%</w:t>
      </w:r>
    </w:p>
    <w:p w14:paraId="1D10635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:0.27%</w:t>
      </w:r>
      <w:r w:rsidRPr="00B27A29">
        <w:rPr>
          <w:rFonts w:eastAsiaTheme="minorEastAsia"/>
          <w:color w:val="000000" w:themeColor="text1"/>
          <w:szCs w:val="21"/>
        </w:rPr>
        <w:t>。</w:t>
      </w:r>
    </w:p>
    <w:p w14:paraId="18C0868F" w14:textId="77777777" w:rsidR="005E6DF3" w:rsidRPr="00B27A29" w:rsidRDefault="005E6DF3">
      <w:pPr>
        <w:spacing w:line="360" w:lineRule="auto"/>
        <w:ind w:firstLineChars="200" w:firstLine="420"/>
        <w:rPr>
          <w:rFonts w:eastAsiaTheme="minorEastAsia"/>
          <w:color w:val="000000" w:themeColor="text1"/>
          <w:szCs w:val="21"/>
        </w:rPr>
      </w:pPr>
    </w:p>
    <w:p w14:paraId="2CF6D007"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397593D"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30473195" w14:textId="77777777" w:rsidR="005E6DF3" w:rsidRPr="00B27A29" w:rsidRDefault="005E6DF3">
      <w:pPr>
        <w:spacing w:line="360" w:lineRule="auto"/>
        <w:ind w:firstLineChars="200" w:firstLine="420"/>
        <w:rPr>
          <w:rFonts w:eastAsiaTheme="minorEastAsia"/>
          <w:color w:val="000000" w:themeColor="text1"/>
          <w:szCs w:val="21"/>
        </w:rPr>
      </w:pPr>
    </w:p>
    <w:p w14:paraId="3645F25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46F3CA4" w14:textId="77777777"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14:paraId="0D17B8B5" w14:textId="77777777" w:rsidTr="00342FE7">
        <w:tc>
          <w:tcPr>
            <w:tcW w:w="720" w:type="dxa"/>
            <w:vAlign w:val="center"/>
          </w:tcPr>
          <w:p w14:paraId="2A76202B"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10BCDB21"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382F3BBC"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07135E5D"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14:paraId="42739994" w14:textId="77777777" w:rsidTr="00342FE7">
        <w:tc>
          <w:tcPr>
            <w:tcW w:w="720" w:type="dxa"/>
            <w:vAlign w:val="center"/>
          </w:tcPr>
          <w:p w14:paraId="62159D97"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724B9FA4"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5A38451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BBFA6ED"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57F85A1D" w14:textId="77777777" w:rsidTr="00342FE7">
        <w:tc>
          <w:tcPr>
            <w:tcW w:w="720" w:type="dxa"/>
            <w:vAlign w:val="center"/>
          </w:tcPr>
          <w:p w14:paraId="67D7A78B"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57436519"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4F8A559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903203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AEBDBA8" w14:textId="77777777" w:rsidTr="00342FE7">
        <w:tc>
          <w:tcPr>
            <w:tcW w:w="720" w:type="dxa"/>
            <w:vAlign w:val="center"/>
          </w:tcPr>
          <w:p w14:paraId="6DA5ECD7"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117BD9F0"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576479F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266,503,979.33</w:t>
            </w:r>
          </w:p>
        </w:tc>
        <w:tc>
          <w:tcPr>
            <w:tcW w:w="2801" w:type="dxa"/>
            <w:vAlign w:val="center"/>
          </w:tcPr>
          <w:p w14:paraId="44A7F84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91.17</w:t>
            </w:r>
          </w:p>
        </w:tc>
      </w:tr>
      <w:tr w:rsidR="006336AE" w:rsidRPr="007B5F21" w14:paraId="4EECC632" w14:textId="77777777" w:rsidTr="00342FE7">
        <w:tc>
          <w:tcPr>
            <w:tcW w:w="720" w:type="dxa"/>
            <w:vAlign w:val="center"/>
          </w:tcPr>
          <w:p w14:paraId="4556BA83"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2B3DFE72"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0457208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15,526,837.81</w:t>
            </w:r>
          </w:p>
        </w:tc>
        <w:tc>
          <w:tcPr>
            <w:tcW w:w="2801" w:type="dxa"/>
            <w:vAlign w:val="center"/>
          </w:tcPr>
          <w:p w14:paraId="1D86941C"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5.31</w:t>
            </w:r>
          </w:p>
        </w:tc>
      </w:tr>
      <w:tr w:rsidR="006336AE" w:rsidRPr="007B5F21" w14:paraId="4CA032B1" w14:textId="77777777" w:rsidTr="00342FE7">
        <w:tc>
          <w:tcPr>
            <w:tcW w:w="720" w:type="dxa"/>
            <w:vAlign w:val="center"/>
          </w:tcPr>
          <w:p w14:paraId="6C7C45B3"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768AE68D"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49BB993F"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15,526,837.81</w:t>
            </w:r>
          </w:p>
        </w:tc>
        <w:tc>
          <w:tcPr>
            <w:tcW w:w="2801" w:type="dxa"/>
            <w:vAlign w:val="center"/>
          </w:tcPr>
          <w:p w14:paraId="3CF2E0A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5.31</w:t>
            </w:r>
          </w:p>
        </w:tc>
      </w:tr>
      <w:tr w:rsidR="006336AE" w:rsidRPr="007B5F21" w14:paraId="2DED0344" w14:textId="77777777" w:rsidTr="00342FE7">
        <w:tc>
          <w:tcPr>
            <w:tcW w:w="720" w:type="dxa"/>
            <w:vAlign w:val="center"/>
          </w:tcPr>
          <w:p w14:paraId="38C57E9A"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0B96ACAB" w14:textId="77777777"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2E6AE3F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5B8CF14"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1B3190EF" w14:textId="77777777" w:rsidTr="00342FE7">
        <w:tc>
          <w:tcPr>
            <w:tcW w:w="720" w:type="dxa"/>
            <w:vAlign w:val="center"/>
          </w:tcPr>
          <w:p w14:paraId="78A308BD"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21932DFA" w14:textId="77777777"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26579847"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979A813"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6BC7891B" w14:textId="77777777" w:rsidTr="00342FE7">
        <w:tc>
          <w:tcPr>
            <w:tcW w:w="720" w:type="dxa"/>
            <w:vAlign w:val="center"/>
          </w:tcPr>
          <w:p w14:paraId="5791E4DC"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1305A311"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2552" w:type="dxa"/>
            <w:vAlign w:val="center"/>
          </w:tcPr>
          <w:p w14:paraId="5A4D802B"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A3AC5EA"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7C7B8B8A" w14:textId="77777777" w:rsidTr="00342FE7">
        <w:tc>
          <w:tcPr>
            <w:tcW w:w="720" w:type="dxa"/>
            <w:vAlign w:val="center"/>
          </w:tcPr>
          <w:p w14:paraId="60E3CE9D"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1E7A35FA"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51758299"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4200C10"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4A05D1EE" w14:textId="77777777" w:rsidTr="00342FE7">
        <w:tc>
          <w:tcPr>
            <w:tcW w:w="720" w:type="dxa"/>
            <w:vAlign w:val="center"/>
          </w:tcPr>
          <w:p w14:paraId="2AA52326" w14:textId="77777777"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14:paraId="1C421F94"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2FC24224"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4A701C98"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14:paraId="387ACCD0" w14:textId="77777777" w:rsidTr="00342FE7">
        <w:tc>
          <w:tcPr>
            <w:tcW w:w="720" w:type="dxa"/>
            <w:vAlign w:val="center"/>
          </w:tcPr>
          <w:p w14:paraId="5C5361B7"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lastRenderedPageBreak/>
              <w:t>7</w:t>
            </w:r>
          </w:p>
        </w:tc>
        <w:tc>
          <w:tcPr>
            <w:tcW w:w="2824" w:type="dxa"/>
            <w:vAlign w:val="center"/>
          </w:tcPr>
          <w:p w14:paraId="05D8838C" w14:textId="77777777"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5E3B5212"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10,281,159.04</w:t>
            </w:r>
          </w:p>
        </w:tc>
        <w:tc>
          <w:tcPr>
            <w:tcW w:w="2801" w:type="dxa"/>
            <w:vAlign w:val="center"/>
          </w:tcPr>
          <w:p w14:paraId="24C86FEE" w14:textId="77777777"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3.52</w:t>
            </w:r>
          </w:p>
        </w:tc>
      </w:tr>
      <w:tr w:rsidR="006336AE" w:rsidRPr="007B5F21" w14:paraId="289B3C64" w14:textId="77777777" w:rsidTr="00342FE7">
        <w:tc>
          <w:tcPr>
            <w:tcW w:w="720" w:type="dxa"/>
            <w:vAlign w:val="center"/>
          </w:tcPr>
          <w:p w14:paraId="5A1008C0"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342C88A4"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2B82BBB8"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8,741.33</w:t>
            </w:r>
          </w:p>
        </w:tc>
        <w:tc>
          <w:tcPr>
            <w:tcW w:w="2801" w:type="dxa"/>
            <w:vAlign w:val="center"/>
          </w:tcPr>
          <w:p w14:paraId="516847E7"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0.00</w:t>
            </w:r>
          </w:p>
        </w:tc>
      </w:tr>
      <w:tr w:rsidR="006336AE" w:rsidRPr="007B5F21" w14:paraId="120703B6" w14:textId="77777777" w:rsidTr="00342FE7">
        <w:tc>
          <w:tcPr>
            <w:tcW w:w="720" w:type="dxa"/>
            <w:vAlign w:val="center"/>
          </w:tcPr>
          <w:p w14:paraId="66688924" w14:textId="77777777"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5362087D" w14:textId="77777777"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72EC7827"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292,320,717.51</w:t>
            </w:r>
          </w:p>
        </w:tc>
        <w:tc>
          <w:tcPr>
            <w:tcW w:w="2801" w:type="dxa"/>
            <w:vAlign w:val="center"/>
          </w:tcPr>
          <w:p w14:paraId="74CA5AB7" w14:textId="77777777"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32261FE1" w14:textId="77777777"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14:paraId="7BA1CE8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97C2DEB"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7BFA380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494381F0"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3DDCAC87"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55D396C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63CC93B5" w14:textId="77777777">
        <w:tc>
          <w:tcPr>
            <w:tcW w:w="817" w:type="dxa"/>
            <w:vAlign w:val="center"/>
          </w:tcPr>
          <w:p w14:paraId="314D158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7540D5A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5352600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1A3AFB6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0B10550C" w14:textId="77777777">
        <w:tc>
          <w:tcPr>
            <w:tcW w:w="817" w:type="dxa"/>
            <w:vAlign w:val="center"/>
          </w:tcPr>
          <w:p w14:paraId="3A4B846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E237B1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323553F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15,526,837.81</w:t>
            </w:r>
          </w:p>
        </w:tc>
        <w:tc>
          <w:tcPr>
            <w:tcW w:w="1616" w:type="dxa"/>
            <w:vAlign w:val="center"/>
          </w:tcPr>
          <w:p w14:paraId="42E29F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5.34</w:t>
            </w:r>
          </w:p>
        </w:tc>
      </w:tr>
      <w:tr w:rsidR="005E6DF3" w:rsidRPr="00B27A29" w14:paraId="464B4A4C" w14:textId="77777777">
        <w:tc>
          <w:tcPr>
            <w:tcW w:w="817" w:type="dxa"/>
            <w:vAlign w:val="center"/>
          </w:tcPr>
          <w:p w14:paraId="0C9B58E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3EAE111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36D3BA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3A61A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CBDA25" w14:textId="77777777">
        <w:tc>
          <w:tcPr>
            <w:tcW w:w="817" w:type="dxa"/>
            <w:vAlign w:val="center"/>
          </w:tcPr>
          <w:p w14:paraId="516E0F1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0646ACA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6059F9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6B264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35AF8E" w14:textId="77777777">
        <w:tc>
          <w:tcPr>
            <w:tcW w:w="817" w:type="dxa"/>
            <w:vAlign w:val="center"/>
          </w:tcPr>
          <w:p w14:paraId="0B7C8CF2"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4437C8A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2B1A677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F0134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62B94C" w14:textId="77777777">
        <w:tc>
          <w:tcPr>
            <w:tcW w:w="817" w:type="dxa"/>
            <w:vAlign w:val="center"/>
          </w:tcPr>
          <w:p w14:paraId="129CD19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2520B8F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36496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4FEC89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C9AF33" w14:textId="77777777">
        <w:tc>
          <w:tcPr>
            <w:tcW w:w="817" w:type="dxa"/>
            <w:vAlign w:val="center"/>
          </w:tcPr>
          <w:p w14:paraId="7F6B94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5D2B7CC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685FFA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518D5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F3B177" w14:textId="77777777">
        <w:tc>
          <w:tcPr>
            <w:tcW w:w="817" w:type="dxa"/>
            <w:vAlign w:val="center"/>
          </w:tcPr>
          <w:p w14:paraId="28532C9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19E185E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7BD9BBF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B0DBC0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C3C8A4C" w14:textId="77777777">
        <w:tc>
          <w:tcPr>
            <w:tcW w:w="817" w:type="dxa"/>
            <w:vAlign w:val="center"/>
          </w:tcPr>
          <w:p w14:paraId="07EBD00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7C97DC4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68E989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24500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843214" w14:textId="77777777">
        <w:tc>
          <w:tcPr>
            <w:tcW w:w="817" w:type="dxa"/>
            <w:vAlign w:val="center"/>
          </w:tcPr>
          <w:p w14:paraId="0992469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4BAA3B6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5CB511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96BED8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6709FF" w14:textId="77777777">
        <w:tc>
          <w:tcPr>
            <w:tcW w:w="817" w:type="dxa"/>
            <w:vAlign w:val="center"/>
          </w:tcPr>
          <w:p w14:paraId="6682018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2481973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1A923C5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722CE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314C99E" w14:textId="77777777">
        <w:tc>
          <w:tcPr>
            <w:tcW w:w="817" w:type="dxa"/>
            <w:vAlign w:val="center"/>
          </w:tcPr>
          <w:p w14:paraId="44F72C1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5964426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765368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15,526,837.81</w:t>
            </w:r>
          </w:p>
        </w:tc>
        <w:tc>
          <w:tcPr>
            <w:tcW w:w="1616" w:type="dxa"/>
            <w:vAlign w:val="center"/>
          </w:tcPr>
          <w:p w14:paraId="78CA47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5.34</w:t>
            </w:r>
          </w:p>
        </w:tc>
      </w:tr>
    </w:tbl>
    <w:p w14:paraId="4F876AA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6B95F3EA" w14:textId="77777777">
        <w:tc>
          <w:tcPr>
            <w:tcW w:w="1504" w:type="dxa"/>
            <w:vAlign w:val="center"/>
          </w:tcPr>
          <w:p w14:paraId="19140BC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311479C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798FBE3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1A826EA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18DAADC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184A0B0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AC34D6" w14:paraId="3A871EE6" w14:textId="77777777">
        <w:tc>
          <w:tcPr>
            <w:tcW w:w="1504" w:type="dxa"/>
            <w:vAlign w:val="center"/>
          </w:tcPr>
          <w:p w14:paraId="72BB592E" w14:textId="77777777" w:rsidR="00AC34D6" w:rsidRDefault="00726552">
            <w:pPr>
              <w:jc w:val="center"/>
            </w:pPr>
            <w:r>
              <w:rPr>
                <w:rFonts w:eastAsiaTheme="minorEastAsia"/>
                <w:color w:val="000000" w:themeColor="text1"/>
                <w:szCs w:val="21"/>
              </w:rPr>
              <w:lastRenderedPageBreak/>
              <w:t>1</w:t>
            </w:r>
          </w:p>
        </w:tc>
        <w:tc>
          <w:tcPr>
            <w:tcW w:w="1504" w:type="dxa"/>
            <w:vAlign w:val="center"/>
          </w:tcPr>
          <w:p w14:paraId="18593F9C" w14:textId="77777777" w:rsidR="00AC34D6" w:rsidRDefault="00726552">
            <w:pPr>
              <w:jc w:val="center"/>
            </w:pPr>
            <w:r>
              <w:rPr>
                <w:rFonts w:eastAsiaTheme="minorEastAsia"/>
                <w:color w:val="000000" w:themeColor="text1"/>
                <w:szCs w:val="21"/>
              </w:rPr>
              <w:t>019749</w:t>
            </w:r>
          </w:p>
        </w:tc>
        <w:tc>
          <w:tcPr>
            <w:tcW w:w="1504" w:type="dxa"/>
            <w:vAlign w:val="center"/>
          </w:tcPr>
          <w:p w14:paraId="32EA0DED" w14:textId="77777777" w:rsidR="00AC34D6" w:rsidRDefault="00726552">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1503" w:type="dxa"/>
            <w:vAlign w:val="center"/>
          </w:tcPr>
          <w:p w14:paraId="58251729" w14:textId="77777777" w:rsidR="00AC34D6" w:rsidRDefault="00726552">
            <w:pPr>
              <w:jc w:val="right"/>
            </w:pPr>
            <w:r>
              <w:rPr>
                <w:rFonts w:eastAsiaTheme="minorEastAsia"/>
                <w:color w:val="000000" w:themeColor="text1"/>
                <w:szCs w:val="21"/>
              </w:rPr>
              <w:t>139,000</w:t>
            </w:r>
          </w:p>
        </w:tc>
        <w:tc>
          <w:tcPr>
            <w:tcW w:w="1503" w:type="dxa"/>
            <w:vAlign w:val="center"/>
          </w:tcPr>
          <w:p w14:paraId="21F66679" w14:textId="77777777" w:rsidR="00AC34D6" w:rsidRDefault="00726552">
            <w:pPr>
              <w:jc w:val="right"/>
            </w:pPr>
            <w:r>
              <w:rPr>
                <w:rFonts w:eastAsiaTheme="minorEastAsia"/>
                <w:color w:val="000000" w:themeColor="text1"/>
                <w:szCs w:val="21"/>
              </w:rPr>
              <w:t>14,007,886.85</w:t>
            </w:r>
          </w:p>
        </w:tc>
        <w:tc>
          <w:tcPr>
            <w:tcW w:w="1503" w:type="dxa"/>
            <w:vAlign w:val="center"/>
          </w:tcPr>
          <w:p w14:paraId="04C5FCFD" w14:textId="77777777" w:rsidR="00AC34D6" w:rsidRDefault="00726552">
            <w:pPr>
              <w:jc w:val="right"/>
            </w:pPr>
            <w:r>
              <w:rPr>
                <w:rFonts w:eastAsiaTheme="minorEastAsia"/>
                <w:color w:val="000000" w:themeColor="text1"/>
                <w:szCs w:val="21"/>
              </w:rPr>
              <w:t>4.82</w:t>
            </w:r>
          </w:p>
        </w:tc>
      </w:tr>
      <w:tr w:rsidR="00AC34D6" w14:paraId="635A65A9" w14:textId="77777777">
        <w:tc>
          <w:tcPr>
            <w:tcW w:w="1504" w:type="dxa"/>
            <w:vAlign w:val="center"/>
          </w:tcPr>
          <w:p w14:paraId="6CB91EBD" w14:textId="77777777" w:rsidR="00AC34D6" w:rsidRDefault="00726552">
            <w:pPr>
              <w:jc w:val="center"/>
            </w:pPr>
            <w:r>
              <w:rPr>
                <w:rFonts w:eastAsiaTheme="minorEastAsia"/>
                <w:color w:val="000000" w:themeColor="text1"/>
                <w:szCs w:val="21"/>
              </w:rPr>
              <w:t>2</w:t>
            </w:r>
          </w:p>
        </w:tc>
        <w:tc>
          <w:tcPr>
            <w:tcW w:w="1504" w:type="dxa"/>
            <w:vAlign w:val="center"/>
          </w:tcPr>
          <w:p w14:paraId="14DD39EA" w14:textId="77777777" w:rsidR="00AC34D6" w:rsidRDefault="00726552">
            <w:pPr>
              <w:jc w:val="center"/>
            </w:pPr>
            <w:r>
              <w:rPr>
                <w:rFonts w:eastAsiaTheme="minorEastAsia"/>
                <w:color w:val="000000" w:themeColor="text1"/>
                <w:szCs w:val="21"/>
              </w:rPr>
              <w:t>019740</w:t>
            </w:r>
          </w:p>
        </w:tc>
        <w:tc>
          <w:tcPr>
            <w:tcW w:w="1504" w:type="dxa"/>
            <w:vAlign w:val="center"/>
          </w:tcPr>
          <w:p w14:paraId="0603863A" w14:textId="77777777" w:rsidR="00AC34D6" w:rsidRDefault="00726552">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14:paraId="504105BC" w14:textId="77777777" w:rsidR="00AC34D6" w:rsidRDefault="00726552">
            <w:pPr>
              <w:jc w:val="right"/>
            </w:pPr>
            <w:r>
              <w:rPr>
                <w:rFonts w:eastAsiaTheme="minorEastAsia"/>
                <w:color w:val="000000" w:themeColor="text1"/>
                <w:szCs w:val="21"/>
              </w:rPr>
              <w:t>15,000</w:t>
            </w:r>
          </w:p>
        </w:tc>
        <w:tc>
          <w:tcPr>
            <w:tcW w:w="1503" w:type="dxa"/>
            <w:vAlign w:val="center"/>
          </w:tcPr>
          <w:p w14:paraId="6985CCA5" w14:textId="77777777" w:rsidR="00AC34D6" w:rsidRDefault="00726552">
            <w:pPr>
              <w:jc w:val="right"/>
            </w:pPr>
            <w:r>
              <w:rPr>
                <w:rFonts w:eastAsiaTheme="minorEastAsia"/>
                <w:color w:val="000000" w:themeColor="text1"/>
                <w:szCs w:val="21"/>
              </w:rPr>
              <w:t>1,518,950.96</w:t>
            </w:r>
          </w:p>
        </w:tc>
        <w:tc>
          <w:tcPr>
            <w:tcW w:w="1503" w:type="dxa"/>
            <w:vAlign w:val="center"/>
          </w:tcPr>
          <w:p w14:paraId="4D08BD7E" w14:textId="77777777" w:rsidR="00AC34D6" w:rsidRDefault="00726552">
            <w:pPr>
              <w:jc w:val="right"/>
            </w:pPr>
            <w:r>
              <w:rPr>
                <w:rFonts w:eastAsiaTheme="minorEastAsia"/>
                <w:color w:val="000000" w:themeColor="text1"/>
                <w:szCs w:val="21"/>
              </w:rPr>
              <w:t>0.52</w:t>
            </w:r>
          </w:p>
        </w:tc>
      </w:tr>
    </w:tbl>
    <w:p w14:paraId="1DFAEAE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3E123F9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D1F3D8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287650B"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F3C0F0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E19EDB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73C2564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0174F44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7ECC25D3"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78D40E4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A34C47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562AB4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551A1BA"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7B63BBA"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4C36B49E" w14:textId="77777777">
        <w:tc>
          <w:tcPr>
            <w:tcW w:w="1110" w:type="dxa"/>
            <w:vAlign w:val="center"/>
          </w:tcPr>
          <w:p w14:paraId="551E42A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04EF288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5F3920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8D0502E" w14:textId="77777777">
        <w:tc>
          <w:tcPr>
            <w:tcW w:w="1110" w:type="dxa"/>
            <w:vAlign w:val="center"/>
          </w:tcPr>
          <w:p w14:paraId="69BBFE9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6C21F37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D86008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7,453.58</w:t>
            </w:r>
          </w:p>
        </w:tc>
      </w:tr>
      <w:tr w:rsidR="005E6DF3" w:rsidRPr="00B27A29" w14:paraId="173179E3" w14:textId="77777777">
        <w:tc>
          <w:tcPr>
            <w:tcW w:w="1110" w:type="dxa"/>
            <w:vAlign w:val="center"/>
          </w:tcPr>
          <w:p w14:paraId="7AA0D3A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06E4401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7D7BF34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BEDB709" w14:textId="77777777">
        <w:tc>
          <w:tcPr>
            <w:tcW w:w="1110" w:type="dxa"/>
            <w:vAlign w:val="center"/>
          </w:tcPr>
          <w:p w14:paraId="601DB3D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E88DF5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13EC510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680B878" w14:textId="77777777">
        <w:tc>
          <w:tcPr>
            <w:tcW w:w="1110" w:type="dxa"/>
            <w:vAlign w:val="center"/>
          </w:tcPr>
          <w:p w14:paraId="1993BC4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53AA816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4F331A3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A5AC42A" w14:textId="77777777">
        <w:tc>
          <w:tcPr>
            <w:tcW w:w="1110" w:type="dxa"/>
            <w:vAlign w:val="center"/>
          </w:tcPr>
          <w:p w14:paraId="4331B84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65781A3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B93A62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1,286.83</w:t>
            </w:r>
          </w:p>
        </w:tc>
      </w:tr>
      <w:tr w:rsidR="005E6DF3" w:rsidRPr="00B27A29" w14:paraId="33E99A5D" w14:textId="77777777">
        <w:tc>
          <w:tcPr>
            <w:tcW w:w="1110" w:type="dxa"/>
            <w:vAlign w:val="center"/>
          </w:tcPr>
          <w:p w14:paraId="07248BD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014EE3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E02FE7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0.92</w:t>
            </w:r>
          </w:p>
        </w:tc>
      </w:tr>
      <w:tr w:rsidR="005E6DF3" w:rsidRPr="00B27A29" w14:paraId="355E8066" w14:textId="77777777">
        <w:tc>
          <w:tcPr>
            <w:tcW w:w="1110" w:type="dxa"/>
            <w:vAlign w:val="center"/>
          </w:tcPr>
          <w:p w14:paraId="23D3A7E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2761" w:type="dxa"/>
            <w:vAlign w:val="center"/>
          </w:tcPr>
          <w:p w14:paraId="09DDBCD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AA1344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41A4AC0" w14:textId="77777777">
        <w:tc>
          <w:tcPr>
            <w:tcW w:w="1110" w:type="dxa"/>
            <w:vAlign w:val="center"/>
          </w:tcPr>
          <w:p w14:paraId="05709A4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BDB6BB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BC0F24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5E7872E" w14:textId="77777777">
        <w:tc>
          <w:tcPr>
            <w:tcW w:w="1110" w:type="dxa"/>
            <w:vAlign w:val="center"/>
          </w:tcPr>
          <w:p w14:paraId="2FB2AF3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74F8E0C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0AD3AED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8,741.33</w:t>
            </w:r>
          </w:p>
        </w:tc>
      </w:tr>
    </w:tbl>
    <w:p w14:paraId="4E39F36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203CCFC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57FADE3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4E2B487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D887D7C"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842DFFB" w14:textId="77777777"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14:paraId="2897633F" w14:textId="77777777" w:rsidR="00C45886" w:rsidRDefault="00C45886" w:rsidP="00C45886">
      <w:pPr>
        <w:spacing w:before="29" w:line="288" w:lineRule="auto"/>
        <w:ind w:firstLineChars="200" w:firstLine="480"/>
        <w:rPr>
          <w:color w:val="000000"/>
          <w:sz w:val="24"/>
        </w:rPr>
      </w:pPr>
    </w:p>
    <w:p w14:paraId="52C7312A" w14:textId="77777777" w:rsidR="00C45886" w:rsidRDefault="00C45886" w:rsidP="00C45886">
      <w:pPr>
        <w:spacing w:before="29" w:line="288" w:lineRule="auto"/>
        <w:ind w:firstLineChars="200" w:firstLine="480"/>
        <w:rPr>
          <w:color w:val="000000"/>
          <w:sz w:val="24"/>
        </w:rPr>
      </w:pPr>
    </w:p>
    <w:p w14:paraId="3EB60AD3" w14:textId="77777777"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68CA1013" w14:textId="77777777"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14:paraId="4CA9C1D8" w14:textId="77777777" w:rsidTr="00342FE7">
        <w:tc>
          <w:tcPr>
            <w:tcW w:w="452" w:type="pct"/>
            <w:vAlign w:val="center"/>
          </w:tcPr>
          <w:p w14:paraId="2AD7976C"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2BD8E101"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14:paraId="3A3CA3E1"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14:paraId="4367B146"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14:paraId="7C08AFA8"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14:paraId="7447A914" w14:textId="77777777"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14:paraId="7C2E5794"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14:paraId="18E2B796" w14:textId="77777777"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AC34D6" w14:paraId="1596E404" w14:textId="77777777">
        <w:tc>
          <w:tcPr>
            <w:tcW w:w="817" w:type="dxa"/>
            <w:vAlign w:val="center"/>
          </w:tcPr>
          <w:p w14:paraId="277E58D5" w14:textId="77777777" w:rsidR="00AC34D6" w:rsidRDefault="00726552">
            <w:pPr>
              <w:jc w:val="center"/>
            </w:pPr>
            <w:r>
              <w:rPr>
                <w:sz w:val="24"/>
              </w:rPr>
              <w:t>1</w:t>
            </w:r>
          </w:p>
        </w:tc>
        <w:tc>
          <w:tcPr>
            <w:tcW w:w="1133" w:type="dxa"/>
            <w:vAlign w:val="center"/>
          </w:tcPr>
          <w:p w14:paraId="3522A34B" w14:textId="77777777" w:rsidR="00AC34D6" w:rsidRDefault="00726552">
            <w:pPr>
              <w:jc w:val="center"/>
            </w:pPr>
            <w:r>
              <w:rPr>
                <w:sz w:val="24"/>
              </w:rPr>
              <w:t>968050</w:t>
            </w:r>
          </w:p>
        </w:tc>
        <w:tc>
          <w:tcPr>
            <w:tcW w:w="1135" w:type="dxa"/>
            <w:vAlign w:val="center"/>
          </w:tcPr>
          <w:p w14:paraId="0CDF4BC4" w14:textId="77777777" w:rsidR="00AC34D6" w:rsidRDefault="00726552">
            <w:pPr>
              <w:jc w:val="center"/>
            </w:pPr>
            <w:r>
              <w:rPr>
                <w:sz w:val="24"/>
              </w:rPr>
              <w:t>摩根国际债券人民币对冲累计</w:t>
            </w:r>
          </w:p>
        </w:tc>
        <w:tc>
          <w:tcPr>
            <w:tcW w:w="1135" w:type="dxa"/>
            <w:vAlign w:val="center"/>
          </w:tcPr>
          <w:p w14:paraId="6D6A57AC" w14:textId="77777777" w:rsidR="00AC34D6" w:rsidRDefault="00726552">
            <w:pPr>
              <w:jc w:val="center"/>
            </w:pPr>
            <w:r>
              <w:rPr>
                <w:sz w:val="24"/>
              </w:rPr>
              <w:t>契约型开放式</w:t>
            </w:r>
          </w:p>
        </w:tc>
        <w:tc>
          <w:tcPr>
            <w:tcW w:w="1133" w:type="dxa"/>
            <w:vAlign w:val="center"/>
          </w:tcPr>
          <w:p w14:paraId="23B2478A" w14:textId="77777777" w:rsidR="00AC34D6" w:rsidRDefault="00726552">
            <w:pPr>
              <w:jc w:val="center"/>
            </w:pPr>
            <w:r>
              <w:rPr>
                <w:sz w:val="24"/>
              </w:rPr>
              <w:t>1,432,878.35</w:t>
            </w:r>
          </w:p>
        </w:tc>
        <w:tc>
          <w:tcPr>
            <w:tcW w:w="1276" w:type="dxa"/>
            <w:vAlign w:val="center"/>
          </w:tcPr>
          <w:p w14:paraId="096F3BE6" w14:textId="77777777" w:rsidR="00AC34D6" w:rsidRDefault="00726552">
            <w:pPr>
              <w:jc w:val="center"/>
            </w:pPr>
            <w:r>
              <w:rPr>
                <w:sz w:val="24"/>
              </w:rPr>
              <w:t>15,331,798.35</w:t>
            </w:r>
          </w:p>
        </w:tc>
        <w:tc>
          <w:tcPr>
            <w:tcW w:w="1135" w:type="dxa"/>
            <w:vAlign w:val="center"/>
          </w:tcPr>
          <w:p w14:paraId="0B5993F7" w14:textId="77777777" w:rsidR="00AC34D6" w:rsidRDefault="00726552">
            <w:pPr>
              <w:jc w:val="center"/>
            </w:pPr>
            <w:r>
              <w:rPr>
                <w:sz w:val="24"/>
              </w:rPr>
              <w:t>5.27%</w:t>
            </w:r>
          </w:p>
        </w:tc>
        <w:tc>
          <w:tcPr>
            <w:tcW w:w="1272" w:type="dxa"/>
            <w:vAlign w:val="center"/>
          </w:tcPr>
          <w:p w14:paraId="068E210F" w14:textId="77777777" w:rsidR="00AC34D6" w:rsidRDefault="00726552">
            <w:pPr>
              <w:jc w:val="center"/>
            </w:pPr>
            <w:r>
              <w:rPr>
                <w:sz w:val="24"/>
              </w:rPr>
              <w:t>是</w:t>
            </w:r>
          </w:p>
        </w:tc>
      </w:tr>
      <w:tr w:rsidR="00AC34D6" w14:paraId="7440E775" w14:textId="77777777">
        <w:tc>
          <w:tcPr>
            <w:tcW w:w="817" w:type="dxa"/>
            <w:vAlign w:val="center"/>
          </w:tcPr>
          <w:p w14:paraId="58B61D55" w14:textId="77777777" w:rsidR="00AC34D6" w:rsidRDefault="00726552">
            <w:pPr>
              <w:jc w:val="center"/>
            </w:pPr>
            <w:r>
              <w:rPr>
                <w:sz w:val="24"/>
              </w:rPr>
              <w:t>2</w:t>
            </w:r>
          </w:p>
        </w:tc>
        <w:tc>
          <w:tcPr>
            <w:tcW w:w="1133" w:type="dxa"/>
            <w:vAlign w:val="center"/>
          </w:tcPr>
          <w:p w14:paraId="5D902257" w14:textId="77777777" w:rsidR="00AC34D6" w:rsidRDefault="00726552">
            <w:pPr>
              <w:jc w:val="center"/>
            </w:pPr>
            <w:r>
              <w:rPr>
                <w:sz w:val="24"/>
              </w:rPr>
              <w:t>377240</w:t>
            </w:r>
          </w:p>
        </w:tc>
        <w:tc>
          <w:tcPr>
            <w:tcW w:w="1135" w:type="dxa"/>
            <w:vAlign w:val="center"/>
          </w:tcPr>
          <w:p w14:paraId="7D8242FC" w14:textId="77777777" w:rsidR="00AC34D6" w:rsidRDefault="00726552">
            <w:pPr>
              <w:jc w:val="center"/>
            </w:pPr>
            <w:r>
              <w:rPr>
                <w:sz w:val="24"/>
              </w:rPr>
              <w:t>摩根新兴动力混合</w:t>
            </w:r>
            <w:r>
              <w:rPr>
                <w:sz w:val="24"/>
              </w:rPr>
              <w:t>A</w:t>
            </w:r>
            <w:r>
              <w:rPr>
                <w:sz w:val="24"/>
              </w:rPr>
              <w:t>类</w:t>
            </w:r>
          </w:p>
        </w:tc>
        <w:tc>
          <w:tcPr>
            <w:tcW w:w="1135" w:type="dxa"/>
            <w:vAlign w:val="center"/>
          </w:tcPr>
          <w:p w14:paraId="0950C685" w14:textId="77777777" w:rsidR="00AC34D6" w:rsidRDefault="00726552">
            <w:pPr>
              <w:jc w:val="center"/>
            </w:pPr>
            <w:r>
              <w:rPr>
                <w:sz w:val="24"/>
              </w:rPr>
              <w:t>契约型开放式</w:t>
            </w:r>
          </w:p>
        </w:tc>
        <w:tc>
          <w:tcPr>
            <w:tcW w:w="1133" w:type="dxa"/>
            <w:vAlign w:val="center"/>
          </w:tcPr>
          <w:p w14:paraId="7ADC914A" w14:textId="77777777" w:rsidR="00AC34D6" w:rsidRDefault="00726552">
            <w:pPr>
              <w:jc w:val="center"/>
            </w:pPr>
            <w:r>
              <w:rPr>
                <w:sz w:val="24"/>
              </w:rPr>
              <w:t>2,939,725.44</w:t>
            </w:r>
          </w:p>
        </w:tc>
        <w:tc>
          <w:tcPr>
            <w:tcW w:w="1276" w:type="dxa"/>
            <w:vAlign w:val="center"/>
          </w:tcPr>
          <w:p w14:paraId="7ABEADD4" w14:textId="77777777" w:rsidR="00AC34D6" w:rsidRDefault="00726552">
            <w:pPr>
              <w:jc w:val="center"/>
            </w:pPr>
            <w:r>
              <w:rPr>
                <w:sz w:val="24"/>
              </w:rPr>
              <w:t>14,396,717.40</w:t>
            </w:r>
          </w:p>
        </w:tc>
        <w:tc>
          <w:tcPr>
            <w:tcW w:w="1135" w:type="dxa"/>
            <w:vAlign w:val="center"/>
          </w:tcPr>
          <w:p w14:paraId="001F983A" w14:textId="77777777" w:rsidR="00AC34D6" w:rsidRDefault="00726552">
            <w:pPr>
              <w:jc w:val="center"/>
            </w:pPr>
            <w:r>
              <w:rPr>
                <w:sz w:val="24"/>
              </w:rPr>
              <w:t>4.95%</w:t>
            </w:r>
          </w:p>
        </w:tc>
        <w:tc>
          <w:tcPr>
            <w:tcW w:w="1272" w:type="dxa"/>
            <w:vAlign w:val="center"/>
          </w:tcPr>
          <w:p w14:paraId="571FA66F" w14:textId="77777777" w:rsidR="00AC34D6" w:rsidRDefault="00726552">
            <w:pPr>
              <w:jc w:val="center"/>
            </w:pPr>
            <w:r>
              <w:rPr>
                <w:sz w:val="24"/>
              </w:rPr>
              <w:t>是</w:t>
            </w:r>
          </w:p>
        </w:tc>
      </w:tr>
      <w:tr w:rsidR="00AC34D6" w14:paraId="66F01F59" w14:textId="77777777">
        <w:tc>
          <w:tcPr>
            <w:tcW w:w="817" w:type="dxa"/>
            <w:vAlign w:val="center"/>
          </w:tcPr>
          <w:p w14:paraId="78FC7ABF" w14:textId="77777777" w:rsidR="00AC34D6" w:rsidRDefault="00726552">
            <w:pPr>
              <w:jc w:val="center"/>
            </w:pPr>
            <w:r>
              <w:rPr>
                <w:sz w:val="24"/>
              </w:rPr>
              <w:t>3</w:t>
            </w:r>
          </w:p>
        </w:tc>
        <w:tc>
          <w:tcPr>
            <w:tcW w:w="1133" w:type="dxa"/>
            <w:vAlign w:val="center"/>
          </w:tcPr>
          <w:p w14:paraId="08FDEC59" w14:textId="77777777" w:rsidR="00AC34D6" w:rsidRDefault="00726552">
            <w:pPr>
              <w:jc w:val="center"/>
            </w:pPr>
            <w:r>
              <w:rPr>
                <w:sz w:val="24"/>
              </w:rPr>
              <w:t>159920</w:t>
            </w:r>
          </w:p>
        </w:tc>
        <w:tc>
          <w:tcPr>
            <w:tcW w:w="1135" w:type="dxa"/>
            <w:vAlign w:val="center"/>
          </w:tcPr>
          <w:p w14:paraId="1060C8A9" w14:textId="77777777" w:rsidR="00AC34D6" w:rsidRDefault="00726552">
            <w:pPr>
              <w:jc w:val="center"/>
            </w:pPr>
            <w:r>
              <w:rPr>
                <w:sz w:val="24"/>
              </w:rPr>
              <w:t>恒生</w:t>
            </w:r>
            <w:r>
              <w:rPr>
                <w:sz w:val="24"/>
              </w:rPr>
              <w:t>ETF</w:t>
            </w:r>
          </w:p>
        </w:tc>
        <w:tc>
          <w:tcPr>
            <w:tcW w:w="1135" w:type="dxa"/>
            <w:vAlign w:val="center"/>
          </w:tcPr>
          <w:p w14:paraId="6BFEA2F4" w14:textId="77777777" w:rsidR="00AC34D6" w:rsidRDefault="00726552">
            <w:pPr>
              <w:jc w:val="center"/>
            </w:pPr>
            <w:r>
              <w:rPr>
                <w:sz w:val="24"/>
              </w:rPr>
              <w:t>交易型开放式</w:t>
            </w:r>
          </w:p>
        </w:tc>
        <w:tc>
          <w:tcPr>
            <w:tcW w:w="1133" w:type="dxa"/>
            <w:vAlign w:val="center"/>
          </w:tcPr>
          <w:p w14:paraId="22BE6740" w14:textId="77777777" w:rsidR="00AC34D6" w:rsidRDefault="00726552">
            <w:pPr>
              <w:jc w:val="center"/>
            </w:pPr>
            <w:r>
              <w:rPr>
                <w:sz w:val="24"/>
              </w:rPr>
              <w:t>10,818,500.00</w:t>
            </w:r>
          </w:p>
        </w:tc>
        <w:tc>
          <w:tcPr>
            <w:tcW w:w="1276" w:type="dxa"/>
            <w:vAlign w:val="center"/>
          </w:tcPr>
          <w:p w14:paraId="7D8BB86B" w14:textId="77777777" w:rsidR="00AC34D6" w:rsidRDefault="00726552">
            <w:pPr>
              <w:jc w:val="center"/>
            </w:pPr>
            <w:r>
              <w:rPr>
                <w:sz w:val="24"/>
              </w:rPr>
              <w:t>13,382,484.50</w:t>
            </w:r>
          </w:p>
        </w:tc>
        <w:tc>
          <w:tcPr>
            <w:tcW w:w="1135" w:type="dxa"/>
            <w:vAlign w:val="center"/>
          </w:tcPr>
          <w:p w14:paraId="742EED95" w14:textId="77777777" w:rsidR="00AC34D6" w:rsidRDefault="00726552">
            <w:pPr>
              <w:jc w:val="center"/>
            </w:pPr>
            <w:r>
              <w:rPr>
                <w:sz w:val="24"/>
              </w:rPr>
              <w:t>4.60%</w:t>
            </w:r>
          </w:p>
        </w:tc>
        <w:tc>
          <w:tcPr>
            <w:tcW w:w="1272" w:type="dxa"/>
            <w:vAlign w:val="center"/>
          </w:tcPr>
          <w:p w14:paraId="475D7220" w14:textId="77777777" w:rsidR="00AC34D6" w:rsidRDefault="00726552">
            <w:pPr>
              <w:jc w:val="center"/>
            </w:pPr>
            <w:r>
              <w:rPr>
                <w:sz w:val="24"/>
              </w:rPr>
              <w:t>否</w:t>
            </w:r>
          </w:p>
        </w:tc>
      </w:tr>
      <w:tr w:rsidR="00AC34D6" w14:paraId="7587B5EF" w14:textId="77777777">
        <w:tc>
          <w:tcPr>
            <w:tcW w:w="817" w:type="dxa"/>
            <w:vAlign w:val="center"/>
          </w:tcPr>
          <w:p w14:paraId="24EF7E7D" w14:textId="77777777" w:rsidR="00AC34D6" w:rsidRDefault="00726552">
            <w:pPr>
              <w:jc w:val="center"/>
            </w:pPr>
            <w:r>
              <w:rPr>
                <w:sz w:val="24"/>
              </w:rPr>
              <w:t>4</w:t>
            </w:r>
          </w:p>
        </w:tc>
        <w:tc>
          <w:tcPr>
            <w:tcW w:w="1133" w:type="dxa"/>
            <w:vAlign w:val="center"/>
          </w:tcPr>
          <w:p w14:paraId="12D43D22" w14:textId="77777777" w:rsidR="00AC34D6" w:rsidRDefault="00726552">
            <w:pPr>
              <w:jc w:val="center"/>
            </w:pPr>
            <w:r>
              <w:rPr>
                <w:sz w:val="24"/>
              </w:rPr>
              <w:t>519782</w:t>
            </w:r>
          </w:p>
        </w:tc>
        <w:tc>
          <w:tcPr>
            <w:tcW w:w="1135" w:type="dxa"/>
            <w:vAlign w:val="center"/>
          </w:tcPr>
          <w:p w14:paraId="7339EBE8" w14:textId="77777777" w:rsidR="00AC34D6" w:rsidRDefault="00726552">
            <w:pPr>
              <w:jc w:val="center"/>
            </w:pPr>
            <w:proofErr w:type="gramStart"/>
            <w:r>
              <w:rPr>
                <w:sz w:val="24"/>
              </w:rPr>
              <w:t>交银裕隆</w:t>
            </w:r>
            <w:proofErr w:type="gramEnd"/>
            <w:r>
              <w:rPr>
                <w:sz w:val="24"/>
              </w:rPr>
              <w:t>纯</w:t>
            </w:r>
            <w:proofErr w:type="gramStart"/>
            <w:r>
              <w:rPr>
                <w:sz w:val="24"/>
              </w:rPr>
              <w:t>债</w:t>
            </w:r>
            <w:proofErr w:type="gramEnd"/>
            <w:r>
              <w:rPr>
                <w:sz w:val="24"/>
              </w:rPr>
              <w:lastRenderedPageBreak/>
              <w:t>债券</w:t>
            </w:r>
            <w:r>
              <w:rPr>
                <w:sz w:val="24"/>
              </w:rPr>
              <w:t>A</w:t>
            </w:r>
          </w:p>
        </w:tc>
        <w:tc>
          <w:tcPr>
            <w:tcW w:w="1135" w:type="dxa"/>
            <w:vAlign w:val="center"/>
          </w:tcPr>
          <w:p w14:paraId="101C2A15" w14:textId="77777777" w:rsidR="00AC34D6" w:rsidRDefault="00726552">
            <w:pPr>
              <w:jc w:val="center"/>
            </w:pPr>
            <w:r>
              <w:rPr>
                <w:sz w:val="24"/>
              </w:rPr>
              <w:lastRenderedPageBreak/>
              <w:t>契约型开放式</w:t>
            </w:r>
          </w:p>
        </w:tc>
        <w:tc>
          <w:tcPr>
            <w:tcW w:w="1133" w:type="dxa"/>
            <w:vAlign w:val="center"/>
          </w:tcPr>
          <w:p w14:paraId="2387126A" w14:textId="77777777" w:rsidR="00AC34D6" w:rsidRDefault="00726552">
            <w:pPr>
              <w:jc w:val="center"/>
            </w:pPr>
            <w:r>
              <w:rPr>
                <w:sz w:val="24"/>
              </w:rPr>
              <w:t>9,069,170.40</w:t>
            </w:r>
          </w:p>
        </w:tc>
        <w:tc>
          <w:tcPr>
            <w:tcW w:w="1276" w:type="dxa"/>
            <w:vAlign w:val="center"/>
          </w:tcPr>
          <w:p w14:paraId="0FDA3B7C" w14:textId="77777777" w:rsidR="00AC34D6" w:rsidRDefault="00726552">
            <w:pPr>
              <w:jc w:val="center"/>
            </w:pPr>
            <w:r>
              <w:rPr>
                <w:sz w:val="24"/>
              </w:rPr>
              <w:t>12,646,958.12</w:t>
            </w:r>
          </w:p>
        </w:tc>
        <w:tc>
          <w:tcPr>
            <w:tcW w:w="1135" w:type="dxa"/>
            <w:vAlign w:val="center"/>
          </w:tcPr>
          <w:p w14:paraId="4228C8C2" w14:textId="77777777" w:rsidR="00AC34D6" w:rsidRDefault="00726552">
            <w:pPr>
              <w:jc w:val="center"/>
            </w:pPr>
            <w:r>
              <w:rPr>
                <w:sz w:val="24"/>
              </w:rPr>
              <w:t>4.35%</w:t>
            </w:r>
          </w:p>
        </w:tc>
        <w:tc>
          <w:tcPr>
            <w:tcW w:w="1272" w:type="dxa"/>
            <w:vAlign w:val="center"/>
          </w:tcPr>
          <w:p w14:paraId="31AA839C" w14:textId="77777777" w:rsidR="00AC34D6" w:rsidRDefault="00726552">
            <w:pPr>
              <w:jc w:val="center"/>
            </w:pPr>
            <w:r>
              <w:rPr>
                <w:sz w:val="24"/>
              </w:rPr>
              <w:t>否</w:t>
            </w:r>
          </w:p>
        </w:tc>
      </w:tr>
      <w:tr w:rsidR="00AC34D6" w14:paraId="08F494B2" w14:textId="77777777">
        <w:tc>
          <w:tcPr>
            <w:tcW w:w="817" w:type="dxa"/>
            <w:vAlign w:val="center"/>
          </w:tcPr>
          <w:p w14:paraId="725B8FDA" w14:textId="77777777" w:rsidR="00AC34D6" w:rsidRDefault="00726552">
            <w:pPr>
              <w:jc w:val="center"/>
            </w:pPr>
            <w:r>
              <w:rPr>
                <w:sz w:val="24"/>
              </w:rPr>
              <w:t>5</w:t>
            </w:r>
          </w:p>
        </w:tc>
        <w:tc>
          <w:tcPr>
            <w:tcW w:w="1133" w:type="dxa"/>
            <w:vAlign w:val="center"/>
          </w:tcPr>
          <w:p w14:paraId="3DAA8C1E" w14:textId="77777777" w:rsidR="00AC34D6" w:rsidRDefault="00726552">
            <w:pPr>
              <w:jc w:val="center"/>
            </w:pPr>
            <w:r>
              <w:rPr>
                <w:sz w:val="24"/>
              </w:rPr>
              <w:t>006567</w:t>
            </w:r>
          </w:p>
        </w:tc>
        <w:tc>
          <w:tcPr>
            <w:tcW w:w="1135" w:type="dxa"/>
            <w:vAlign w:val="center"/>
          </w:tcPr>
          <w:p w14:paraId="52CE205B" w14:textId="77777777" w:rsidR="00AC34D6" w:rsidRDefault="00726552">
            <w:pPr>
              <w:jc w:val="center"/>
            </w:pPr>
            <w:r>
              <w:rPr>
                <w:sz w:val="24"/>
              </w:rPr>
              <w:t>中泰星元灵活配置混合</w:t>
            </w:r>
            <w:r>
              <w:rPr>
                <w:sz w:val="24"/>
              </w:rPr>
              <w:t>A</w:t>
            </w:r>
          </w:p>
        </w:tc>
        <w:tc>
          <w:tcPr>
            <w:tcW w:w="1135" w:type="dxa"/>
            <w:vAlign w:val="center"/>
          </w:tcPr>
          <w:p w14:paraId="48BC2B82" w14:textId="77777777" w:rsidR="00AC34D6" w:rsidRDefault="00726552">
            <w:pPr>
              <w:jc w:val="center"/>
            </w:pPr>
            <w:r>
              <w:rPr>
                <w:sz w:val="24"/>
              </w:rPr>
              <w:t>契约型开放式</w:t>
            </w:r>
          </w:p>
        </w:tc>
        <w:tc>
          <w:tcPr>
            <w:tcW w:w="1133" w:type="dxa"/>
            <w:vAlign w:val="center"/>
          </w:tcPr>
          <w:p w14:paraId="75DDFC01" w14:textId="77777777" w:rsidR="00AC34D6" w:rsidRDefault="00726552">
            <w:pPr>
              <w:jc w:val="center"/>
            </w:pPr>
            <w:r>
              <w:rPr>
                <w:sz w:val="24"/>
              </w:rPr>
              <w:t>4,738,210.88</w:t>
            </w:r>
          </w:p>
        </w:tc>
        <w:tc>
          <w:tcPr>
            <w:tcW w:w="1276" w:type="dxa"/>
            <w:vAlign w:val="center"/>
          </w:tcPr>
          <w:p w14:paraId="6019B423" w14:textId="77777777" w:rsidR="00AC34D6" w:rsidRDefault="00726552">
            <w:pPr>
              <w:jc w:val="center"/>
            </w:pPr>
            <w:r>
              <w:rPr>
                <w:sz w:val="24"/>
              </w:rPr>
              <w:t>12,564,313.79</w:t>
            </w:r>
          </w:p>
        </w:tc>
        <w:tc>
          <w:tcPr>
            <w:tcW w:w="1135" w:type="dxa"/>
            <w:vAlign w:val="center"/>
          </w:tcPr>
          <w:p w14:paraId="552093A1" w14:textId="77777777" w:rsidR="00AC34D6" w:rsidRDefault="00726552">
            <w:pPr>
              <w:jc w:val="center"/>
            </w:pPr>
            <w:r>
              <w:rPr>
                <w:sz w:val="24"/>
              </w:rPr>
              <w:t>4.32%</w:t>
            </w:r>
          </w:p>
        </w:tc>
        <w:tc>
          <w:tcPr>
            <w:tcW w:w="1272" w:type="dxa"/>
            <w:vAlign w:val="center"/>
          </w:tcPr>
          <w:p w14:paraId="5DCC7D6D" w14:textId="77777777" w:rsidR="00AC34D6" w:rsidRDefault="00726552">
            <w:pPr>
              <w:jc w:val="center"/>
            </w:pPr>
            <w:r>
              <w:rPr>
                <w:sz w:val="24"/>
              </w:rPr>
              <w:t>否</w:t>
            </w:r>
          </w:p>
        </w:tc>
      </w:tr>
      <w:tr w:rsidR="00AC34D6" w14:paraId="17F15398" w14:textId="77777777">
        <w:tc>
          <w:tcPr>
            <w:tcW w:w="817" w:type="dxa"/>
            <w:vAlign w:val="center"/>
          </w:tcPr>
          <w:p w14:paraId="29F918D4" w14:textId="77777777" w:rsidR="00AC34D6" w:rsidRDefault="00726552">
            <w:pPr>
              <w:jc w:val="center"/>
            </w:pPr>
            <w:r>
              <w:rPr>
                <w:sz w:val="24"/>
              </w:rPr>
              <w:t>6</w:t>
            </w:r>
          </w:p>
        </w:tc>
        <w:tc>
          <w:tcPr>
            <w:tcW w:w="1133" w:type="dxa"/>
            <w:vAlign w:val="center"/>
          </w:tcPr>
          <w:p w14:paraId="543A3E47" w14:textId="77777777" w:rsidR="00AC34D6" w:rsidRDefault="00726552">
            <w:pPr>
              <w:jc w:val="center"/>
            </w:pPr>
            <w:r>
              <w:rPr>
                <w:sz w:val="24"/>
              </w:rPr>
              <w:t>000107</w:t>
            </w:r>
          </w:p>
        </w:tc>
        <w:tc>
          <w:tcPr>
            <w:tcW w:w="1135" w:type="dxa"/>
            <w:vAlign w:val="center"/>
          </w:tcPr>
          <w:p w14:paraId="59740BA6" w14:textId="77777777" w:rsidR="00AC34D6" w:rsidRDefault="00726552">
            <w:pPr>
              <w:jc w:val="center"/>
            </w:pPr>
            <w:r>
              <w:rPr>
                <w:sz w:val="24"/>
              </w:rPr>
              <w:t>富国</w:t>
            </w:r>
            <w:proofErr w:type="gramStart"/>
            <w:r>
              <w:rPr>
                <w:sz w:val="24"/>
              </w:rPr>
              <w:t>稳健增强</w:t>
            </w:r>
            <w:proofErr w:type="gramEnd"/>
            <w:r>
              <w:rPr>
                <w:sz w:val="24"/>
              </w:rPr>
              <w:t>债券</w:t>
            </w:r>
            <w:r>
              <w:rPr>
                <w:sz w:val="24"/>
              </w:rPr>
              <w:t>A/B</w:t>
            </w:r>
          </w:p>
        </w:tc>
        <w:tc>
          <w:tcPr>
            <w:tcW w:w="1135" w:type="dxa"/>
            <w:vAlign w:val="center"/>
          </w:tcPr>
          <w:p w14:paraId="53EFC1AF" w14:textId="77777777" w:rsidR="00AC34D6" w:rsidRDefault="00726552">
            <w:pPr>
              <w:jc w:val="center"/>
            </w:pPr>
            <w:r>
              <w:rPr>
                <w:sz w:val="24"/>
              </w:rPr>
              <w:t>契约型开放式</w:t>
            </w:r>
          </w:p>
        </w:tc>
        <w:tc>
          <w:tcPr>
            <w:tcW w:w="1133" w:type="dxa"/>
            <w:vAlign w:val="center"/>
          </w:tcPr>
          <w:p w14:paraId="2FE6435F" w14:textId="77777777" w:rsidR="00AC34D6" w:rsidRDefault="00726552">
            <w:pPr>
              <w:jc w:val="center"/>
            </w:pPr>
            <w:r>
              <w:rPr>
                <w:sz w:val="24"/>
              </w:rPr>
              <w:t>9,573,461.99</w:t>
            </w:r>
          </w:p>
        </w:tc>
        <w:tc>
          <w:tcPr>
            <w:tcW w:w="1276" w:type="dxa"/>
            <w:vAlign w:val="center"/>
          </w:tcPr>
          <w:p w14:paraId="2FB36376" w14:textId="77777777" w:rsidR="00AC34D6" w:rsidRDefault="00726552">
            <w:pPr>
              <w:jc w:val="center"/>
            </w:pPr>
            <w:r>
              <w:rPr>
                <w:sz w:val="24"/>
              </w:rPr>
              <w:t>12,349,765.97</w:t>
            </w:r>
          </w:p>
        </w:tc>
        <w:tc>
          <w:tcPr>
            <w:tcW w:w="1135" w:type="dxa"/>
            <w:vAlign w:val="center"/>
          </w:tcPr>
          <w:p w14:paraId="0FFB7871" w14:textId="77777777" w:rsidR="00AC34D6" w:rsidRDefault="00726552">
            <w:pPr>
              <w:jc w:val="center"/>
            </w:pPr>
            <w:r>
              <w:rPr>
                <w:sz w:val="24"/>
              </w:rPr>
              <w:t>4.25%</w:t>
            </w:r>
          </w:p>
        </w:tc>
        <w:tc>
          <w:tcPr>
            <w:tcW w:w="1272" w:type="dxa"/>
            <w:vAlign w:val="center"/>
          </w:tcPr>
          <w:p w14:paraId="3D4840F9" w14:textId="77777777" w:rsidR="00AC34D6" w:rsidRDefault="00726552">
            <w:pPr>
              <w:jc w:val="center"/>
            </w:pPr>
            <w:r>
              <w:rPr>
                <w:sz w:val="24"/>
              </w:rPr>
              <w:t>否</w:t>
            </w:r>
          </w:p>
        </w:tc>
      </w:tr>
      <w:tr w:rsidR="00AC34D6" w14:paraId="7B3957BC" w14:textId="77777777">
        <w:tc>
          <w:tcPr>
            <w:tcW w:w="817" w:type="dxa"/>
            <w:vAlign w:val="center"/>
          </w:tcPr>
          <w:p w14:paraId="2020BE78" w14:textId="77777777" w:rsidR="00AC34D6" w:rsidRDefault="00726552">
            <w:pPr>
              <w:jc w:val="center"/>
            </w:pPr>
            <w:r>
              <w:rPr>
                <w:sz w:val="24"/>
              </w:rPr>
              <w:t>7</w:t>
            </w:r>
          </w:p>
        </w:tc>
        <w:tc>
          <w:tcPr>
            <w:tcW w:w="1133" w:type="dxa"/>
            <w:vAlign w:val="center"/>
          </w:tcPr>
          <w:p w14:paraId="2337C9AD" w14:textId="77777777" w:rsidR="00AC34D6" w:rsidRDefault="00726552">
            <w:pPr>
              <w:jc w:val="center"/>
            </w:pPr>
            <w:r>
              <w:rPr>
                <w:sz w:val="24"/>
              </w:rPr>
              <w:t>005994</w:t>
            </w:r>
          </w:p>
        </w:tc>
        <w:tc>
          <w:tcPr>
            <w:tcW w:w="1135" w:type="dxa"/>
            <w:vAlign w:val="center"/>
          </w:tcPr>
          <w:p w14:paraId="2E40C1A6" w14:textId="77777777" w:rsidR="00AC34D6" w:rsidRDefault="00726552">
            <w:pPr>
              <w:jc w:val="center"/>
            </w:pPr>
            <w:proofErr w:type="gramStart"/>
            <w:r>
              <w:rPr>
                <w:sz w:val="24"/>
              </w:rPr>
              <w:t>国投瑞银</w:t>
            </w:r>
            <w:proofErr w:type="gramEnd"/>
            <w:r>
              <w:rPr>
                <w:sz w:val="24"/>
              </w:rPr>
              <w:t>中证</w:t>
            </w:r>
            <w:r>
              <w:rPr>
                <w:sz w:val="24"/>
              </w:rPr>
              <w:t>500</w:t>
            </w:r>
            <w:r>
              <w:rPr>
                <w:sz w:val="24"/>
              </w:rPr>
              <w:t>指数量化增强</w:t>
            </w:r>
            <w:r>
              <w:rPr>
                <w:sz w:val="24"/>
              </w:rPr>
              <w:t>A</w:t>
            </w:r>
          </w:p>
        </w:tc>
        <w:tc>
          <w:tcPr>
            <w:tcW w:w="1135" w:type="dxa"/>
            <w:vAlign w:val="center"/>
          </w:tcPr>
          <w:p w14:paraId="0551C1F1" w14:textId="77777777" w:rsidR="00AC34D6" w:rsidRDefault="00726552">
            <w:pPr>
              <w:jc w:val="center"/>
            </w:pPr>
            <w:r>
              <w:rPr>
                <w:sz w:val="24"/>
              </w:rPr>
              <w:t>契约型开放式</w:t>
            </w:r>
          </w:p>
        </w:tc>
        <w:tc>
          <w:tcPr>
            <w:tcW w:w="1133" w:type="dxa"/>
            <w:vAlign w:val="center"/>
          </w:tcPr>
          <w:p w14:paraId="2C89FCB7" w14:textId="77777777" w:rsidR="00AC34D6" w:rsidRDefault="00726552">
            <w:pPr>
              <w:jc w:val="center"/>
            </w:pPr>
            <w:r>
              <w:rPr>
                <w:sz w:val="24"/>
              </w:rPr>
              <w:t>5,684,099.16</w:t>
            </w:r>
          </w:p>
        </w:tc>
        <w:tc>
          <w:tcPr>
            <w:tcW w:w="1276" w:type="dxa"/>
            <w:vAlign w:val="center"/>
          </w:tcPr>
          <w:p w14:paraId="44B0BADE" w14:textId="77777777" w:rsidR="00AC34D6" w:rsidRDefault="00726552">
            <w:pPr>
              <w:jc w:val="center"/>
            </w:pPr>
            <w:r>
              <w:rPr>
                <w:sz w:val="24"/>
              </w:rPr>
              <w:t>11,602,951.62</w:t>
            </w:r>
          </w:p>
        </w:tc>
        <w:tc>
          <w:tcPr>
            <w:tcW w:w="1135" w:type="dxa"/>
            <w:vAlign w:val="center"/>
          </w:tcPr>
          <w:p w14:paraId="4AFDADF1" w14:textId="77777777" w:rsidR="00AC34D6" w:rsidRDefault="00726552">
            <w:pPr>
              <w:jc w:val="center"/>
            </w:pPr>
            <w:r>
              <w:rPr>
                <w:sz w:val="24"/>
              </w:rPr>
              <w:t>3.99%</w:t>
            </w:r>
          </w:p>
        </w:tc>
        <w:tc>
          <w:tcPr>
            <w:tcW w:w="1272" w:type="dxa"/>
            <w:vAlign w:val="center"/>
          </w:tcPr>
          <w:p w14:paraId="0106C17C" w14:textId="77777777" w:rsidR="00AC34D6" w:rsidRDefault="00726552">
            <w:pPr>
              <w:jc w:val="center"/>
            </w:pPr>
            <w:r>
              <w:rPr>
                <w:sz w:val="24"/>
              </w:rPr>
              <w:t>否</w:t>
            </w:r>
          </w:p>
        </w:tc>
      </w:tr>
      <w:tr w:rsidR="00AC34D6" w14:paraId="262185DD" w14:textId="77777777">
        <w:tc>
          <w:tcPr>
            <w:tcW w:w="817" w:type="dxa"/>
            <w:vAlign w:val="center"/>
          </w:tcPr>
          <w:p w14:paraId="61E7AF26" w14:textId="77777777" w:rsidR="00AC34D6" w:rsidRDefault="00726552">
            <w:pPr>
              <w:jc w:val="center"/>
            </w:pPr>
            <w:r>
              <w:rPr>
                <w:sz w:val="24"/>
              </w:rPr>
              <w:t>8</w:t>
            </w:r>
          </w:p>
        </w:tc>
        <w:tc>
          <w:tcPr>
            <w:tcW w:w="1133" w:type="dxa"/>
            <w:vAlign w:val="center"/>
          </w:tcPr>
          <w:p w14:paraId="103720BF" w14:textId="77777777" w:rsidR="00AC34D6" w:rsidRDefault="00726552">
            <w:pPr>
              <w:jc w:val="center"/>
            </w:pPr>
            <w:r>
              <w:rPr>
                <w:sz w:val="24"/>
              </w:rPr>
              <w:t>001856</w:t>
            </w:r>
          </w:p>
        </w:tc>
        <w:tc>
          <w:tcPr>
            <w:tcW w:w="1135" w:type="dxa"/>
            <w:vAlign w:val="center"/>
          </w:tcPr>
          <w:p w14:paraId="2DEFEDFE" w14:textId="77777777" w:rsidR="00AC34D6" w:rsidRDefault="00726552">
            <w:pPr>
              <w:jc w:val="center"/>
            </w:pPr>
            <w:r>
              <w:rPr>
                <w:sz w:val="24"/>
              </w:rPr>
              <w:t>易方达环保主题混合</w:t>
            </w:r>
            <w:r>
              <w:rPr>
                <w:sz w:val="24"/>
              </w:rPr>
              <w:t>A</w:t>
            </w:r>
          </w:p>
        </w:tc>
        <w:tc>
          <w:tcPr>
            <w:tcW w:w="1135" w:type="dxa"/>
            <w:vAlign w:val="center"/>
          </w:tcPr>
          <w:p w14:paraId="688A025C" w14:textId="77777777" w:rsidR="00AC34D6" w:rsidRDefault="00726552">
            <w:pPr>
              <w:jc w:val="center"/>
            </w:pPr>
            <w:r>
              <w:rPr>
                <w:sz w:val="24"/>
              </w:rPr>
              <w:t>契约型开放式</w:t>
            </w:r>
          </w:p>
        </w:tc>
        <w:tc>
          <w:tcPr>
            <w:tcW w:w="1133" w:type="dxa"/>
            <w:vAlign w:val="center"/>
          </w:tcPr>
          <w:p w14:paraId="11898281" w14:textId="77777777" w:rsidR="00AC34D6" w:rsidRDefault="00726552">
            <w:pPr>
              <w:jc w:val="center"/>
            </w:pPr>
            <w:r>
              <w:rPr>
                <w:sz w:val="24"/>
              </w:rPr>
              <w:t>3,284,763.28</w:t>
            </w:r>
          </w:p>
        </w:tc>
        <w:tc>
          <w:tcPr>
            <w:tcW w:w="1276" w:type="dxa"/>
            <w:vAlign w:val="center"/>
          </w:tcPr>
          <w:p w14:paraId="636044BC" w14:textId="77777777" w:rsidR="00AC34D6" w:rsidRDefault="00726552">
            <w:pPr>
              <w:jc w:val="center"/>
            </w:pPr>
            <w:r>
              <w:rPr>
                <w:sz w:val="24"/>
              </w:rPr>
              <w:t>10,987,533.17</w:t>
            </w:r>
          </w:p>
        </w:tc>
        <w:tc>
          <w:tcPr>
            <w:tcW w:w="1135" w:type="dxa"/>
            <w:vAlign w:val="center"/>
          </w:tcPr>
          <w:p w14:paraId="7F39D123" w14:textId="77777777" w:rsidR="00AC34D6" w:rsidRDefault="00726552">
            <w:pPr>
              <w:jc w:val="center"/>
            </w:pPr>
            <w:r>
              <w:rPr>
                <w:sz w:val="24"/>
              </w:rPr>
              <w:t>3.78%</w:t>
            </w:r>
          </w:p>
        </w:tc>
        <w:tc>
          <w:tcPr>
            <w:tcW w:w="1272" w:type="dxa"/>
            <w:vAlign w:val="center"/>
          </w:tcPr>
          <w:p w14:paraId="68191AAE" w14:textId="77777777" w:rsidR="00AC34D6" w:rsidRDefault="00726552">
            <w:pPr>
              <w:jc w:val="center"/>
            </w:pPr>
            <w:r>
              <w:rPr>
                <w:sz w:val="24"/>
              </w:rPr>
              <w:t>否</w:t>
            </w:r>
          </w:p>
        </w:tc>
      </w:tr>
      <w:tr w:rsidR="00AC34D6" w14:paraId="6CB4C0A7" w14:textId="77777777">
        <w:tc>
          <w:tcPr>
            <w:tcW w:w="817" w:type="dxa"/>
            <w:vAlign w:val="center"/>
          </w:tcPr>
          <w:p w14:paraId="6F194467" w14:textId="77777777" w:rsidR="00AC34D6" w:rsidRDefault="00726552">
            <w:pPr>
              <w:jc w:val="center"/>
            </w:pPr>
            <w:r>
              <w:rPr>
                <w:sz w:val="24"/>
              </w:rPr>
              <w:t>9</w:t>
            </w:r>
          </w:p>
        </w:tc>
        <w:tc>
          <w:tcPr>
            <w:tcW w:w="1133" w:type="dxa"/>
            <w:vAlign w:val="center"/>
          </w:tcPr>
          <w:p w14:paraId="37620A72" w14:textId="77777777" w:rsidR="00AC34D6" w:rsidRDefault="00726552">
            <w:pPr>
              <w:jc w:val="center"/>
            </w:pPr>
            <w:r>
              <w:rPr>
                <w:sz w:val="24"/>
              </w:rPr>
              <w:t>513180</w:t>
            </w:r>
          </w:p>
        </w:tc>
        <w:tc>
          <w:tcPr>
            <w:tcW w:w="1135" w:type="dxa"/>
            <w:vAlign w:val="center"/>
          </w:tcPr>
          <w:p w14:paraId="473787F6" w14:textId="77777777" w:rsidR="00AC34D6" w:rsidRDefault="00726552">
            <w:pPr>
              <w:jc w:val="center"/>
            </w:pPr>
            <w:r>
              <w:rPr>
                <w:sz w:val="24"/>
              </w:rPr>
              <w:t>华夏恒生科技</w:t>
            </w:r>
            <w:r>
              <w:rPr>
                <w:sz w:val="24"/>
              </w:rPr>
              <w:t>ETF(QDII)</w:t>
            </w:r>
          </w:p>
        </w:tc>
        <w:tc>
          <w:tcPr>
            <w:tcW w:w="1135" w:type="dxa"/>
            <w:vAlign w:val="center"/>
          </w:tcPr>
          <w:p w14:paraId="3867CC53" w14:textId="77777777" w:rsidR="00AC34D6" w:rsidRDefault="00726552">
            <w:pPr>
              <w:jc w:val="center"/>
            </w:pPr>
            <w:r>
              <w:rPr>
                <w:sz w:val="24"/>
              </w:rPr>
              <w:t>交易型开放式</w:t>
            </w:r>
          </w:p>
        </w:tc>
        <w:tc>
          <w:tcPr>
            <w:tcW w:w="1133" w:type="dxa"/>
            <w:vAlign w:val="center"/>
          </w:tcPr>
          <w:p w14:paraId="01164B79" w14:textId="77777777" w:rsidR="00AC34D6" w:rsidRDefault="00726552">
            <w:pPr>
              <w:jc w:val="center"/>
            </w:pPr>
            <w:r>
              <w:rPr>
                <w:sz w:val="24"/>
              </w:rPr>
              <w:t>17,035,800.00</w:t>
            </w:r>
          </w:p>
        </w:tc>
        <w:tc>
          <w:tcPr>
            <w:tcW w:w="1276" w:type="dxa"/>
            <w:vAlign w:val="center"/>
          </w:tcPr>
          <w:p w14:paraId="4F5A00BA" w14:textId="77777777" w:rsidR="00AC34D6" w:rsidRDefault="00726552">
            <w:pPr>
              <w:jc w:val="center"/>
            </w:pPr>
            <w:r>
              <w:rPr>
                <w:sz w:val="24"/>
              </w:rPr>
              <w:t>10,408,873.80</w:t>
            </w:r>
          </w:p>
        </w:tc>
        <w:tc>
          <w:tcPr>
            <w:tcW w:w="1135" w:type="dxa"/>
            <w:vAlign w:val="center"/>
          </w:tcPr>
          <w:p w14:paraId="4ADABA02" w14:textId="77777777" w:rsidR="00AC34D6" w:rsidRDefault="00726552">
            <w:pPr>
              <w:jc w:val="center"/>
            </w:pPr>
            <w:r>
              <w:rPr>
                <w:sz w:val="24"/>
              </w:rPr>
              <w:t>3.58%</w:t>
            </w:r>
          </w:p>
        </w:tc>
        <w:tc>
          <w:tcPr>
            <w:tcW w:w="1272" w:type="dxa"/>
            <w:vAlign w:val="center"/>
          </w:tcPr>
          <w:p w14:paraId="441ECD3F" w14:textId="77777777" w:rsidR="00AC34D6" w:rsidRDefault="00726552">
            <w:pPr>
              <w:jc w:val="center"/>
            </w:pPr>
            <w:r>
              <w:rPr>
                <w:sz w:val="24"/>
              </w:rPr>
              <w:t>否</w:t>
            </w:r>
          </w:p>
        </w:tc>
      </w:tr>
      <w:tr w:rsidR="00AC34D6" w14:paraId="3D070415" w14:textId="77777777">
        <w:tc>
          <w:tcPr>
            <w:tcW w:w="817" w:type="dxa"/>
            <w:vAlign w:val="center"/>
          </w:tcPr>
          <w:p w14:paraId="6D4FAD8B" w14:textId="77777777" w:rsidR="00AC34D6" w:rsidRDefault="00726552">
            <w:pPr>
              <w:jc w:val="center"/>
            </w:pPr>
            <w:r>
              <w:rPr>
                <w:sz w:val="24"/>
              </w:rPr>
              <w:t>10</w:t>
            </w:r>
          </w:p>
        </w:tc>
        <w:tc>
          <w:tcPr>
            <w:tcW w:w="1133" w:type="dxa"/>
            <w:vAlign w:val="center"/>
          </w:tcPr>
          <w:p w14:paraId="24C19679" w14:textId="77777777" w:rsidR="00AC34D6" w:rsidRDefault="00726552">
            <w:pPr>
              <w:jc w:val="center"/>
            </w:pPr>
            <w:r>
              <w:rPr>
                <w:sz w:val="24"/>
              </w:rPr>
              <w:t>512070</w:t>
            </w:r>
          </w:p>
        </w:tc>
        <w:tc>
          <w:tcPr>
            <w:tcW w:w="1135" w:type="dxa"/>
            <w:vAlign w:val="center"/>
          </w:tcPr>
          <w:p w14:paraId="31B665DE" w14:textId="77777777" w:rsidR="00AC34D6" w:rsidRDefault="00726552">
            <w:pPr>
              <w:jc w:val="center"/>
            </w:pPr>
            <w:r>
              <w:rPr>
                <w:sz w:val="24"/>
              </w:rPr>
              <w:t>易方达沪深</w:t>
            </w:r>
            <w:r>
              <w:rPr>
                <w:sz w:val="24"/>
              </w:rPr>
              <w:t>300</w:t>
            </w:r>
            <w:r>
              <w:rPr>
                <w:sz w:val="24"/>
              </w:rPr>
              <w:t>非银</w:t>
            </w:r>
            <w:r>
              <w:rPr>
                <w:sz w:val="24"/>
              </w:rPr>
              <w:t>ETF</w:t>
            </w:r>
          </w:p>
        </w:tc>
        <w:tc>
          <w:tcPr>
            <w:tcW w:w="1135" w:type="dxa"/>
            <w:vAlign w:val="center"/>
          </w:tcPr>
          <w:p w14:paraId="3D6EBB2F" w14:textId="77777777" w:rsidR="00AC34D6" w:rsidRDefault="00726552">
            <w:pPr>
              <w:jc w:val="center"/>
            </w:pPr>
            <w:r>
              <w:rPr>
                <w:sz w:val="24"/>
              </w:rPr>
              <w:t>交易型开放式</w:t>
            </w:r>
          </w:p>
        </w:tc>
        <w:tc>
          <w:tcPr>
            <w:tcW w:w="1133" w:type="dxa"/>
            <w:vAlign w:val="center"/>
          </w:tcPr>
          <w:p w14:paraId="5C0FC321" w14:textId="77777777" w:rsidR="00AC34D6" w:rsidRDefault="00726552">
            <w:pPr>
              <w:jc w:val="center"/>
            </w:pPr>
            <w:r>
              <w:rPr>
                <w:sz w:val="24"/>
              </w:rPr>
              <w:t>12,741,700.00</w:t>
            </w:r>
          </w:p>
        </w:tc>
        <w:tc>
          <w:tcPr>
            <w:tcW w:w="1276" w:type="dxa"/>
            <w:vAlign w:val="center"/>
          </w:tcPr>
          <w:p w14:paraId="63BDA6A6" w14:textId="77777777" w:rsidR="00AC34D6" w:rsidRDefault="00726552">
            <w:pPr>
              <w:jc w:val="center"/>
            </w:pPr>
            <w:r>
              <w:rPr>
                <w:sz w:val="24"/>
              </w:rPr>
              <w:t>10,359,002.10</w:t>
            </w:r>
          </w:p>
        </w:tc>
        <w:tc>
          <w:tcPr>
            <w:tcW w:w="1135" w:type="dxa"/>
            <w:vAlign w:val="center"/>
          </w:tcPr>
          <w:p w14:paraId="7DAF0A17" w14:textId="77777777" w:rsidR="00AC34D6" w:rsidRDefault="00726552">
            <w:pPr>
              <w:jc w:val="center"/>
            </w:pPr>
            <w:r>
              <w:rPr>
                <w:sz w:val="24"/>
              </w:rPr>
              <w:t>3.56%</w:t>
            </w:r>
          </w:p>
        </w:tc>
        <w:tc>
          <w:tcPr>
            <w:tcW w:w="1272" w:type="dxa"/>
            <w:vAlign w:val="center"/>
          </w:tcPr>
          <w:p w14:paraId="3F2301C0" w14:textId="77777777" w:rsidR="00AC34D6" w:rsidRDefault="00726552">
            <w:pPr>
              <w:jc w:val="center"/>
            </w:pPr>
            <w:r>
              <w:rPr>
                <w:sz w:val="24"/>
              </w:rPr>
              <w:t>否</w:t>
            </w:r>
          </w:p>
        </w:tc>
      </w:tr>
    </w:tbl>
    <w:p w14:paraId="51347198"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14:paraId="4BE6D371" w14:textId="77777777" w:rsidTr="00342FE7">
        <w:tc>
          <w:tcPr>
            <w:tcW w:w="3012" w:type="dxa"/>
            <w:vAlign w:val="center"/>
          </w:tcPr>
          <w:p w14:paraId="63F6B77F" w14:textId="77777777"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14:paraId="0AEA76D4" w14:textId="77777777" w:rsidR="00C45886" w:rsidRPr="00575270" w:rsidRDefault="00C45886" w:rsidP="00342FE7">
            <w:pPr>
              <w:spacing w:line="276" w:lineRule="auto"/>
              <w:jc w:val="center"/>
              <w:rPr>
                <w:sz w:val="24"/>
              </w:rPr>
            </w:pPr>
            <w:r w:rsidRPr="00575270">
              <w:rPr>
                <w:sz w:val="24"/>
              </w:rPr>
              <w:t>本期费用</w:t>
            </w:r>
          </w:p>
        </w:tc>
        <w:tc>
          <w:tcPr>
            <w:tcW w:w="3012" w:type="dxa"/>
            <w:vAlign w:val="center"/>
          </w:tcPr>
          <w:p w14:paraId="5FDD67E0" w14:textId="77777777"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14:paraId="0D1A31F3" w14:textId="77777777" w:rsidTr="00342FE7">
        <w:tc>
          <w:tcPr>
            <w:tcW w:w="3012" w:type="dxa"/>
            <w:vAlign w:val="center"/>
          </w:tcPr>
          <w:p w14:paraId="714A726F"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14:paraId="50150B1A"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4,975.12</w:t>
            </w:r>
          </w:p>
        </w:tc>
        <w:tc>
          <w:tcPr>
            <w:tcW w:w="3012" w:type="dxa"/>
            <w:vAlign w:val="center"/>
          </w:tcPr>
          <w:p w14:paraId="5257CB2C"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14:paraId="0BA7AE93" w14:textId="77777777" w:rsidTr="00342FE7">
        <w:tc>
          <w:tcPr>
            <w:tcW w:w="3012" w:type="dxa"/>
            <w:vAlign w:val="center"/>
          </w:tcPr>
          <w:p w14:paraId="40FAFE62" w14:textId="77777777"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14:paraId="77FDDDE6"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50,327.53</w:t>
            </w:r>
          </w:p>
        </w:tc>
        <w:tc>
          <w:tcPr>
            <w:tcW w:w="3012" w:type="dxa"/>
            <w:vAlign w:val="center"/>
          </w:tcPr>
          <w:p w14:paraId="6136BAC3" w14:textId="77777777"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726552" w:rsidRPr="00575270" w14:paraId="3F22CF76" w14:textId="77777777" w:rsidTr="00342FE7">
        <w:tc>
          <w:tcPr>
            <w:tcW w:w="3012" w:type="dxa"/>
            <w:vAlign w:val="center"/>
          </w:tcPr>
          <w:p w14:paraId="3AE0E7D0" w14:textId="77777777" w:rsidR="00726552" w:rsidRPr="00575270" w:rsidRDefault="00726552" w:rsidP="00726552">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14:paraId="6129E90F" w14:textId="15DCE502" w:rsidR="00726552" w:rsidRPr="00575270" w:rsidRDefault="00726552" w:rsidP="00726552">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22,595.23</w:t>
            </w:r>
          </w:p>
        </w:tc>
        <w:tc>
          <w:tcPr>
            <w:tcW w:w="3012" w:type="dxa"/>
            <w:vAlign w:val="center"/>
          </w:tcPr>
          <w:p w14:paraId="1FDEBDC4" w14:textId="564A2B22" w:rsidR="00726552" w:rsidRPr="00575270" w:rsidRDefault="00726552" w:rsidP="00726552">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0.92</w:t>
            </w:r>
          </w:p>
        </w:tc>
      </w:tr>
      <w:tr w:rsidR="00726552" w:rsidRPr="00575270" w14:paraId="17D0A32C" w14:textId="77777777" w:rsidTr="00342FE7">
        <w:tc>
          <w:tcPr>
            <w:tcW w:w="3012" w:type="dxa"/>
            <w:vAlign w:val="center"/>
          </w:tcPr>
          <w:p w14:paraId="357DB1BE" w14:textId="77777777" w:rsidR="00726552" w:rsidRPr="00575270" w:rsidRDefault="00726552" w:rsidP="00726552">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14:paraId="321891A1" w14:textId="76659409" w:rsidR="00726552" w:rsidRPr="00575270" w:rsidRDefault="00726552" w:rsidP="00726552">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558,587.67</w:t>
            </w:r>
          </w:p>
        </w:tc>
        <w:tc>
          <w:tcPr>
            <w:tcW w:w="3012" w:type="dxa"/>
            <w:vAlign w:val="center"/>
          </w:tcPr>
          <w:p w14:paraId="73978B87" w14:textId="31ED118F" w:rsidR="00726552" w:rsidRPr="00575270" w:rsidRDefault="00726552" w:rsidP="00726552">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111,195.99</w:t>
            </w:r>
          </w:p>
        </w:tc>
      </w:tr>
      <w:tr w:rsidR="00726552" w:rsidRPr="00575270" w14:paraId="65D4E7AE" w14:textId="77777777" w:rsidTr="00342FE7">
        <w:tc>
          <w:tcPr>
            <w:tcW w:w="3012" w:type="dxa"/>
            <w:vAlign w:val="center"/>
          </w:tcPr>
          <w:p w14:paraId="3A107C77" w14:textId="77777777" w:rsidR="00726552" w:rsidRPr="00575270" w:rsidRDefault="00726552" w:rsidP="00726552">
            <w:pPr>
              <w:adjustRightInd w:val="0"/>
              <w:snapToGrid w:val="0"/>
              <w:spacing w:beforeLines="50" w:before="156" w:line="276" w:lineRule="auto"/>
              <w:rPr>
                <w:rFonts w:eastAsiaTheme="minorEastAsia"/>
                <w:color w:val="000000" w:themeColor="text1"/>
                <w:sz w:val="24"/>
              </w:rPr>
            </w:pPr>
            <w:r w:rsidRPr="00575270">
              <w:rPr>
                <w:sz w:val="24"/>
              </w:rPr>
              <w:t>当期持有基金产生的应支</w:t>
            </w:r>
            <w:r w:rsidRPr="00575270">
              <w:rPr>
                <w:sz w:val="24"/>
              </w:rPr>
              <w:lastRenderedPageBreak/>
              <w:t>付托管费（元）</w:t>
            </w:r>
          </w:p>
        </w:tc>
        <w:tc>
          <w:tcPr>
            <w:tcW w:w="3012" w:type="dxa"/>
            <w:vAlign w:val="center"/>
          </w:tcPr>
          <w:p w14:paraId="2583C4E3" w14:textId="6EC77130" w:rsidR="00726552" w:rsidRPr="00575270" w:rsidRDefault="00726552" w:rsidP="00726552">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lastRenderedPageBreak/>
              <w:t>103,152.33</w:t>
            </w:r>
          </w:p>
        </w:tc>
        <w:tc>
          <w:tcPr>
            <w:tcW w:w="3012" w:type="dxa"/>
            <w:vAlign w:val="center"/>
          </w:tcPr>
          <w:p w14:paraId="4B250245" w14:textId="744E4142" w:rsidR="00726552" w:rsidRPr="00575270" w:rsidRDefault="00726552" w:rsidP="00726552">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14,900.70</w:t>
            </w:r>
          </w:p>
        </w:tc>
      </w:tr>
      <w:tr w:rsidR="00AC34D6" w14:paraId="61A7413C" w14:textId="77777777">
        <w:tc>
          <w:tcPr>
            <w:tcW w:w="3012" w:type="dxa"/>
            <w:vAlign w:val="center"/>
          </w:tcPr>
          <w:p w14:paraId="33C8FD84" w14:textId="77777777" w:rsidR="00AC34D6" w:rsidRDefault="00726552">
            <w:pPr>
              <w:jc w:val="left"/>
            </w:pPr>
            <w:r>
              <w:rPr>
                <w:rFonts w:eastAsiaTheme="minorEastAsia"/>
                <w:color w:val="000000" w:themeColor="text1"/>
                <w:sz w:val="24"/>
              </w:rPr>
              <w:t>当期交易基金产生的交易费（元）</w:t>
            </w:r>
          </w:p>
        </w:tc>
        <w:tc>
          <w:tcPr>
            <w:tcW w:w="3012" w:type="dxa"/>
            <w:vAlign w:val="center"/>
          </w:tcPr>
          <w:p w14:paraId="40B27BBB" w14:textId="77777777" w:rsidR="00AC34D6" w:rsidRDefault="00726552">
            <w:pPr>
              <w:jc w:val="right"/>
            </w:pPr>
            <w:r>
              <w:rPr>
                <w:rFonts w:eastAsiaTheme="minorEastAsia"/>
                <w:color w:val="000000" w:themeColor="text1"/>
                <w:sz w:val="24"/>
              </w:rPr>
              <w:t>817.94</w:t>
            </w:r>
          </w:p>
        </w:tc>
        <w:tc>
          <w:tcPr>
            <w:tcW w:w="3012" w:type="dxa"/>
            <w:vAlign w:val="center"/>
          </w:tcPr>
          <w:p w14:paraId="1A41996A" w14:textId="77777777" w:rsidR="00AC34D6" w:rsidRDefault="00726552">
            <w:pPr>
              <w:jc w:val="right"/>
            </w:pPr>
            <w:r>
              <w:rPr>
                <w:rFonts w:eastAsiaTheme="minorEastAsia"/>
                <w:color w:val="000000" w:themeColor="text1"/>
                <w:sz w:val="24"/>
              </w:rPr>
              <w:t>-</w:t>
            </w:r>
          </w:p>
        </w:tc>
      </w:tr>
      <w:tr w:rsidR="00AC34D6" w14:paraId="4A33A706" w14:textId="77777777">
        <w:tc>
          <w:tcPr>
            <w:tcW w:w="3012" w:type="dxa"/>
            <w:vAlign w:val="center"/>
          </w:tcPr>
          <w:p w14:paraId="687E90CF" w14:textId="77777777" w:rsidR="00AC34D6" w:rsidRDefault="00726552">
            <w:pPr>
              <w:jc w:val="left"/>
            </w:pPr>
            <w:r>
              <w:rPr>
                <w:rFonts w:eastAsiaTheme="minorEastAsia"/>
                <w:color w:val="000000" w:themeColor="text1"/>
                <w:sz w:val="24"/>
              </w:rPr>
              <w:t>当期交易基金产生的转换费（元）</w:t>
            </w:r>
          </w:p>
        </w:tc>
        <w:tc>
          <w:tcPr>
            <w:tcW w:w="3012" w:type="dxa"/>
            <w:vAlign w:val="center"/>
          </w:tcPr>
          <w:p w14:paraId="5A863242" w14:textId="77777777" w:rsidR="00AC34D6" w:rsidRDefault="00726552">
            <w:pPr>
              <w:jc w:val="right"/>
            </w:pPr>
            <w:r>
              <w:rPr>
                <w:rFonts w:eastAsiaTheme="minorEastAsia"/>
                <w:color w:val="000000" w:themeColor="text1"/>
                <w:sz w:val="24"/>
              </w:rPr>
              <w:t>3,982.09</w:t>
            </w:r>
          </w:p>
        </w:tc>
        <w:tc>
          <w:tcPr>
            <w:tcW w:w="3012" w:type="dxa"/>
            <w:vAlign w:val="center"/>
          </w:tcPr>
          <w:p w14:paraId="6942FEBE" w14:textId="77777777" w:rsidR="00AC34D6" w:rsidRDefault="00726552">
            <w:pPr>
              <w:jc w:val="right"/>
            </w:pPr>
            <w:r>
              <w:rPr>
                <w:rFonts w:eastAsiaTheme="minorEastAsia"/>
                <w:color w:val="000000" w:themeColor="text1"/>
                <w:sz w:val="24"/>
              </w:rPr>
              <w:t>-</w:t>
            </w:r>
          </w:p>
        </w:tc>
      </w:tr>
    </w:tbl>
    <w:p w14:paraId="3A9B6F84" w14:textId="77777777"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14:paraId="7811E8BA" w14:textId="77777777"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14:paraId="621A163D" w14:textId="77777777" w:rsidR="005E6DF3" w:rsidRPr="00C45886" w:rsidRDefault="005E6DF3">
      <w:pPr>
        <w:spacing w:line="360" w:lineRule="auto"/>
        <w:ind w:firstLineChars="200" w:firstLine="420"/>
        <w:rPr>
          <w:rFonts w:eastAsiaTheme="minorEastAsia"/>
          <w:color w:val="000000" w:themeColor="text1"/>
          <w:szCs w:val="21"/>
        </w:rPr>
      </w:pPr>
    </w:p>
    <w:p w14:paraId="1DD406F1" w14:textId="77777777"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14:paraId="6A1B0AC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9FE695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A79CCE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DB6E53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14:paraId="0C83DE9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63A0BDD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01C3AC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608782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162,747,340.15</w:t>
            </w:r>
          </w:p>
        </w:tc>
        <w:tc>
          <w:tcPr>
            <w:tcW w:w="2367" w:type="dxa"/>
            <w:tcBorders>
              <w:top w:val="single" w:sz="8" w:space="0" w:color="000000"/>
              <w:left w:val="single" w:sz="8" w:space="0" w:color="000000"/>
              <w:bottom w:val="single" w:sz="8" w:space="0" w:color="000000"/>
              <w:right w:val="single" w:sz="8" w:space="0" w:color="000000"/>
            </w:tcBorders>
            <w:vAlign w:val="center"/>
          </w:tcPr>
          <w:p w14:paraId="0DF74F0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184,581,881.67</w:t>
            </w:r>
          </w:p>
        </w:tc>
      </w:tr>
      <w:tr w:rsidR="005E6DF3" w:rsidRPr="00B27A29" w14:paraId="47CA7EE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89F3D8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007C01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14,323.81</w:t>
            </w:r>
          </w:p>
        </w:tc>
        <w:tc>
          <w:tcPr>
            <w:tcW w:w="2367" w:type="dxa"/>
            <w:tcBorders>
              <w:top w:val="single" w:sz="8" w:space="0" w:color="000000"/>
              <w:left w:val="single" w:sz="8" w:space="0" w:color="000000"/>
              <w:bottom w:val="single" w:sz="8" w:space="0" w:color="000000"/>
              <w:right w:val="single" w:sz="8" w:space="0" w:color="000000"/>
            </w:tcBorders>
            <w:vAlign w:val="center"/>
          </w:tcPr>
          <w:p w14:paraId="446091E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263,935.77</w:t>
            </w:r>
          </w:p>
        </w:tc>
      </w:tr>
      <w:tr w:rsidR="005E6DF3" w:rsidRPr="00B27A29" w14:paraId="387B74E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E730A3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E5B662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20,551,074.28</w:t>
            </w:r>
          </w:p>
        </w:tc>
        <w:tc>
          <w:tcPr>
            <w:tcW w:w="2367" w:type="dxa"/>
            <w:tcBorders>
              <w:top w:val="single" w:sz="8" w:space="0" w:color="000000"/>
              <w:left w:val="single" w:sz="8" w:space="0" w:color="000000"/>
              <w:bottom w:val="single" w:sz="8" w:space="0" w:color="000000"/>
              <w:right w:val="single" w:sz="8" w:space="0" w:color="000000"/>
            </w:tcBorders>
            <w:vAlign w:val="center"/>
          </w:tcPr>
          <w:p w14:paraId="7369AF6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19,529,927.00</w:t>
            </w:r>
          </w:p>
        </w:tc>
      </w:tr>
      <w:tr w:rsidR="005E6DF3" w:rsidRPr="00B27A29" w14:paraId="4258210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33FFA3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86EC9F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D47461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B6D94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9F86A2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A0E2F9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142,210,589.68</w:t>
            </w:r>
          </w:p>
        </w:tc>
        <w:tc>
          <w:tcPr>
            <w:tcW w:w="2367" w:type="dxa"/>
            <w:tcBorders>
              <w:top w:val="single" w:sz="8" w:space="0" w:color="000000"/>
              <w:left w:val="single" w:sz="8" w:space="0" w:color="000000"/>
              <w:bottom w:val="single" w:sz="8" w:space="0" w:color="000000"/>
              <w:right w:val="single" w:sz="8" w:space="0" w:color="000000"/>
            </w:tcBorders>
            <w:vAlign w:val="center"/>
          </w:tcPr>
          <w:p w14:paraId="6D45901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165,315,890.44</w:t>
            </w:r>
          </w:p>
        </w:tc>
      </w:tr>
    </w:tbl>
    <w:p w14:paraId="21BAD89B" w14:textId="77777777"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w:t>
      </w:r>
      <w:proofErr w:type="gramStart"/>
      <w:r w:rsidR="005C671B" w:rsidRPr="00B27A29">
        <w:rPr>
          <w:color w:val="000000"/>
          <w:sz w:val="21"/>
          <w:szCs w:val="21"/>
          <w:shd w:val="clear" w:color="auto" w:fill="FFFFFF"/>
        </w:rPr>
        <w:t>固有资金</w:t>
      </w:r>
      <w:proofErr w:type="gramEnd"/>
      <w:r w:rsidR="005C671B" w:rsidRPr="00B27A29">
        <w:rPr>
          <w:color w:val="000000"/>
          <w:sz w:val="21"/>
          <w:szCs w:val="21"/>
          <w:shd w:val="clear" w:color="auto" w:fill="FFFFFF"/>
        </w:rPr>
        <w:t>投资本基金情况</w:t>
      </w:r>
    </w:p>
    <w:p w14:paraId="18147B4B" w14:textId="77777777"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14:paraId="64CA9C9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0540CE3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BE5934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41512AB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14:paraId="61E0B9B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w:t>
            </w:r>
            <w:proofErr w:type="gramStart"/>
            <w:r w:rsidRPr="00B27A29">
              <w:rPr>
                <w:rFonts w:eastAsiaTheme="minorEastAsia"/>
                <w:color w:val="000000" w:themeColor="text1"/>
                <w:szCs w:val="21"/>
              </w:rPr>
              <w:t>睿</w:t>
            </w:r>
            <w:proofErr w:type="gramEnd"/>
            <w:r w:rsidRPr="00B27A29">
              <w:rPr>
                <w:rFonts w:eastAsiaTheme="minorEastAsia"/>
                <w:color w:val="000000" w:themeColor="text1"/>
                <w:szCs w:val="21"/>
              </w:rPr>
              <w:t>均衡一年持有混合</w:t>
            </w:r>
            <w:r w:rsidRPr="00B27A29">
              <w:rPr>
                <w:rFonts w:eastAsiaTheme="minorEastAsia"/>
                <w:color w:val="000000" w:themeColor="text1"/>
                <w:szCs w:val="21"/>
              </w:rPr>
              <w:t>(FOF)C</w:t>
            </w:r>
          </w:p>
        </w:tc>
      </w:tr>
      <w:tr w:rsidR="005E6DF3" w:rsidRPr="00B27A29" w14:paraId="37509C4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234B535"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B186A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1,510,655.35</w:t>
            </w:r>
          </w:p>
        </w:tc>
        <w:tc>
          <w:tcPr>
            <w:tcW w:w="2693" w:type="dxa"/>
            <w:tcBorders>
              <w:top w:val="single" w:sz="8" w:space="0" w:color="000000"/>
              <w:left w:val="single" w:sz="8" w:space="0" w:color="000000"/>
              <w:bottom w:val="single" w:sz="8" w:space="0" w:color="000000"/>
              <w:right w:val="single" w:sz="8" w:space="0" w:color="000000"/>
            </w:tcBorders>
            <w:vAlign w:val="center"/>
          </w:tcPr>
          <w:p w14:paraId="52C6FF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386F202"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A879E0B"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FC6CE7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8EB3CC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5173E40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AFF2998"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9EB713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863A31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201A4C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6007986"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B42E9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1,510,655.35</w:t>
            </w:r>
          </w:p>
        </w:tc>
        <w:tc>
          <w:tcPr>
            <w:tcW w:w="2693" w:type="dxa"/>
            <w:tcBorders>
              <w:top w:val="single" w:sz="8" w:space="0" w:color="000000"/>
              <w:left w:val="single" w:sz="8" w:space="0" w:color="000000"/>
              <w:bottom w:val="single" w:sz="8" w:space="0" w:color="000000"/>
              <w:right w:val="single" w:sz="8" w:space="0" w:color="000000"/>
            </w:tcBorders>
            <w:vAlign w:val="center"/>
          </w:tcPr>
          <w:p w14:paraId="10FF6C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A2DC4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41B0504"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w:t>
            </w:r>
            <w:r w:rsidRPr="00B27A29">
              <w:rPr>
                <w:color w:val="000000" w:themeColor="text1"/>
                <w:szCs w:val="21"/>
              </w:rPr>
              <w:lastRenderedPageBreak/>
              <w:t>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B9C301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lastRenderedPageBreak/>
              <w:t>0.49</w:t>
            </w:r>
          </w:p>
        </w:tc>
        <w:tc>
          <w:tcPr>
            <w:tcW w:w="2693" w:type="dxa"/>
            <w:tcBorders>
              <w:top w:val="single" w:sz="8" w:space="0" w:color="000000"/>
              <w:left w:val="single" w:sz="8" w:space="0" w:color="000000"/>
              <w:bottom w:val="single" w:sz="8" w:space="0" w:color="000000"/>
              <w:right w:val="single" w:sz="8" w:space="0" w:color="000000"/>
            </w:tcBorders>
            <w:vAlign w:val="center"/>
          </w:tcPr>
          <w:p w14:paraId="51ECA5D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48E99251"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439F177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953717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14:paraId="2133CDA6"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5B652BB9"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534B50EA"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摩根博</w:t>
      </w:r>
      <w:proofErr w:type="gramStart"/>
      <w:r>
        <w:rPr>
          <w:rFonts w:eastAsiaTheme="minorEastAsia"/>
          <w:color w:val="000000" w:themeColor="text1"/>
          <w:szCs w:val="21"/>
        </w:rPr>
        <w:t>睿</w:t>
      </w:r>
      <w:proofErr w:type="gramEnd"/>
      <w:r>
        <w:rPr>
          <w:rFonts w:eastAsiaTheme="minorEastAsia"/>
          <w:color w:val="000000" w:themeColor="text1"/>
          <w:szCs w:val="21"/>
        </w:rPr>
        <w:t>均衡一年持有期混合型基金中基金</w:t>
      </w:r>
      <w:r>
        <w:rPr>
          <w:rFonts w:eastAsiaTheme="minorEastAsia"/>
          <w:color w:val="000000" w:themeColor="text1"/>
          <w:szCs w:val="21"/>
        </w:rPr>
        <w:t>(FOF)</w:t>
      </w:r>
      <w:r>
        <w:rPr>
          <w:rFonts w:eastAsiaTheme="minorEastAsia"/>
          <w:color w:val="000000" w:themeColor="text1"/>
          <w:szCs w:val="21"/>
        </w:rPr>
        <w:t>基金合同</w:t>
      </w:r>
    </w:p>
    <w:p w14:paraId="0B6C12C1"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摩根博</w:t>
      </w:r>
      <w:proofErr w:type="gramStart"/>
      <w:r>
        <w:rPr>
          <w:rFonts w:eastAsiaTheme="minorEastAsia"/>
          <w:color w:val="000000" w:themeColor="text1"/>
          <w:szCs w:val="21"/>
        </w:rPr>
        <w:t>睿</w:t>
      </w:r>
      <w:proofErr w:type="gramEnd"/>
      <w:r>
        <w:rPr>
          <w:rFonts w:eastAsiaTheme="minorEastAsia"/>
          <w:color w:val="000000" w:themeColor="text1"/>
          <w:szCs w:val="21"/>
        </w:rPr>
        <w:t>均衡一年持有期混合型基金中基金</w:t>
      </w:r>
      <w:r>
        <w:rPr>
          <w:rFonts w:eastAsiaTheme="minorEastAsia"/>
          <w:color w:val="000000" w:themeColor="text1"/>
          <w:szCs w:val="21"/>
        </w:rPr>
        <w:t>(FOF)</w:t>
      </w:r>
      <w:r>
        <w:rPr>
          <w:rFonts w:eastAsiaTheme="minorEastAsia"/>
          <w:color w:val="000000" w:themeColor="text1"/>
          <w:szCs w:val="21"/>
        </w:rPr>
        <w:t>托管协议</w:t>
      </w:r>
    </w:p>
    <w:p w14:paraId="4C181F40"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5473A960"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74359A85"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4775C791" w14:textId="77777777" w:rsidR="00AC34D6" w:rsidRDefault="0072655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C75EB3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22CD087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2ECA067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176698D0"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5601230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04A9979E" w14:textId="77777777" w:rsidR="005E6DF3" w:rsidRPr="00B27A29" w:rsidRDefault="005E6DF3">
      <w:pPr>
        <w:spacing w:line="360" w:lineRule="auto"/>
        <w:ind w:left="840"/>
        <w:jc w:val="right"/>
        <w:rPr>
          <w:rFonts w:eastAsiaTheme="minorEastAsia"/>
          <w:color w:val="000000" w:themeColor="text1"/>
          <w:szCs w:val="21"/>
        </w:rPr>
      </w:pPr>
    </w:p>
    <w:p w14:paraId="792A343A" w14:textId="77777777" w:rsidR="005E6DF3" w:rsidRPr="00B27A29" w:rsidRDefault="005E6DF3">
      <w:pPr>
        <w:spacing w:line="360" w:lineRule="auto"/>
        <w:ind w:left="840"/>
        <w:jc w:val="center"/>
        <w:rPr>
          <w:rFonts w:eastAsiaTheme="minorEastAsia"/>
          <w:b/>
          <w:color w:val="000000" w:themeColor="text1"/>
          <w:szCs w:val="21"/>
        </w:rPr>
      </w:pPr>
    </w:p>
    <w:p w14:paraId="63229F3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4243BEE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3470" w14:textId="77777777" w:rsidR="00045D1A" w:rsidRDefault="00045D1A">
      <w:r>
        <w:separator/>
      </w:r>
    </w:p>
  </w:endnote>
  <w:endnote w:type="continuationSeparator" w:id="0">
    <w:p w14:paraId="56933D5B" w14:textId="77777777"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F7BF"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5886">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45886">
      <w:rPr>
        <w:noProof/>
        <w:kern w:val="0"/>
        <w:szCs w:val="21"/>
      </w:rPr>
      <w:t>30</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14E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A9B7554"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60F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45886">
      <w:rPr>
        <w:rStyle w:val="af6"/>
        <w:noProof/>
      </w:rPr>
      <w:t>25</w:t>
    </w:r>
    <w:r>
      <w:rPr>
        <w:rStyle w:val="af6"/>
      </w:rPr>
      <w:fldChar w:fldCharType="end"/>
    </w:r>
  </w:p>
  <w:p w14:paraId="7296F7C9"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50A0" w14:textId="77777777" w:rsidR="00045D1A" w:rsidRDefault="00045D1A">
      <w:r>
        <w:separator/>
      </w:r>
    </w:p>
  </w:footnote>
  <w:footnote w:type="continuationSeparator" w:id="0">
    <w:p w14:paraId="7C57188E" w14:textId="77777777"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7245" w14:textId="77777777" w:rsidR="005C671B" w:rsidRDefault="005C671B">
    <w:pPr>
      <w:pStyle w:val="af"/>
      <w:pBdr>
        <w:bottom w:val="single" w:sz="6" w:space="0" w:color="auto"/>
      </w:pBdr>
      <w:jc w:val="right"/>
    </w:pPr>
    <w:r>
      <w:t>摩根博</w:t>
    </w:r>
    <w:proofErr w:type="gramStart"/>
    <w:r>
      <w:t>睿</w:t>
    </w:r>
    <w:proofErr w:type="gramEnd"/>
    <w:r>
      <w:t>均衡一年持有期混合型基金中基金</w:t>
    </w:r>
    <w:r>
      <w:t>(FOF)2024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552"/>
    <w:rsid w:val="0072678C"/>
    <w:rsid w:val="00732D1D"/>
    <w:rsid w:val="007350D4"/>
    <w:rsid w:val="00736034"/>
    <w:rsid w:val="00737E79"/>
    <w:rsid w:val="00740707"/>
    <w:rsid w:val="0074120F"/>
    <w:rsid w:val="00743764"/>
    <w:rsid w:val="00743B2D"/>
    <w:rsid w:val="00743E54"/>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4D6"/>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5EE87F"/>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0B1E6-01B0-4820-BC37-348B8868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35</TotalTime>
  <Pages>15</Pages>
  <Words>1311</Words>
  <Characters>7478</Characters>
  <Application>Microsoft Office Word</Application>
  <DocSecurity>0</DocSecurity>
  <Lines>62</Lines>
  <Paragraphs>17</Paragraphs>
  <ScaleCrop>false</ScaleCrop>
  <Company>TRT. Ltd. Co.</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227</cp:revision>
  <cp:lastPrinted>2007-07-19T00:46:00Z</cp:lastPrinted>
  <dcterms:created xsi:type="dcterms:W3CDTF">2013-06-21T06:56:00Z</dcterms:created>
  <dcterms:modified xsi:type="dcterms:W3CDTF">2025-01-21T07:19:00Z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