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摩根瑞享纯债债券型证券投资基金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摩根瑞享纯债债券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016210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111,020,193.32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22805" w:rsidRDefault="00E076B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B22805" w:rsidRDefault="00E076B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B22805" w:rsidRDefault="00E076B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B22805" w:rsidRDefault="00E076B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rsidR="00B22805" w:rsidRDefault="00E076B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B22805" w:rsidRDefault="00E076B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B22805" w:rsidRDefault="00E076B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、信用策略（含资产支持证券）</w:t>
            </w:r>
          </w:p>
          <w:p w:rsidR="00B22805" w:rsidRDefault="00E076B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w:t>
            </w:r>
            <w:r w:rsidRPr="00B27A29">
              <w:rPr>
                <w:rFonts w:eastAsiaTheme="minorEastAsia"/>
                <w:color w:val="000000" w:themeColor="text1"/>
                <w:kern w:val="0"/>
                <w:szCs w:val="21"/>
              </w:rPr>
              <w:lastRenderedPageBreak/>
              <w:t>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016210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016211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79,459,673.74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31,560,519.58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670,719.47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107,053.83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142,511.77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-74,273.47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83,587,838.70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33,145,763.20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1.0502</w:t>
            </w:r>
          </w:p>
        </w:tc>
      </w:tr>
    </w:tbl>
    <w:p w:rsidR="00B22805" w:rsidRDefault="00E076B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摩根瑞享纯债债券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22805">
        <w:tc>
          <w:tcPr>
            <w:tcW w:w="1290" w:type="dxa"/>
            <w:vAlign w:val="center"/>
          </w:tcPr>
          <w:p w:rsidR="00B22805" w:rsidRDefault="00E076BA">
            <w:pPr>
              <w:jc w:val="left"/>
            </w:pPr>
            <w:r>
              <w:rPr>
                <w:rFonts w:eastAsiaTheme="minorEastAsia"/>
                <w:color w:val="000000" w:themeColor="text1"/>
                <w:szCs w:val="21"/>
              </w:rPr>
              <w:t>过去三个月</w:t>
            </w:r>
          </w:p>
        </w:tc>
        <w:tc>
          <w:tcPr>
            <w:tcW w:w="1291" w:type="dxa"/>
            <w:vAlign w:val="center"/>
          </w:tcPr>
          <w:p w:rsidR="00B22805" w:rsidRDefault="00E076BA">
            <w:pPr>
              <w:jc w:val="right"/>
            </w:pPr>
            <w:r>
              <w:rPr>
                <w:rFonts w:eastAsiaTheme="minorEastAsia"/>
                <w:color w:val="000000" w:themeColor="text1"/>
                <w:szCs w:val="21"/>
              </w:rPr>
              <w:t>0.27%</w:t>
            </w:r>
          </w:p>
        </w:tc>
        <w:tc>
          <w:tcPr>
            <w:tcW w:w="1291" w:type="dxa"/>
            <w:vAlign w:val="center"/>
          </w:tcPr>
          <w:p w:rsidR="00B22805" w:rsidRDefault="00E076BA">
            <w:pPr>
              <w:jc w:val="right"/>
            </w:pPr>
            <w:r>
              <w:rPr>
                <w:rFonts w:eastAsiaTheme="minorEastAsia"/>
                <w:color w:val="000000" w:themeColor="text1"/>
                <w:szCs w:val="21"/>
              </w:rPr>
              <w:t>0.07%</w:t>
            </w:r>
          </w:p>
        </w:tc>
        <w:tc>
          <w:tcPr>
            <w:tcW w:w="1291" w:type="dxa"/>
            <w:vAlign w:val="center"/>
          </w:tcPr>
          <w:p w:rsidR="00B22805" w:rsidRDefault="00E076BA">
            <w:pPr>
              <w:jc w:val="right"/>
            </w:pPr>
            <w:r>
              <w:rPr>
                <w:rFonts w:eastAsiaTheme="minorEastAsia"/>
                <w:color w:val="000000" w:themeColor="text1"/>
                <w:szCs w:val="21"/>
              </w:rPr>
              <w:t>0.25%</w:t>
            </w:r>
          </w:p>
        </w:tc>
        <w:tc>
          <w:tcPr>
            <w:tcW w:w="1291" w:type="dxa"/>
            <w:vAlign w:val="center"/>
          </w:tcPr>
          <w:p w:rsidR="00B22805" w:rsidRDefault="00E076BA">
            <w:pPr>
              <w:jc w:val="right"/>
            </w:pPr>
            <w:r>
              <w:rPr>
                <w:rFonts w:eastAsiaTheme="minorEastAsia"/>
                <w:color w:val="000000" w:themeColor="text1"/>
                <w:szCs w:val="21"/>
              </w:rPr>
              <w:t>0.10%</w:t>
            </w:r>
          </w:p>
        </w:tc>
        <w:tc>
          <w:tcPr>
            <w:tcW w:w="1291" w:type="dxa"/>
            <w:vAlign w:val="center"/>
          </w:tcPr>
          <w:p w:rsidR="00B22805" w:rsidRDefault="00E076BA">
            <w:pPr>
              <w:jc w:val="right"/>
            </w:pPr>
            <w:r>
              <w:rPr>
                <w:rFonts w:eastAsiaTheme="minorEastAsia"/>
                <w:color w:val="000000" w:themeColor="text1"/>
                <w:szCs w:val="21"/>
              </w:rPr>
              <w:t>0.02%</w:t>
            </w:r>
          </w:p>
        </w:tc>
        <w:tc>
          <w:tcPr>
            <w:tcW w:w="1291" w:type="dxa"/>
            <w:vAlign w:val="center"/>
          </w:tcPr>
          <w:p w:rsidR="00B22805" w:rsidRDefault="00E076BA">
            <w:pPr>
              <w:jc w:val="right"/>
            </w:pPr>
            <w:r>
              <w:rPr>
                <w:rFonts w:eastAsiaTheme="minorEastAsia"/>
                <w:color w:val="000000" w:themeColor="text1"/>
                <w:szCs w:val="21"/>
              </w:rPr>
              <w:t>-0.03%</w:t>
            </w:r>
          </w:p>
        </w:tc>
      </w:tr>
      <w:tr w:rsidR="00B22805">
        <w:tc>
          <w:tcPr>
            <w:tcW w:w="1290" w:type="dxa"/>
            <w:vAlign w:val="center"/>
          </w:tcPr>
          <w:p w:rsidR="00B22805" w:rsidRDefault="00E076BA">
            <w:pPr>
              <w:jc w:val="left"/>
            </w:pPr>
            <w:r>
              <w:rPr>
                <w:rFonts w:eastAsiaTheme="minorEastAsia"/>
                <w:color w:val="000000" w:themeColor="text1"/>
                <w:szCs w:val="21"/>
              </w:rPr>
              <w:t>过去六个月</w:t>
            </w:r>
          </w:p>
        </w:tc>
        <w:tc>
          <w:tcPr>
            <w:tcW w:w="1291" w:type="dxa"/>
            <w:vAlign w:val="center"/>
          </w:tcPr>
          <w:p w:rsidR="00B22805" w:rsidRDefault="00E076BA">
            <w:pPr>
              <w:jc w:val="right"/>
            </w:pPr>
            <w:r>
              <w:rPr>
                <w:rFonts w:eastAsiaTheme="minorEastAsia"/>
                <w:color w:val="000000" w:themeColor="text1"/>
                <w:szCs w:val="21"/>
              </w:rPr>
              <w:t>1.26%</w:t>
            </w:r>
          </w:p>
        </w:tc>
        <w:tc>
          <w:tcPr>
            <w:tcW w:w="1291" w:type="dxa"/>
            <w:vAlign w:val="center"/>
          </w:tcPr>
          <w:p w:rsidR="00B22805" w:rsidRDefault="00E076BA">
            <w:pPr>
              <w:jc w:val="right"/>
            </w:pPr>
            <w:r>
              <w:rPr>
                <w:rFonts w:eastAsiaTheme="minorEastAsia"/>
                <w:color w:val="000000" w:themeColor="text1"/>
                <w:szCs w:val="21"/>
              </w:rPr>
              <w:t>0.07%</w:t>
            </w:r>
          </w:p>
        </w:tc>
        <w:tc>
          <w:tcPr>
            <w:tcW w:w="1291" w:type="dxa"/>
            <w:vAlign w:val="center"/>
          </w:tcPr>
          <w:p w:rsidR="00B22805" w:rsidRDefault="00E076BA">
            <w:pPr>
              <w:jc w:val="right"/>
            </w:pPr>
            <w:r>
              <w:rPr>
                <w:rFonts w:eastAsiaTheme="minorEastAsia"/>
                <w:color w:val="000000" w:themeColor="text1"/>
                <w:szCs w:val="21"/>
              </w:rPr>
              <w:t>1.26%</w:t>
            </w:r>
          </w:p>
        </w:tc>
        <w:tc>
          <w:tcPr>
            <w:tcW w:w="1291" w:type="dxa"/>
            <w:vAlign w:val="center"/>
          </w:tcPr>
          <w:p w:rsidR="00B22805" w:rsidRDefault="00E076BA">
            <w:pPr>
              <w:jc w:val="right"/>
            </w:pPr>
            <w:r>
              <w:rPr>
                <w:rFonts w:eastAsiaTheme="minorEastAsia"/>
                <w:color w:val="000000" w:themeColor="text1"/>
                <w:szCs w:val="21"/>
              </w:rPr>
              <w:t>0.08%</w:t>
            </w:r>
          </w:p>
        </w:tc>
        <w:tc>
          <w:tcPr>
            <w:tcW w:w="1291" w:type="dxa"/>
            <w:vAlign w:val="center"/>
          </w:tcPr>
          <w:p w:rsidR="00B22805" w:rsidRDefault="00E076BA">
            <w:pPr>
              <w:jc w:val="right"/>
            </w:pPr>
            <w:r>
              <w:rPr>
                <w:rFonts w:eastAsiaTheme="minorEastAsia"/>
                <w:color w:val="000000" w:themeColor="text1"/>
                <w:szCs w:val="21"/>
              </w:rPr>
              <w:t>0.00%</w:t>
            </w:r>
          </w:p>
        </w:tc>
        <w:tc>
          <w:tcPr>
            <w:tcW w:w="1291" w:type="dxa"/>
            <w:vAlign w:val="center"/>
          </w:tcPr>
          <w:p w:rsidR="00B22805" w:rsidRDefault="00E076BA">
            <w:pPr>
              <w:jc w:val="right"/>
            </w:pPr>
            <w:r>
              <w:rPr>
                <w:rFonts w:eastAsiaTheme="minorEastAsia"/>
                <w:color w:val="000000" w:themeColor="text1"/>
                <w:szCs w:val="21"/>
              </w:rPr>
              <w:t>-0.01%</w:t>
            </w:r>
          </w:p>
        </w:tc>
      </w:tr>
      <w:tr w:rsidR="00B22805">
        <w:tc>
          <w:tcPr>
            <w:tcW w:w="1290" w:type="dxa"/>
            <w:vAlign w:val="center"/>
          </w:tcPr>
          <w:p w:rsidR="00B22805" w:rsidRDefault="00E076BA">
            <w:pPr>
              <w:jc w:val="left"/>
            </w:pPr>
            <w:r>
              <w:rPr>
                <w:rFonts w:eastAsiaTheme="minorEastAsia"/>
                <w:color w:val="000000" w:themeColor="text1"/>
                <w:szCs w:val="21"/>
              </w:rPr>
              <w:t>过去一年</w:t>
            </w:r>
          </w:p>
        </w:tc>
        <w:tc>
          <w:tcPr>
            <w:tcW w:w="1291" w:type="dxa"/>
            <w:vAlign w:val="center"/>
          </w:tcPr>
          <w:p w:rsidR="00B22805" w:rsidRDefault="00E076BA">
            <w:pPr>
              <w:jc w:val="right"/>
            </w:pPr>
            <w:r>
              <w:rPr>
                <w:rFonts w:eastAsiaTheme="minorEastAsia"/>
                <w:color w:val="000000" w:themeColor="text1"/>
                <w:szCs w:val="21"/>
              </w:rPr>
              <w:t>3.14%</w:t>
            </w:r>
          </w:p>
        </w:tc>
        <w:tc>
          <w:tcPr>
            <w:tcW w:w="1291" w:type="dxa"/>
            <w:vAlign w:val="center"/>
          </w:tcPr>
          <w:p w:rsidR="00B22805" w:rsidRDefault="00E076BA">
            <w:pPr>
              <w:jc w:val="right"/>
            </w:pPr>
            <w:r>
              <w:rPr>
                <w:rFonts w:eastAsiaTheme="minorEastAsia"/>
                <w:color w:val="000000" w:themeColor="text1"/>
                <w:szCs w:val="21"/>
              </w:rPr>
              <w:t>0.07%</w:t>
            </w:r>
          </w:p>
        </w:tc>
        <w:tc>
          <w:tcPr>
            <w:tcW w:w="1291" w:type="dxa"/>
            <w:vAlign w:val="center"/>
          </w:tcPr>
          <w:p w:rsidR="00B22805" w:rsidRDefault="00E076BA">
            <w:pPr>
              <w:jc w:val="right"/>
            </w:pPr>
            <w:r>
              <w:rPr>
                <w:rFonts w:eastAsiaTheme="minorEastAsia"/>
                <w:color w:val="000000" w:themeColor="text1"/>
                <w:szCs w:val="21"/>
              </w:rPr>
              <w:t>3.37%</w:t>
            </w:r>
          </w:p>
        </w:tc>
        <w:tc>
          <w:tcPr>
            <w:tcW w:w="1291" w:type="dxa"/>
            <w:vAlign w:val="center"/>
          </w:tcPr>
          <w:p w:rsidR="00B22805" w:rsidRDefault="00E076BA">
            <w:pPr>
              <w:jc w:val="right"/>
            </w:pPr>
            <w:r>
              <w:rPr>
                <w:rFonts w:eastAsiaTheme="minorEastAsia"/>
                <w:color w:val="000000" w:themeColor="text1"/>
                <w:szCs w:val="21"/>
              </w:rPr>
              <w:t>0.07%</w:t>
            </w:r>
          </w:p>
        </w:tc>
        <w:tc>
          <w:tcPr>
            <w:tcW w:w="1291" w:type="dxa"/>
            <w:vAlign w:val="center"/>
          </w:tcPr>
          <w:p w:rsidR="00B22805" w:rsidRDefault="00E076BA">
            <w:pPr>
              <w:jc w:val="right"/>
            </w:pPr>
            <w:r>
              <w:rPr>
                <w:rFonts w:eastAsiaTheme="minorEastAsia"/>
                <w:color w:val="000000" w:themeColor="text1"/>
                <w:szCs w:val="21"/>
              </w:rPr>
              <w:t>-0.23%</w:t>
            </w:r>
          </w:p>
        </w:tc>
        <w:tc>
          <w:tcPr>
            <w:tcW w:w="1291" w:type="dxa"/>
            <w:vAlign w:val="center"/>
          </w:tcPr>
          <w:p w:rsidR="00B22805" w:rsidRDefault="00E076BA">
            <w:pPr>
              <w:jc w:val="right"/>
            </w:pPr>
            <w:r>
              <w:rPr>
                <w:rFonts w:eastAsiaTheme="minorEastAsia"/>
                <w:color w:val="000000" w:themeColor="text1"/>
                <w:szCs w:val="21"/>
              </w:rPr>
              <w:t>0.00%</w:t>
            </w:r>
          </w:p>
        </w:tc>
      </w:tr>
      <w:tr w:rsidR="00B22805">
        <w:tc>
          <w:tcPr>
            <w:tcW w:w="1290" w:type="dxa"/>
            <w:vAlign w:val="center"/>
          </w:tcPr>
          <w:p w:rsidR="00B22805" w:rsidRDefault="00E076BA">
            <w:pPr>
              <w:jc w:val="left"/>
            </w:pPr>
            <w:r>
              <w:rPr>
                <w:rFonts w:eastAsiaTheme="minorEastAsia"/>
                <w:color w:val="000000" w:themeColor="text1"/>
                <w:szCs w:val="21"/>
              </w:rPr>
              <w:t>过去三年</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r>
      <w:tr w:rsidR="00B22805">
        <w:tc>
          <w:tcPr>
            <w:tcW w:w="1290" w:type="dxa"/>
            <w:vAlign w:val="center"/>
          </w:tcPr>
          <w:p w:rsidR="00B22805" w:rsidRDefault="00E076BA">
            <w:pPr>
              <w:jc w:val="left"/>
            </w:pPr>
            <w:r>
              <w:rPr>
                <w:rFonts w:eastAsiaTheme="minorEastAsia"/>
                <w:color w:val="000000" w:themeColor="text1"/>
                <w:szCs w:val="21"/>
              </w:rPr>
              <w:t>过去五年</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r>
      <w:tr w:rsidR="00B22805">
        <w:tc>
          <w:tcPr>
            <w:tcW w:w="1290" w:type="dxa"/>
            <w:vAlign w:val="center"/>
          </w:tcPr>
          <w:p w:rsidR="00B22805" w:rsidRDefault="00E076BA">
            <w:pPr>
              <w:jc w:val="left"/>
            </w:pPr>
            <w:r>
              <w:rPr>
                <w:rFonts w:eastAsiaTheme="minorEastAsia"/>
                <w:color w:val="000000" w:themeColor="text1"/>
                <w:szCs w:val="21"/>
              </w:rPr>
              <w:t>自基金合同生效起至今</w:t>
            </w:r>
          </w:p>
        </w:tc>
        <w:tc>
          <w:tcPr>
            <w:tcW w:w="1291" w:type="dxa"/>
            <w:vAlign w:val="center"/>
          </w:tcPr>
          <w:p w:rsidR="00B22805" w:rsidRDefault="00E076BA">
            <w:pPr>
              <w:jc w:val="right"/>
            </w:pPr>
            <w:r>
              <w:rPr>
                <w:rFonts w:eastAsiaTheme="minorEastAsia"/>
                <w:color w:val="000000" w:themeColor="text1"/>
                <w:szCs w:val="21"/>
              </w:rPr>
              <w:t>5.20%</w:t>
            </w:r>
          </w:p>
        </w:tc>
        <w:tc>
          <w:tcPr>
            <w:tcW w:w="1291" w:type="dxa"/>
            <w:vAlign w:val="center"/>
          </w:tcPr>
          <w:p w:rsidR="00B22805" w:rsidRDefault="00E076BA">
            <w:pPr>
              <w:jc w:val="right"/>
            </w:pPr>
            <w:r>
              <w:rPr>
                <w:rFonts w:eastAsiaTheme="minorEastAsia"/>
                <w:color w:val="000000" w:themeColor="text1"/>
                <w:szCs w:val="21"/>
              </w:rPr>
              <w:t>0.05%</w:t>
            </w:r>
          </w:p>
        </w:tc>
        <w:tc>
          <w:tcPr>
            <w:tcW w:w="1291" w:type="dxa"/>
            <w:vAlign w:val="center"/>
          </w:tcPr>
          <w:p w:rsidR="00B22805" w:rsidRDefault="00E076BA">
            <w:pPr>
              <w:jc w:val="right"/>
            </w:pPr>
            <w:r>
              <w:rPr>
                <w:rFonts w:eastAsiaTheme="minorEastAsia"/>
                <w:color w:val="000000" w:themeColor="text1"/>
                <w:szCs w:val="21"/>
              </w:rPr>
              <w:t>3.75%</w:t>
            </w:r>
          </w:p>
        </w:tc>
        <w:tc>
          <w:tcPr>
            <w:tcW w:w="1291" w:type="dxa"/>
            <w:vAlign w:val="center"/>
          </w:tcPr>
          <w:p w:rsidR="00B22805" w:rsidRDefault="00E076BA">
            <w:pPr>
              <w:jc w:val="right"/>
            </w:pPr>
            <w:r>
              <w:rPr>
                <w:rFonts w:eastAsiaTheme="minorEastAsia"/>
                <w:color w:val="000000" w:themeColor="text1"/>
                <w:szCs w:val="21"/>
              </w:rPr>
              <w:t>0.06%</w:t>
            </w:r>
          </w:p>
        </w:tc>
        <w:tc>
          <w:tcPr>
            <w:tcW w:w="1291" w:type="dxa"/>
            <w:vAlign w:val="center"/>
          </w:tcPr>
          <w:p w:rsidR="00B22805" w:rsidRDefault="00E076BA">
            <w:pPr>
              <w:jc w:val="right"/>
            </w:pPr>
            <w:r>
              <w:rPr>
                <w:rFonts w:eastAsiaTheme="minorEastAsia"/>
                <w:color w:val="000000" w:themeColor="text1"/>
                <w:szCs w:val="21"/>
              </w:rPr>
              <w:t>1.45%</w:t>
            </w:r>
          </w:p>
        </w:tc>
        <w:tc>
          <w:tcPr>
            <w:tcW w:w="1291" w:type="dxa"/>
            <w:vAlign w:val="center"/>
          </w:tcPr>
          <w:p w:rsidR="00B22805" w:rsidRDefault="00E076BA">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摩根瑞享纯债债券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22805">
        <w:tc>
          <w:tcPr>
            <w:tcW w:w="1290" w:type="dxa"/>
            <w:vAlign w:val="center"/>
          </w:tcPr>
          <w:p w:rsidR="00B22805" w:rsidRDefault="00E076BA">
            <w:pPr>
              <w:jc w:val="left"/>
            </w:pPr>
            <w:r>
              <w:rPr>
                <w:rFonts w:eastAsiaTheme="minorEastAsia"/>
                <w:color w:val="000000" w:themeColor="text1"/>
                <w:szCs w:val="21"/>
              </w:rPr>
              <w:t>过去三个月</w:t>
            </w:r>
          </w:p>
        </w:tc>
        <w:tc>
          <w:tcPr>
            <w:tcW w:w="1291" w:type="dxa"/>
            <w:vAlign w:val="center"/>
          </w:tcPr>
          <w:p w:rsidR="00B22805" w:rsidRDefault="00E076BA">
            <w:pPr>
              <w:jc w:val="right"/>
            </w:pPr>
            <w:r>
              <w:rPr>
                <w:rFonts w:eastAsiaTheme="minorEastAsia"/>
                <w:color w:val="000000" w:themeColor="text1"/>
                <w:szCs w:val="21"/>
              </w:rPr>
              <w:t>0.25%</w:t>
            </w:r>
          </w:p>
        </w:tc>
        <w:tc>
          <w:tcPr>
            <w:tcW w:w="1291" w:type="dxa"/>
            <w:vAlign w:val="center"/>
          </w:tcPr>
          <w:p w:rsidR="00B22805" w:rsidRDefault="00E076BA">
            <w:pPr>
              <w:jc w:val="right"/>
            </w:pPr>
            <w:r>
              <w:rPr>
                <w:rFonts w:eastAsiaTheme="minorEastAsia"/>
                <w:color w:val="000000" w:themeColor="text1"/>
                <w:szCs w:val="21"/>
              </w:rPr>
              <w:t>0.07%</w:t>
            </w:r>
          </w:p>
        </w:tc>
        <w:tc>
          <w:tcPr>
            <w:tcW w:w="1291" w:type="dxa"/>
            <w:vAlign w:val="center"/>
          </w:tcPr>
          <w:p w:rsidR="00B22805" w:rsidRDefault="00E076BA">
            <w:pPr>
              <w:jc w:val="right"/>
            </w:pPr>
            <w:r>
              <w:rPr>
                <w:rFonts w:eastAsiaTheme="minorEastAsia"/>
                <w:color w:val="000000" w:themeColor="text1"/>
                <w:szCs w:val="21"/>
              </w:rPr>
              <w:t>0.25%</w:t>
            </w:r>
          </w:p>
        </w:tc>
        <w:tc>
          <w:tcPr>
            <w:tcW w:w="1291" w:type="dxa"/>
            <w:vAlign w:val="center"/>
          </w:tcPr>
          <w:p w:rsidR="00B22805" w:rsidRDefault="00E076BA">
            <w:pPr>
              <w:jc w:val="right"/>
            </w:pPr>
            <w:r>
              <w:rPr>
                <w:rFonts w:eastAsiaTheme="minorEastAsia"/>
                <w:color w:val="000000" w:themeColor="text1"/>
                <w:szCs w:val="21"/>
              </w:rPr>
              <w:t>0.10%</w:t>
            </w:r>
          </w:p>
        </w:tc>
        <w:tc>
          <w:tcPr>
            <w:tcW w:w="1291" w:type="dxa"/>
            <w:vAlign w:val="center"/>
          </w:tcPr>
          <w:p w:rsidR="00B22805" w:rsidRDefault="00E076BA">
            <w:pPr>
              <w:jc w:val="right"/>
            </w:pPr>
            <w:r>
              <w:rPr>
                <w:rFonts w:eastAsiaTheme="minorEastAsia"/>
                <w:color w:val="000000" w:themeColor="text1"/>
                <w:szCs w:val="21"/>
              </w:rPr>
              <w:t>0.00%</w:t>
            </w:r>
          </w:p>
        </w:tc>
        <w:tc>
          <w:tcPr>
            <w:tcW w:w="1291" w:type="dxa"/>
            <w:vAlign w:val="center"/>
          </w:tcPr>
          <w:p w:rsidR="00B22805" w:rsidRDefault="00E076BA">
            <w:pPr>
              <w:jc w:val="right"/>
            </w:pPr>
            <w:r>
              <w:rPr>
                <w:rFonts w:eastAsiaTheme="minorEastAsia"/>
                <w:color w:val="000000" w:themeColor="text1"/>
                <w:szCs w:val="21"/>
              </w:rPr>
              <w:t>-0.03%</w:t>
            </w:r>
          </w:p>
        </w:tc>
      </w:tr>
      <w:tr w:rsidR="00B22805">
        <w:tc>
          <w:tcPr>
            <w:tcW w:w="1290" w:type="dxa"/>
            <w:vAlign w:val="center"/>
          </w:tcPr>
          <w:p w:rsidR="00B22805" w:rsidRDefault="00E076BA">
            <w:pPr>
              <w:jc w:val="left"/>
            </w:pPr>
            <w:r>
              <w:rPr>
                <w:rFonts w:eastAsiaTheme="minorEastAsia"/>
                <w:color w:val="000000" w:themeColor="text1"/>
                <w:szCs w:val="21"/>
              </w:rPr>
              <w:t>过去六个月</w:t>
            </w:r>
          </w:p>
        </w:tc>
        <w:tc>
          <w:tcPr>
            <w:tcW w:w="1291" w:type="dxa"/>
            <w:vAlign w:val="center"/>
          </w:tcPr>
          <w:p w:rsidR="00B22805" w:rsidRDefault="00E076BA">
            <w:pPr>
              <w:jc w:val="right"/>
            </w:pPr>
            <w:r>
              <w:rPr>
                <w:rFonts w:eastAsiaTheme="minorEastAsia"/>
                <w:color w:val="000000" w:themeColor="text1"/>
                <w:szCs w:val="21"/>
              </w:rPr>
              <w:t>1.22%</w:t>
            </w:r>
          </w:p>
        </w:tc>
        <w:tc>
          <w:tcPr>
            <w:tcW w:w="1291" w:type="dxa"/>
            <w:vAlign w:val="center"/>
          </w:tcPr>
          <w:p w:rsidR="00B22805" w:rsidRDefault="00E076BA">
            <w:pPr>
              <w:jc w:val="right"/>
            </w:pPr>
            <w:r>
              <w:rPr>
                <w:rFonts w:eastAsiaTheme="minorEastAsia"/>
                <w:color w:val="000000" w:themeColor="text1"/>
                <w:szCs w:val="21"/>
              </w:rPr>
              <w:t>0.07%</w:t>
            </w:r>
          </w:p>
        </w:tc>
        <w:tc>
          <w:tcPr>
            <w:tcW w:w="1291" w:type="dxa"/>
            <w:vAlign w:val="center"/>
          </w:tcPr>
          <w:p w:rsidR="00B22805" w:rsidRDefault="00E076BA">
            <w:pPr>
              <w:jc w:val="right"/>
            </w:pPr>
            <w:r>
              <w:rPr>
                <w:rFonts w:eastAsiaTheme="minorEastAsia"/>
                <w:color w:val="000000" w:themeColor="text1"/>
                <w:szCs w:val="21"/>
              </w:rPr>
              <w:t>1.26%</w:t>
            </w:r>
          </w:p>
        </w:tc>
        <w:tc>
          <w:tcPr>
            <w:tcW w:w="1291" w:type="dxa"/>
            <w:vAlign w:val="center"/>
          </w:tcPr>
          <w:p w:rsidR="00B22805" w:rsidRDefault="00E076BA">
            <w:pPr>
              <w:jc w:val="right"/>
            </w:pPr>
            <w:r>
              <w:rPr>
                <w:rFonts w:eastAsiaTheme="minorEastAsia"/>
                <w:color w:val="000000" w:themeColor="text1"/>
                <w:szCs w:val="21"/>
              </w:rPr>
              <w:t>0.08%</w:t>
            </w:r>
          </w:p>
        </w:tc>
        <w:tc>
          <w:tcPr>
            <w:tcW w:w="1291" w:type="dxa"/>
            <w:vAlign w:val="center"/>
          </w:tcPr>
          <w:p w:rsidR="00B22805" w:rsidRDefault="00E076BA">
            <w:pPr>
              <w:jc w:val="right"/>
            </w:pPr>
            <w:r>
              <w:rPr>
                <w:rFonts w:eastAsiaTheme="minorEastAsia"/>
                <w:color w:val="000000" w:themeColor="text1"/>
                <w:szCs w:val="21"/>
              </w:rPr>
              <w:t>-0.04%</w:t>
            </w:r>
          </w:p>
        </w:tc>
        <w:tc>
          <w:tcPr>
            <w:tcW w:w="1291" w:type="dxa"/>
            <w:vAlign w:val="center"/>
          </w:tcPr>
          <w:p w:rsidR="00B22805" w:rsidRDefault="00E076BA">
            <w:pPr>
              <w:jc w:val="right"/>
            </w:pPr>
            <w:r>
              <w:rPr>
                <w:rFonts w:eastAsiaTheme="minorEastAsia"/>
                <w:color w:val="000000" w:themeColor="text1"/>
                <w:szCs w:val="21"/>
              </w:rPr>
              <w:t>-0.01%</w:t>
            </w:r>
          </w:p>
        </w:tc>
      </w:tr>
      <w:tr w:rsidR="00B22805">
        <w:tc>
          <w:tcPr>
            <w:tcW w:w="1290" w:type="dxa"/>
            <w:vAlign w:val="center"/>
          </w:tcPr>
          <w:p w:rsidR="00B22805" w:rsidRDefault="00E076BA">
            <w:pPr>
              <w:jc w:val="left"/>
            </w:pPr>
            <w:r>
              <w:rPr>
                <w:rFonts w:eastAsiaTheme="minorEastAsia"/>
                <w:color w:val="000000" w:themeColor="text1"/>
                <w:szCs w:val="21"/>
              </w:rPr>
              <w:t>过去一年</w:t>
            </w:r>
          </w:p>
        </w:tc>
        <w:tc>
          <w:tcPr>
            <w:tcW w:w="1291" w:type="dxa"/>
            <w:vAlign w:val="center"/>
          </w:tcPr>
          <w:p w:rsidR="00B22805" w:rsidRDefault="00E076BA">
            <w:pPr>
              <w:jc w:val="right"/>
            </w:pPr>
            <w:r>
              <w:rPr>
                <w:rFonts w:eastAsiaTheme="minorEastAsia"/>
                <w:color w:val="000000" w:themeColor="text1"/>
                <w:szCs w:val="21"/>
              </w:rPr>
              <w:t>3.07%</w:t>
            </w:r>
          </w:p>
        </w:tc>
        <w:tc>
          <w:tcPr>
            <w:tcW w:w="1291" w:type="dxa"/>
            <w:vAlign w:val="center"/>
          </w:tcPr>
          <w:p w:rsidR="00B22805" w:rsidRDefault="00E076BA">
            <w:pPr>
              <w:jc w:val="right"/>
            </w:pPr>
            <w:r>
              <w:rPr>
                <w:rFonts w:eastAsiaTheme="minorEastAsia"/>
                <w:color w:val="000000" w:themeColor="text1"/>
                <w:szCs w:val="21"/>
              </w:rPr>
              <w:t>0.07%</w:t>
            </w:r>
          </w:p>
        </w:tc>
        <w:tc>
          <w:tcPr>
            <w:tcW w:w="1291" w:type="dxa"/>
            <w:vAlign w:val="center"/>
          </w:tcPr>
          <w:p w:rsidR="00B22805" w:rsidRDefault="00E076BA">
            <w:pPr>
              <w:jc w:val="right"/>
            </w:pPr>
            <w:r>
              <w:rPr>
                <w:rFonts w:eastAsiaTheme="minorEastAsia"/>
                <w:color w:val="000000" w:themeColor="text1"/>
                <w:szCs w:val="21"/>
              </w:rPr>
              <w:t>3.37%</w:t>
            </w:r>
          </w:p>
        </w:tc>
        <w:tc>
          <w:tcPr>
            <w:tcW w:w="1291" w:type="dxa"/>
            <w:vAlign w:val="center"/>
          </w:tcPr>
          <w:p w:rsidR="00B22805" w:rsidRDefault="00E076BA">
            <w:pPr>
              <w:jc w:val="right"/>
            </w:pPr>
            <w:r>
              <w:rPr>
                <w:rFonts w:eastAsiaTheme="minorEastAsia"/>
                <w:color w:val="000000" w:themeColor="text1"/>
                <w:szCs w:val="21"/>
              </w:rPr>
              <w:t>0.07%</w:t>
            </w:r>
          </w:p>
        </w:tc>
        <w:tc>
          <w:tcPr>
            <w:tcW w:w="1291" w:type="dxa"/>
            <w:vAlign w:val="center"/>
          </w:tcPr>
          <w:p w:rsidR="00B22805" w:rsidRDefault="00E076BA">
            <w:pPr>
              <w:jc w:val="right"/>
            </w:pPr>
            <w:r>
              <w:rPr>
                <w:rFonts w:eastAsiaTheme="minorEastAsia"/>
                <w:color w:val="000000" w:themeColor="text1"/>
                <w:szCs w:val="21"/>
              </w:rPr>
              <w:t>-0.30%</w:t>
            </w:r>
          </w:p>
        </w:tc>
        <w:tc>
          <w:tcPr>
            <w:tcW w:w="1291" w:type="dxa"/>
            <w:vAlign w:val="center"/>
          </w:tcPr>
          <w:p w:rsidR="00B22805" w:rsidRDefault="00E076BA">
            <w:pPr>
              <w:jc w:val="right"/>
            </w:pPr>
            <w:r>
              <w:rPr>
                <w:rFonts w:eastAsiaTheme="minorEastAsia"/>
                <w:color w:val="000000" w:themeColor="text1"/>
                <w:szCs w:val="21"/>
              </w:rPr>
              <w:t>0.00%</w:t>
            </w:r>
          </w:p>
        </w:tc>
      </w:tr>
      <w:tr w:rsidR="00B22805">
        <w:tc>
          <w:tcPr>
            <w:tcW w:w="1290" w:type="dxa"/>
            <w:vAlign w:val="center"/>
          </w:tcPr>
          <w:p w:rsidR="00B22805" w:rsidRDefault="00E076BA">
            <w:pPr>
              <w:jc w:val="left"/>
            </w:pPr>
            <w:r>
              <w:rPr>
                <w:rFonts w:eastAsiaTheme="minorEastAsia"/>
                <w:color w:val="000000" w:themeColor="text1"/>
                <w:szCs w:val="21"/>
              </w:rPr>
              <w:t>过去三年</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r>
      <w:tr w:rsidR="00B22805">
        <w:tc>
          <w:tcPr>
            <w:tcW w:w="1290" w:type="dxa"/>
            <w:vAlign w:val="center"/>
          </w:tcPr>
          <w:p w:rsidR="00B22805" w:rsidRDefault="00E076BA">
            <w:pPr>
              <w:jc w:val="left"/>
            </w:pPr>
            <w:r>
              <w:rPr>
                <w:rFonts w:eastAsiaTheme="minorEastAsia"/>
                <w:color w:val="000000" w:themeColor="text1"/>
                <w:szCs w:val="21"/>
              </w:rPr>
              <w:t>过去五年</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c>
          <w:tcPr>
            <w:tcW w:w="1291" w:type="dxa"/>
            <w:vAlign w:val="center"/>
          </w:tcPr>
          <w:p w:rsidR="00B22805" w:rsidRDefault="00E076BA">
            <w:pPr>
              <w:jc w:val="right"/>
            </w:pPr>
            <w:r>
              <w:rPr>
                <w:rFonts w:eastAsiaTheme="minorEastAsia"/>
                <w:color w:val="000000" w:themeColor="text1"/>
                <w:szCs w:val="21"/>
              </w:rPr>
              <w:t>-</w:t>
            </w:r>
          </w:p>
        </w:tc>
      </w:tr>
      <w:tr w:rsidR="00B22805">
        <w:tc>
          <w:tcPr>
            <w:tcW w:w="1290" w:type="dxa"/>
            <w:vAlign w:val="center"/>
          </w:tcPr>
          <w:p w:rsidR="00B22805" w:rsidRDefault="00E076BA">
            <w:pPr>
              <w:jc w:val="left"/>
            </w:pPr>
            <w:r>
              <w:rPr>
                <w:rFonts w:eastAsiaTheme="minorEastAsia"/>
                <w:color w:val="000000" w:themeColor="text1"/>
                <w:szCs w:val="21"/>
              </w:rPr>
              <w:t>自基金合同生效起至今</w:t>
            </w:r>
          </w:p>
        </w:tc>
        <w:tc>
          <w:tcPr>
            <w:tcW w:w="1291" w:type="dxa"/>
            <w:vAlign w:val="center"/>
          </w:tcPr>
          <w:p w:rsidR="00B22805" w:rsidRDefault="00E076BA">
            <w:pPr>
              <w:jc w:val="right"/>
            </w:pPr>
            <w:r>
              <w:rPr>
                <w:rFonts w:eastAsiaTheme="minorEastAsia"/>
                <w:color w:val="000000" w:themeColor="text1"/>
                <w:szCs w:val="21"/>
              </w:rPr>
              <w:t>5.02%</w:t>
            </w:r>
          </w:p>
        </w:tc>
        <w:tc>
          <w:tcPr>
            <w:tcW w:w="1291" w:type="dxa"/>
            <w:vAlign w:val="center"/>
          </w:tcPr>
          <w:p w:rsidR="00B22805" w:rsidRDefault="00E076BA">
            <w:pPr>
              <w:jc w:val="right"/>
            </w:pPr>
            <w:r>
              <w:rPr>
                <w:rFonts w:eastAsiaTheme="minorEastAsia"/>
                <w:color w:val="000000" w:themeColor="text1"/>
                <w:szCs w:val="21"/>
              </w:rPr>
              <w:t>0.05%</w:t>
            </w:r>
          </w:p>
        </w:tc>
        <w:tc>
          <w:tcPr>
            <w:tcW w:w="1291" w:type="dxa"/>
            <w:vAlign w:val="center"/>
          </w:tcPr>
          <w:p w:rsidR="00B22805" w:rsidRDefault="00E076BA">
            <w:pPr>
              <w:jc w:val="right"/>
            </w:pPr>
            <w:r>
              <w:rPr>
                <w:rFonts w:eastAsiaTheme="minorEastAsia"/>
                <w:color w:val="000000" w:themeColor="text1"/>
                <w:szCs w:val="21"/>
              </w:rPr>
              <w:t>3.75%</w:t>
            </w:r>
          </w:p>
        </w:tc>
        <w:tc>
          <w:tcPr>
            <w:tcW w:w="1291" w:type="dxa"/>
            <w:vAlign w:val="center"/>
          </w:tcPr>
          <w:p w:rsidR="00B22805" w:rsidRDefault="00E076BA">
            <w:pPr>
              <w:jc w:val="right"/>
            </w:pPr>
            <w:r>
              <w:rPr>
                <w:rFonts w:eastAsiaTheme="minorEastAsia"/>
                <w:color w:val="000000" w:themeColor="text1"/>
                <w:szCs w:val="21"/>
              </w:rPr>
              <w:t>0.06%</w:t>
            </w:r>
          </w:p>
        </w:tc>
        <w:tc>
          <w:tcPr>
            <w:tcW w:w="1291" w:type="dxa"/>
            <w:vAlign w:val="center"/>
          </w:tcPr>
          <w:p w:rsidR="00B22805" w:rsidRDefault="00E076BA">
            <w:pPr>
              <w:jc w:val="right"/>
            </w:pPr>
            <w:r>
              <w:rPr>
                <w:rFonts w:eastAsiaTheme="minorEastAsia"/>
                <w:color w:val="000000" w:themeColor="text1"/>
                <w:szCs w:val="21"/>
              </w:rPr>
              <w:t>1.27%</w:t>
            </w:r>
          </w:p>
        </w:tc>
        <w:tc>
          <w:tcPr>
            <w:tcW w:w="1291" w:type="dxa"/>
            <w:vAlign w:val="center"/>
          </w:tcPr>
          <w:p w:rsidR="00B22805" w:rsidRDefault="00E076BA">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摩根瑞享纯债债券型证券投资基金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．摩根瑞享纯债债券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．摩根瑞享纯债债券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22805">
        <w:tc>
          <w:tcPr>
            <w:tcW w:w="952" w:type="dxa"/>
            <w:vAlign w:val="center"/>
          </w:tcPr>
          <w:p w:rsidR="00B22805" w:rsidRDefault="00E076BA">
            <w:pPr>
              <w:jc w:val="center"/>
            </w:pPr>
            <w:r>
              <w:rPr>
                <w:rFonts w:eastAsiaTheme="minorEastAsia"/>
                <w:color w:val="000000" w:themeColor="text1"/>
                <w:szCs w:val="21"/>
              </w:rPr>
              <w:t>张一格</w:t>
            </w:r>
          </w:p>
        </w:tc>
        <w:tc>
          <w:tcPr>
            <w:tcW w:w="930" w:type="dxa"/>
            <w:vAlign w:val="center"/>
          </w:tcPr>
          <w:p w:rsidR="00B22805" w:rsidRDefault="00E076BA">
            <w:pPr>
              <w:jc w:val="center"/>
            </w:pPr>
            <w:r>
              <w:rPr>
                <w:rFonts w:eastAsiaTheme="minorEastAsia"/>
                <w:color w:val="000000" w:themeColor="text1"/>
                <w:szCs w:val="21"/>
              </w:rPr>
              <w:t>本基金基金经理、总经理助理兼债券投资总监</w:t>
            </w:r>
          </w:p>
        </w:tc>
        <w:tc>
          <w:tcPr>
            <w:tcW w:w="1210" w:type="dxa"/>
            <w:vAlign w:val="center"/>
          </w:tcPr>
          <w:p w:rsidR="00B22805" w:rsidRDefault="00E076BA">
            <w:pPr>
              <w:jc w:val="center"/>
            </w:pPr>
            <w:r>
              <w:rPr>
                <w:rFonts w:eastAsiaTheme="minorEastAsia"/>
                <w:color w:val="000000" w:themeColor="text1"/>
                <w:szCs w:val="21"/>
              </w:rPr>
              <w:t>2024-06-07</w:t>
            </w:r>
          </w:p>
        </w:tc>
        <w:tc>
          <w:tcPr>
            <w:tcW w:w="1309" w:type="dxa"/>
            <w:vAlign w:val="center"/>
          </w:tcPr>
          <w:p w:rsidR="00B22805" w:rsidRDefault="00E076BA">
            <w:pPr>
              <w:jc w:val="center"/>
            </w:pPr>
            <w:r>
              <w:rPr>
                <w:rFonts w:eastAsiaTheme="minorEastAsia"/>
                <w:color w:val="000000" w:themeColor="text1"/>
                <w:szCs w:val="21"/>
              </w:rPr>
              <w:t>-</w:t>
            </w:r>
          </w:p>
        </w:tc>
        <w:tc>
          <w:tcPr>
            <w:tcW w:w="1254" w:type="dxa"/>
            <w:vAlign w:val="center"/>
          </w:tcPr>
          <w:p w:rsidR="00B22805" w:rsidRDefault="00E076BA">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B22805" w:rsidRDefault="00E076BA">
            <w:r>
              <w:rPr>
                <w:rFonts w:eastAsiaTheme="minorEastAsia"/>
                <w:color w:val="000000" w:themeColor="text1"/>
                <w:szCs w:val="21"/>
              </w:rPr>
              <w:t>张一格</w:t>
            </w:r>
            <w:r>
              <w:rPr>
                <w:rFonts w:eastAsiaTheme="minorEastAsia" w:hint="eastAsia"/>
                <w:color w:val="000000" w:themeColor="text1"/>
                <w:szCs w:val="21"/>
              </w:rPr>
              <w:t>先生</w:t>
            </w:r>
            <w:r>
              <w:rPr>
                <w:rFonts w:eastAsiaTheme="minorEastAsia"/>
                <w:color w:val="000000" w:themeColor="text1"/>
                <w:szCs w:val="21"/>
              </w:rPr>
              <w:t>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r w:rsidR="00B22805">
        <w:tc>
          <w:tcPr>
            <w:tcW w:w="952" w:type="dxa"/>
            <w:vAlign w:val="center"/>
          </w:tcPr>
          <w:p w:rsidR="00B22805" w:rsidRDefault="00E076BA">
            <w:pPr>
              <w:jc w:val="center"/>
            </w:pPr>
            <w:r>
              <w:rPr>
                <w:rFonts w:eastAsiaTheme="minorEastAsia"/>
                <w:color w:val="000000" w:themeColor="text1"/>
                <w:szCs w:val="21"/>
              </w:rPr>
              <w:t>文雪婷</w:t>
            </w:r>
          </w:p>
        </w:tc>
        <w:tc>
          <w:tcPr>
            <w:tcW w:w="930" w:type="dxa"/>
            <w:vAlign w:val="center"/>
          </w:tcPr>
          <w:p w:rsidR="00B22805" w:rsidRDefault="00E076BA">
            <w:pPr>
              <w:jc w:val="center"/>
            </w:pPr>
            <w:r>
              <w:rPr>
                <w:rFonts w:eastAsiaTheme="minorEastAsia"/>
                <w:color w:val="000000" w:themeColor="text1"/>
                <w:szCs w:val="21"/>
              </w:rPr>
              <w:t>本基金基金经理</w:t>
            </w:r>
          </w:p>
        </w:tc>
        <w:tc>
          <w:tcPr>
            <w:tcW w:w="1210" w:type="dxa"/>
            <w:vAlign w:val="center"/>
          </w:tcPr>
          <w:p w:rsidR="00B22805" w:rsidRDefault="00E076BA">
            <w:pPr>
              <w:jc w:val="center"/>
            </w:pPr>
            <w:r>
              <w:rPr>
                <w:rFonts w:eastAsiaTheme="minorEastAsia"/>
                <w:color w:val="000000" w:themeColor="text1"/>
                <w:szCs w:val="21"/>
              </w:rPr>
              <w:t>2024-06-07</w:t>
            </w:r>
          </w:p>
        </w:tc>
        <w:tc>
          <w:tcPr>
            <w:tcW w:w="1309" w:type="dxa"/>
            <w:vAlign w:val="center"/>
          </w:tcPr>
          <w:p w:rsidR="00B22805" w:rsidRDefault="00E076BA">
            <w:pPr>
              <w:jc w:val="center"/>
            </w:pPr>
            <w:r>
              <w:rPr>
                <w:rFonts w:eastAsiaTheme="minorEastAsia"/>
                <w:color w:val="000000" w:themeColor="text1"/>
                <w:szCs w:val="21"/>
              </w:rPr>
              <w:t>-</w:t>
            </w:r>
          </w:p>
        </w:tc>
        <w:tc>
          <w:tcPr>
            <w:tcW w:w="1254" w:type="dxa"/>
            <w:vAlign w:val="center"/>
          </w:tcPr>
          <w:p w:rsidR="00B22805" w:rsidRDefault="00E076BA">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B22805" w:rsidRDefault="00E076BA">
            <w:r>
              <w:rPr>
                <w:rFonts w:eastAsiaTheme="minorEastAsia"/>
                <w:color w:val="000000" w:themeColor="text1"/>
                <w:szCs w:val="21"/>
              </w:rPr>
              <w:t>文雪婷女士曾任泰康资产管理有限责任公司资产配置研究高级经理；自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月加入摩根基金管理（中国）有限公司（原上投摩根基金管理有限公司），历任宏观研究员、基金经理助理</w:t>
            </w:r>
            <w:r>
              <w:rPr>
                <w:rFonts w:eastAsiaTheme="minorEastAsia"/>
                <w:color w:val="000000" w:themeColor="text1"/>
                <w:szCs w:val="21"/>
              </w:rPr>
              <w:t>/</w:t>
            </w:r>
            <w:r>
              <w:rPr>
                <w:rFonts w:eastAsiaTheme="minorEastAsia"/>
                <w:color w:val="000000" w:themeColor="text1"/>
                <w:szCs w:val="21"/>
              </w:rPr>
              <w:t>宏观研究员，现任基金经理。</w:t>
            </w:r>
          </w:p>
        </w:tc>
      </w:tr>
    </w:tbl>
    <w:p w:rsidR="00B22805" w:rsidRDefault="00E076B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季度，美联储</w:t>
      </w:r>
      <w:r>
        <w:rPr>
          <w:rFonts w:eastAsiaTheme="minorEastAsia"/>
          <w:color w:val="000000" w:themeColor="text1"/>
          <w:szCs w:val="21"/>
        </w:rPr>
        <w:t>9</w:t>
      </w:r>
      <w:r>
        <w:rPr>
          <w:rFonts w:eastAsiaTheme="minorEastAsia"/>
          <w:color w:val="000000" w:themeColor="text1"/>
          <w:szCs w:val="21"/>
        </w:rPr>
        <w:t>月超预期降息</w:t>
      </w:r>
      <w:r>
        <w:rPr>
          <w:rFonts w:eastAsiaTheme="minorEastAsia"/>
          <w:color w:val="000000" w:themeColor="text1"/>
          <w:szCs w:val="21"/>
        </w:rPr>
        <w:t>50BP</w:t>
      </w:r>
      <w:r>
        <w:rPr>
          <w:rFonts w:eastAsiaTheme="minorEastAsia"/>
          <w:color w:val="000000" w:themeColor="text1"/>
          <w:szCs w:val="21"/>
        </w:rPr>
        <w:t>，在一定程度上缓解了国内货币政策的外部压力。</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三季度政策对债券市场的影响较大。</w:t>
      </w:r>
      <w:r>
        <w:rPr>
          <w:rFonts w:eastAsiaTheme="minorEastAsia"/>
          <w:color w:val="000000" w:themeColor="text1"/>
          <w:szCs w:val="21"/>
        </w:rPr>
        <w:t>7</w:t>
      </w:r>
      <w:r>
        <w:rPr>
          <w:rFonts w:eastAsiaTheme="minorEastAsia"/>
          <w:color w:val="000000" w:themeColor="text1"/>
          <w:szCs w:val="21"/>
        </w:rPr>
        <w:t>月央行公告借券卖出，驱动收益率快速上行，但操作迟迟未落地，经济数据驱动债券收益率再度下行突破前低。</w:t>
      </w:r>
      <w:r>
        <w:rPr>
          <w:rFonts w:eastAsiaTheme="minorEastAsia"/>
          <w:color w:val="000000" w:themeColor="text1"/>
          <w:szCs w:val="21"/>
        </w:rPr>
        <w:t>8</w:t>
      </w:r>
      <w:r>
        <w:rPr>
          <w:rFonts w:eastAsiaTheme="minorEastAsia"/>
          <w:color w:val="000000" w:themeColor="text1"/>
          <w:szCs w:val="21"/>
        </w:rPr>
        <w:t>月初，国有大行卖出长久期债券，市场对于债券牛市持续的预期发生变化，长端收益率明显调整。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日央行提示机构应做好长端国债收益率波动的压力测试，债券收益率的调整明显缓解。</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日国务院牵头中国人民银行、金融监管总局和中国证监会召开发布会，公布包括降准降息、降低存量按揭利率、创设货币政策工具、补充大行资本等一系列超常规政策。</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日中央政治局会议分析当前经济形势，对经济关切程度超预期。在传统</w:t>
      </w:r>
      <w:r>
        <w:rPr>
          <w:rFonts w:eastAsiaTheme="minorEastAsia"/>
          <w:color w:val="000000" w:themeColor="text1"/>
          <w:szCs w:val="21"/>
        </w:rPr>
        <w:t>“</w:t>
      </w:r>
      <w:r>
        <w:rPr>
          <w:rFonts w:eastAsiaTheme="minorEastAsia"/>
          <w:color w:val="000000" w:themeColor="text1"/>
          <w:szCs w:val="21"/>
        </w:rPr>
        <w:t>逆周期调节</w:t>
      </w:r>
      <w:r>
        <w:rPr>
          <w:rFonts w:eastAsiaTheme="minorEastAsia"/>
          <w:color w:val="000000" w:themeColor="text1"/>
          <w:szCs w:val="21"/>
        </w:rPr>
        <w:t>”</w:t>
      </w:r>
      <w:r>
        <w:rPr>
          <w:rFonts w:eastAsiaTheme="minorEastAsia"/>
          <w:color w:val="000000" w:themeColor="text1"/>
          <w:szCs w:val="21"/>
        </w:rPr>
        <w:t>稳定经济的定调上，明确</w:t>
      </w:r>
      <w:r>
        <w:rPr>
          <w:rFonts w:eastAsiaTheme="minorEastAsia"/>
          <w:color w:val="000000" w:themeColor="text1"/>
          <w:szCs w:val="21"/>
        </w:rPr>
        <w:t>“</w:t>
      </w:r>
      <w:r>
        <w:rPr>
          <w:rFonts w:eastAsiaTheme="minorEastAsia"/>
          <w:color w:val="000000" w:themeColor="text1"/>
          <w:szCs w:val="21"/>
        </w:rPr>
        <w:t>加大财政货币政策力度</w:t>
      </w:r>
      <w:r>
        <w:rPr>
          <w:rFonts w:eastAsiaTheme="minorEastAsia"/>
          <w:color w:val="000000" w:themeColor="text1"/>
          <w:szCs w:val="21"/>
        </w:rPr>
        <w:t>”</w:t>
      </w:r>
      <w:r>
        <w:rPr>
          <w:rFonts w:eastAsiaTheme="minorEastAsia"/>
          <w:color w:val="000000" w:themeColor="text1"/>
          <w:szCs w:val="21"/>
        </w:rPr>
        <w:t>，明确要</w:t>
      </w:r>
      <w:r>
        <w:rPr>
          <w:rFonts w:eastAsiaTheme="minorEastAsia"/>
          <w:color w:val="000000" w:themeColor="text1"/>
          <w:szCs w:val="21"/>
        </w:rPr>
        <w:t>“</w:t>
      </w:r>
      <w:r>
        <w:rPr>
          <w:rFonts w:eastAsiaTheme="minorEastAsia"/>
          <w:color w:val="000000" w:themeColor="text1"/>
          <w:szCs w:val="21"/>
        </w:rPr>
        <w:t>保证必要的财政支出</w:t>
      </w:r>
      <w:r>
        <w:rPr>
          <w:rFonts w:eastAsiaTheme="minorEastAsia"/>
          <w:color w:val="000000" w:themeColor="text1"/>
          <w:szCs w:val="21"/>
        </w:rPr>
        <w:t>”</w:t>
      </w:r>
      <w:r>
        <w:rPr>
          <w:rFonts w:eastAsiaTheme="minorEastAsia"/>
          <w:color w:val="000000" w:themeColor="text1"/>
          <w:szCs w:val="21"/>
        </w:rPr>
        <w:t>，扭转了市场对于财政政策的预期。同时提出要</w:t>
      </w:r>
      <w:r>
        <w:rPr>
          <w:rFonts w:eastAsiaTheme="minorEastAsia"/>
          <w:color w:val="000000" w:themeColor="text1"/>
          <w:szCs w:val="21"/>
        </w:rPr>
        <w:t>“</w:t>
      </w:r>
      <w:r>
        <w:rPr>
          <w:rFonts w:eastAsiaTheme="minorEastAsia"/>
          <w:color w:val="000000" w:themeColor="text1"/>
          <w:szCs w:val="21"/>
        </w:rPr>
        <w:t>促进房地产市场止跌回稳</w:t>
      </w:r>
      <w:r>
        <w:rPr>
          <w:rFonts w:eastAsiaTheme="minorEastAsia"/>
          <w:color w:val="000000" w:themeColor="text1"/>
          <w:szCs w:val="21"/>
        </w:rPr>
        <w:t>”</w:t>
      </w:r>
      <w:r>
        <w:rPr>
          <w:rFonts w:eastAsiaTheme="minorEastAsia"/>
          <w:color w:val="000000" w:themeColor="text1"/>
          <w:szCs w:val="21"/>
        </w:rPr>
        <w:t>，后续出台了一系列一线城市的地产放松政策。这些超预期的表态，驱动市场风险偏好抬升，驱动债券收益率明显调整突破前高。</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三季度在市场波动幅度较大的背景下，我们努力保持久期操作的灵活性，在</w:t>
      </w:r>
      <w:r>
        <w:rPr>
          <w:rFonts w:eastAsiaTheme="minorEastAsia"/>
          <w:color w:val="000000" w:themeColor="text1"/>
          <w:szCs w:val="21"/>
        </w:rPr>
        <w:t>9</w:t>
      </w:r>
      <w:r>
        <w:rPr>
          <w:rFonts w:eastAsiaTheme="minorEastAsia"/>
          <w:color w:val="000000" w:themeColor="text1"/>
          <w:szCs w:val="21"/>
        </w:rPr>
        <w:t>月政治局会议表态后降低了久期。</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展望四季度，有三个变量需要密切观察。首先是机构行为，进入四季度机构是否有明显的止</w:t>
      </w:r>
      <w:r>
        <w:rPr>
          <w:rFonts w:eastAsiaTheme="minorEastAsia"/>
          <w:color w:val="000000" w:themeColor="text1"/>
          <w:szCs w:val="21"/>
        </w:rPr>
        <w:lastRenderedPageBreak/>
        <w:t>盈操作，是否会带来赎回负反馈。其次是财政政策，相比于市场预期的增发</w:t>
      </w:r>
      <w:r>
        <w:rPr>
          <w:rFonts w:eastAsiaTheme="minorEastAsia"/>
          <w:color w:val="000000" w:themeColor="text1"/>
          <w:szCs w:val="21"/>
        </w:rPr>
        <w:t>2</w:t>
      </w:r>
      <w:r>
        <w:rPr>
          <w:rFonts w:eastAsiaTheme="minorEastAsia"/>
          <w:color w:val="000000" w:themeColor="text1"/>
          <w:szCs w:val="21"/>
        </w:rPr>
        <w:t>万亿政府债是否有明显变化。三是地产市场，地产是否有明显企稳或直接决定了宏观经济大背景，密切跟踪地产成交和房价是否有明显企稳很关键。</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我们将对上述重要变量保持紧密跟踪，灵活应对。</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本报告期摩根瑞享纯债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:0.27%</w:t>
      </w:r>
      <w:r>
        <w:rPr>
          <w:rFonts w:eastAsiaTheme="minorEastAsia"/>
          <w:color w:val="000000" w:themeColor="text1"/>
          <w:szCs w:val="21"/>
        </w:rPr>
        <w:t>，同期业绩比较基准收益率为</w:t>
      </w:r>
      <w:r>
        <w:rPr>
          <w:rFonts w:eastAsiaTheme="minorEastAsia"/>
          <w:color w:val="000000" w:themeColor="text1"/>
          <w:szCs w:val="21"/>
        </w:rPr>
        <w:t>:0.25%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摩根瑞享纯债</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:0.25%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71,926,455.16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61.54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71,926,455.16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61.54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40,001,564.32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2,946,483.34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2,001,289.73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116,875,792.55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10,136,246.95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61,790,208.21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52.93</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61,790,208.21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71,926,455.16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61.62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22805">
        <w:tc>
          <w:tcPr>
            <w:tcW w:w="1504" w:type="dxa"/>
            <w:vAlign w:val="center"/>
          </w:tcPr>
          <w:p w:rsidR="00B22805" w:rsidRDefault="00E076BA">
            <w:pPr>
              <w:jc w:val="center"/>
            </w:pPr>
            <w:r>
              <w:rPr>
                <w:rFonts w:eastAsiaTheme="minorEastAsia"/>
                <w:color w:val="000000" w:themeColor="text1"/>
                <w:szCs w:val="21"/>
              </w:rPr>
              <w:t>1</w:t>
            </w:r>
          </w:p>
        </w:tc>
        <w:tc>
          <w:tcPr>
            <w:tcW w:w="1504" w:type="dxa"/>
            <w:vAlign w:val="center"/>
          </w:tcPr>
          <w:p w:rsidR="00B22805" w:rsidRDefault="00E076BA">
            <w:pPr>
              <w:jc w:val="center"/>
            </w:pPr>
            <w:r>
              <w:rPr>
                <w:rFonts w:eastAsiaTheme="minorEastAsia"/>
                <w:color w:val="000000" w:themeColor="text1"/>
                <w:szCs w:val="21"/>
              </w:rPr>
              <w:t>230208</w:t>
            </w:r>
          </w:p>
        </w:tc>
        <w:tc>
          <w:tcPr>
            <w:tcW w:w="1504" w:type="dxa"/>
            <w:vAlign w:val="center"/>
          </w:tcPr>
          <w:p w:rsidR="00B22805" w:rsidRDefault="00E076BA">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B22805" w:rsidRDefault="00E076BA">
            <w:pPr>
              <w:jc w:val="right"/>
            </w:pPr>
            <w:r>
              <w:rPr>
                <w:rFonts w:eastAsiaTheme="minorEastAsia"/>
                <w:color w:val="000000" w:themeColor="text1"/>
                <w:szCs w:val="21"/>
              </w:rPr>
              <w:t>100,000</w:t>
            </w:r>
          </w:p>
        </w:tc>
        <w:tc>
          <w:tcPr>
            <w:tcW w:w="1503" w:type="dxa"/>
            <w:vAlign w:val="center"/>
          </w:tcPr>
          <w:p w:rsidR="00B22805" w:rsidRDefault="00E076BA">
            <w:pPr>
              <w:jc w:val="right"/>
            </w:pPr>
            <w:r>
              <w:rPr>
                <w:rFonts w:eastAsiaTheme="minorEastAsia"/>
                <w:color w:val="000000" w:themeColor="text1"/>
                <w:szCs w:val="21"/>
              </w:rPr>
              <w:t>10,314,063.01</w:t>
            </w:r>
          </w:p>
        </w:tc>
        <w:tc>
          <w:tcPr>
            <w:tcW w:w="1503" w:type="dxa"/>
            <w:vAlign w:val="center"/>
          </w:tcPr>
          <w:p w:rsidR="00B22805" w:rsidRDefault="00E076BA">
            <w:pPr>
              <w:jc w:val="right"/>
            </w:pPr>
            <w:r>
              <w:rPr>
                <w:rFonts w:eastAsiaTheme="minorEastAsia"/>
                <w:color w:val="000000" w:themeColor="text1"/>
                <w:szCs w:val="21"/>
              </w:rPr>
              <w:t>8.84</w:t>
            </w:r>
          </w:p>
        </w:tc>
      </w:tr>
      <w:tr w:rsidR="00B22805">
        <w:tc>
          <w:tcPr>
            <w:tcW w:w="1504" w:type="dxa"/>
            <w:vAlign w:val="center"/>
          </w:tcPr>
          <w:p w:rsidR="00B22805" w:rsidRDefault="00E076BA">
            <w:pPr>
              <w:jc w:val="center"/>
            </w:pPr>
            <w:r>
              <w:rPr>
                <w:rFonts w:eastAsiaTheme="minorEastAsia"/>
                <w:color w:val="000000" w:themeColor="text1"/>
                <w:szCs w:val="21"/>
              </w:rPr>
              <w:t>2</w:t>
            </w:r>
          </w:p>
        </w:tc>
        <w:tc>
          <w:tcPr>
            <w:tcW w:w="1504" w:type="dxa"/>
            <w:vAlign w:val="center"/>
          </w:tcPr>
          <w:p w:rsidR="00B22805" w:rsidRDefault="00E076BA">
            <w:pPr>
              <w:jc w:val="center"/>
            </w:pPr>
            <w:r>
              <w:rPr>
                <w:rFonts w:eastAsiaTheme="minorEastAsia"/>
                <w:color w:val="000000" w:themeColor="text1"/>
                <w:szCs w:val="21"/>
              </w:rPr>
              <w:t>200212</w:t>
            </w:r>
          </w:p>
        </w:tc>
        <w:tc>
          <w:tcPr>
            <w:tcW w:w="1504" w:type="dxa"/>
            <w:vAlign w:val="center"/>
          </w:tcPr>
          <w:p w:rsidR="00B22805" w:rsidRDefault="00E076BA">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12</w:t>
            </w:r>
          </w:p>
        </w:tc>
        <w:tc>
          <w:tcPr>
            <w:tcW w:w="1503" w:type="dxa"/>
            <w:vAlign w:val="center"/>
          </w:tcPr>
          <w:p w:rsidR="00B22805" w:rsidRDefault="00E076BA">
            <w:pPr>
              <w:jc w:val="right"/>
            </w:pPr>
            <w:r>
              <w:rPr>
                <w:rFonts w:eastAsiaTheme="minorEastAsia"/>
                <w:color w:val="000000" w:themeColor="text1"/>
                <w:szCs w:val="21"/>
              </w:rPr>
              <w:t>100,000</w:t>
            </w:r>
          </w:p>
        </w:tc>
        <w:tc>
          <w:tcPr>
            <w:tcW w:w="1503" w:type="dxa"/>
            <w:vAlign w:val="center"/>
          </w:tcPr>
          <w:p w:rsidR="00B22805" w:rsidRDefault="00E076BA">
            <w:pPr>
              <w:jc w:val="right"/>
            </w:pPr>
            <w:r>
              <w:rPr>
                <w:rFonts w:eastAsiaTheme="minorEastAsia"/>
                <w:color w:val="000000" w:themeColor="text1"/>
                <w:szCs w:val="21"/>
              </w:rPr>
              <w:t>10,202,290.41</w:t>
            </w:r>
          </w:p>
        </w:tc>
        <w:tc>
          <w:tcPr>
            <w:tcW w:w="1503" w:type="dxa"/>
            <w:vAlign w:val="center"/>
          </w:tcPr>
          <w:p w:rsidR="00B22805" w:rsidRDefault="00E076BA">
            <w:pPr>
              <w:jc w:val="right"/>
            </w:pPr>
            <w:r>
              <w:rPr>
                <w:rFonts w:eastAsiaTheme="minorEastAsia"/>
                <w:color w:val="000000" w:themeColor="text1"/>
                <w:szCs w:val="21"/>
              </w:rPr>
              <w:t>8.74</w:t>
            </w:r>
          </w:p>
        </w:tc>
      </w:tr>
      <w:tr w:rsidR="00B22805">
        <w:tc>
          <w:tcPr>
            <w:tcW w:w="1504" w:type="dxa"/>
            <w:vAlign w:val="center"/>
          </w:tcPr>
          <w:p w:rsidR="00B22805" w:rsidRDefault="00E076BA">
            <w:pPr>
              <w:jc w:val="center"/>
            </w:pPr>
            <w:r>
              <w:rPr>
                <w:rFonts w:eastAsiaTheme="minorEastAsia"/>
                <w:color w:val="000000" w:themeColor="text1"/>
                <w:szCs w:val="21"/>
              </w:rPr>
              <w:t>3</w:t>
            </w:r>
          </w:p>
        </w:tc>
        <w:tc>
          <w:tcPr>
            <w:tcW w:w="1504" w:type="dxa"/>
            <w:vAlign w:val="center"/>
          </w:tcPr>
          <w:p w:rsidR="00B22805" w:rsidRDefault="00E076BA">
            <w:pPr>
              <w:jc w:val="center"/>
            </w:pPr>
            <w:r>
              <w:rPr>
                <w:rFonts w:eastAsiaTheme="minorEastAsia"/>
                <w:color w:val="000000" w:themeColor="text1"/>
                <w:szCs w:val="21"/>
              </w:rPr>
              <w:t>220403</w:t>
            </w:r>
          </w:p>
        </w:tc>
        <w:tc>
          <w:tcPr>
            <w:tcW w:w="1504" w:type="dxa"/>
            <w:vAlign w:val="center"/>
          </w:tcPr>
          <w:p w:rsidR="00B22805" w:rsidRDefault="00E076BA">
            <w:pPr>
              <w:jc w:val="center"/>
            </w:pPr>
            <w:r>
              <w:rPr>
                <w:rFonts w:eastAsiaTheme="minorEastAsia"/>
                <w:color w:val="000000" w:themeColor="text1"/>
                <w:szCs w:val="21"/>
              </w:rPr>
              <w:t>22</w:t>
            </w:r>
            <w:r>
              <w:rPr>
                <w:rFonts w:eastAsiaTheme="minorEastAsia"/>
                <w:color w:val="000000" w:themeColor="text1"/>
                <w:szCs w:val="21"/>
              </w:rPr>
              <w:t>农发</w:t>
            </w:r>
            <w:r>
              <w:rPr>
                <w:rFonts w:eastAsiaTheme="minorEastAsia"/>
                <w:color w:val="000000" w:themeColor="text1"/>
                <w:szCs w:val="21"/>
              </w:rPr>
              <w:t>03</w:t>
            </w:r>
          </w:p>
        </w:tc>
        <w:tc>
          <w:tcPr>
            <w:tcW w:w="1503" w:type="dxa"/>
            <w:vAlign w:val="center"/>
          </w:tcPr>
          <w:p w:rsidR="00B22805" w:rsidRDefault="00E076BA">
            <w:pPr>
              <w:jc w:val="right"/>
            </w:pPr>
            <w:r>
              <w:rPr>
                <w:rFonts w:eastAsiaTheme="minorEastAsia"/>
                <w:color w:val="000000" w:themeColor="text1"/>
                <w:szCs w:val="21"/>
              </w:rPr>
              <w:t>100,000</w:t>
            </w:r>
          </w:p>
        </w:tc>
        <w:tc>
          <w:tcPr>
            <w:tcW w:w="1503" w:type="dxa"/>
            <w:vAlign w:val="center"/>
          </w:tcPr>
          <w:p w:rsidR="00B22805" w:rsidRDefault="00E076BA">
            <w:pPr>
              <w:jc w:val="right"/>
            </w:pPr>
            <w:r>
              <w:rPr>
                <w:rFonts w:eastAsiaTheme="minorEastAsia"/>
                <w:color w:val="000000" w:themeColor="text1"/>
                <w:szCs w:val="21"/>
              </w:rPr>
              <w:t>10,185,304.11</w:t>
            </w:r>
          </w:p>
        </w:tc>
        <w:tc>
          <w:tcPr>
            <w:tcW w:w="1503" w:type="dxa"/>
            <w:vAlign w:val="center"/>
          </w:tcPr>
          <w:p w:rsidR="00B22805" w:rsidRDefault="00E076BA">
            <w:pPr>
              <w:jc w:val="right"/>
            </w:pPr>
            <w:r>
              <w:rPr>
                <w:rFonts w:eastAsiaTheme="minorEastAsia"/>
                <w:color w:val="000000" w:themeColor="text1"/>
                <w:szCs w:val="21"/>
              </w:rPr>
              <w:t>8.73</w:t>
            </w:r>
          </w:p>
        </w:tc>
      </w:tr>
      <w:tr w:rsidR="00B22805">
        <w:tc>
          <w:tcPr>
            <w:tcW w:w="1504" w:type="dxa"/>
            <w:vAlign w:val="center"/>
          </w:tcPr>
          <w:p w:rsidR="00B22805" w:rsidRDefault="00E076BA">
            <w:pPr>
              <w:jc w:val="center"/>
            </w:pPr>
            <w:r>
              <w:rPr>
                <w:rFonts w:eastAsiaTheme="minorEastAsia"/>
                <w:color w:val="000000" w:themeColor="text1"/>
                <w:szCs w:val="21"/>
              </w:rPr>
              <w:t>4</w:t>
            </w:r>
          </w:p>
        </w:tc>
        <w:tc>
          <w:tcPr>
            <w:tcW w:w="1504" w:type="dxa"/>
            <w:vAlign w:val="center"/>
          </w:tcPr>
          <w:p w:rsidR="00B22805" w:rsidRDefault="00E076BA">
            <w:pPr>
              <w:jc w:val="center"/>
            </w:pPr>
            <w:r>
              <w:rPr>
                <w:rFonts w:eastAsiaTheme="minorEastAsia"/>
                <w:color w:val="000000" w:themeColor="text1"/>
                <w:szCs w:val="21"/>
              </w:rPr>
              <w:t>240210</w:t>
            </w:r>
          </w:p>
        </w:tc>
        <w:tc>
          <w:tcPr>
            <w:tcW w:w="1504" w:type="dxa"/>
            <w:vAlign w:val="center"/>
          </w:tcPr>
          <w:p w:rsidR="00B22805" w:rsidRDefault="00E076BA">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B22805" w:rsidRDefault="00E076BA">
            <w:pPr>
              <w:jc w:val="right"/>
            </w:pPr>
            <w:r>
              <w:rPr>
                <w:rFonts w:eastAsiaTheme="minorEastAsia"/>
                <w:color w:val="000000" w:themeColor="text1"/>
                <w:szCs w:val="21"/>
              </w:rPr>
              <w:t>100,000</w:t>
            </w:r>
          </w:p>
        </w:tc>
        <w:tc>
          <w:tcPr>
            <w:tcW w:w="1503" w:type="dxa"/>
            <w:vAlign w:val="center"/>
          </w:tcPr>
          <w:p w:rsidR="00B22805" w:rsidRDefault="00E076BA">
            <w:pPr>
              <w:jc w:val="right"/>
            </w:pPr>
            <w:r>
              <w:rPr>
                <w:rFonts w:eastAsiaTheme="minorEastAsia"/>
                <w:color w:val="000000" w:themeColor="text1"/>
                <w:szCs w:val="21"/>
              </w:rPr>
              <w:t>10,184,287.67</w:t>
            </w:r>
          </w:p>
        </w:tc>
        <w:tc>
          <w:tcPr>
            <w:tcW w:w="1503" w:type="dxa"/>
            <w:vAlign w:val="center"/>
          </w:tcPr>
          <w:p w:rsidR="00B22805" w:rsidRDefault="00E076BA">
            <w:pPr>
              <w:jc w:val="right"/>
            </w:pPr>
            <w:r>
              <w:rPr>
                <w:rFonts w:eastAsiaTheme="minorEastAsia"/>
                <w:color w:val="000000" w:themeColor="text1"/>
                <w:szCs w:val="21"/>
              </w:rPr>
              <w:t>8.72</w:t>
            </w:r>
          </w:p>
        </w:tc>
      </w:tr>
      <w:tr w:rsidR="00B22805">
        <w:tc>
          <w:tcPr>
            <w:tcW w:w="1504" w:type="dxa"/>
            <w:vAlign w:val="center"/>
          </w:tcPr>
          <w:p w:rsidR="00B22805" w:rsidRDefault="00E076BA">
            <w:pPr>
              <w:jc w:val="center"/>
            </w:pPr>
            <w:r>
              <w:rPr>
                <w:rFonts w:eastAsiaTheme="minorEastAsia"/>
                <w:color w:val="000000" w:themeColor="text1"/>
                <w:szCs w:val="21"/>
              </w:rPr>
              <w:t>5</w:t>
            </w:r>
          </w:p>
        </w:tc>
        <w:tc>
          <w:tcPr>
            <w:tcW w:w="1504" w:type="dxa"/>
            <w:vAlign w:val="center"/>
          </w:tcPr>
          <w:p w:rsidR="00B22805" w:rsidRDefault="00E076BA">
            <w:pPr>
              <w:jc w:val="center"/>
            </w:pPr>
            <w:r>
              <w:rPr>
                <w:rFonts w:eastAsiaTheme="minorEastAsia"/>
                <w:color w:val="000000" w:themeColor="text1"/>
                <w:szCs w:val="21"/>
              </w:rPr>
              <w:t>210210</w:t>
            </w:r>
          </w:p>
        </w:tc>
        <w:tc>
          <w:tcPr>
            <w:tcW w:w="1504" w:type="dxa"/>
            <w:vAlign w:val="center"/>
          </w:tcPr>
          <w:p w:rsidR="00B22805" w:rsidRDefault="00E076BA">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B22805" w:rsidRDefault="00E076BA">
            <w:pPr>
              <w:jc w:val="right"/>
            </w:pPr>
            <w:r>
              <w:rPr>
                <w:rFonts w:eastAsiaTheme="minorEastAsia"/>
                <w:color w:val="000000" w:themeColor="text1"/>
                <w:szCs w:val="21"/>
              </w:rPr>
              <w:t>50,000</w:t>
            </w:r>
          </w:p>
        </w:tc>
        <w:tc>
          <w:tcPr>
            <w:tcW w:w="1503" w:type="dxa"/>
            <w:vAlign w:val="center"/>
          </w:tcPr>
          <w:p w:rsidR="00B22805" w:rsidRDefault="00E076BA">
            <w:pPr>
              <w:jc w:val="right"/>
            </w:pPr>
            <w:r>
              <w:rPr>
                <w:rFonts w:eastAsiaTheme="minorEastAsia"/>
                <w:color w:val="000000" w:themeColor="text1"/>
                <w:szCs w:val="21"/>
              </w:rPr>
              <w:t>5,442,186.30</w:t>
            </w:r>
          </w:p>
        </w:tc>
        <w:tc>
          <w:tcPr>
            <w:tcW w:w="1503" w:type="dxa"/>
            <w:vAlign w:val="center"/>
          </w:tcPr>
          <w:p w:rsidR="00B22805" w:rsidRDefault="00E076BA">
            <w:pPr>
              <w:jc w:val="right"/>
            </w:pPr>
            <w:r>
              <w:rPr>
                <w:rFonts w:eastAsiaTheme="minorEastAsia"/>
                <w:color w:val="000000" w:themeColor="text1"/>
                <w:szCs w:val="21"/>
              </w:rPr>
              <w:t>4.66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2,001,139.73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2,001,289.73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74,553,721.27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36,692,043.79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24,173,197.32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32,041,076.03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19,267,244.85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37,172,600.24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79,459,673.74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31,560,519.58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lastRenderedPageBreak/>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B22805">
        <w:tc>
          <w:tcPr>
            <w:tcW w:w="993" w:type="dxa"/>
            <w:vMerge w:val="restart"/>
            <w:vAlign w:val="center"/>
          </w:tcPr>
          <w:p w:rsidR="00B22805" w:rsidRDefault="00E076BA">
            <w:r>
              <w:rPr>
                <w:bCs/>
                <w:color w:val="000000"/>
                <w:kern w:val="0"/>
                <w:szCs w:val="21"/>
              </w:rPr>
              <w:t>机构</w:t>
            </w:r>
          </w:p>
        </w:tc>
        <w:tc>
          <w:tcPr>
            <w:tcW w:w="992" w:type="dxa"/>
            <w:vAlign w:val="center"/>
          </w:tcPr>
          <w:p w:rsidR="00B22805" w:rsidRDefault="00E076BA">
            <w:pPr>
              <w:jc w:val="center"/>
            </w:pPr>
            <w:r>
              <w:rPr>
                <w:color w:val="000000"/>
                <w:kern w:val="0"/>
                <w:szCs w:val="21"/>
              </w:rPr>
              <w:t>1</w:t>
            </w:r>
          </w:p>
        </w:tc>
        <w:tc>
          <w:tcPr>
            <w:tcW w:w="1843" w:type="dxa"/>
            <w:vAlign w:val="center"/>
          </w:tcPr>
          <w:p w:rsidR="00B22805" w:rsidRDefault="00E076BA">
            <w:pPr>
              <w:jc w:val="center"/>
            </w:pPr>
            <w:r>
              <w:rPr>
                <w:color w:val="000000"/>
                <w:kern w:val="0"/>
                <w:szCs w:val="21"/>
              </w:rPr>
              <w:t>20240701-20240930</w:t>
            </w:r>
          </w:p>
        </w:tc>
        <w:tc>
          <w:tcPr>
            <w:tcW w:w="851" w:type="dxa"/>
            <w:vAlign w:val="center"/>
          </w:tcPr>
          <w:p w:rsidR="00B22805" w:rsidRDefault="00E076BA">
            <w:pPr>
              <w:jc w:val="center"/>
            </w:pPr>
            <w:r>
              <w:rPr>
                <w:color w:val="000000"/>
                <w:kern w:val="0"/>
                <w:szCs w:val="21"/>
              </w:rPr>
              <w:t>55,390,901.93</w:t>
            </w:r>
          </w:p>
        </w:tc>
        <w:tc>
          <w:tcPr>
            <w:tcW w:w="850" w:type="dxa"/>
            <w:vAlign w:val="center"/>
          </w:tcPr>
          <w:p w:rsidR="00B22805" w:rsidRDefault="00E076BA">
            <w:pPr>
              <w:jc w:val="center"/>
            </w:pPr>
            <w:r>
              <w:rPr>
                <w:color w:val="000000"/>
                <w:kern w:val="0"/>
                <w:szCs w:val="21"/>
              </w:rPr>
              <w:t>0.00</w:t>
            </w:r>
          </w:p>
        </w:tc>
        <w:tc>
          <w:tcPr>
            <w:tcW w:w="1134" w:type="dxa"/>
            <w:vAlign w:val="center"/>
          </w:tcPr>
          <w:p w:rsidR="00B22805" w:rsidRDefault="00E076BA">
            <w:pPr>
              <w:jc w:val="center"/>
            </w:pPr>
            <w:r>
              <w:rPr>
                <w:color w:val="000000"/>
                <w:kern w:val="0"/>
                <w:szCs w:val="21"/>
              </w:rPr>
              <w:t>0.00</w:t>
            </w:r>
          </w:p>
        </w:tc>
        <w:tc>
          <w:tcPr>
            <w:tcW w:w="1419" w:type="dxa"/>
            <w:vAlign w:val="center"/>
          </w:tcPr>
          <w:p w:rsidR="00B22805" w:rsidRDefault="00E076BA">
            <w:pPr>
              <w:jc w:val="center"/>
            </w:pPr>
            <w:r>
              <w:rPr>
                <w:color w:val="000000"/>
                <w:kern w:val="0"/>
                <w:szCs w:val="21"/>
              </w:rPr>
              <w:t>55,390,901.93</w:t>
            </w:r>
          </w:p>
        </w:tc>
        <w:tc>
          <w:tcPr>
            <w:tcW w:w="1130" w:type="dxa"/>
            <w:vAlign w:val="center"/>
          </w:tcPr>
          <w:p w:rsidR="00B22805" w:rsidRDefault="00E076BA">
            <w:pPr>
              <w:jc w:val="center"/>
            </w:pPr>
            <w:r>
              <w:rPr>
                <w:color w:val="000000"/>
                <w:kern w:val="0"/>
                <w:szCs w:val="21"/>
              </w:rPr>
              <w:t>49.89%</w:t>
            </w:r>
          </w:p>
        </w:tc>
      </w:tr>
      <w:tr w:rsidR="00B22805">
        <w:tc>
          <w:tcPr>
            <w:tcW w:w="993" w:type="dxa"/>
            <w:vMerge/>
          </w:tcPr>
          <w:p w:rsidR="00B22805" w:rsidRDefault="00B22805"/>
        </w:tc>
        <w:tc>
          <w:tcPr>
            <w:tcW w:w="992" w:type="dxa"/>
            <w:vAlign w:val="center"/>
          </w:tcPr>
          <w:p w:rsidR="00B22805" w:rsidRDefault="00E076BA">
            <w:pPr>
              <w:jc w:val="center"/>
            </w:pPr>
            <w:r>
              <w:rPr>
                <w:color w:val="000000"/>
                <w:kern w:val="0"/>
                <w:szCs w:val="21"/>
              </w:rPr>
              <w:t>2</w:t>
            </w:r>
          </w:p>
        </w:tc>
        <w:tc>
          <w:tcPr>
            <w:tcW w:w="1843" w:type="dxa"/>
            <w:vAlign w:val="center"/>
          </w:tcPr>
          <w:p w:rsidR="00B22805" w:rsidRDefault="00E076BA">
            <w:pPr>
              <w:jc w:val="center"/>
            </w:pPr>
            <w:r>
              <w:rPr>
                <w:color w:val="000000"/>
                <w:kern w:val="0"/>
                <w:szCs w:val="21"/>
              </w:rPr>
              <w:t>20240924-20240930</w:t>
            </w:r>
          </w:p>
        </w:tc>
        <w:tc>
          <w:tcPr>
            <w:tcW w:w="851" w:type="dxa"/>
            <w:vAlign w:val="center"/>
          </w:tcPr>
          <w:p w:rsidR="00B22805" w:rsidRDefault="00E076BA">
            <w:pPr>
              <w:jc w:val="center"/>
            </w:pPr>
            <w:r>
              <w:rPr>
                <w:color w:val="000000"/>
                <w:kern w:val="0"/>
                <w:szCs w:val="21"/>
              </w:rPr>
              <w:t>0.00</w:t>
            </w:r>
          </w:p>
        </w:tc>
        <w:tc>
          <w:tcPr>
            <w:tcW w:w="850" w:type="dxa"/>
            <w:vAlign w:val="center"/>
          </w:tcPr>
          <w:p w:rsidR="00B22805" w:rsidRDefault="00E076BA">
            <w:pPr>
              <w:jc w:val="center"/>
            </w:pPr>
            <w:r>
              <w:rPr>
                <w:color w:val="000000"/>
                <w:kern w:val="0"/>
                <w:szCs w:val="21"/>
              </w:rPr>
              <w:t>23,686,753.84</w:t>
            </w:r>
          </w:p>
        </w:tc>
        <w:tc>
          <w:tcPr>
            <w:tcW w:w="1134" w:type="dxa"/>
            <w:vAlign w:val="center"/>
          </w:tcPr>
          <w:p w:rsidR="00B22805" w:rsidRDefault="00E076BA">
            <w:pPr>
              <w:jc w:val="center"/>
            </w:pPr>
            <w:r>
              <w:rPr>
                <w:color w:val="000000"/>
                <w:kern w:val="0"/>
                <w:szCs w:val="21"/>
              </w:rPr>
              <w:t>0.00</w:t>
            </w:r>
          </w:p>
        </w:tc>
        <w:tc>
          <w:tcPr>
            <w:tcW w:w="1419" w:type="dxa"/>
            <w:vAlign w:val="center"/>
          </w:tcPr>
          <w:p w:rsidR="00B22805" w:rsidRDefault="00E076BA">
            <w:pPr>
              <w:jc w:val="center"/>
            </w:pPr>
            <w:r>
              <w:rPr>
                <w:color w:val="000000"/>
                <w:kern w:val="0"/>
                <w:szCs w:val="21"/>
              </w:rPr>
              <w:t>23,686,753.84</w:t>
            </w:r>
          </w:p>
        </w:tc>
        <w:tc>
          <w:tcPr>
            <w:tcW w:w="1130" w:type="dxa"/>
            <w:vAlign w:val="center"/>
          </w:tcPr>
          <w:p w:rsidR="00B22805" w:rsidRDefault="00E076BA">
            <w:pPr>
              <w:jc w:val="center"/>
            </w:pPr>
            <w:r>
              <w:rPr>
                <w:color w:val="000000"/>
                <w:kern w:val="0"/>
                <w:szCs w:val="21"/>
              </w:rPr>
              <w:t>21.34%</w:t>
            </w:r>
          </w:p>
        </w:tc>
      </w:tr>
      <w:tr w:rsidR="00B22805">
        <w:tc>
          <w:tcPr>
            <w:tcW w:w="993" w:type="dxa"/>
            <w:vMerge/>
          </w:tcPr>
          <w:p w:rsidR="00B22805" w:rsidRDefault="00B22805"/>
        </w:tc>
        <w:tc>
          <w:tcPr>
            <w:tcW w:w="992" w:type="dxa"/>
            <w:vAlign w:val="center"/>
          </w:tcPr>
          <w:p w:rsidR="00B22805" w:rsidRDefault="00E076BA">
            <w:pPr>
              <w:jc w:val="center"/>
            </w:pPr>
            <w:r>
              <w:rPr>
                <w:color w:val="000000"/>
                <w:kern w:val="0"/>
                <w:szCs w:val="21"/>
              </w:rPr>
              <w:t>3</w:t>
            </w:r>
          </w:p>
        </w:tc>
        <w:tc>
          <w:tcPr>
            <w:tcW w:w="1843" w:type="dxa"/>
            <w:vAlign w:val="center"/>
          </w:tcPr>
          <w:p w:rsidR="00B22805" w:rsidRDefault="00E076BA">
            <w:pPr>
              <w:jc w:val="center"/>
            </w:pPr>
            <w:r>
              <w:rPr>
                <w:color w:val="000000"/>
                <w:kern w:val="0"/>
                <w:szCs w:val="21"/>
              </w:rPr>
              <w:t>20240926-20240929</w:t>
            </w:r>
          </w:p>
        </w:tc>
        <w:tc>
          <w:tcPr>
            <w:tcW w:w="851" w:type="dxa"/>
            <w:vAlign w:val="center"/>
          </w:tcPr>
          <w:p w:rsidR="00B22805" w:rsidRDefault="00E076BA">
            <w:pPr>
              <w:jc w:val="center"/>
            </w:pPr>
            <w:r>
              <w:rPr>
                <w:color w:val="000000"/>
                <w:kern w:val="0"/>
                <w:szCs w:val="21"/>
              </w:rPr>
              <w:t>0.00</w:t>
            </w:r>
          </w:p>
        </w:tc>
        <w:tc>
          <w:tcPr>
            <w:tcW w:w="850" w:type="dxa"/>
            <w:vAlign w:val="center"/>
          </w:tcPr>
          <w:p w:rsidR="00B22805" w:rsidRDefault="00E076BA">
            <w:pPr>
              <w:jc w:val="center"/>
            </w:pPr>
            <w:r>
              <w:rPr>
                <w:color w:val="000000"/>
                <w:kern w:val="0"/>
                <w:szCs w:val="21"/>
              </w:rPr>
              <w:t>21,827,844.74</w:t>
            </w:r>
          </w:p>
        </w:tc>
        <w:tc>
          <w:tcPr>
            <w:tcW w:w="1134" w:type="dxa"/>
            <w:vAlign w:val="center"/>
          </w:tcPr>
          <w:p w:rsidR="00B22805" w:rsidRDefault="00E076BA">
            <w:pPr>
              <w:jc w:val="center"/>
            </w:pPr>
            <w:r>
              <w:rPr>
                <w:color w:val="000000"/>
                <w:kern w:val="0"/>
                <w:szCs w:val="21"/>
              </w:rPr>
              <w:t>0.00</w:t>
            </w:r>
          </w:p>
        </w:tc>
        <w:tc>
          <w:tcPr>
            <w:tcW w:w="1419" w:type="dxa"/>
            <w:vAlign w:val="center"/>
          </w:tcPr>
          <w:p w:rsidR="00B22805" w:rsidRDefault="00E076BA">
            <w:pPr>
              <w:jc w:val="center"/>
            </w:pPr>
            <w:r>
              <w:rPr>
                <w:color w:val="000000"/>
                <w:kern w:val="0"/>
                <w:szCs w:val="21"/>
              </w:rPr>
              <w:t>21,827,844.74</w:t>
            </w:r>
          </w:p>
        </w:tc>
        <w:tc>
          <w:tcPr>
            <w:tcW w:w="1130" w:type="dxa"/>
            <w:vAlign w:val="center"/>
          </w:tcPr>
          <w:p w:rsidR="00B22805" w:rsidRDefault="00E076BA">
            <w:pPr>
              <w:jc w:val="center"/>
            </w:pPr>
            <w:r>
              <w:rPr>
                <w:color w:val="000000"/>
                <w:kern w:val="0"/>
                <w:szCs w:val="21"/>
              </w:rPr>
              <w:t>19.66%</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（二）摩根瑞享纯债债券型证券投资基金基金合同</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（三）摩根瑞享纯债债券型证券投资基金托管协议</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B22805" w:rsidRDefault="00E076BA">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3217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3217C">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3217C">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摩根瑞享纯债债券型证券投资基金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2805"/>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217C"/>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076BA"/>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5795C-A1F4-4747-9AE9-FD20AD2A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1110</Words>
  <Characters>6333</Characters>
  <Application>Microsoft Office Word</Application>
  <DocSecurity>0</DocSecurity>
  <Lines>52</Lines>
  <Paragraphs>14</Paragraphs>
  <ScaleCrop>false</ScaleCrop>
  <Company>TRT. Ltd. Co.</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221</cp:revision>
  <cp:lastPrinted>2007-07-19T00:46:00Z</cp:lastPrinted>
  <dcterms:created xsi:type="dcterms:W3CDTF">2013-06-21T06:56:00Z</dcterms:created>
  <dcterms:modified xsi:type="dcterms:W3CDTF">2024-10-24T07:17:00Z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