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A3" w:rsidRPr="00EE3DBC" w:rsidRDefault="00A960A3">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摩根沪深</w:t>
      </w:r>
      <w:r w:rsidRPr="00EE3DBC">
        <w:rPr>
          <w:rFonts w:eastAsiaTheme="minorEastAsia"/>
          <w:b/>
          <w:color w:val="000000" w:themeColor="text1"/>
          <w:sz w:val="36"/>
          <w:szCs w:val="36"/>
        </w:rPr>
        <w:t>300</w:t>
      </w:r>
      <w:r w:rsidRPr="00EE3DBC">
        <w:rPr>
          <w:rFonts w:eastAsiaTheme="minorEastAsia"/>
          <w:b/>
          <w:color w:val="000000" w:themeColor="text1"/>
          <w:sz w:val="36"/>
          <w:szCs w:val="36"/>
        </w:rPr>
        <w:t>指数增强型发起式证券投资基金</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2024</w:t>
      </w:r>
      <w:r w:rsidRPr="00EE3DBC">
        <w:rPr>
          <w:rFonts w:eastAsiaTheme="minorEastAsia"/>
          <w:b/>
          <w:color w:val="000000" w:themeColor="text1"/>
          <w:sz w:val="36"/>
          <w:szCs w:val="36"/>
        </w:rPr>
        <w:t>年第</w:t>
      </w:r>
      <w:r w:rsidRPr="00EE3DBC">
        <w:rPr>
          <w:rFonts w:eastAsiaTheme="minorEastAsia"/>
          <w:b/>
          <w:color w:val="000000" w:themeColor="text1"/>
          <w:sz w:val="36"/>
          <w:szCs w:val="36"/>
        </w:rPr>
        <w:t>1</w:t>
      </w:r>
      <w:r w:rsidRPr="00EE3DBC">
        <w:rPr>
          <w:rFonts w:eastAsiaTheme="minorEastAsia"/>
          <w:b/>
          <w:color w:val="000000" w:themeColor="text1"/>
          <w:sz w:val="36"/>
          <w:szCs w:val="36"/>
        </w:rPr>
        <w:t>季度报告</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2024</w:t>
      </w:r>
      <w:r w:rsidRPr="00EE3DBC">
        <w:rPr>
          <w:rFonts w:eastAsiaTheme="minorEastAsia"/>
          <w:b/>
          <w:color w:val="000000" w:themeColor="text1"/>
          <w:sz w:val="36"/>
          <w:szCs w:val="36"/>
        </w:rPr>
        <w:t>年</w:t>
      </w:r>
      <w:r w:rsidRPr="00EE3DBC">
        <w:rPr>
          <w:rFonts w:eastAsiaTheme="minorEastAsia"/>
          <w:b/>
          <w:color w:val="000000" w:themeColor="text1"/>
          <w:sz w:val="36"/>
          <w:szCs w:val="36"/>
        </w:rPr>
        <w:t>3</w:t>
      </w:r>
      <w:r w:rsidRPr="00EE3DBC">
        <w:rPr>
          <w:rFonts w:eastAsiaTheme="minorEastAsia"/>
          <w:b/>
          <w:color w:val="000000" w:themeColor="text1"/>
          <w:sz w:val="36"/>
          <w:szCs w:val="36"/>
        </w:rPr>
        <w:t>月</w:t>
      </w:r>
      <w:r w:rsidRPr="00EE3DBC">
        <w:rPr>
          <w:rFonts w:eastAsiaTheme="minorEastAsia"/>
          <w:b/>
          <w:color w:val="000000" w:themeColor="text1"/>
          <w:sz w:val="36"/>
          <w:szCs w:val="36"/>
        </w:rPr>
        <w:t>31</w:t>
      </w:r>
      <w:r w:rsidRPr="00EE3DBC">
        <w:rPr>
          <w:rFonts w:eastAsiaTheme="minorEastAsia"/>
          <w:b/>
          <w:color w:val="000000" w:themeColor="text1"/>
          <w:sz w:val="36"/>
          <w:szCs w:val="36"/>
        </w:rPr>
        <w:t>日</w:t>
      </w: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rPr>
          <w:rFonts w:eastAsiaTheme="minorEastAsia"/>
          <w:b/>
          <w:color w:val="000000" w:themeColor="text1"/>
          <w:sz w:val="24"/>
        </w:rPr>
      </w:pP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基金管理人：摩根基金管理（中国）有限公司</w:t>
      </w: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基金托管人：江苏银行股份有限公司</w:t>
      </w:r>
    </w:p>
    <w:p w:rsidR="00A960A3" w:rsidRPr="00EE3DBC" w:rsidRDefault="005B4E34">
      <w:pPr>
        <w:spacing w:line="360" w:lineRule="auto"/>
        <w:ind w:firstLineChars="900" w:firstLine="2168"/>
        <w:rPr>
          <w:rFonts w:eastAsiaTheme="minorEastAsia"/>
          <w:b/>
          <w:color w:val="000000" w:themeColor="text1"/>
          <w:sz w:val="24"/>
        </w:rPr>
        <w:sectPr w:rsidR="00A960A3" w:rsidRPr="00EE3DBC">
          <w:headerReference w:type="default" r:id="rId7"/>
          <w:footerReference w:type="default" r:id="rId8"/>
          <w:pgSz w:w="11926" w:h="15840"/>
          <w:pgMar w:top="1418" w:right="1418" w:bottom="851" w:left="1418" w:header="851" w:footer="992" w:gutter="0"/>
          <w:cols w:space="720"/>
        </w:sectPr>
      </w:pPr>
      <w:r w:rsidRPr="00EE3DBC">
        <w:rPr>
          <w:rFonts w:eastAsiaTheme="minorEastAsia"/>
          <w:b/>
          <w:color w:val="000000" w:themeColor="text1"/>
          <w:sz w:val="24"/>
        </w:rPr>
        <w:t>报告送出日期：二〇二四年四月二十二日</w:t>
      </w:r>
    </w:p>
    <w:p w:rsidR="00A960A3" w:rsidRPr="00EE3DBC" w:rsidRDefault="005B4E34" w:rsidP="009A3BD8">
      <w:pPr>
        <w:pStyle w:val="1"/>
        <w:spacing w:beforeLines="100" w:before="312" w:afterLines="100" w:after="312" w:line="360" w:lineRule="auto"/>
        <w:jc w:val="center"/>
        <w:rPr>
          <w:rFonts w:eastAsiaTheme="minorEastAsia"/>
          <w:b w:val="0"/>
          <w:color w:val="000000" w:themeColor="text1"/>
          <w:kern w:val="0"/>
          <w:sz w:val="24"/>
          <w:szCs w:val="24"/>
        </w:rPr>
      </w:pPr>
      <w:r w:rsidRPr="00EE3DBC">
        <w:rPr>
          <w:rFonts w:eastAsiaTheme="minorEastAsia"/>
          <w:color w:val="000000" w:themeColor="text1"/>
          <w:kern w:val="0"/>
          <w:sz w:val="24"/>
          <w:szCs w:val="24"/>
        </w:rPr>
        <w:lastRenderedPageBreak/>
        <w:t xml:space="preserve">§1  </w:t>
      </w:r>
      <w:r w:rsidRPr="00EE3DBC">
        <w:rPr>
          <w:rFonts w:eastAsiaTheme="minorEastAsia"/>
          <w:color w:val="000000" w:themeColor="text1"/>
          <w:kern w:val="0"/>
          <w:sz w:val="24"/>
          <w:szCs w:val="24"/>
        </w:rPr>
        <w:t>重要提示</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基金托管人江苏银行股份有限公司根据本基金合同规定，于</w:t>
      </w:r>
      <w:r>
        <w:rPr>
          <w:rFonts w:eastAsiaTheme="minorEastAsia"/>
          <w:color w:val="000000" w:themeColor="text1"/>
          <w:sz w:val="24"/>
        </w:rPr>
        <w:t>2024</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w:t>
      </w:r>
      <w:r>
        <w:rPr>
          <w:rFonts w:eastAsiaTheme="minorEastAsia"/>
          <w:color w:val="000000" w:themeColor="text1"/>
          <w:sz w:val="24"/>
        </w:rPr>
        <w:t>19</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r>
        <w:rPr>
          <w:rFonts w:eastAsiaTheme="minorEastAsia"/>
          <w:color w:val="000000" w:themeColor="text1"/>
          <w:sz w:val="24"/>
        </w:rPr>
        <w:t xml:space="preserve"> </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本报告期自</w:t>
      </w:r>
      <w:r w:rsidRPr="00EE3DBC">
        <w:rPr>
          <w:rFonts w:eastAsiaTheme="minorEastAsia"/>
          <w:color w:val="000000" w:themeColor="text1"/>
          <w:sz w:val="24"/>
        </w:rPr>
        <w:t>2024</w:t>
      </w:r>
      <w:r w:rsidRPr="00EE3DBC">
        <w:rPr>
          <w:rFonts w:eastAsiaTheme="minorEastAsia"/>
          <w:color w:val="000000" w:themeColor="text1"/>
          <w:sz w:val="24"/>
        </w:rPr>
        <w:t>年</w:t>
      </w:r>
      <w:r w:rsidRPr="00EE3DBC">
        <w:rPr>
          <w:rFonts w:eastAsiaTheme="minorEastAsia"/>
          <w:color w:val="000000" w:themeColor="text1"/>
          <w:sz w:val="24"/>
        </w:rPr>
        <w:t>1</w:t>
      </w:r>
      <w:r w:rsidRPr="00EE3DBC">
        <w:rPr>
          <w:rFonts w:eastAsiaTheme="minorEastAsia"/>
          <w:color w:val="000000" w:themeColor="text1"/>
          <w:sz w:val="24"/>
        </w:rPr>
        <w:t>月</w:t>
      </w:r>
      <w:r w:rsidRPr="00EE3DBC">
        <w:rPr>
          <w:rFonts w:eastAsiaTheme="minorEastAsia"/>
          <w:color w:val="000000" w:themeColor="text1"/>
          <w:sz w:val="24"/>
        </w:rPr>
        <w:t>1</w:t>
      </w:r>
      <w:r w:rsidRPr="00EE3DBC">
        <w:rPr>
          <w:rFonts w:eastAsiaTheme="minorEastAsia"/>
          <w:color w:val="000000" w:themeColor="text1"/>
          <w:sz w:val="24"/>
        </w:rPr>
        <w:t>日起至</w:t>
      </w:r>
      <w:r w:rsidRPr="00EE3DBC">
        <w:rPr>
          <w:rFonts w:eastAsiaTheme="minorEastAsia"/>
          <w:color w:val="000000" w:themeColor="text1"/>
          <w:sz w:val="24"/>
        </w:rPr>
        <w:t>3</w:t>
      </w:r>
      <w:r w:rsidRPr="00EE3DBC">
        <w:rPr>
          <w:rFonts w:eastAsiaTheme="minorEastAsia"/>
          <w:color w:val="000000" w:themeColor="text1"/>
          <w:sz w:val="24"/>
        </w:rPr>
        <w:t>月</w:t>
      </w:r>
      <w:r w:rsidRPr="00EE3DBC">
        <w:rPr>
          <w:rFonts w:eastAsiaTheme="minorEastAsia"/>
          <w:color w:val="000000" w:themeColor="text1"/>
          <w:sz w:val="24"/>
        </w:rPr>
        <w:t>31</w:t>
      </w:r>
      <w:r w:rsidRPr="00EE3DBC">
        <w:rPr>
          <w:rFonts w:eastAsiaTheme="minorEastAsia"/>
          <w:color w:val="000000" w:themeColor="text1"/>
          <w:sz w:val="24"/>
        </w:rPr>
        <w:t>日止。</w:t>
      </w:r>
    </w:p>
    <w:p w:rsidR="00A30F47" w:rsidRPr="00EE3DBC" w:rsidRDefault="00A30F47" w:rsidP="00A30F47">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§2  </w:t>
      </w:r>
      <w:r w:rsidRPr="00EE3DBC">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2785"/>
      </w:tblGrid>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基金简称</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摩根沪深</w:t>
            </w:r>
            <w:r w:rsidRPr="00EE3DBC">
              <w:rPr>
                <w:rFonts w:eastAsiaTheme="minorEastAsia"/>
                <w:color w:val="000000" w:themeColor="text1"/>
                <w:kern w:val="0"/>
                <w:sz w:val="24"/>
              </w:rPr>
              <w:t>300</w:t>
            </w:r>
            <w:r w:rsidRPr="00EE3DBC">
              <w:rPr>
                <w:rFonts w:eastAsiaTheme="minorEastAsia"/>
                <w:color w:val="000000" w:themeColor="text1"/>
                <w:kern w:val="0"/>
                <w:sz w:val="24"/>
              </w:rPr>
              <w:t>指数增强发起式</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017445</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交易代码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017445</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基金运作方式</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契约型开放式</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基金合同生效日</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2022</w:t>
            </w:r>
            <w:r w:rsidRPr="00EE3DBC">
              <w:rPr>
                <w:rFonts w:eastAsiaTheme="minorEastAsia"/>
                <w:color w:val="000000" w:themeColor="text1"/>
                <w:kern w:val="0"/>
                <w:sz w:val="24"/>
              </w:rPr>
              <w:t>年</w:t>
            </w:r>
            <w:r w:rsidRPr="00EE3DBC">
              <w:rPr>
                <w:rFonts w:eastAsiaTheme="minorEastAsia"/>
                <w:color w:val="000000" w:themeColor="text1"/>
                <w:kern w:val="0"/>
                <w:sz w:val="24"/>
              </w:rPr>
              <w:t>12</w:t>
            </w:r>
            <w:r w:rsidRPr="00EE3DBC">
              <w:rPr>
                <w:rFonts w:eastAsiaTheme="minorEastAsia"/>
                <w:color w:val="000000" w:themeColor="text1"/>
                <w:kern w:val="0"/>
                <w:sz w:val="24"/>
              </w:rPr>
              <w:t>月</w:t>
            </w:r>
            <w:r w:rsidRPr="00EE3DBC">
              <w:rPr>
                <w:rFonts w:eastAsiaTheme="minorEastAsia"/>
                <w:color w:val="000000" w:themeColor="text1"/>
                <w:kern w:val="0"/>
                <w:sz w:val="24"/>
              </w:rPr>
              <w:t>28</w:t>
            </w:r>
            <w:r w:rsidRPr="00EE3DBC">
              <w:rPr>
                <w:rFonts w:eastAsiaTheme="minorEastAsia"/>
                <w:color w:val="000000" w:themeColor="text1"/>
                <w:kern w:val="0"/>
                <w:sz w:val="24"/>
              </w:rPr>
              <w:t>日</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报告期末基金份额总额</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18,166,744.21</w:t>
            </w:r>
            <w:r w:rsidRPr="00EE3DBC">
              <w:rPr>
                <w:rFonts w:eastAsiaTheme="minorEastAsia"/>
                <w:color w:val="000000" w:themeColor="text1"/>
                <w:kern w:val="0"/>
                <w:sz w:val="24"/>
              </w:rPr>
              <w:t>份</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投资目标</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在力求对标的指数进行有效跟踪的基础上，通过量化的方法进行积极的组合管理与严格的风险控制，力争实现超越目标指数的投资收益，谋求基金资产的长期增值。</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投资策略</w:t>
            </w:r>
          </w:p>
        </w:tc>
        <w:tc>
          <w:tcPr>
            <w:tcW w:w="5479" w:type="dxa"/>
            <w:gridSpan w:val="2"/>
          </w:tcPr>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、资产配置策略</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本基金为指数增强型基金，股票资产占基金资产的比例不低于</w:t>
            </w:r>
            <w:r>
              <w:rPr>
                <w:rFonts w:eastAsiaTheme="minorEastAsia"/>
                <w:color w:val="000000" w:themeColor="text1"/>
                <w:kern w:val="0"/>
                <w:sz w:val="24"/>
              </w:rPr>
              <w:t>80%</w:t>
            </w:r>
            <w:r>
              <w:rPr>
                <w:rFonts w:eastAsiaTheme="minorEastAsia"/>
                <w:color w:val="000000" w:themeColor="text1"/>
                <w:kern w:val="0"/>
                <w:sz w:val="24"/>
              </w:rPr>
              <w:t>，一般情况下将保持资产配置的基</w:t>
            </w:r>
            <w:r>
              <w:rPr>
                <w:rFonts w:eastAsiaTheme="minorEastAsia"/>
                <w:color w:val="000000" w:themeColor="text1"/>
                <w:kern w:val="0"/>
                <w:sz w:val="24"/>
              </w:rPr>
              <w:lastRenderedPageBreak/>
              <w:t>本稳定。基金运作过程中，将综合考量系统性风险、股票资产估值、流动性要求、申购赎回以及分红等因素，对基金资产配置做出合适调整。</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、股票投资策略</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属于指数增强型股票基金，一方面采用指数化被动投资以追求有效跟踪标的指数，另一方面采用量化模型调整投资组合力求超越标的指数表现。力争控制本基金净值增长率与业绩比较基准之间的日均跟踪偏离度的绝对值不超过</w:t>
            </w:r>
            <w:r>
              <w:rPr>
                <w:rFonts w:eastAsiaTheme="minorEastAsia"/>
                <w:color w:val="000000" w:themeColor="text1"/>
                <w:kern w:val="0"/>
                <w:sz w:val="24"/>
              </w:rPr>
              <w:t>0.5%</w:t>
            </w:r>
            <w:r>
              <w:rPr>
                <w:rFonts w:eastAsiaTheme="minorEastAsia"/>
                <w:color w:val="000000" w:themeColor="text1"/>
                <w:kern w:val="0"/>
                <w:sz w:val="24"/>
              </w:rPr>
              <w:t>，年跟踪误差不超过</w:t>
            </w:r>
            <w:r>
              <w:rPr>
                <w:rFonts w:eastAsiaTheme="minorEastAsia"/>
                <w:color w:val="000000" w:themeColor="text1"/>
                <w:kern w:val="0"/>
                <w:sz w:val="24"/>
              </w:rPr>
              <w:t>7.75%</w:t>
            </w:r>
            <w:r>
              <w:rPr>
                <w:rFonts w:eastAsiaTheme="minorEastAsia"/>
                <w:color w:val="000000" w:themeColor="text1"/>
                <w:kern w:val="0"/>
                <w:sz w:val="24"/>
              </w:rPr>
              <w:t>。</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本基金所采用的股票量化投资模型主要包含三个部分，以实现股票收益预测，风险控制和跟踪误差控制。这三个部分包括收益预测模型，风险模型和组合优化模型。</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收益预测模型以量化投资团队开发的多因子选股模型和事件驱动策略为基础，深入分析个股的估值水平、盈利指标、波动指标、运营指标、市场情绪面等指标，根据行情变化进行动态调整，争取做出全面优质的股票收益预测。</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风险模型控制投资组合对各类风险因子的敞口，包括资产波动率、行业集中度、风格暴露等，力求主动风险以及跟踪误差控制在目标范围内。</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组合优化模型结合收益预测模型和风险模型的产出，并综合考虑交易成本等因素，在风险约束条件下，将投研成果转化为实际的可投资组合。力争股票配置最优化，以期达到持续超越业绩比较基准收益率的投资目标。</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3</w:t>
            </w:r>
            <w:r>
              <w:rPr>
                <w:rFonts w:eastAsiaTheme="minorEastAsia"/>
                <w:color w:val="000000" w:themeColor="text1"/>
                <w:kern w:val="0"/>
                <w:sz w:val="24"/>
              </w:rPr>
              <w:t>、债券投资策略</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本基金将在控制市场风险与流动性风险的前提下，</w:t>
            </w:r>
            <w:r>
              <w:rPr>
                <w:rFonts w:eastAsiaTheme="minorEastAsia"/>
                <w:color w:val="000000" w:themeColor="text1"/>
                <w:kern w:val="0"/>
                <w:sz w:val="24"/>
              </w:rPr>
              <w:lastRenderedPageBreak/>
              <w:t>根据对财政政策、货币政策的深入分析以及对宏观经济的持续跟踪，结合不同债券品种的到期收益率、流动性、市场规模等情况，灵活运用久期管理策略、期限结构配置策略、信用债投资策略、可转换债券投资策略、证券公司短期公司债券投资策略等多种投资策略，实施积极主动的组合管理，并根据对债券收益率曲线形态、息差变化的预测，对债券组合进行动态调整。</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4</w:t>
            </w:r>
            <w:r>
              <w:rPr>
                <w:rFonts w:eastAsiaTheme="minorEastAsia"/>
                <w:color w:val="000000" w:themeColor="text1"/>
                <w:kern w:val="0"/>
                <w:sz w:val="24"/>
              </w:rPr>
              <w:t>、股指期货投资策略</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本基金在进行股指期货投资时，将根据风险管理的原则，以套期保值为主要目的，在风险可控的前提下，本着谨慎原则，参与股指期货的投资，以管理投资组合的系统性风险，改善组合的风险收益特性。</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5</w:t>
            </w:r>
            <w:r>
              <w:rPr>
                <w:rFonts w:eastAsiaTheme="minorEastAsia"/>
                <w:color w:val="000000" w:themeColor="text1"/>
                <w:kern w:val="0"/>
                <w:sz w:val="24"/>
              </w:rPr>
              <w:t>、股票期权投资策略</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按照风险管理的原则，以套期保值为主要目的，参与股票期权的投资。本基金将在有效控制风险的前提下，选择流动性好、交易活跃的期权合约进行投资。本基金将基于对证券市场的预判，并结合股票期权定价模型，选择估值合理的期权合约。</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6</w:t>
            </w:r>
            <w:r>
              <w:rPr>
                <w:rFonts w:eastAsiaTheme="minorEastAsia"/>
                <w:color w:val="000000" w:themeColor="text1"/>
                <w:kern w:val="0"/>
                <w:sz w:val="24"/>
              </w:rPr>
              <w:t>、国债期货投资策略</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基金管理人将按照相关法律法规的规定，根据风险管理原则，以套期保值为目的，结合对宏观经济形势和政策趋势的判断、对债券市场进行定性和定量分析，对国债期货和现货基差、国债期货的流动性、波动水平、套期保值的有效性等指标进行跟踪监控，主要选择流动性好、交易活跃的国债期货合约进行交易。</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lastRenderedPageBreak/>
              <w:t>7</w:t>
            </w:r>
            <w:r>
              <w:rPr>
                <w:rFonts w:eastAsiaTheme="minorEastAsia"/>
                <w:color w:val="000000" w:themeColor="text1"/>
                <w:kern w:val="0"/>
                <w:sz w:val="24"/>
              </w:rPr>
              <w:t>、资产支持证券投资策略</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8</w:t>
            </w:r>
            <w:r>
              <w:rPr>
                <w:rFonts w:eastAsiaTheme="minorEastAsia"/>
                <w:color w:val="000000" w:themeColor="text1"/>
                <w:kern w:val="0"/>
                <w:sz w:val="24"/>
              </w:rPr>
              <w:t>、存托凭证投资策略</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本基金将根据本基金的投资目标和股票投资策略，基于对基础证券投资价值的深入研究判断，进行存托凭证的投资。</w:t>
            </w:r>
          </w:p>
          <w:p w:rsidR="005B64D2" w:rsidRDefault="008C4F21">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9</w:t>
            </w:r>
            <w:r>
              <w:rPr>
                <w:rFonts w:eastAsiaTheme="minorEastAsia"/>
                <w:color w:val="000000" w:themeColor="text1"/>
                <w:kern w:val="0"/>
                <w:sz w:val="24"/>
              </w:rPr>
              <w:t>、融资及转融通证券出借策略</w:t>
            </w:r>
          </w:p>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参与融资业务，将综合考虑融资成本、保证金比例、冲抵保证金证券折算率、信用资质等条件，选择合适的交易对手方。同时，在保障基金投资组合充足流动性以及有效控制融资杠杆风险的前提下，确定融资比例。</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lastRenderedPageBreak/>
              <w:t>业绩比较基准</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沪深</w:t>
            </w:r>
            <w:r w:rsidRPr="00EE3DBC">
              <w:rPr>
                <w:rFonts w:eastAsiaTheme="minorEastAsia"/>
                <w:color w:val="000000" w:themeColor="text1"/>
                <w:kern w:val="0"/>
                <w:sz w:val="24"/>
              </w:rPr>
              <w:t>300</w:t>
            </w:r>
            <w:r w:rsidRPr="00EE3DBC">
              <w:rPr>
                <w:rFonts w:eastAsiaTheme="minorEastAsia"/>
                <w:color w:val="000000" w:themeColor="text1"/>
                <w:kern w:val="0"/>
                <w:sz w:val="24"/>
              </w:rPr>
              <w:t>指数收益率</w:t>
            </w:r>
            <w:r w:rsidRPr="00EE3DBC">
              <w:rPr>
                <w:rFonts w:eastAsiaTheme="minorEastAsia"/>
                <w:color w:val="000000" w:themeColor="text1"/>
                <w:kern w:val="0"/>
                <w:sz w:val="24"/>
              </w:rPr>
              <w:t>×95%+</w:t>
            </w:r>
            <w:r w:rsidRPr="00EE3DBC">
              <w:rPr>
                <w:rFonts w:eastAsiaTheme="minorEastAsia"/>
                <w:color w:val="000000" w:themeColor="text1"/>
                <w:kern w:val="0"/>
                <w:sz w:val="24"/>
              </w:rPr>
              <w:t>银行活期存款利率</w:t>
            </w:r>
            <w:r w:rsidRPr="00EE3DBC">
              <w:rPr>
                <w:rFonts w:eastAsiaTheme="minorEastAsia"/>
                <w:color w:val="000000" w:themeColor="text1"/>
                <w:kern w:val="0"/>
                <w:sz w:val="24"/>
              </w:rPr>
              <w:t>(</w:t>
            </w:r>
            <w:r w:rsidRPr="00EE3DBC">
              <w:rPr>
                <w:rFonts w:eastAsiaTheme="minorEastAsia"/>
                <w:color w:val="000000" w:themeColor="text1"/>
                <w:kern w:val="0"/>
                <w:sz w:val="24"/>
              </w:rPr>
              <w:t>税后</w:t>
            </w:r>
            <w:r w:rsidRPr="00EE3DBC">
              <w:rPr>
                <w:rFonts w:eastAsiaTheme="minorEastAsia"/>
                <w:color w:val="000000" w:themeColor="text1"/>
                <w:kern w:val="0"/>
                <w:sz w:val="24"/>
              </w:rPr>
              <w:t>)×5%</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风险收益特征</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本基金为指数增强型基金，其预期风险与预期收益高于混合型基金、债券型基金与货币市场基金。同时，本基金主要投资于标的指数成份股及其备选成份股，具有与标的指数相似的风险收益特征。</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基金管理人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摩根基金管理（中国）有限公司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基金托管人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江苏银行股份有限公司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sz w:val="24"/>
              </w:rPr>
              <w:t>下属</w:t>
            </w:r>
            <w:r w:rsidRPr="00EE3DBC">
              <w:rPr>
                <w:rFonts w:eastAsiaTheme="minorEastAsia"/>
                <w:color w:val="000000" w:themeColor="text1"/>
                <w:szCs w:val="21"/>
              </w:rPr>
              <w:t>分</w:t>
            </w:r>
            <w:r w:rsidRPr="00EE3DBC">
              <w:rPr>
                <w:rFonts w:eastAsiaTheme="minorEastAsia"/>
                <w:color w:val="000000" w:themeColor="text1"/>
                <w:sz w:val="24"/>
              </w:rPr>
              <w:t>级基金的基金简称</w:t>
            </w:r>
          </w:p>
        </w:tc>
        <w:tc>
          <w:tcPr>
            <w:tcW w:w="2694"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t>摩根沪深</w:t>
            </w:r>
            <w:r w:rsidRPr="00EE3DBC">
              <w:rPr>
                <w:rFonts w:eastAsiaTheme="minorEastAsia"/>
                <w:color w:val="000000" w:themeColor="text1"/>
                <w:sz w:val="24"/>
              </w:rPr>
              <w:t>300</w:t>
            </w:r>
            <w:r w:rsidRPr="00EE3DBC">
              <w:rPr>
                <w:rFonts w:eastAsiaTheme="minorEastAsia"/>
                <w:color w:val="000000" w:themeColor="text1"/>
                <w:sz w:val="24"/>
              </w:rPr>
              <w:t>指数增强发起式</w:t>
            </w:r>
            <w:r w:rsidRPr="00EE3DBC">
              <w:rPr>
                <w:rFonts w:eastAsiaTheme="minorEastAsia"/>
                <w:color w:val="000000" w:themeColor="text1"/>
                <w:sz w:val="24"/>
              </w:rPr>
              <w:t>A</w:t>
            </w:r>
          </w:p>
        </w:tc>
        <w:tc>
          <w:tcPr>
            <w:tcW w:w="2785"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t>摩根沪深</w:t>
            </w:r>
            <w:r w:rsidRPr="00EE3DBC">
              <w:rPr>
                <w:rFonts w:eastAsiaTheme="minorEastAsia"/>
                <w:color w:val="000000" w:themeColor="text1"/>
                <w:sz w:val="24"/>
              </w:rPr>
              <w:t>300</w:t>
            </w:r>
            <w:r w:rsidRPr="00EE3DBC">
              <w:rPr>
                <w:rFonts w:eastAsiaTheme="minorEastAsia"/>
                <w:color w:val="000000" w:themeColor="text1"/>
                <w:sz w:val="24"/>
              </w:rPr>
              <w:t>指数增强发起式</w:t>
            </w:r>
            <w:r w:rsidRPr="00EE3DBC">
              <w:rPr>
                <w:rFonts w:eastAsiaTheme="minorEastAsia"/>
                <w:color w:val="000000" w:themeColor="text1"/>
                <w:sz w:val="24"/>
              </w:rPr>
              <w:t>C</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lastRenderedPageBreak/>
              <w:t>下属</w:t>
            </w:r>
            <w:r w:rsidRPr="00EE3DBC">
              <w:rPr>
                <w:rFonts w:eastAsiaTheme="minorEastAsia"/>
                <w:color w:val="000000" w:themeColor="text1"/>
                <w:szCs w:val="21"/>
              </w:rPr>
              <w:t>分</w:t>
            </w:r>
            <w:r w:rsidRPr="00EE3DBC">
              <w:rPr>
                <w:rFonts w:eastAsiaTheme="minorEastAsia"/>
                <w:color w:val="000000" w:themeColor="text1"/>
                <w:sz w:val="24"/>
              </w:rPr>
              <w:t>级基金的交易代码</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017445</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017446</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报告期末下属</w:t>
            </w:r>
            <w:r w:rsidRPr="00EE3DBC">
              <w:rPr>
                <w:rFonts w:eastAsiaTheme="minorEastAsia"/>
                <w:color w:val="000000" w:themeColor="text1"/>
                <w:szCs w:val="21"/>
              </w:rPr>
              <w:t>分</w:t>
            </w:r>
            <w:r w:rsidRPr="00EE3DBC">
              <w:rPr>
                <w:rFonts w:eastAsiaTheme="minorEastAsia"/>
                <w:color w:val="000000" w:themeColor="text1"/>
                <w:sz w:val="24"/>
              </w:rPr>
              <w:t>级基金的份额总额</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16,671,471.27</w:t>
            </w:r>
            <w:r w:rsidRPr="00EE3DBC">
              <w:rPr>
                <w:rFonts w:eastAsiaTheme="minorEastAsia"/>
                <w:color w:val="000000" w:themeColor="text1"/>
                <w:kern w:val="0"/>
                <w:sz w:val="24"/>
              </w:rPr>
              <w:t>份</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1,495,272.94</w:t>
            </w:r>
            <w:r w:rsidRPr="00EE3DBC">
              <w:rPr>
                <w:rFonts w:eastAsiaTheme="minorEastAsia"/>
                <w:color w:val="000000" w:themeColor="text1"/>
                <w:kern w:val="0"/>
                <w:sz w:val="24"/>
              </w:rPr>
              <w:t>份</w:t>
            </w:r>
          </w:p>
        </w:tc>
      </w:tr>
    </w:tbl>
    <w:p w:rsidR="009A3BD8" w:rsidRPr="00EE3DBC" w:rsidRDefault="009A3BD8" w:rsidP="009A3BD8">
      <w:pPr>
        <w:pStyle w:val="1"/>
        <w:spacing w:beforeLines="100" w:before="312" w:afterLines="100" w:after="312" w:line="360" w:lineRule="auto"/>
        <w:jc w:val="center"/>
        <w:rPr>
          <w:rFonts w:eastAsiaTheme="minorEastAsia"/>
          <w:color w:val="000000" w:themeColor="text1"/>
          <w:kern w:val="0"/>
          <w:sz w:val="21"/>
          <w:szCs w:val="21"/>
        </w:rPr>
      </w:pPr>
      <w:r w:rsidRPr="00EE3DBC">
        <w:rPr>
          <w:rFonts w:eastAsiaTheme="minorEastAsia"/>
          <w:color w:val="000000" w:themeColor="text1"/>
          <w:kern w:val="0"/>
          <w:sz w:val="21"/>
          <w:szCs w:val="21"/>
        </w:rPr>
        <w:t xml:space="preserve">§3  </w:t>
      </w:r>
      <w:r w:rsidRPr="00EE3DBC">
        <w:rPr>
          <w:rFonts w:eastAsiaTheme="minorEastAsia"/>
          <w:color w:val="000000" w:themeColor="text1"/>
          <w:kern w:val="0"/>
          <w:sz w:val="21"/>
          <w:szCs w:val="21"/>
        </w:rPr>
        <w:t>主要财务指标和基金净值表现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3.1 </w:t>
      </w:r>
      <w:r w:rsidRPr="00EE3DBC">
        <w:rPr>
          <w:rFonts w:eastAsiaTheme="minorEastAsia"/>
          <w:b/>
          <w:color w:val="000000" w:themeColor="text1"/>
          <w:kern w:val="0"/>
          <w:szCs w:val="21"/>
        </w:rPr>
        <w:t>主要财务指标</w:t>
      </w:r>
    </w:p>
    <w:p w:rsidR="009A3BD8" w:rsidRPr="00EE3DBC" w:rsidRDefault="009A3BD8" w:rsidP="009A3BD8">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A3BD8" w:rsidRPr="00EE3DBC" w:rsidTr="00DA6FA7">
        <w:tc>
          <w:tcPr>
            <w:tcW w:w="3402" w:type="dxa"/>
            <w:vMerge w:val="restart"/>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主要财务指标</w:t>
            </w:r>
          </w:p>
        </w:tc>
        <w:tc>
          <w:tcPr>
            <w:tcW w:w="4962" w:type="dxa"/>
            <w:gridSpan w:val="2"/>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报告期</w:t>
            </w:r>
          </w:p>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(2024</w:t>
            </w:r>
            <w:r w:rsidRPr="00EE3DBC">
              <w:rPr>
                <w:rFonts w:eastAsiaTheme="minorEastAsia"/>
                <w:color w:val="000000" w:themeColor="text1"/>
                <w:szCs w:val="21"/>
              </w:rPr>
              <w:t>年</w:t>
            </w:r>
            <w:r w:rsidRPr="00EE3DBC">
              <w:rPr>
                <w:rFonts w:eastAsiaTheme="minorEastAsia"/>
                <w:color w:val="000000" w:themeColor="text1"/>
                <w:szCs w:val="21"/>
              </w:rPr>
              <w:t>1</w:t>
            </w:r>
            <w:r w:rsidRPr="00EE3DBC">
              <w:rPr>
                <w:rFonts w:eastAsiaTheme="minorEastAsia"/>
                <w:color w:val="000000" w:themeColor="text1"/>
                <w:szCs w:val="21"/>
              </w:rPr>
              <w:t>月</w:t>
            </w:r>
            <w:r w:rsidRPr="00EE3DBC">
              <w:rPr>
                <w:rFonts w:eastAsiaTheme="minorEastAsia"/>
                <w:color w:val="000000" w:themeColor="text1"/>
                <w:szCs w:val="21"/>
              </w:rPr>
              <w:t>1</w:t>
            </w:r>
            <w:r w:rsidRPr="00EE3DBC">
              <w:rPr>
                <w:rFonts w:eastAsiaTheme="minorEastAsia"/>
                <w:color w:val="000000" w:themeColor="text1"/>
                <w:szCs w:val="21"/>
              </w:rPr>
              <w:t>日</w:t>
            </w:r>
            <w:r w:rsidRPr="00EE3DBC">
              <w:rPr>
                <w:rFonts w:eastAsiaTheme="minorEastAsia"/>
                <w:color w:val="000000" w:themeColor="text1"/>
                <w:szCs w:val="21"/>
              </w:rPr>
              <w:t>-2024</w:t>
            </w:r>
            <w:r w:rsidRPr="00EE3DBC">
              <w:rPr>
                <w:rFonts w:eastAsiaTheme="minorEastAsia"/>
                <w:color w:val="000000" w:themeColor="text1"/>
                <w:szCs w:val="21"/>
              </w:rPr>
              <w:t>年</w:t>
            </w:r>
            <w:r w:rsidRPr="00EE3DBC">
              <w:rPr>
                <w:rFonts w:eastAsiaTheme="minorEastAsia"/>
                <w:color w:val="000000" w:themeColor="text1"/>
                <w:szCs w:val="21"/>
              </w:rPr>
              <w:t>3</w:t>
            </w:r>
            <w:r w:rsidRPr="00EE3DBC">
              <w:rPr>
                <w:rFonts w:eastAsiaTheme="minorEastAsia"/>
                <w:color w:val="000000" w:themeColor="text1"/>
                <w:szCs w:val="21"/>
              </w:rPr>
              <w:t>月</w:t>
            </w:r>
            <w:r w:rsidRPr="00EE3DBC">
              <w:rPr>
                <w:rFonts w:eastAsiaTheme="minorEastAsia"/>
                <w:color w:val="000000" w:themeColor="text1"/>
                <w:szCs w:val="21"/>
              </w:rPr>
              <w:t>31</w:t>
            </w:r>
            <w:r w:rsidRPr="00EE3DBC">
              <w:rPr>
                <w:rFonts w:eastAsiaTheme="minorEastAsia"/>
                <w:color w:val="000000" w:themeColor="text1"/>
                <w:szCs w:val="21"/>
              </w:rPr>
              <w:t>日</w:t>
            </w:r>
            <w:r w:rsidRPr="00EE3DBC">
              <w:rPr>
                <w:rFonts w:eastAsiaTheme="minorEastAsia"/>
                <w:color w:val="000000" w:themeColor="text1"/>
                <w:szCs w:val="21"/>
              </w:rPr>
              <w:t>)</w:t>
            </w:r>
          </w:p>
        </w:tc>
      </w:tr>
      <w:tr w:rsidR="009A3BD8" w:rsidRPr="00EE3DBC" w:rsidTr="00DA6FA7">
        <w:tc>
          <w:tcPr>
            <w:tcW w:w="3402" w:type="dxa"/>
            <w:vMerge/>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1.</w:t>
            </w:r>
            <w:r w:rsidRPr="00EE3DBC">
              <w:rPr>
                <w:rFonts w:eastAsiaTheme="minorEastAsia"/>
                <w:color w:val="000000" w:themeColor="text1"/>
                <w:kern w:val="0"/>
                <w:szCs w:val="21"/>
              </w:rPr>
              <w:t>本期已实现收益</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-101,052.89</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-11,852.45</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2.</w:t>
            </w:r>
            <w:r w:rsidRPr="00EE3DBC">
              <w:rPr>
                <w:rFonts w:eastAsiaTheme="minorEastAsia"/>
                <w:color w:val="000000" w:themeColor="text1"/>
                <w:kern w:val="0"/>
                <w:szCs w:val="21"/>
              </w:rPr>
              <w:t>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311,686.96</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36,480.25</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3.</w:t>
            </w:r>
            <w:r w:rsidRPr="00EE3DBC">
              <w:rPr>
                <w:rFonts w:eastAsiaTheme="minorEastAsia"/>
                <w:color w:val="000000" w:themeColor="text1"/>
                <w:kern w:val="0"/>
                <w:szCs w:val="21"/>
              </w:rPr>
              <w:t>加权平均基金份额本期利润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0.0187</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0.0197</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4.</w:t>
            </w:r>
            <w:r w:rsidRPr="00EE3DBC">
              <w:rPr>
                <w:rFonts w:eastAsiaTheme="minorEastAsia"/>
                <w:color w:val="000000" w:themeColor="text1"/>
                <w:kern w:val="0"/>
                <w:szCs w:val="21"/>
              </w:rPr>
              <w:t>期末基金资产净值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14,444,625.79</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1,290,817.87</w:t>
            </w:r>
          </w:p>
        </w:tc>
      </w:tr>
      <w:tr w:rsidR="009A3BD8" w:rsidRPr="00EE3DBC" w:rsidTr="00DA6FA7">
        <w:trPr>
          <w:trHeight w:val="158"/>
        </w:trPr>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5.</w:t>
            </w:r>
            <w:r w:rsidRPr="00EE3DBC">
              <w:rPr>
                <w:rFonts w:eastAsiaTheme="minorEastAsia"/>
                <w:color w:val="000000" w:themeColor="text1"/>
                <w:kern w:val="0"/>
                <w:szCs w:val="21"/>
              </w:rPr>
              <w:t>期末基金份额净值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0.8664</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0.8633</w:t>
            </w:r>
          </w:p>
        </w:tc>
      </w:tr>
    </w:tbl>
    <w:p w:rsidR="005B64D2" w:rsidRDefault="008C4F2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9A3BD8" w:rsidRPr="00EE3DBC" w:rsidRDefault="009A3BD8" w:rsidP="009A3BD8">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9A3BD8" w:rsidRPr="00EE3DBC" w:rsidRDefault="009A3BD8" w:rsidP="009A3BD8">
      <w:pPr>
        <w:autoSpaceDE w:val="0"/>
        <w:autoSpaceDN w:val="0"/>
        <w:adjustRightInd w:val="0"/>
        <w:spacing w:beforeLines="100" w:before="312"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3.2 </w:t>
      </w:r>
      <w:r w:rsidRPr="00EE3DBC">
        <w:rPr>
          <w:rFonts w:eastAsiaTheme="minorEastAsia"/>
          <w:b/>
          <w:color w:val="000000" w:themeColor="text1"/>
          <w:kern w:val="0"/>
          <w:szCs w:val="21"/>
        </w:rPr>
        <w:t>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3.2.1</w:t>
      </w:r>
      <w:r w:rsidRPr="00EE3DBC">
        <w:rPr>
          <w:rFonts w:eastAsiaTheme="minorEastAsia"/>
          <w:b/>
          <w:color w:val="000000" w:themeColor="text1"/>
          <w:kern w:val="0"/>
          <w:szCs w:val="21"/>
        </w:rPr>
        <w:t>本报告期基金份额净值增长率及其与同期业绩比较基准收益率的比较</w:t>
      </w:r>
    </w:p>
    <w:p w:rsidR="009A3BD8" w:rsidRPr="00EE3DBC" w:rsidRDefault="009A3BD8" w:rsidP="009A3BD8">
      <w:pPr>
        <w:spacing w:line="360" w:lineRule="auto"/>
        <w:rPr>
          <w:rFonts w:eastAsiaTheme="minorEastAsia"/>
          <w:b/>
          <w:color w:val="000000" w:themeColor="text1"/>
          <w:szCs w:val="21"/>
        </w:rPr>
      </w:pPr>
      <w:r w:rsidRPr="00EE3DBC">
        <w:rPr>
          <w:rFonts w:eastAsiaTheme="minorEastAsia"/>
          <w:b/>
          <w:color w:val="000000" w:themeColor="text1"/>
          <w:szCs w:val="21"/>
        </w:rPr>
        <w:t>1</w:t>
      </w:r>
      <w:r w:rsidRPr="00EE3DBC">
        <w:rPr>
          <w:rFonts w:eastAsiaTheme="minorEastAsia"/>
          <w:b/>
          <w:color w:val="000000" w:themeColor="text1"/>
          <w:szCs w:val="21"/>
        </w:rPr>
        <w:t>、</w:t>
      </w:r>
      <w:r w:rsidRPr="00EE3DBC">
        <w:rPr>
          <w:rFonts w:eastAsiaTheme="minorEastAsia"/>
          <w:b/>
          <w:color w:val="000000" w:themeColor="text1"/>
          <w:kern w:val="0"/>
          <w:szCs w:val="21"/>
        </w:rPr>
        <w:t>摩根沪深</w:t>
      </w:r>
      <w:r w:rsidRPr="00EE3DBC">
        <w:rPr>
          <w:rFonts w:eastAsiaTheme="minorEastAsia"/>
          <w:b/>
          <w:color w:val="000000" w:themeColor="text1"/>
          <w:kern w:val="0"/>
          <w:szCs w:val="21"/>
        </w:rPr>
        <w:t>300</w:t>
      </w:r>
      <w:r w:rsidRPr="00EE3DBC">
        <w:rPr>
          <w:rFonts w:eastAsiaTheme="minorEastAsia"/>
          <w:b/>
          <w:color w:val="000000" w:themeColor="text1"/>
          <w:kern w:val="0"/>
          <w:szCs w:val="21"/>
        </w:rPr>
        <w:t>指数增强发起式</w:t>
      </w:r>
      <w:r w:rsidRPr="00EE3DBC">
        <w:rPr>
          <w:rFonts w:eastAsiaTheme="minorEastAsia"/>
          <w:b/>
          <w:color w:val="000000" w:themeColor="text1"/>
          <w:kern w:val="0"/>
          <w:szCs w:val="21"/>
        </w:rPr>
        <w:t>A</w:t>
      </w:r>
      <w:r w:rsidRPr="00EE3DBC">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5B64D2">
        <w:tc>
          <w:tcPr>
            <w:tcW w:w="1290" w:type="dxa"/>
            <w:vAlign w:val="center"/>
          </w:tcPr>
          <w:p w:rsidR="005B64D2" w:rsidRDefault="008C4F21">
            <w:pPr>
              <w:jc w:val="left"/>
            </w:pPr>
            <w:r>
              <w:rPr>
                <w:rFonts w:eastAsiaTheme="minorEastAsia"/>
                <w:color w:val="000000" w:themeColor="text1"/>
                <w:szCs w:val="21"/>
              </w:rPr>
              <w:t>过去三个月</w:t>
            </w:r>
          </w:p>
        </w:tc>
        <w:tc>
          <w:tcPr>
            <w:tcW w:w="1291" w:type="dxa"/>
            <w:vAlign w:val="center"/>
          </w:tcPr>
          <w:p w:rsidR="005B64D2" w:rsidRDefault="008C4F21">
            <w:pPr>
              <w:jc w:val="right"/>
            </w:pPr>
            <w:r>
              <w:rPr>
                <w:rFonts w:eastAsiaTheme="minorEastAsia"/>
                <w:color w:val="000000" w:themeColor="text1"/>
                <w:szCs w:val="21"/>
              </w:rPr>
              <w:t>2.00%</w:t>
            </w:r>
          </w:p>
        </w:tc>
        <w:tc>
          <w:tcPr>
            <w:tcW w:w="1291" w:type="dxa"/>
            <w:vAlign w:val="center"/>
          </w:tcPr>
          <w:p w:rsidR="005B64D2" w:rsidRDefault="008C4F21">
            <w:pPr>
              <w:jc w:val="right"/>
            </w:pPr>
            <w:r>
              <w:rPr>
                <w:rFonts w:eastAsiaTheme="minorEastAsia"/>
                <w:color w:val="000000" w:themeColor="text1"/>
                <w:szCs w:val="21"/>
              </w:rPr>
              <w:t>1.01%</w:t>
            </w:r>
          </w:p>
        </w:tc>
        <w:tc>
          <w:tcPr>
            <w:tcW w:w="1291" w:type="dxa"/>
            <w:vAlign w:val="center"/>
          </w:tcPr>
          <w:p w:rsidR="005B64D2" w:rsidRDefault="008C4F21">
            <w:pPr>
              <w:jc w:val="right"/>
            </w:pPr>
            <w:r>
              <w:rPr>
                <w:rFonts w:eastAsiaTheme="minorEastAsia"/>
                <w:color w:val="000000" w:themeColor="text1"/>
                <w:szCs w:val="21"/>
              </w:rPr>
              <w:t>2.95%</w:t>
            </w:r>
          </w:p>
        </w:tc>
        <w:tc>
          <w:tcPr>
            <w:tcW w:w="1291" w:type="dxa"/>
            <w:vAlign w:val="center"/>
          </w:tcPr>
          <w:p w:rsidR="005B64D2" w:rsidRDefault="008C4F21">
            <w:pPr>
              <w:jc w:val="right"/>
            </w:pPr>
            <w:r>
              <w:rPr>
                <w:rFonts w:eastAsiaTheme="minorEastAsia"/>
                <w:color w:val="000000" w:themeColor="text1"/>
                <w:szCs w:val="21"/>
              </w:rPr>
              <w:t>0.98%</w:t>
            </w:r>
          </w:p>
        </w:tc>
        <w:tc>
          <w:tcPr>
            <w:tcW w:w="1291" w:type="dxa"/>
            <w:vAlign w:val="center"/>
          </w:tcPr>
          <w:p w:rsidR="005B64D2" w:rsidRDefault="008C4F21">
            <w:pPr>
              <w:jc w:val="right"/>
            </w:pPr>
            <w:r>
              <w:rPr>
                <w:rFonts w:eastAsiaTheme="minorEastAsia"/>
                <w:color w:val="000000" w:themeColor="text1"/>
                <w:szCs w:val="21"/>
              </w:rPr>
              <w:t>-0.95%</w:t>
            </w:r>
          </w:p>
        </w:tc>
        <w:tc>
          <w:tcPr>
            <w:tcW w:w="1291" w:type="dxa"/>
            <w:vAlign w:val="center"/>
          </w:tcPr>
          <w:p w:rsidR="005B64D2" w:rsidRDefault="008C4F21">
            <w:pPr>
              <w:jc w:val="right"/>
            </w:pPr>
            <w:r>
              <w:rPr>
                <w:rFonts w:eastAsiaTheme="minorEastAsia"/>
                <w:color w:val="000000" w:themeColor="text1"/>
                <w:szCs w:val="21"/>
              </w:rPr>
              <w:t>0.03%</w:t>
            </w:r>
          </w:p>
        </w:tc>
      </w:tr>
      <w:tr w:rsidR="005B64D2">
        <w:tc>
          <w:tcPr>
            <w:tcW w:w="1290" w:type="dxa"/>
            <w:vAlign w:val="center"/>
          </w:tcPr>
          <w:p w:rsidR="005B64D2" w:rsidRDefault="008C4F21">
            <w:pPr>
              <w:jc w:val="left"/>
            </w:pPr>
            <w:r>
              <w:rPr>
                <w:rFonts w:eastAsiaTheme="minorEastAsia"/>
                <w:color w:val="000000" w:themeColor="text1"/>
                <w:szCs w:val="21"/>
              </w:rPr>
              <w:t>过去六个月</w:t>
            </w:r>
          </w:p>
        </w:tc>
        <w:tc>
          <w:tcPr>
            <w:tcW w:w="1291" w:type="dxa"/>
            <w:vAlign w:val="center"/>
          </w:tcPr>
          <w:p w:rsidR="005B64D2" w:rsidRDefault="008C4F21">
            <w:pPr>
              <w:jc w:val="right"/>
            </w:pPr>
            <w:r>
              <w:rPr>
                <w:rFonts w:eastAsiaTheme="minorEastAsia"/>
                <w:color w:val="000000" w:themeColor="text1"/>
                <w:szCs w:val="21"/>
              </w:rPr>
              <w:t>-5.30%</w:t>
            </w:r>
          </w:p>
        </w:tc>
        <w:tc>
          <w:tcPr>
            <w:tcW w:w="1291" w:type="dxa"/>
            <w:vAlign w:val="center"/>
          </w:tcPr>
          <w:p w:rsidR="005B64D2" w:rsidRDefault="008C4F21">
            <w:pPr>
              <w:jc w:val="right"/>
            </w:pPr>
            <w:r>
              <w:rPr>
                <w:rFonts w:eastAsiaTheme="minorEastAsia"/>
                <w:color w:val="000000" w:themeColor="text1"/>
                <w:szCs w:val="21"/>
              </w:rPr>
              <w:t>0.90%</w:t>
            </w:r>
          </w:p>
        </w:tc>
        <w:tc>
          <w:tcPr>
            <w:tcW w:w="1291" w:type="dxa"/>
            <w:vAlign w:val="center"/>
          </w:tcPr>
          <w:p w:rsidR="005B64D2" w:rsidRDefault="008C4F21">
            <w:pPr>
              <w:jc w:val="right"/>
            </w:pPr>
            <w:r>
              <w:rPr>
                <w:rFonts w:eastAsiaTheme="minorEastAsia"/>
                <w:color w:val="000000" w:themeColor="text1"/>
                <w:szCs w:val="21"/>
              </w:rPr>
              <w:t>-3.91%</w:t>
            </w:r>
          </w:p>
        </w:tc>
        <w:tc>
          <w:tcPr>
            <w:tcW w:w="1291" w:type="dxa"/>
            <w:vAlign w:val="center"/>
          </w:tcPr>
          <w:p w:rsidR="005B64D2" w:rsidRDefault="008C4F21">
            <w:pPr>
              <w:jc w:val="right"/>
            </w:pPr>
            <w:r>
              <w:rPr>
                <w:rFonts w:eastAsiaTheme="minorEastAsia"/>
                <w:color w:val="000000" w:themeColor="text1"/>
                <w:szCs w:val="21"/>
              </w:rPr>
              <w:t>0.87%</w:t>
            </w:r>
          </w:p>
        </w:tc>
        <w:tc>
          <w:tcPr>
            <w:tcW w:w="1291" w:type="dxa"/>
            <w:vAlign w:val="center"/>
          </w:tcPr>
          <w:p w:rsidR="005B64D2" w:rsidRDefault="008C4F21">
            <w:pPr>
              <w:jc w:val="right"/>
            </w:pPr>
            <w:r>
              <w:rPr>
                <w:rFonts w:eastAsiaTheme="minorEastAsia"/>
                <w:color w:val="000000" w:themeColor="text1"/>
                <w:szCs w:val="21"/>
              </w:rPr>
              <w:t>-1.39%</w:t>
            </w:r>
          </w:p>
        </w:tc>
        <w:tc>
          <w:tcPr>
            <w:tcW w:w="1291" w:type="dxa"/>
            <w:vAlign w:val="center"/>
          </w:tcPr>
          <w:p w:rsidR="005B64D2" w:rsidRDefault="008C4F21">
            <w:pPr>
              <w:jc w:val="right"/>
            </w:pPr>
            <w:r>
              <w:rPr>
                <w:rFonts w:eastAsiaTheme="minorEastAsia"/>
                <w:color w:val="000000" w:themeColor="text1"/>
                <w:szCs w:val="21"/>
              </w:rPr>
              <w:t>0.03%</w:t>
            </w:r>
          </w:p>
        </w:tc>
      </w:tr>
      <w:tr w:rsidR="005B64D2">
        <w:tc>
          <w:tcPr>
            <w:tcW w:w="1290" w:type="dxa"/>
            <w:vAlign w:val="center"/>
          </w:tcPr>
          <w:p w:rsidR="005B64D2" w:rsidRDefault="008C4F21">
            <w:pPr>
              <w:jc w:val="left"/>
            </w:pPr>
            <w:r>
              <w:rPr>
                <w:rFonts w:eastAsiaTheme="minorEastAsia"/>
                <w:color w:val="000000" w:themeColor="text1"/>
                <w:szCs w:val="21"/>
              </w:rPr>
              <w:lastRenderedPageBreak/>
              <w:t>过去一年</w:t>
            </w:r>
          </w:p>
        </w:tc>
        <w:tc>
          <w:tcPr>
            <w:tcW w:w="1291" w:type="dxa"/>
            <w:vAlign w:val="center"/>
          </w:tcPr>
          <w:p w:rsidR="005B64D2" w:rsidRDefault="008C4F21">
            <w:pPr>
              <w:jc w:val="right"/>
            </w:pPr>
            <w:r>
              <w:rPr>
                <w:rFonts w:eastAsiaTheme="minorEastAsia"/>
                <w:color w:val="000000" w:themeColor="text1"/>
                <w:szCs w:val="21"/>
              </w:rPr>
              <w:t>-12.92%</w:t>
            </w:r>
          </w:p>
        </w:tc>
        <w:tc>
          <w:tcPr>
            <w:tcW w:w="1291" w:type="dxa"/>
            <w:vAlign w:val="center"/>
          </w:tcPr>
          <w:p w:rsidR="005B64D2" w:rsidRDefault="008C4F21">
            <w:pPr>
              <w:jc w:val="right"/>
            </w:pPr>
            <w:r>
              <w:rPr>
                <w:rFonts w:eastAsiaTheme="minorEastAsia"/>
                <w:color w:val="000000" w:themeColor="text1"/>
                <w:szCs w:val="21"/>
              </w:rPr>
              <w:t>0.86%</w:t>
            </w:r>
          </w:p>
        </w:tc>
        <w:tc>
          <w:tcPr>
            <w:tcW w:w="1291" w:type="dxa"/>
            <w:vAlign w:val="center"/>
          </w:tcPr>
          <w:p w:rsidR="005B64D2" w:rsidRDefault="008C4F21">
            <w:pPr>
              <w:jc w:val="right"/>
            </w:pPr>
            <w:r>
              <w:rPr>
                <w:rFonts w:eastAsiaTheme="minorEastAsia"/>
                <w:color w:val="000000" w:themeColor="text1"/>
                <w:szCs w:val="21"/>
              </w:rPr>
              <w:t>-12.02%</w:t>
            </w:r>
          </w:p>
        </w:tc>
        <w:tc>
          <w:tcPr>
            <w:tcW w:w="1291" w:type="dxa"/>
            <w:vAlign w:val="center"/>
          </w:tcPr>
          <w:p w:rsidR="005B64D2" w:rsidRDefault="008C4F21">
            <w:pPr>
              <w:jc w:val="right"/>
            </w:pPr>
            <w:r>
              <w:rPr>
                <w:rFonts w:eastAsiaTheme="minorEastAsia"/>
                <w:color w:val="000000" w:themeColor="text1"/>
                <w:szCs w:val="21"/>
              </w:rPr>
              <w:t>0.85%</w:t>
            </w:r>
          </w:p>
        </w:tc>
        <w:tc>
          <w:tcPr>
            <w:tcW w:w="1291" w:type="dxa"/>
            <w:vAlign w:val="center"/>
          </w:tcPr>
          <w:p w:rsidR="005B64D2" w:rsidRDefault="008C4F21">
            <w:pPr>
              <w:jc w:val="right"/>
            </w:pPr>
            <w:r>
              <w:rPr>
                <w:rFonts w:eastAsiaTheme="minorEastAsia"/>
                <w:color w:val="000000" w:themeColor="text1"/>
                <w:szCs w:val="21"/>
              </w:rPr>
              <w:t>-0.90%</w:t>
            </w:r>
          </w:p>
        </w:tc>
        <w:tc>
          <w:tcPr>
            <w:tcW w:w="1291" w:type="dxa"/>
            <w:vAlign w:val="center"/>
          </w:tcPr>
          <w:p w:rsidR="005B64D2" w:rsidRDefault="008C4F21">
            <w:pPr>
              <w:jc w:val="right"/>
            </w:pPr>
            <w:r>
              <w:rPr>
                <w:rFonts w:eastAsiaTheme="minorEastAsia"/>
                <w:color w:val="000000" w:themeColor="text1"/>
                <w:szCs w:val="21"/>
              </w:rPr>
              <w:t>0.01%</w:t>
            </w:r>
          </w:p>
        </w:tc>
      </w:tr>
      <w:tr w:rsidR="005B64D2">
        <w:tc>
          <w:tcPr>
            <w:tcW w:w="1290" w:type="dxa"/>
            <w:vAlign w:val="center"/>
          </w:tcPr>
          <w:p w:rsidR="005B64D2" w:rsidRDefault="008C4F21">
            <w:pPr>
              <w:jc w:val="left"/>
            </w:pPr>
            <w:r>
              <w:rPr>
                <w:rFonts w:eastAsiaTheme="minorEastAsia"/>
                <w:color w:val="000000" w:themeColor="text1"/>
                <w:szCs w:val="21"/>
              </w:rPr>
              <w:t>过去三年</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r>
      <w:tr w:rsidR="005B64D2">
        <w:tc>
          <w:tcPr>
            <w:tcW w:w="1290" w:type="dxa"/>
            <w:vAlign w:val="center"/>
          </w:tcPr>
          <w:p w:rsidR="005B64D2" w:rsidRDefault="008C4F21">
            <w:pPr>
              <w:jc w:val="left"/>
            </w:pPr>
            <w:r>
              <w:rPr>
                <w:rFonts w:eastAsiaTheme="minorEastAsia"/>
                <w:color w:val="000000" w:themeColor="text1"/>
                <w:szCs w:val="21"/>
              </w:rPr>
              <w:t>过去五年</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r>
      <w:tr w:rsidR="005B64D2">
        <w:tc>
          <w:tcPr>
            <w:tcW w:w="1290" w:type="dxa"/>
            <w:vAlign w:val="center"/>
          </w:tcPr>
          <w:p w:rsidR="005B64D2" w:rsidRDefault="008C4F21">
            <w:pPr>
              <w:jc w:val="left"/>
            </w:pPr>
            <w:r>
              <w:rPr>
                <w:rFonts w:eastAsiaTheme="minorEastAsia"/>
                <w:color w:val="000000" w:themeColor="text1"/>
                <w:szCs w:val="21"/>
              </w:rPr>
              <w:t>自基金合同生效起至今</w:t>
            </w:r>
          </w:p>
        </w:tc>
        <w:tc>
          <w:tcPr>
            <w:tcW w:w="1291" w:type="dxa"/>
            <w:vAlign w:val="center"/>
          </w:tcPr>
          <w:p w:rsidR="005B64D2" w:rsidRDefault="008C4F21">
            <w:pPr>
              <w:jc w:val="right"/>
            </w:pPr>
            <w:r>
              <w:rPr>
                <w:rFonts w:eastAsiaTheme="minorEastAsia"/>
                <w:color w:val="000000" w:themeColor="text1"/>
                <w:szCs w:val="21"/>
              </w:rPr>
              <w:t>-13.36%</w:t>
            </w:r>
          </w:p>
        </w:tc>
        <w:tc>
          <w:tcPr>
            <w:tcW w:w="1291" w:type="dxa"/>
            <w:vAlign w:val="center"/>
          </w:tcPr>
          <w:p w:rsidR="005B64D2" w:rsidRDefault="008C4F21">
            <w:pPr>
              <w:jc w:val="right"/>
            </w:pPr>
            <w:r>
              <w:rPr>
                <w:rFonts w:eastAsiaTheme="minorEastAsia"/>
                <w:color w:val="000000" w:themeColor="text1"/>
                <w:szCs w:val="21"/>
              </w:rPr>
              <w:t>0.84%</w:t>
            </w:r>
          </w:p>
        </w:tc>
        <w:tc>
          <w:tcPr>
            <w:tcW w:w="1291" w:type="dxa"/>
            <w:vAlign w:val="center"/>
          </w:tcPr>
          <w:p w:rsidR="005B64D2" w:rsidRDefault="008C4F21">
            <w:pPr>
              <w:jc w:val="right"/>
            </w:pPr>
            <w:r>
              <w:rPr>
                <w:rFonts w:eastAsiaTheme="minorEastAsia"/>
                <w:color w:val="000000" w:themeColor="text1"/>
                <w:szCs w:val="21"/>
              </w:rPr>
              <w:t>-8.54%</w:t>
            </w:r>
          </w:p>
        </w:tc>
        <w:tc>
          <w:tcPr>
            <w:tcW w:w="1291" w:type="dxa"/>
            <w:vAlign w:val="center"/>
          </w:tcPr>
          <w:p w:rsidR="005B64D2" w:rsidRDefault="008C4F21">
            <w:pPr>
              <w:jc w:val="right"/>
            </w:pPr>
            <w:r>
              <w:rPr>
                <w:rFonts w:eastAsiaTheme="minorEastAsia"/>
                <w:color w:val="000000" w:themeColor="text1"/>
                <w:szCs w:val="21"/>
              </w:rPr>
              <w:t>0.84%</w:t>
            </w:r>
          </w:p>
        </w:tc>
        <w:tc>
          <w:tcPr>
            <w:tcW w:w="1291" w:type="dxa"/>
            <w:vAlign w:val="center"/>
          </w:tcPr>
          <w:p w:rsidR="005B64D2" w:rsidRDefault="008C4F21">
            <w:pPr>
              <w:jc w:val="right"/>
            </w:pPr>
            <w:r>
              <w:rPr>
                <w:rFonts w:eastAsiaTheme="minorEastAsia"/>
                <w:color w:val="000000" w:themeColor="text1"/>
                <w:szCs w:val="21"/>
              </w:rPr>
              <w:t>-4.82%</w:t>
            </w:r>
          </w:p>
        </w:tc>
        <w:tc>
          <w:tcPr>
            <w:tcW w:w="1291" w:type="dxa"/>
            <w:vAlign w:val="center"/>
          </w:tcPr>
          <w:p w:rsidR="005B64D2" w:rsidRDefault="008C4F21">
            <w:pPr>
              <w:jc w:val="right"/>
            </w:pPr>
            <w:r>
              <w:rPr>
                <w:rFonts w:eastAsiaTheme="minorEastAsia"/>
                <w:color w:val="000000" w:themeColor="text1"/>
                <w:szCs w:val="21"/>
              </w:rPr>
              <w:t>0.00%</w:t>
            </w:r>
          </w:p>
        </w:tc>
      </w:tr>
    </w:tbl>
    <w:p w:rsidR="009A3BD8" w:rsidRPr="00EE3DBC" w:rsidRDefault="009A3BD8" w:rsidP="009A3BD8">
      <w:pPr>
        <w:adjustRightInd w:val="0"/>
        <w:spacing w:beforeLines="100" w:before="312" w:line="360" w:lineRule="auto"/>
        <w:rPr>
          <w:rFonts w:eastAsiaTheme="minorEastAsia"/>
          <w:b/>
          <w:color w:val="000000" w:themeColor="text1"/>
          <w:kern w:val="0"/>
          <w:szCs w:val="21"/>
        </w:rPr>
      </w:pPr>
      <w:r w:rsidRPr="00EE3DBC">
        <w:rPr>
          <w:rFonts w:eastAsiaTheme="minorEastAsia"/>
          <w:b/>
          <w:color w:val="000000" w:themeColor="text1"/>
          <w:szCs w:val="21"/>
        </w:rPr>
        <w:t>2</w:t>
      </w:r>
      <w:r w:rsidRPr="00EE3DBC">
        <w:rPr>
          <w:rFonts w:eastAsiaTheme="minorEastAsia"/>
          <w:b/>
          <w:color w:val="000000" w:themeColor="text1"/>
          <w:szCs w:val="21"/>
        </w:rPr>
        <w:t>、</w:t>
      </w:r>
      <w:r w:rsidRPr="00EE3DBC">
        <w:rPr>
          <w:rFonts w:eastAsiaTheme="minorEastAsia"/>
          <w:b/>
          <w:color w:val="000000" w:themeColor="text1"/>
          <w:kern w:val="0"/>
          <w:szCs w:val="21"/>
        </w:rPr>
        <w:t>摩根沪深</w:t>
      </w:r>
      <w:r w:rsidRPr="00EE3DBC">
        <w:rPr>
          <w:rFonts w:eastAsiaTheme="minorEastAsia"/>
          <w:b/>
          <w:color w:val="000000" w:themeColor="text1"/>
          <w:kern w:val="0"/>
          <w:szCs w:val="21"/>
        </w:rPr>
        <w:t>300</w:t>
      </w:r>
      <w:r w:rsidRPr="00EE3DBC">
        <w:rPr>
          <w:rFonts w:eastAsiaTheme="minorEastAsia"/>
          <w:b/>
          <w:color w:val="000000" w:themeColor="text1"/>
          <w:kern w:val="0"/>
          <w:szCs w:val="21"/>
        </w:rPr>
        <w:t>指数增强发起式</w:t>
      </w:r>
      <w:r w:rsidRPr="00EE3DBC">
        <w:rPr>
          <w:rFonts w:eastAsiaTheme="minorEastAsia"/>
          <w:b/>
          <w:color w:val="000000" w:themeColor="text1"/>
          <w:kern w:val="0"/>
          <w:szCs w:val="21"/>
        </w:rPr>
        <w:t>C</w:t>
      </w:r>
      <w:r w:rsidRPr="00EE3DBC">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5B64D2">
        <w:tc>
          <w:tcPr>
            <w:tcW w:w="1290" w:type="dxa"/>
            <w:vAlign w:val="center"/>
          </w:tcPr>
          <w:p w:rsidR="005B64D2" w:rsidRDefault="008C4F21">
            <w:pPr>
              <w:jc w:val="left"/>
            </w:pPr>
            <w:r>
              <w:rPr>
                <w:rFonts w:eastAsiaTheme="minorEastAsia"/>
                <w:color w:val="000000" w:themeColor="text1"/>
                <w:szCs w:val="21"/>
              </w:rPr>
              <w:t>过去三个月</w:t>
            </w:r>
          </w:p>
        </w:tc>
        <w:tc>
          <w:tcPr>
            <w:tcW w:w="1291" w:type="dxa"/>
            <w:vAlign w:val="center"/>
          </w:tcPr>
          <w:p w:rsidR="005B64D2" w:rsidRDefault="008C4F21">
            <w:pPr>
              <w:jc w:val="right"/>
            </w:pPr>
            <w:r>
              <w:rPr>
                <w:rFonts w:eastAsiaTheme="minorEastAsia"/>
                <w:color w:val="000000" w:themeColor="text1"/>
                <w:szCs w:val="21"/>
              </w:rPr>
              <w:t>1.94%</w:t>
            </w:r>
          </w:p>
        </w:tc>
        <w:tc>
          <w:tcPr>
            <w:tcW w:w="1291" w:type="dxa"/>
            <w:vAlign w:val="center"/>
          </w:tcPr>
          <w:p w:rsidR="005B64D2" w:rsidRDefault="008C4F21">
            <w:pPr>
              <w:jc w:val="right"/>
            </w:pPr>
            <w:r>
              <w:rPr>
                <w:rFonts w:eastAsiaTheme="minorEastAsia"/>
                <w:color w:val="000000" w:themeColor="text1"/>
                <w:szCs w:val="21"/>
              </w:rPr>
              <w:t>1.02%</w:t>
            </w:r>
          </w:p>
        </w:tc>
        <w:tc>
          <w:tcPr>
            <w:tcW w:w="1291" w:type="dxa"/>
            <w:vAlign w:val="center"/>
          </w:tcPr>
          <w:p w:rsidR="005B64D2" w:rsidRDefault="008C4F21">
            <w:pPr>
              <w:jc w:val="right"/>
            </w:pPr>
            <w:r>
              <w:rPr>
                <w:rFonts w:eastAsiaTheme="minorEastAsia"/>
                <w:color w:val="000000" w:themeColor="text1"/>
                <w:szCs w:val="21"/>
              </w:rPr>
              <w:t>2.95%</w:t>
            </w:r>
          </w:p>
        </w:tc>
        <w:tc>
          <w:tcPr>
            <w:tcW w:w="1291" w:type="dxa"/>
            <w:vAlign w:val="center"/>
          </w:tcPr>
          <w:p w:rsidR="005B64D2" w:rsidRDefault="008C4F21">
            <w:pPr>
              <w:jc w:val="right"/>
            </w:pPr>
            <w:r>
              <w:rPr>
                <w:rFonts w:eastAsiaTheme="minorEastAsia"/>
                <w:color w:val="000000" w:themeColor="text1"/>
                <w:szCs w:val="21"/>
              </w:rPr>
              <w:t>0.98%</w:t>
            </w:r>
          </w:p>
        </w:tc>
        <w:tc>
          <w:tcPr>
            <w:tcW w:w="1291" w:type="dxa"/>
            <w:vAlign w:val="center"/>
          </w:tcPr>
          <w:p w:rsidR="005B64D2" w:rsidRDefault="008C4F21">
            <w:pPr>
              <w:jc w:val="right"/>
            </w:pPr>
            <w:r>
              <w:rPr>
                <w:rFonts w:eastAsiaTheme="minorEastAsia"/>
                <w:color w:val="000000" w:themeColor="text1"/>
                <w:szCs w:val="21"/>
              </w:rPr>
              <w:t>-1.01%</w:t>
            </w:r>
          </w:p>
        </w:tc>
        <w:tc>
          <w:tcPr>
            <w:tcW w:w="1291" w:type="dxa"/>
            <w:vAlign w:val="center"/>
          </w:tcPr>
          <w:p w:rsidR="005B64D2" w:rsidRDefault="008C4F21">
            <w:pPr>
              <w:jc w:val="right"/>
            </w:pPr>
            <w:r>
              <w:rPr>
                <w:rFonts w:eastAsiaTheme="minorEastAsia"/>
                <w:color w:val="000000" w:themeColor="text1"/>
                <w:szCs w:val="21"/>
              </w:rPr>
              <w:t>0.04%</w:t>
            </w:r>
          </w:p>
        </w:tc>
      </w:tr>
      <w:tr w:rsidR="005B64D2">
        <w:tc>
          <w:tcPr>
            <w:tcW w:w="1290" w:type="dxa"/>
            <w:vAlign w:val="center"/>
          </w:tcPr>
          <w:p w:rsidR="005B64D2" w:rsidRDefault="008C4F21">
            <w:pPr>
              <w:jc w:val="left"/>
            </w:pPr>
            <w:r>
              <w:rPr>
                <w:rFonts w:eastAsiaTheme="minorEastAsia"/>
                <w:color w:val="000000" w:themeColor="text1"/>
                <w:szCs w:val="21"/>
              </w:rPr>
              <w:t>过去六个月</w:t>
            </w:r>
          </w:p>
        </w:tc>
        <w:tc>
          <w:tcPr>
            <w:tcW w:w="1291" w:type="dxa"/>
            <w:vAlign w:val="center"/>
          </w:tcPr>
          <w:p w:rsidR="005B64D2" w:rsidRDefault="008C4F21">
            <w:pPr>
              <w:jc w:val="right"/>
            </w:pPr>
            <w:r>
              <w:rPr>
                <w:rFonts w:eastAsiaTheme="minorEastAsia"/>
                <w:color w:val="000000" w:themeColor="text1"/>
                <w:szCs w:val="21"/>
              </w:rPr>
              <w:t>-5.43%</w:t>
            </w:r>
          </w:p>
        </w:tc>
        <w:tc>
          <w:tcPr>
            <w:tcW w:w="1291" w:type="dxa"/>
            <w:vAlign w:val="center"/>
          </w:tcPr>
          <w:p w:rsidR="005B64D2" w:rsidRDefault="008C4F21">
            <w:pPr>
              <w:jc w:val="right"/>
            </w:pPr>
            <w:r>
              <w:rPr>
                <w:rFonts w:eastAsiaTheme="minorEastAsia"/>
                <w:color w:val="000000" w:themeColor="text1"/>
                <w:szCs w:val="21"/>
              </w:rPr>
              <w:t>0.90%</w:t>
            </w:r>
          </w:p>
        </w:tc>
        <w:tc>
          <w:tcPr>
            <w:tcW w:w="1291" w:type="dxa"/>
            <w:vAlign w:val="center"/>
          </w:tcPr>
          <w:p w:rsidR="005B64D2" w:rsidRDefault="008C4F21">
            <w:pPr>
              <w:jc w:val="right"/>
            </w:pPr>
            <w:r>
              <w:rPr>
                <w:rFonts w:eastAsiaTheme="minorEastAsia"/>
                <w:color w:val="000000" w:themeColor="text1"/>
                <w:szCs w:val="21"/>
              </w:rPr>
              <w:t>-3.91%</w:t>
            </w:r>
          </w:p>
        </w:tc>
        <w:tc>
          <w:tcPr>
            <w:tcW w:w="1291" w:type="dxa"/>
            <w:vAlign w:val="center"/>
          </w:tcPr>
          <w:p w:rsidR="005B64D2" w:rsidRDefault="008C4F21">
            <w:pPr>
              <w:jc w:val="right"/>
            </w:pPr>
            <w:r>
              <w:rPr>
                <w:rFonts w:eastAsiaTheme="minorEastAsia"/>
                <w:color w:val="000000" w:themeColor="text1"/>
                <w:szCs w:val="21"/>
              </w:rPr>
              <w:t>0.87%</w:t>
            </w:r>
          </w:p>
        </w:tc>
        <w:tc>
          <w:tcPr>
            <w:tcW w:w="1291" w:type="dxa"/>
            <w:vAlign w:val="center"/>
          </w:tcPr>
          <w:p w:rsidR="005B64D2" w:rsidRDefault="008C4F21">
            <w:pPr>
              <w:jc w:val="right"/>
            </w:pPr>
            <w:r>
              <w:rPr>
                <w:rFonts w:eastAsiaTheme="minorEastAsia"/>
                <w:color w:val="000000" w:themeColor="text1"/>
                <w:szCs w:val="21"/>
              </w:rPr>
              <w:t>-1.52%</w:t>
            </w:r>
          </w:p>
        </w:tc>
        <w:tc>
          <w:tcPr>
            <w:tcW w:w="1291" w:type="dxa"/>
            <w:vAlign w:val="center"/>
          </w:tcPr>
          <w:p w:rsidR="005B64D2" w:rsidRDefault="008C4F21">
            <w:pPr>
              <w:jc w:val="right"/>
            </w:pPr>
            <w:r>
              <w:rPr>
                <w:rFonts w:eastAsiaTheme="minorEastAsia"/>
                <w:color w:val="000000" w:themeColor="text1"/>
                <w:szCs w:val="21"/>
              </w:rPr>
              <w:t>0.03%</w:t>
            </w:r>
          </w:p>
        </w:tc>
      </w:tr>
      <w:tr w:rsidR="005B64D2">
        <w:tc>
          <w:tcPr>
            <w:tcW w:w="1290" w:type="dxa"/>
            <w:vAlign w:val="center"/>
          </w:tcPr>
          <w:p w:rsidR="005B64D2" w:rsidRDefault="008C4F21">
            <w:pPr>
              <w:jc w:val="left"/>
            </w:pPr>
            <w:r>
              <w:rPr>
                <w:rFonts w:eastAsiaTheme="minorEastAsia"/>
                <w:color w:val="000000" w:themeColor="text1"/>
                <w:szCs w:val="21"/>
              </w:rPr>
              <w:t>过去一年</w:t>
            </w:r>
          </w:p>
        </w:tc>
        <w:tc>
          <w:tcPr>
            <w:tcW w:w="1291" w:type="dxa"/>
            <w:vAlign w:val="center"/>
          </w:tcPr>
          <w:p w:rsidR="005B64D2" w:rsidRDefault="008C4F21">
            <w:pPr>
              <w:jc w:val="right"/>
            </w:pPr>
            <w:r>
              <w:rPr>
                <w:rFonts w:eastAsiaTheme="minorEastAsia"/>
                <w:color w:val="000000" w:themeColor="text1"/>
                <w:szCs w:val="21"/>
              </w:rPr>
              <w:t>-13.17%</w:t>
            </w:r>
          </w:p>
        </w:tc>
        <w:tc>
          <w:tcPr>
            <w:tcW w:w="1291" w:type="dxa"/>
            <w:vAlign w:val="center"/>
          </w:tcPr>
          <w:p w:rsidR="005B64D2" w:rsidRDefault="008C4F21">
            <w:pPr>
              <w:jc w:val="right"/>
            </w:pPr>
            <w:r>
              <w:rPr>
                <w:rFonts w:eastAsiaTheme="minorEastAsia"/>
                <w:color w:val="000000" w:themeColor="text1"/>
                <w:szCs w:val="21"/>
              </w:rPr>
              <w:t>0.86%</w:t>
            </w:r>
          </w:p>
        </w:tc>
        <w:tc>
          <w:tcPr>
            <w:tcW w:w="1291" w:type="dxa"/>
            <w:vAlign w:val="center"/>
          </w:tcPr>
          <w:p w:rsidR="005B64D2" w:rsidRDefault="008C4F21">
            <w:pPr>
              <w:jc w:val="right"/>
            </w:pPr>
            <w:r>
              <w:rPr>
                <w:rFonts w:eastAsiaTheme="minorEastAsia"/>
                <w:color w:val="000000" w:themeColor="text1"/>
                <w:szCs w:val="21"/>
              </w:rPr>
              <w:t>-12.02%</w:t>
            </w:r>
          </w:p>
        </w:tc>
        <w:tc>
          <w:tcPr>
            <w:tcW w:w="1291" w:type="dxa"/>
            <w:vAlign w:val="center"/>
          </w:tcPr>
          <w:p w:rsidR="005B64D2" w:rsidRDefault="008C4F21">
            <w:pPr>
              <w:jc w:val="right"/>
            </w:pPr>
            <w:r>
              <w:rPr>
                <w:rFonts w:eastAsiaTheme="minorEastAsia"/>
                <w:color w:val="000000" w:themeColor="text1"/>
                <w:szCs w:val="21"/>
              </w:rPr>
              <w:t>0.85%</w:t>
            </w:r>
          </w:p>
        </w:tc>
        <w:tc>
          <w:tcPr>
            <w:tcW w:w="1291" w:type="dxa"/>
            <w:vAlign w:val="center"/>
          </w:tcPr>
          <w:p w:rsidR="005B64D2" w:rsidRDefault="008C4F21">
            <w:pPr>
              <w:jc w:val="right"/>
            </w:pPr>
            <w:r>
              <w:rPr>
                <w:rFonts w:eastAsiaTheme="minorEastAsia"/>
                <w:color w:val="000000" w:themeColor="text1"/>
                <w:szCs w:val="21"/>
              </w:rPr>
              <w:t>-1.15%</w:t>
            </w:r>
          </w:p>
        </w:tc>
        <w:tc>
          <w:tcPr>
            <w:tcW w:w="1291" w:type="dxa"/>
            <w:vAlign w:val="center"/>
          </w:tcPr>
          <w:p w:rsidR="005B64D2" w:rsidRDefault="008C4F21">
            <w:pPr>
              <w:jc w:val="right"/>
            </w:pPr>
            <w:r>
              <w:rPr>
                <w:rFonts w:eastAsiaTheme="minorEastAsia"/>
                <w:color w:val="000000" w:themeColor="text1"/>
                <w:szCs w:val="21"/>
              </w:rPr>
              <w:t>0.01%</w:t>
            </w:r>
          </w:p>
        </w:tc>
      </w:tr>
      <w:tr w:rsidR="005B64D2">
        <w:tc>
          <w:tcPr>
            <w:tcW w:w="1290" w:type="dxa"/>
            <w:vAlign w:val="center"/>
          </w:tcPr>
          <w:p w:rsidR="005B64D2" w:rsidRDefault="008C4F21">
            <w:pPr>
              <w:jc w:val="left"/>
            </w:pPr>
            <w:r>
              <w:rPr>
                <w:rFonts w:eastAsiaTheme="minorEastAsia"/>
                <w:color w:val="000000" w:themeColor="text1"/>
                <w:szCs w:val="21"/>
              </w:rPr>
              <w:t>过去三年</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r>
      <w:tr w:rsidR="005B64D2">
        <w:tc>
          <w:tcPr>
            <w:tcW w:w="1290" w:type="dxa"/>
            <w:vAlign w:val="center"/>
          </w:tcPr>
          <w:p w:rsidR="005B64D2" w:rsidRDefault="008C4F21">
            <w:pPr>
              <w:jc w:val="left"/>
            </w:pPr>
            <w:r>
              <w:rPr>
                <w:rFonts w:eastAsiaTheme="minorEastAsia"/>
                <w:color w:val="000000" w:themeColor="text1"/>
                <w:szCs w:val="21"/>
              </w:rPr>
              <w:t>过去五年</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c>
          <w:tcPr>
            <w:tcW w:w="1291" w:type="dxa"/>
            <w:vAlign w:val="center"/>
          </w:tcPr>
          <w:p w:rsidR="005B64D2" w:rsidRDefault="008C4F21">
            <w:pPr>
              <w:jc w:val="right"/>
            </w:pPr>
            <w:r>
              <w:rPr>
                <w:rFonts w:eastAsiaTheme="minorEastAsia"/>
                <w:color w:val="000000" w:themeColor="text1"/>
                <w:szCs w:val="21"/>
              </w:rPr>
              <w:t>-</w:t>
            </w:r>
          </w:p>
        </w:tc>
      </w:tr>
      <w:tr w:rsidR="005B64D2">
        <w:tc>
          <w:tcPr>
            <w:tcW w:w="1290" w:type="dxa"/>
            <w:vAlign w:val="center"/>
          </w:tcPr>
          <w:p w:rsidR="005B64D2" w:rsidRDefault="008C4F21">
            <w:pPr>
              <w:jc w:val="left"/>
            </w:pPr>
            <w:r>
              <w:rPr>
                <w:rFonts w:eastAsiaTheme="minorEastAsia"/>
                <w:color w:val="000000" w:themeColor="text1"/>
                <w:szCs w:val="21"/>
              </w:rPr>
              <w:t>自基金合同生效起至今</w:t>
            </w:r>
          </w:p>
        </w:tc>
        <w:tc>
          <w:tcPr>
            <w:tcW w:w="1291" w:type="dxa"/>
            <w:vAlign w:val="center"/>
          </w:tcPr>
          <w:p w:rsidR="005B64D2" w:rsidRDefault="008C4F21">
            <w:pPr>
              <w:jc w:val="right"/>
            </w:pPr>
            <w:r>
              <w:rPr>
                <w:rFonts w:eastAsiaTheme="minorEastAsia"/>
                <w:color w:val="000000" w:themeColor="text1"/>
                <w:szCs w:val="21"/>
              </w:rPr>
              <w:t>-13.67%</w:t>
            </w:r>
          </w:p>
        </w:tc>
        <w:tc>
          <w:tcPr>
            <w:tcW w:w="1291" w:type="dxa"/>
            <w:vAlign w:val="center"/>
          </w:tcPr>
          <w:p w:rsidR="005B64D2" w:rsidRDefault="008C4F21">
            <w:pPr>
              <w:jc w:val="right"/>
            </w:pPr>
            <w:r>
              <w:rPr>
                <w:rFonts w:eastAsiaTheme="minorEastAsia"/>
                <w:color w:val="000000" w:themeColor="text1"/>
                <w:szCs w:val="21"/>
              </w:rPr>
              <w:t>0.84%</w:t>
            </w:r>
          </w:p>
        </w:tc>
        <w:tc>
          <w:tcPr>
            <w:tcW w:w="1291" w:type="dxa"/>
            <w:vAlign w:val="center"/>
          </w:tcPr>
          <w:p w:rsidR="005B64D2" w:rsidRDefault="008C4F21">
            <w:pPr>
              <w:jc w:val="right"/>
            </w:pPr>
            <w:r>
              <w:rPr>
                <w:rFonts w:eastAsiaTheme="minorEastAsia"/>
                <w:color w:val="000000" w:themeColor="text1"/>
                <w:szCs w:val="21"/>
              </w:rPr>
              <w:t>-8.54%</w:t>
            </w:r>
          </w:p>
        </w:tc>
        <w:tc>
          <w:tcPr>
            <w:tcW w:w="1291" w:type="dxa"/>
            <w:vAlign w:val="center"/>
          </w:tcPr>
          <w:p w:rsidR="005B64D2" w:rsidRDefault="008C4F21">
            <w:pPr>
              <w:jc w:val="right"/>
            </w:pPr>
            <w:r>
              <w:rPr>
                <w:rFonts w:eastAsiaTheme="minorEastAsia"/>
                <w:color w:val="000000" w:themeColor="text1"/>
                <w:szCs w:val="21"/>
              </w:rPr>
              <w:t>0.84%</w:t>
            </w:r>
          </w:p>
        </w:tc>
        <w:tc>
          <w:tcPr>
            <w:tcW w:w="1291" w:type="dxa"/>
            <w:vAlign w:val="center"/>
          </w:tcPr>
          <w:p w:rsidR="005B64D2" w:rsidRDefault="008C4F21">
            <w:pPr>
              <w:jc w:val="right"/>
            </w:pPr>
            <w:r>
              <w:rPr>
                <w:rFonts w:eastAsiaTheme="minorEastAsia"/>
                <w:color w:val="000000" w:themeColor="text1"/>
                <w:szCs w:val="21"/>
              </w:rPr>
              <w:t>-5.13%</w:t>
            </w:r>
          </w:p>
        </w:tc>
        <w:tc>
          <w:tcPr>
            <w:tcW w:w="1291" w:type="dxa"/>
            <w:vAlign w:val="center"/>
          </w:tcPr>
          <w:p w:rsidR="005B64D2" w:rsidRDefault="008C4F21">
            <w:pPr>
              <w:jc w:val="right"/>
            </w:pPr>
            <w:r>
              <w:rPr>
                <w:rFonts w:eastAsiaTheme="minorEastAsia"/>
                <w:color w:val="000000" w:themeColor="text1"/>
                <w:szCs w:val="21"/>
              </w:rPr>
              <w:t>0.00%</w:t>
            </w:r>
          </w:p>
        </w:tc>
      </w:tr>
    </w:tbl>
    <w:p w:rsidR="009A3BD8" w:rsidRPr="00EE3DBC" w:rsidRDefault="009A3BD8" w:rsidP="009A3BD8">
      <w:pPr>
        <w:spacing w:beforeLines="100" w:before="312" w:line="360" w:lineRule="auto"/>
        <w:rPr>
          <w:rFonts w:eastAsiaTheme="minorEastAsia"/>
          <w:b/>
          <w:color w:val="000000" w:themeColor="text1"/>
          <w:kern w:val="0"/>
          <w:szCs w:val="21"/>
        </w:rPr>
      </w:pPr>
      <w:r w:rsidRPr="00EE3DBC">
        <w:rPr>
          <w:rFonts w:eastAsiaTheme="minorEastAsia"/>
          <w:b/>
          <w:color w:val="000000" w:themeColor="text1"/>
          <w:kern w:val="0"/>
          <w:szCs w:val="21"/>
        </w:rPr>
        <w:t>3.2.2</w:t>
      </w:r>
      <w:r w:rsidRPr="00EE3DBC">
        <w:rPr>
          <w:rFonts w:eastAsiaTheme="minorEastAsia"/>
          <w:b/>
          <w:color w:val="000000" w:themeColor="text1"/>
          <w:kern w:val="0"/>
          <w:szCs w:val="21"/>
        </w:rPr>
        <w:t xml:space="preserve">　</w:t>
      </w:r>
      <w:r w:rsidRPr="00EE3DBC">
        <w:rPr>
          <w:rStyle w:val="af4"/>
          <w:color w:val="000000" w:themeColor="text1"/>
          <w:szCs w:val="21"/>
          <w:shd w:val="clear" w:color="auto" w:fill="FFFFFF"/>
        </w:rPr>
        <w:t>自基金合同生效以来</w:t>
      </w:r>
      <w:r w:rsidRPr="00EE3DBC">
        <w:rPr>
          <w:rFonts w:eastAsiaTheme="minorEastAsia"/>
          <w:b/>
          <w:color w:val="000000" w:themeColor="text1"/>
          <w:szCs w:val="21"/>
        </w:rPr>
        <w:t>基金累计净值增长率变动及其与同期业绩比较基准收益率变动的比较</w:t>
      </w:r>
    </w:p>
    <w:p w:rsidR="009A3BD8" w:rsidRPr="00EE3DBC" w:rsidRDefault="009A3BD8" w:rsidP="009A3BD8">
      <w:pPr>
        <w:spacing w:line="360" w:lineRule="auto"/>
        <w:jc w:val="center"/>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指数增强型发起式证券投资基金</w:t>
      </w:r>
    </w:p>
    <w:p w:rsidR="009A3BD8" w:rsidRPr="00EE3DBC" w:rsidRDefault="009A3BD8" w:rsidP="009A3BD8">
      <w:pPr>
        <w:pStyle w:val="a9"/>
        <w:snapToGrid w:val="0"/>
        <w:spacing w:line="360" w:lineRule="auto"/>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累计净值增长率与业绩比较基准收益率的历史走势对比图</w:t>
      </w:r>
    </w:p>
    <w:p w:rsidR="009A3BD8" w:rsidRPr="00EE3DBC" w:rsidRDefault="009A3BD8" w:rsidP="009A3BD8">
      <w:pPr>
        <w:pStyle w:val="a9"/>
        <w:snapToGrid w:val="0"/>
        <w:spacing w:line="360" w:lineRule="auto"/>
        <w:ind w:firstLine="480"/>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(2022</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12</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28</w:t>
      </w:r>
      <w:r w:rsidRPr="00EE3DBC">
        <w:rPr>
          <w:rFonts w:ascii="Times New Roman" w:eastAsiaTheme="minorEastAsia" w:hAnsi="Times New Roman"/>
          <w:color w:val="000000" w:themeColor="text1"/>
        </w:rPr>
        <w:t>日至</w:t>
      </w:r>
      <w:r w:rsidRPr="00EE3DBC">
        <w:rPr>
          <w:rFonts w:ascii="Times New Roman" w:eastAsiaTheme="minorEastAsia" w:hAnsi="Times New Roman"/>
          <w:color w:val="000000" w:themeColor="text1"/>
        </w:rPr>
        <w:t>2024</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3</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31</w:t>
      </w:r>
      <w:r w:rsidRPr="00EE3DBC">
        <w:rPr>
          <w:rFonts w:ascii="Times New Roman" w:eastAsiaTheme="minorEastAsia" w:hAnsi="Times New Roman"/>
          <w:color w:val="000000" w:themeColor="text1"/>
        </w:rPr>
        <w:t>日</w:t>
      </w:r>
      <w:r w:rsidRPr="00EE3DBC">
        <w:rPr>
          <w:rFonts w:ascii="Times New Roman" w:eastAsiaTheme="minorEastAsia" w:hAnsi="Times New Roman"/>
          <w:color w:val="000000" w:themeColor="text1"/>
        </w:rPr>
        <w:t>)</w:t>
      </w:r>
    </w:p>
    <w:p w:rsidR="009A3BD8" w:rsidRPr="00EE3DBC" w:rsidRDefault="009A3BD8" w:rsidP="009A3BD8">
      <w:pPr>
        <w:snapToGrid w:val="0"/>
        <w:spacing w:line="360" w:lineRule="auto"/>
        <w:rPr>
          <w:rFonts w:eastAsiaTheme="minorEastAsia"/>
          <w:color w:val="000000" w:themeColor="text1"/>
          <w:szCs w:val="21"/>
        </w:rPr>
      </w:pPr>
      <w:r w:rsidRPr="00EE3DBC">
        <w:rPr>
          <w:rFonts w:eastAsiaTheme="minorEastAsia"/>
          <w:color w:val="000000" w:themeColor="text1"/>
          <w:szCs w:val="21"/>
        </w:rPr>
        <w:t>1</w:t>
      </w: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drawing>
          <wp:inline distT="0" distB="0" distL="0" distR="0" wp14:anchorId="7CC319B6" wp14:editId="63BE4B82">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B64D2" w:rsidRDefault="008C4F2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日，图示的时间段为合同生效日至本报告期末。</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snapToGrid w:val="0"/>
        <w:spacing w:beforeLines="100" w:before="312" w:line="360" w:lineRule="auto"/>
        <w:rPr>
          <w:rFonts w:eastAsiaTheme="minorEastAsia"/>
          <w:color w:val="000000" w:themeColor="text1"/>
          <w:szCs w:val="21"/>
        </w:rPr>
      </w:pPr>
      <w:r w:rsidRPr="00EE3DBC">
        <w:rPr>
          <w:rFonts w:eastAsiaTheme="minorEastAsia"/>
          <w:color w:val="000000" w:themeColor="text1"/>
          <w:szCs w:val="21"/>
        </w:rPr>
        <w:t>2</w:t>
      </w: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drawing>
          <wp:inline distT="0" distB="0" distL="0" distR="0" wp14:anchorId="1663A5C0" wp14:editId="07DA8355">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B64D2" w:rsidRDefault="008C4F2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日，图示的时间段为合同生效日至本报告期末。</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tabs>
          <w:tab w:val="left" w:pos="1800"/>
        </w:tabs>
        <w:spacing w:line="288" w:lineRule="auto"/>
        <w:rPr>
          <w:rFonts w:eastAsiaTheme="minorEastAsia"/>
          <w:color w:val="000000" w:themeColor="text1"/>
          <w:szCs w:val="21"/>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§4  </w:t>
      </w:r>
      <w:r w:rsidRPr="00EE3DBC">
        <w:rPr>
          <w:rFonts w:eastAsiaTheme="minorEastAsia"/>
          <w:color w:val="000000" w:themeColor="text1"/>
          <w:kern w:val="0"/>
          <w:sz w:val="24"/>
          <w:szCs w:val="24"/>
        </w:rPr>
        <w:t>管理人报告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4.1 </w:t>
      </w:r>
      <w:r w:rsidRPr="00EE3DBC">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A960A3" w:rsidRPr="00EE3DBC">
        <w:trPr>
          <w:cantSplit/>
        </w:trPr>
        <w:tc>
          <w:tcPr>
            <w:tcW w:w="952"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姓名</w:t>
            </w:r>
          </w:p>
        </w:tc>
        <w:tc>
          <w:tcPr>
            <w:tcW w:w="930"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职务</w:t>
            </w:r>
          </w:p>
        </w:tc>
        <w:tc>
          <w:tcPr>
            <w:tcW w:w="2519" w:type="dxa"/>
            <w:gridSpan w:val="2"/>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任本基金的基金经理期限</w:t>
            </w:r>
          </w:p>
        </w:tc>
        <w:tc>
          <w:tcPr>
            <w:tcW w:w="1254"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证券从业年限</w:t>
            </w:r>
          </w:p>
        </w:tc>
        <w:tc>
          <w:tcPr>
            <w:tcW w:w="3276"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说明</w:t>
            </w:r>
          </w:p>
        </w:tc>
      </w:tr>
      <w:tr w:rsidR="00A960A3" w:rsidRPr="00EE3DBC">
        <w:trPr>
          <w:cantSplit/>
        </w:trPr>
        <w:tc>
          <w:tcPr>
            <w:tcW w:w="952"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930" w:type="dxa"/>
            <w:vMerge/>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1210"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任职日期</w:t>
            </w:r>
          </w:p>
        </w:tc>
        <w:tc>
          <w:tcPr>
            <w:tcW w:w="1309"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离任日期</w:t>
            </w:r>
          </w:p>
        </w:tc>
        <w:tc>
          <w:tcPr>
            <w:tcW w:w="1254"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3276"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r>
      <w:tr w:rsidR="005B64D2">
        <w:tc>
          <w:tcPr>
            <w:tcW w:w="952" w:type="dxa"/>
            <w:vAlign w:val="center"/>
          </w:tcPr>
          <w:p w:rsidR="005B64D2" w:rsidRDefault="008C4F21">
            <w:pPr>
              <w:jc w:val="center"/>
            </w:pPr>
            <w:r>
              <w:rPr>
                <w:rFonts w:eastAsiaTheme="minorEastAsia"/>
                <w:color w:val="000000" w:themeColor="text1"/>
                <w:sz w:val="24"/>
              </w:rPr>
              <w:t>毛时超</w:t>
            </w:r>
          </w:p>
        </w:tc>
        <w:tc>
          <w:tcPr>
            <w:tcW w:w="930" w:type="dxa"/>
            <w:vAlign w:val="center"/>
          </w:tcPr>
          <w:p w:rsidR="005B64D2" w:rsidRDefault="008C4F21">
            <w:pPr>
              <w:jc w:val="center"/>
            </w:pPr>
            <w:r>
              <w:rPr>
                <w:rFonts w:eastAsiaTheme="minorEastAsia"/>
                <w:color w:val="000000" w:themeColor="text1"/>
                <w:sz w:val="24"/>
              </w:rPr>
              <w:t>本基金基金经</w:t>
            </w:r>
            <w:r>
              <w:rPr>
                <w:rFonts w:eastAsiaTheme="minorEastAsia"/>
                <w:color w:val="000000" w:themeColor="text1"/>
                <w:sz w:val="24"/>
              </w:rPr>
              <w:lastRenderedPageBreak/>
              <w:t>理</w:t>
            </w:r>
          </w:p>
        </w:tc>
        <w:tc>
          <w:tcPr>
            <w:tcW w:w="1210" w:type="dxa"/>
            <w:vAlign w:val="center"/>
          </w:tcPr>
          <w:p w:rsidR="005B64D2" w:rsidRDefault="008C4F21">
            <w:pPr>
              <w:jc w:val="center"/>
            </w:pPr>
            <w:r>
              <w:rPr>
                <w:rFonts w:eastAsiaTheme="minorEastAsia"/>
                <w:color w:val="000000" w:themeColor="text1"/>
                <w:sz w:val="24"/>
              </w:rPr>
              <w:lastRenderedPageBreak/>
              <w:t>2022-12-28</w:t>
            </w:r>
          </w:p>
        </w:tc>
        <w:tc>
          <w:tcPr>
            <w:tcW w:w="1309" w:type="dxa"/>
            <w:vAlign w:val="center"/>
          </w:tcPr>
          <w:p w:rsidR="005B64D2" w:rsidRDefault="008C4F21">
            <w:pPr>
              <w:jc w:val="center"/>
            </w:pPr>
            <w:r>
              <w:rPr>
                <w:rFonts w:eastAsiaTheme="minorEastAsia"/>
                <w:color w:val="000000" w:themeColor="text1"/>
                <w:sz w:val="24"/>
              </w:rPr>
              <w:t>-</w:t>
            </w:r>
          </w:p>
        </w:tc>
        <w:tc>
          <w:tcPr>
            <w:tcW w:w="1254" w:type="dxa"/>
            <w:vAlign w:val="center"/>
          </w:tcPr>
          <w:p w:rsidR="005B64D2" w:rsidRDefault="008C4F21">
            <w:pPr>
              <w:jc w:val="center"/>
            </w:pPr>
            <w:r>
              <w:rPr>
                <w:rFonts w:eastAsiaTheme="minorEastAsia"/>
                <w:color w:val="000000" w:themeColor="text1"/>
                <w:sz w:val="24"/>
              </w:rPr>
              <w:t>8</w:t>
            </w:r>
            <w:r>
              <w:rPr>
                <w:rFonts w:eastAsiaTheme="minorEastAsia"/>
                <w:color w:val="000000" w:themeColor="text1"/>
                <w:sz w:val="24"/>
              </w:rPr>
              <w:t>年</w:t>
            </w:r>
          </w:p>
        </w:tc>
        <w:tc>
          <w:tcPr>
            <w:tcW w:w="3276" w:type="dxa"/>
            <w:vAlign w:val="center"/>
          </w:tcPr>
          <w:p w:rsidR="005B64D2" w:rsidRDefault="008C4F21">
            <w:r>
              <w:rPr>
                <w:rFonts w:eastAsiaTheme="minorEastAsia"/>
                <w:color w:val="000000" w:themeColor="text1"/>
                <w:sz w:val="24"/>
              </w:rPr>
              <w:t>毛时超先生曾任平安基金管理有限公司量化研究员、基金经理助理、基金经理；自</w:t>
            </w:r>
            <w:r>
              <w:rPr>
                <w:rFonts w:eastAsiaTheme="minorEastAsia"/>
                <w:color w:val="000000" w:themeColor="text1"/>
                <w:sz w:val="24"/>
              </w:rPr>
              <w:t>2021</w:t>
            </w:r>
            <w:r>
              <w:rPr>
                <w:rFonts w:eastAsiaTheme="minorEastAsia"/>
                <w:color w:val="000000" w:themeColor="text1"/>
                <w:sz w:val="24"/>
              </w:rPr>
              <w:lastRenderedPageBreak/>
              <w:t>年</w:t>
            </w:r>
            <w:r>
              <w:rPr>
                <w:rFonts w:eastAsiaTheme="minorEastAsia"/>
                <w:color w:val="000000" w:themeColor="text1"/>
                <w:sz w:val="24"/>
              </w:rPr>
              <w:t>11</w:t>
            </w:r>
            <w:r>
              <w:rPr>
                <w:rFonts w:eastAsiaTheme="minorEastAsia"/>
                <w:color w:val="000000" w:themeColor="text1"/>
                <w:sz w:val="24"/>
              </w:rPr>
              <w:t>月加入摩根基金管理（中国）有限公司（原上投摩根基金管理有限公司），现任指数及量化投资部基金经理。</w:t>
            </w:r>
          </w:p>
        </w:tc>
      </w:tr>
    </w:tbl>
    <w:p w:rsidR="005B64D2" w:rsidRDefault="008C4F21">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lastRenderedPageBreak/>
        <w:t>注：</w:t>
      </w:r>
      <w:r>
        <w:rPr>
          <w:rFonts w:eastAsiaTheme="minorEastAsia"/>
          <w:color w:val="000000" w:themeColor="text1"/>
          <w:sz w:val="24"/>
        </w:rPr>
        <w:t xml:space="preserve">1. </w:t>
      </w:r>
      <w:r>
        <w:rPr>
          <w:rFonts w:eastAsiaTheme="minorEastAsia"/>
          <w:color w:val="000000" w:themeColor="text1"/>
          <w:sz w:val="24"/>
        </w:rPr>
        <w:t>任职日期和离任日期均指根据公司决定确定的聘任日期和解聘日期。</w:t>
      </w:r>
    </w:p>
    <w:p w:rsidR="005B64D2" w:rsidRDefault="008C4F21">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 xml:space="preserve">2. </w:t>
      </w:r>
      <w:r>
        <w:rPr>
          <w:rFonts w:eastAsiaTheme="minorEastAsia"/>
          <w:color w:val="000000" w:themeColor="text1"/>
          <w:sz w:val="24"/>
        </w:rPr>
        <w:t>毛时超先生为本基金首任基金经理，其任职日期指本基金基金合同生效之日。</w:t>
      </w:r>
      <w:r>
        <w:rPr>
          <w:rFonts w:eastAsiaTheme="minorEastAsia"/>
          <w:color w:val="000000" w:themeColor="text1"/>
          <w:sz w:val="24"/>
        </w:rPr>
        <w:t xml:space="preserve"> </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 xml:space="preserve">3. </w:t>
      </w:r>
      <w:r w:rsidRPr="00EE3DBC">
        <w:rPr>
          <w:rFonts w:eastAsiaTheme="minorEastAsia"/>
          <w:color w:val="000000" w:themeColor="text1"/>
          <w:sz w:val="24"/>
        </w:rPr>
        <w:t>证券从业的含义遵从行业协会《证券业从业人员资格管理办法》的相关规定。</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4.2</w:t>
      </w:r>
      <w:r w:rsidRPr="00EE3DBC">
        <w:rPr>
          <w:rFonts w:eastAsiaTheme="minorEastAsia"/>
          <w:b/>
          <w:bCs/>
          <w:color w:val="000000" w:themeColor="text1"/>
          <w:sz w:val="24"/>
        </w:rPr>
        <w:t>管理人对报告期内本基金运作遵规守信情况的说明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4.3 </w:t>
      </w:r>
      <w:r w:rsidRPr="00EE3DBC">
        <w:rPr>
          <w:rFonts w:eastAsiaTheme="minorEastAsia"/>
          <w:b/>
          <w:color w:val="000000" w:themeColor="text1"/>
          <w:kern w:val="0"/>
          <w:sz w:val="24"/>
        </w:rPr>
        <w:t>公平交易专项说明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4.3.1 </w:t>
      </w:r>
      <w:r w:rsidRPr="00EE3DBC">
        <w:rPr>
          <w:rFonts w:eastAsiaTheme="minorEastAsia"/>
          <w:color w:val="000000" w:themeColor="text1"/>
          <w:sz w:val="24"/>
        </w:rPr>
        <w:t>公平交易制度的执行情况</w:t>
      </w:r>
    </w:p>
    <w:p w:rsidR="005B64D2" w:rsidRDefault="008C4F21">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B64D2" w:rsidRDefault="008C4F21">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报告期内，通过对不同投资组合之间的收益率差异比较、对同向交易和反向交易的交易时机和交易价差监控分析，未发现整体公平交易执行出现异常的情况。</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4.3.2 </w:t>
      </w:r>
      <w:r w:rsidRPr="00EE3DBC">
        <w:rPr>
          <w:rFonts w:eastAsiaTheme="minorEastAsia"/>
          <w:color w:val="000000" w:themeColor="text1"/>
          <w:sz w:val="24"/>
        </w:rPr>
        <w:t>异常交易行为的专项说明</w:t>
      </w:r>
    </w:p>
    <w:p w:rsidR="005B64D2" w:rsidRDefault="008C4F21">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报告期内，通过对交易价格、交易时间、交易方向等的分析，未发现有可能导致不公平交易和利益输送的异常交易行为。</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所有投资组合参与的交易所公开竞价同日反向交易成交较少的单边交易量</w:t>
      </w:r>
      <w:r w:rsidRPr="00EE3DBC">
        <w:rPr>
          <w:rFonts w:eastAsiaTheme="minorEastAsia"/>
          <w:color w:val="000000" w:themeColor="text1"/>
          <w:kern w:val="0"/>
          <w:sz w:val="24"/>
        </w:rPr>
        <w:lastRenderedPageBreak/>
        <w:t>超过该证券当日成交量的</w:t>
      </w:r>
      <w:r w:rsidRPr="00EE3DBC">
        <w:rPr>
          <w:rFonts w:eastAsiaTheme="minorEastAsia"/>
          <w:color w:val="000000" w:themeColor="text1"/>
          <w:kern w:val="0"/>
          <w:sz w:val="24"/>
        </w:rPr>
        <w:t>5%</w:t>
      </w:r>
      <w:r w:rsidRPr="00EE3DBC">
        <w:rPr>
          <w:rFonts w:eastAsiaTheme="minorEastAsia"/>
          <w:color w:val="000000" w:themeColor="text1"/>
          <w:kern w:val="0"/>
          <w:sz w:val="24"/>
        </w:rPr>
        <w:t>的情形：无。</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4.4 </w:t>
      </w:r>
      <w:r w:rsidRPr="00EE3DBC">
        <w:rPr>
          <w:rFonts w:eastAsiaTheme="minorEastAsia"/>
          <w:b/>
          <w:color w:val="000000" w:themeColor="text1"/>
          <w:kern w:val="0"/>
          <w:sz w:val="24"/>
        </w:rPr>
        <w:t>报告期内基金的投资策略和业绩表现说明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4.4.1</w:t>
      </w:r>
      <w:r w:rsidRPr="00EE3DBC">
        <w:rPr>
          <w:rFonts w:eastAsiaTheme="minorEastAsia"/>
          <w:color w:val="000000" w:themeColor="text1"/>
          <w:sz w:val="24"/>
        </w:rPr>
        <w:t>报告期内基金投资策略和运作分析</w:t>
      </w:r>
    </w:p>
    <w:p w:rsidR="005B64D2" w:rsidRDefault="008C4F21">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w:t>
      </w:r>
      <w:r>
        <w:rPr>
          <w:rFonts w:eastAsiaTheme="minorEastAsia"/>
          <w:color w:val="000000" w:themeColor="text1"/>
          <w:kern w:val="0"/>
          <w:sz w:val="24"/>
        </w:rPr>
        <w:t>A</w:t>
      </w:r>
      <w:r>
        <w:rPr>
          <w:rFonts w:eastAsiaTheme="minorEastAsia"/>
          <w:color w:val="000000" w:themeColor="text1"/>
          <w:kern w:val="0"/>
          <w:sz w:val="24"/>
        </w:rPr>
        <w:t>股经历下跌之后的快速反弹行情，并且不同市值或行业的股票走势分化。偏向大盘价值风格类股票率先企稳；偏向小盘和微盘风格类股票，去年表现较好、投资者情绪较为乐观，当期间交易拥挤、资金流出时，出现了较大幅度的连续回撤。伴随着长期资金买入持有</w:t>
      </w:r>
      <w:r>
        <w:rPr>
          <w:rFonts w:eastAsiaTheme="minorEastAsia"/>
          <w:color w:val="000000" w:themeColor="text1"/>
          <w:kern w:val="0"/>
          <w:sz w:val="24"/>
        </w:rPr>
        <w:t>ETF</w:t>
      </w:r>
      <w:r>
        <w:rPr>
          <w:rFonts w:eastAsiaTheme="minorEastAsia"/>
          <w:color w:val="000000" w:themeColor="text1"/>
          <w:kern w:val="0"/>
          <w:sz w:val="24"/>
        </w:rPr>
        <w:t>、海外资金回流中国市场，股市止跌回升。从具体的因子收益来看，大市值、低估值、高股息等防御类因子表现较好，成长类因子则表现一般。</w:t>
      </w:r>
    </w:p>
    <w:p w:rsidR="005B64D2" w:rsidRDefault="008C4F21">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本基金采用指数增强投资策略，采用多因子模型进行选股，重点关注估值相对业绩增速较为合理的公司，在严格控制行业和风格偏离与持股分散的情况下，力争实现相对基准指数长期稳健的超额收益表现。</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展望未来，本基金跟踪的沪深</w:t>
      </w:r>
      <w:r w:rsidRPr="00EE3DBC">
        <w:rPr>
          <w:rFonts w:eastAsiaTheme="minorEastAsia"/>
          <w:color w:val="000000" w:themeColor="text1"/>
          <w:kern w:val="0"/>
          <w:sz w:val="24"/>
        </w:rPr>
        <w:t>300</w:t>
      </w:r>
      <w:r w:rsidRPr="00EE3DBC">
        <w:rPr>
          <w:rFonts w:eastAsiaTheme="minorEastAsia"/>
          <w:color w:val="000000" w:themeColor="text1"/>
          <w:kern w:val="0"/>
          <w:sz w:val="24"/>
        </w:rPr>
        <w:t>指数相关公司，与中国宏观经济发展紧密相关，估值水平处于历史较低位置，股息率与股权风险溢价率，也处于历史较高位置，或具有较好的中长期投资配置价值。</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4.4.2</w:t>
      </w:r>
      <w:r w:rsidRPr="00EE3DBC">
        <w:rPr>
          <w:rFonts w:eastAsiaTheme="minorEastAsia"/>
          <w:color w:val="000000" w:themeColor="text1"/>
          <w:sz w:val="24"/>
        </w:rPr>
        <w:t>报告期内基金的业绩表现</w:t>
      </w:r>
    </w:p>
    <w:p w:rsidR="005B64D2" w:rsidRDefault="008C4F21">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本报告期摩根沪深</w:t>
      </w:r>
      <w:r>
        <w:rPr>
          <w:rFonts w:eastAsiaTheme="minorEastAsia"/>
          <w:color w:val="000000" w:themeColor="text1"/>
          <w:kern w:val="0"/>
          <w:sz w:val="24"/>
        </w:rPr>
        <w:t>300</w:t>
      </w:r>
      <w:r>
        <w:rPr>
          <w:rFonts w:eastAsiaTheme="minorEastAsia"/>
          <w:color w:val="000000" w:themeColor="text1"/>
          <w:kern w:val="0"/>
          <w:sz w:val="24"/>
        </w:rPr>
        <w:t>增强</w:t>
      </w:r>
      <w:r>
        <w:rPr>
          <w:rFonts w:eastAsiaTheme="minorEastAsia"/>
          <w:color w:val="000000" w:themeColor="text1"/>
          <w:kern w:val="0"/>
          <w:sz w:val="24"/>
        </w:rPr>
        <w:t>A</w:t>
      </w:r>
      <w:r>
        <w:rPr>
          <w:rFonts w:eastAsiaTheme="minorEastAsia"/>
          <w:color w:val="000000" w:themeColor="text1"/>
          <w:kern w:val="0"/>
          <w:sz w:val="24"/>
        </w:rPr>
        <w:t>份额净值增长率为</w:t>
      </w:r>
      <w:r>
        <w:rPr>
          <w:rFonts w:eastAsiaTheme="minorEastAsia"/>
          <w:color w:val="000000" w:themeColor="text1"/>
          <w:kern w:val="0"/>
          <w:sz w:val="24"/>
        </w:rPr>
        <w:t>:2.00%</w:t>
      </w:r>
      <w:r>
        <w:rPr>
          <w:rFonts w:eastAsiaTheme="minorEastAsia"/>
          <w:color w:val="000000" w:themeColor="text1"/>
          <w:kern w:val="0"/>
          <w:sz w:val="24"/>
        </w:rPr>
        <w:t>，同期业绩比较基准收益率为</w:t>
      </w:r>
      <w:r>
        <w:rPr>
          <w:rFonts w:eastAsiaTheme="minorEastAsia"/>
          <w:color w:val="000000" w:themeColor="text1"/>
          <w:kern w:val="0"/>
          <w:sz w:val="24"/>
        </w:rPr>
        <w:t>:2.95%</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摩根沪深</w:t>
      </w:r>
      <w:r w:rsidRPr="00EE3DBC">
        <w:rPr>
          <w:rFonts w:eastAsiaTheme="minorEastAsia"/>
          <w:color w:val="000000" w:themeColor="text1"/>
          <w:kern w:val="0"/>
          <w:sz w:val="24"/>
        </w:rPr>
        <w:t>300</w:t>
      </w:r>
      <w:r w:rsidRPr="00EE3DBC">
        <w:rPr>
          <w:rFonts w:eastAsiaTheme="minorEastAsia"/>
          <w:color w:val="000000" w:themeColor="text1"/>
          <w:kern w:val="0"/>
          <w:sz w:val="24"/>
        </w:rPr>
        <w:t>增强</w:t>
      </w:r>
      <w:r w:rsidRPr="00EE3DBC">
        <w:rPr>
          <w:rFonts w:eastAsiaTheme="minorEastAsia"/>
          <w:color w:val="000000" w:themeColor="text1"/>
          <w:kern w:val="0"/>
          <w:sz w:val="24"/>
        </w:rPr>
        <w:t>C</w:t>
      </w:r>
      <w:r w:rsidRPr="00EE3DBC">
        <w:rPr>
          <w:rFonts w:eastAsiaTheme="minorEastAsia"/>
          <w:color w:val="000000" w:themeColor="text1"/>
          <w:kern w:val="0"/>
          <w:sz w:val="24"/>
        </w:rPr>
        <w:t>份额净值增长率为</w:t>
      </w:r>
      <w:r w:rsidRPr="00EE3DBC">
        <w:rPr>
          <w:rFonts w:eastAsiaTheme="minorEastAsia"/>
          <w:color w:val="000000" w:themeColor="text1"/>
          <w:kern w:val="0"/>
          <w:sz w:val="24"/>
        </w:rPr>
        <w:t>:1.94%</w:t>
      </w:r>
      <w:r w:rsidRPr="00EE3DBC">
        <w:rPr>
          <w:rFonts w:eastAsiaTheme="minorEastAsia"/>
          <w:color w:val="000000" w:themeColor="text1"/>
          <w:kern w:val="0"/>
          <w:sz w:val="24"/>
        </w:rPr>
        <w:t>，同期业绩比较基准收益率为</w:t>
      </w:r>
      <w:r w:rsidRPr="00EE3DBC">
        <w:rPr>
          <w:rFonts w:eastAsiaTheme="minorEastAsia"/>
          <w:color w:val="000000" w:themeColor="text1"/>
          <w:kern w:val="0"/>
          <w:sz w:val="24"/>
        </w:rPr>
        <w:t>:2.95%</w:t>
      </w:r>
      <w:r w:rsidRPr="00EE3DBC">
        <w:rPr>
          <w:rFonts w:eastAsiaTheme="minorEastAsia"/>
          <w:color w:val="000000" w:themeColor="text1"/>
          <w:kern w:val="0"/>
          <w:sz w:val="24"/>
        </w:rPr>
        <w:t>。</w:t>
      </w:r>
    </w:p>
    <w:p w:rsidR="00A960A3" w:rsidRPr="00EE3DBC" w:rsidRDefault="00A960A3">
      <w:pPr>
        <w:spacing w:line="360" w:lineRule="auto"/>
        <w:ind w:firstLineChars="200" w:firstLine="480"/>
        <w:rPr>
          <w:rFonts w:eastAsiaTheme="minorEastAsia"/>
          <w:color w:val="000000" w:themeColor="text1"/>
          <w:kern w:val="0"/>
          <w:sz w:val="24"/>
        </w:rPr>
      </w:pPr>
    </w:p>
    <w:p w:rsidR="00A960A3" w:rsidRPr="00EE3DBC" w:rsidRDefault="005B4E34">
      <w:pPr>
        <w:spacing w:line="360" w:lineRule="auto"/>
        <w:rPr>
          <w:rFonts w:eastAsiaTheme="minorEastAsia"/>
          <w:color w:val="000000" w:themeColor="text1"/>
          <w:sz w:val="24"/>
        </w:rPr>
      </w:pPr>
      <w:r w:rsidRPr="00EE3DBC">
        <w:rPr>
          <w:rFonts w:eastAsiaTheme="minorEastAsia"/>
          <w:b/>
          <w:color w:val="000000" w:themeColor="text1"/>
          <w:kern w:val="0"/>
          <w:sz w:val="24"/>
        </w:rPr>
        <w:t>4.5</w:t>
      </w:r>
      <w:r w:rsidRPr="00EE3DBC">
        <w:rPr>
          <w:rFonts w:eastAsiaTheme="minorEastAsia"/>
          <w:b/>
          <w:color w:val="000000" w:themeColor="text1"/>
          <w:kern w:val="0"/>
          <w:sz w:val="24"/>
        </w:rPr>
        <w:t>报告期内基金持有人数或基金资产净值预警说明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无。</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§5  </w:t>
      </w:r>
      <w:r w:rsidRPr="00EE3DBC">
        <w:rPr>
          <w:rFonts w:eastAsiaTheme="minorEastAsia"/>
          <w:color w:val="000000" w:themeColor="text1"/>
          <w:kern w:val="0"/>
          <w:sz w:val="24"/>
          <w:szCs w:val="24"/>
        </w:rPr>
        <w:t>投资组合报告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 </w:t>
      </w:r>
      <w:r w:rsidRPr="00EE3DBC">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335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项目</w:t>
            </w:r>
          </w:p>
        </w:tc>
        <w:tc>
          <w:tcPr>
            <w:tcW w:w="297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金额</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占基金总资产的比例</w:t>
            </w: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lastRenderedPageBreak/>
              <w:t>1</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权益投资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15,058,840.03</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94.68</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其中：股票</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15,058,840.03</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94.68</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2</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固定收益投资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203,890.41</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1.28</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其中：债券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203,890.41</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1.28</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autoSpaceDE w:val="0"/>
              <w:autoSpaceDN w:val="0"/>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资产支持证券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3</w:t>
            </w:r>
          </w:p>
        </w:tc>
        <w:tc>
          <w:tcPr>
            <w:tcW w:w="3357" w:type="dxa"/>
          </w:tcPr>
          <w:p w:rsidR="00A960A3" w:rsidRPr="00EE3DBC" w:rsidRDefault="005B4E34">
            <w:pPr>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贵金属投资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4</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金融衍生品投资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5</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其中：买断式回购的买入返售金融资产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6</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银行存款和结算备付金合计</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597,178.02</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3.75</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7</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其他各项资产</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44,259.59</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0.28</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8</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合计</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15,904,168.05</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100.00</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5.2 </w:t>
      </w:r>
      <w:r w:rsidRPr="00EE3DBC">
        <w:rPr>
          <w:rFonts w:eastAsiaTheme="minorEastAsia"/>
          <w:b/>
          <w:color w:val="000000" w:themeColor="text1"/>
          <w:kern w:val="0"/>
          <w:sz w:val="24"/>
        </w:rPr>
        <w:t>报告期末按行业分类的股票投资组合</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5.2.1</w:t>
      </w:r>
      <w:r w:rsidRPr="00EE3DBC">
        <w:rPr>
          <w:rFonts w:eastAsiaTheme="minorEastAsia"/>
          <w:b/>
          <w:color w:val="000000" w:themeColor="text1"/>
          <w:kern w:val="0"/>
          <w:sz w:val="24"/>
        </w:rPr>
        <w:t>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710"/>
        <w:gridCol w:w="1790"/>
      </w:tblGrid>
      <w:tr w:rsidR="00A960A3" w:rsidRPr="00EE3DB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占基金资产净值比例（％）</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5,556.00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0.04</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145,979.00</w:t>
            </w:r>
          </w:p>
          <w:p w:rsidR="00A960A3" w:rsidRPr="00EE3DBC" w:rsidRDefault="00A960A3">
            <w:pPr>
              <w:jc w:val="right"/>
              <w:rPr>
                <w:rFonts w:eastAsiaTheme="minorEastAsia"/>
                <w:color w:val="000000" w:themeColor="text1"/>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0.93</w:t>
            </w:r>
          </w:p>
          <w:p w:rsidR="00A960A3" w:rsidRPr="00EE3DBC" w:rsidRDefault="00A960A3">
            <w:pPr>
              <w:jc w:val="right"/>
              <w:rPr>
                <w:rFonts w:eastAsiaTheme="minorEastAsia"/>
                <w:color w:val="000000" w:themeColor="text1"/>
                <w:sz w:val="24"/>
              </w:rPr>
            </w:pP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1,434,843.89</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9.12</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59,785.00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0.38</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8,548.40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0.05</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41,485.00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0.26</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99,481.20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0.63</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82,294.34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0.52</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151,429.00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0.96</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lastRenderedPageBreak/>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19,604.00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0.12</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28,329.90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0.18</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57,487.60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0.37</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4,349.00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0.03</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13,176.00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0.08</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A960A3">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2,152,348.33</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13.68</w:t>
            </w:r>
          </w:p>
        </w:tc>
      </w:tr>
    </w:tbl>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5.2.2</w:t>
      </w:r>
      <w:r w:rsidRPr="00EE3DBC">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710"/>
        <w:gridCol w:w="1790"/>
      </w:tblGrid>
      <w:tr w:rsidR="00A960A3" w:rsidRPr="00EE3DB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占基金资产净值比例（％）</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160,720.00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1.02</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603,981.50</w:t>
            </w:r>
          </w:p>
          <w:p w:rsidR="00A960A3" w:rsidRPr="00EE3DBC" w:rsidRDefault="00A960A3">
            <w:pPr>
              <w:jc w:val="right"/>
              <w:rPr>
                <w:rFonts w:eastAsiaTheme="minorEastAsia"/>
                <w:color w:val="000000" w:themeColor="text1"/>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3.84</w:t>
            </w:r>
          </w:p>
          <w:p w:rsidR="00A960A3" w:rsidRPr="00EE3DBC" w:rsidRDefault="00A960A3">
            <w:pPr>
              <w:jc w:val="right"/>
              <w:rPr>
                <w:rFonts w:eastAsiaTheme="minorEastAsia"/>
                <w:color w:val="000000" w:themeColor="text1"/>
                <w:sz w:val="24"/>
              </w:rPr>
            </w:pP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7,073,616.20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44.95</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459,480.00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2.92</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354,068.20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2.25</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25,658.00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0.16</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330,345.00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2.10</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458,147.40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2.91</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3,096,460.40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19.68</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114,747.00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0.73</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91,742.00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0.58</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rPr>
                <w:rFonts w:eastAsiaTheme="minorEastAsia"/>
                <w:color w:val="000000" w:themeColor="text1"/>
                <w:sz w:val="24"/>
              </w:rPr>
            </w:pPr>
            <w:r w:rsidRPr="00EE3DBC">
              <w:rPr>
                <w:rFonts w:eastAsiaTheme="minorEastAsia"/>
                <w:color w:val="000000" w:themeColor="text1"/>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99,766.00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0.63</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37,760.00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0.24</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lastRenderedPageBreak/>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960A3" w:rsidRPr="00EE3DBC" w:rsidRDefault="00A960A3">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12,906,491.70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82.02</w:t>
            </w:r>
          </w:p>
        </w:tc>
      </w:tr>
    </w:tbl>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5.3</w:t>
      </w:r>
      <w:r w:rsidRPr="00EE3DBC">
        <w:rPr>
          <w:rFonts w:eastAsiaTheme="minorEastAsia"/>
          <w:b/>
          <w:color w:val="000000" w:themeColor="text1"/>
          <w:kern w:val="0"/>
          <w:sz w:val="24"/>
        </w:rPr>
        <w:t>期末按公允价值占基金资产净值比例大小排序的股票投资明细</w:t>
      </w: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5.3.1</w:t>
      </w:r>
      <w:r w:rsidRPr="00EE3DBC">
        <w:rPr>
          <w:rFonts w:eastAsiaTheme="minorEastAsia"/>
          <w:b/>
          <w:color w:val="000000" w:themeColor="text1"/>
          <w:kern w:val="0"/>
          <w:sz w:val="24"/>
        </w:rPr>
        <w:t>期末</w:t>
      </w:r>
      <w:r w:rsidRPr="00EE3DBC">
        <w:rPr>
          <w:rFonts w:eastAsiaTheme="minor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A960A3" w:rsidRPr="00EE3DBC">
        <w:tc>
          <w:tcPr>
            <w:tcW w:w="81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股票代码</w:t>
            </w:r>
          </w:p>
        </w:tc>
        <w:tc>
          <w:tcPr>
            <w:tcW w:w="1701"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股票名称</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股</w:t>
            </w:r>
            <w:r w:rsidRPr="00EE3DBC">
              <w:rPr>
                <w:rFonts w:eastAsiaTheme="minorEastAsia"/>
                <w:color w:val="000000" w:themeColor="text1"/>
                <w:sz w:val="24"/>
              </w:rPr>
              <w:t>)</w:t>
            </w:r>
          </w:p>
        </w:tc>
        <w:tc>
          <w:tcPr>
            <w:tcW w:w="1842" w:type="dxa"/>
            <w:vAlign w:val="center"/>
          </w:tcPr>
          <w:p w:rsidR="00A960A3" w:rsidRPr="00EE3DBC" w:rsidRDefault="005B4E34">
            <w:pPr>
              <w:autoSpaceDE w:val="0"/>
              <w:autoSpaceDN w:val="0"/>
              <w:adjustRightInd w:val="0"/>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5B64D2">
        <w:tc>
          <w:tcPr>
            <w:tcW w:w="817" w:type="dxa"/>
            <w:vAlign w:val="center"/>
          </w:tcPr>
          <w:p w:rsidR="005B64D2" w:rsidRDefault="008C4F21">
            <w:pPr>
              <w:jc w:val="center"/>
            </w:pPr>
            <w:r>
              <w:rPr>
                <w:rFonts w:eastAsiaTheme="minorEastAsia"/>
                <w:color w:val="000000" w:themeColor="text1"/>
                <w:sz w:val="24"/>
              </w:rPr>
              <w:t>1</w:t>
            </w:r>
          </w:p>
        </w:tc>
        <w:tc>
          <w:tcPr>
            <w:tcW w:w="1276" w:type="dxa"/>
            <w:vAlign w:val="center"/>
          </w:tcPr>
          <w:p w:rsidR="005B64D2" w:rsidRDefault="008C4F21">
            <w:pPr>
              <w:jc w:val="center"/>
            </w:pPr>
            <w:r>
              <w:rPr>
                <w:rFonts w:eastAsiaTheme="minorEastAsia"/>
                <w:color w:val="000000" w:themeColor="text1"/>
                <w:sz w:val="24"/>
              </w:rPr>
              <w:t>600519</w:t>
            </w:r>
          </w:p>
        </w:tc>
        <w:tc>
          <w:tcPr>
            <w:tcW w:w="1701" w:type="dxa"/>
            <w:vAlign w:val="center"/>
          </w:tcPr>
          <w:p w:rsidR="005B64D2" w:rsidRDefault="008C4F21">
            <w:pPr>
              <w:jc w:val="center"/>
            </w:pPr>
            <w:r>
              <w:rPr>
                <w:rFonts w:eastAsiaTheme="minorEastAsia"/>
                <w:color w:val="000000" w:themeColor="text1"/>
                <w:sz w:val="24"/>
              </w:rPr>
              <w:t>贵州茅台</w:t>
            </w:r>
          </w:p>
        </w:tc>
        <w:tc>
          <w:tcPr>
            <w:tcW w:w="1276" w:type="dxa"/>
            <w:vAlign w:val="center"/>
          </w:tcPr>
          <w:p w:rsidR="005B64D2" w:rsidRDefault="008C4F21">
            <w:pPr>
              <w:jc w:val="right"/>
            </w:pPr>
            <w:r>
              <w:rPr>
                <w:rFonts w:eastAsiaTheme="minorEastAsia"/>
                <w:color w:val="000000" w:themeColor="text1"/>
                <w:sz w:val="24"/>
              </w:rPr>
              <w:t>500.00</w:t>
            </w:r>
          </w:p>
        </w:tc>
        <w:tc>
          <w:tcPr>
            <w:tcW w:w="1842" w:type="dxa"/>
            <w:vAlign w:val="center"/>
          </w:tcPr>
          <w:p w:rsidR="005B64D2" w:rsidRDefault="008C4F21">
            <w:pPr>
              <w:jc w:val="right"/>
            </w:pPr>
            <w:r>
              <w:rPr>
                <w:rFonts w:eastAsiaTheme="minorEastAsia"/>
                <w:color w:val="000000" w:themeColor="text1"/>
                <w:sz w:val="24"/>
              </w:rPr>
              <w:t>851,450.00</w:t>
            </w:r>
          </w:p>
        </w:tc>
        <w:tc>
          <w:tcPr>
            <w:tcW w:w="1616" w:type="dxa"/>
            <w:vAlign w:val="center"/>
          </w:tcPr>
          <w:p w:rsidR="005B64D2" w:rsidRDefault="008C4F21">
            <w:pPr>
              <w:jc w:val="right"/>
            </w:pPr>
            <w:r>
              <w:rPr>
                <w:rFonts w:eastAsiaTheme="minorEastAsia"/>
                <w:color w:val="000000" w:themeColor="text1"/>
                <w:sz w:val="24"/>
              </w:rPr>
              <w:t>5.41</w:t>
            </w:r>
          </w:p>
        </w:tc>
      </w:tr>
      <w:tr w:rsidR="005B64D2">
        <w:tc>
          <w:tcPr>
            <w:tcW w:w="817" w:type="dxa"/>
            <w:vAlign w:val="center"/>
          </w:tcPr>
          <w:p w:rsidR="005B64D2" w:rsidRDefault="008C4F21">
            <w:pPr>
              <w:jc w:val="center"/>
            </w:pPr>
            <w:r>
              <w:rPr>
                <w:rFonts w:eastAsiaTheme="minorEastAsia"/>
                <w:color w:val="000000" w:themeColor="text1"/>
                <w:sz w:val="24"/>
              </w:rPr>
              <w:t>2</w:t>
            </w:r>
          </w:p>
        </w:tc>
        <w:tc>
          <w:tcPr>
            <w:tcW w:w="1276" w:type="dxa"/>
            <w:vAlign w:val="center"/>
          </w:tcPr>
          <w:p w:rsidR="005B64D2" w:rsidRDefault="008C4F21">
            <w:pPr>
              <w:jc w:val="center"/>
            </w:pPr>
            <w:r>
              <w:rPr>
                <w:rFonts w:eastAsiaTheme="minorEastAsia"/>
                <w:color w:val="000000" w:themeColor="text1"/>
                <w:sz w:val="24"/>
              </w:rPr>
              <w:t>300750</w:t>
            </w:r>
          </w:p>
        </w:tc>
        <w:tc>
          <w:tcPr>
            <w:tcW w:w="1701" w:type="dxa"/>
            <w:vAlign w:val="center"/>
          </w:tcPr>
          <w:p w:rsidR="005B64D2" w:rsidRDefault="008C4F21">
            <w:pPr>
              <w:jc w:val="center"/>
            </w:pPr>
            <w:r>
              <w:rPr>
                <w:rFonts w:eastAsiaTheme="minorEastAsia"/>
                <w:color w:val="000000" w:themeColor="text1"/>
                <w:sz w:val="24"/>
              </w:rPr>
              <w:t>宁德时代</w:t>
            </w:r>
          </w:p>
        </w:tc>
        <w:tc>
          <w:tcPr>
            <w:tcW w:w="1276" w:type="dxa"/>
            <w:vAlign w:val="center"/>
          </w:tcPr>
          <w:p w:rsidR="005B64D2" w:rsidRDefault="008C4F21">
            <w:pPr>
              <w:jc w:val="right"/>
            </w:pPr>
            <w:r>
              <w:rPr>
                <w:rFonts w:eastAsiaTheme="minorEastAsia"/>
                <w:color w:val="000000" w:themeColor="text1"/>
                <w:sz w:val="24"/>
              </w:rPr>
              <w:t>2,460.00</w:t>
            </w:r>
          </w:p>
        </w:tc>
        <w:tc>
          <w:tcPr>
            <w:tcW w:w="1842" w:type="dxa"/>
            <w:vAlign w:val="center"/>
          </w:tcPr>
          <w:p w:rsidR="005B64D2" w:rsidRDefault="008C4F21">
            <w:pPr>
              <w:jc w:val="right"/>
            </w:pPr>
            <w:r>
              <w:rPr>
                <w:rFonts w:eastAsiaTheme="minorEastAsia"/>
                <w:color w:val="000000" w:themeColor="text1"/>
                <w:sz w:val="24"/>
              </w:rPr>
              <w:t>467,793.60</w:t>
            </w:r>
          </w:p>
        </w:tc>
        <w:tc>
          <w:tcPr>
            <w:tcW w:w="1616" w:type="dxa"/>
            <w:vAlign w:val="center"/>
          </w:tcPr>
          <w:p w:rsidR="005B64D2" w:rsidRDefault="008C4F21">
            <w:pPr>
              <w:jc w:val="right"/>
            </w:pPr>
            <w:r>
              <w:rPr>
                <w:rFonts w:eastAsiaTheme="minorEastAsia"/>
                <w:color w:val="000000" w:themeColor="text1"/>
                <w:sz w:val="24"/>
              </w:rPr>
              <w:t>2.97</w:t>
            </w:r>
          </w:p>
        </w:tc>
      </w:tr>
      <w:tr w:rsidR="005B64D2">
        <w:tc>
          <w:tcPr>
            <w:tcW w:w="817" w:type="dxa"/>
            <w:vAlign w:val="center"/>
          </w:tcPr>
          <w:p w:rsidR="005B64D2" w:rsidRDefault="008C4F21">
            <w:pPr>
              <w:jc w:val="center"/>
            </w:pPr>
            <w:r>
              <w:rPr>
                <w:rFonts w:eastAsiaTheme="minorEastAsia"/>
                <w:color w:val="000000" w:themeColor="text1"/>
                <w:sz w:val="24"/>
              </w:rPr>
              <w:t>3</w:t>
            </w:r>
          </w:p>
        </w:tc>
        <w:tc>
          <w:tcPr>
            <w:tcW w:w="1276" w:type="dxa"/>
            <w:vAlign w:val="center"/>
          </w:tcPr>
          <w:p w:rsidR="005B64D2" w:rsidRDefault="008C4F21">
            <w:pPr>
              <w:jc w:val="center"/>
            </w:pPr>
            <w:r>
              <w:rPr>
                <w:rFonts w:eastAsiaTheme="minorEastAsia"/>
                <w:color w:val="000000" w:themeColor="text1"/>
                <w:sz w:val="24"/>
              </w:rPr>
              <w:t>601318</w:t>
            </w:r>
          </w:p>
        </w:tc>
        <w:tc>
          <w:tcPr>
            <w:tcW w:w="1701" w:type="dxa"/>
            <w:vAlign w:val="center"/>
          </w:tcPr>
          <w:p w:rsidR="005B64D2" w:rsidRDefault="008C4F21">
            <w:pPr>
              <w:jc w:val="center"/>
            </w:pPr>
            <w:r>
              <w:rPr>
                <w:rFonts w:eastAsiaTheme="minorEastAsia"/>
                <w:color w:val="000000" w:themeColor="text1"/>
                <w:sz w:val="24"/>
              </w:rPr>
              <w:t>中国平安</w:t>
            </w:r>
          </w:p>
        </w:tc>
        <w:tc>
          <w:tcPr>
            <w:tcW w:w="1276" w:type="dxa"/>
            <w:vAlign w:val="center"/>
          </w:tcPr>
          <w:p w:rsidR="005B64D2" w:rsidRDefault="008C4F21">
            <w:pPr>
              <w:jc w:val="right"/>
            </w:pPr>
            <w:r>
              <w:rPr>
                <w:rFonts w:eastAsiaTheme="minorEastAsia"/>
                <w:color w:val="000000" w:themeColor="text1"/>
                <w:sz w:val="24"/>
              </w:rPr>
              <w:t>9,600.00</w:t>
            </w:r>
          </w:p>
        </w:tc>
        <w:tc>
          <w:tcPr>
            <w:tcW w:w="1842" w:type="dxa"/>
            <w:vAlign w:val="center"/>
          </w:tcPr>
          <w:p w:rsidR="005B64D2" w:rsidRDefault="008C4F21">
            <w:pPr>
              <w:jc w:val="right"/>
            </w:pPr>
            <w:r>
              <w:rPr>
                <w:rFonts w:eastAsiaTheme="minorEastAsia"/>
                <w:color w:val="000000" w:themeColor="text1"/>
                <w:sz w:val="24"/>
              </w:rPr>
              <w:t>391,776.00</w:t>
            </w:r>
          </w:p>
        </w:tc>
        <w:tc>
          <w:tcPr>
            <w:tcW w:w="1616" w:type="dxa"/>
            <w:vAlign w:val="center"/>
          </w:tcPr>
          <w:p w:rsidR="005B64D2" w:rsidRDefault="008C4F21">
            <w:pPr>
              <w:jc w:val="right"/>
            </w:pPr>
            <w:r>
              <w:rPr>
                <w:rFonts w:eastAsiaTheme="minorEastAsia"/>
                <w:color w:val="000000" w:themeColor="text1"/>
                <w:sz w:val="24"/>
              </w:rPr>
              <w:t>2.49</w:t>
            </w:r>
          </w:p>
        </w:tc>
      </w:tr>
      <w:tr w:rsidR="005B64D2">
        <w:tc>
          <w:tcPr>
            <w:tcW w:w="817" w:type="dxa"/>
            <w:vAlign w:val="center"/>
          </w:tcPr>
          <w:p w:rsidR="005B64D2" w:rsidRDefault="008C4F21">
            <w:pPr>
              <w:jc w:val="center"/>
            </w:pPr>
            <w:r>
              <w:rPr>
                <w:rFonts w:eastAsiaTheme="minorEastAsia"/>
                <w:color w:val="000000" w:themeColor="text1"/>
                <w:sz w:val="24"/>
              </w:rPr>
              <w:t>4</w:t>
            </w:r>
          </w:p>
        </w:tc>
        <w:tc>
          <w:tcPr>
            <w:tcW w:w="1276" w:type="dxa"/>
            <w:vAlign w:val="center"/>
          </w:tcPr>
          <w:p w:rsidR="005B64D2" w:rsidRDefault="008C4F21">
            <w:pPr>
              <w:jc w:val="center"/>
            </w:pPr>
            <w:r>
              <w:rPr>
                <w:rFonts w:eastAsiaTheme="minorEastAsia"/>
                <w:color w:val="000000" w:themeColor="text1"/>
                <w:sz w:val="24"/>
              </w:rPr>
              <w:t>600036</w:t>
            </w:r>
          </w:p>
        </w:tc>
        <w:tc>
          <w:tcPr>
            <w:tcW w:w="1701" w:type="dxa"/>
            <w:vAlign w:val="center"/>
          </w:tcPr>
          <w:p w:rsidR="005B64D2" w:rsidRDefault="008C4F21">
            <w:pPr>
              <w:jc w:val="center"/>
            </w:pPr>
            <w:r>
              <w:rPr>
                <w:rFonts w:eastAsiaTheme="minorEastAsia"/>
                <w:color w:val="000000" w:themeColor="text1"/>
                <w:sz w:val="24"/>
              </w:rPr>
              <w:t>招商银行</w:t>
            </w:r>
          </w:p>
        </w:tc>
        <w:tc>
          <w:tcPr>
            <w:tcW w:w="1276" w:type="dxa"/>
            <w:vAlign w:val="center"/>
          </w:tcPr>
          <w:p w:rsidR="005B64D2" w:rsidRDefault="008C4F21">
            <w:pPr>
              <w:jc w:val="right"/>
            </w:pPr>
            <w:r>
              <w:rPr>
                <w:rFonts w:eastAsiaTheme="minorEastAsia"/>
                <w:color w:val="000000" w:themeColor="text1"/>
                <w:sz w:val="24"/>
              </w:rPr>
              <w:t>9,900.00</w:t>
            </w:r>
          </w:p>
        </w:tc>
        <w:tc>
          <w:tcPr>
            <w:tcW w:w="1842" w:type="dxa"/>
            <w:vAlign w:val="center"/>
          </w:tcPr>
          <w:p w:rsidR="005B64D2" w:rsidRDefault="008C4F21">
            <w:pPr>
              <w:jc w:val="right"/>
            </w:pPr>
            <w:r>
              <w:rPr>
                <w:rFonts w:eastAsiaTheme="minorEastAsia"/>
                <w:color w:val="000000" w:themeColor="text1"/>
                <w:sz w:val="24"/>
              </w:rPr>
              <w:t>318,780.00</w:t>
            </w:r>
          </w:p>
        </w:tc>
        <w:tc>
          <w:tcPr>
            <w:tcW w:w="1616" w:type="dxa"/>
            <w:vAlign w:val="center"/>
          </w:tcPr>
          <w:p w:rsidR="005B64D2" w:rsidRDefault="008C4F21">
            <w:pPr>
              <w:jc w:val="right"/>
            </w:pPr>
            <w:r>
              <w:rPr>
                <w:rFonts w:eastAsiaTheme="minorEastAsia"/>
                <w:color w:val="000000" w:themeColor="text1"/>
                <w:sz w:val="24"/>
              </w:rPr>
              <w:t>2.03</w:t>
            </w:r>
          </w:p>
        </w:tc>
      </w:tr>
      <w:tr w:rsidR="005B64D2">
        <w:tc>
          <w:tcPr>
            <w:tcW w:w="817" w:type="dxa"/>
            <w:vAlign w:val="center"/>
          </w:tcPr>
          <w:p w:rsidR="005B64D2" w:rsidRDefault="008C4F21">
            <w:pPr>
              <w:jc w:val="center"/>
            </w:pPr>
            <w:r>
              <w:rPr>
                <w:rFonts w:eastAsiaTheme="minorEastAsia"/>
                <w:color w:val="000000" w:themeColor="text1"/>
                <w:sz w:val="24"/>
              </w:rPr>
              <w:t>5</w:t>
            </w:r>
          </w:p>
        </w:tc>
        <w:tc>
          <w:tcPr>
            <w:tcW w:w="1276" w:type="dxa"/>
            <w:vAlign w:val="center"/>
          </w:tcPr>
          <w:p w:rsidR="005B64D2" w:rsidRDefault="008C4F21">
            <w:pPr>
              <w:jc w:val="center"/>
            </w:pPr>
            <w:r>
              <w:rPr>
                <w:rFonts w:eastAsiaTheme="minorEastAsia"/>
                <w:color w:val="000000" w:themeColor="text1"/>
                <w:sz w:val="24"/>
              </w:rPr>
              <w:t>000858</w:t>
            </w:r>
          </w:p>
        </w:tc>
        <w:tc>
          <w:tcPr>
            <w:tcW w:w="1701" w:type="dxa"/>
            <w:vAlign w:val="center"/>
          </w:tcPr>
          <w:p w:rsidR="005B64D2" w:rsidRDefault="008C4F21">
            <w:pPr>
              <w:jc w:val="center"/>
            </w:pPr>
            <w:r>
              <w:rPr>
                <w:rFonts w:eastAsiaTheme="minorEastAsia"/>
                <w:color w:val="000000" w:themeColor="text1"/>
                <w:sz w:val="24"/>
              </w:rPr>
              <w:t>五</w:t>
            </w:r>
            <w:r>
              <w:rPr>
                <w:rFonts w:eastAsiaTheme="minorEastAsia"/>
                <w:color w:val="000000" w:themeColor="text1"/>
                <w:sz w:val="24"/>
              </w:rPr>
              <w:t xml:space="preserve"> </w:t>
            </w:r>
            <w:r>
              <w:rPr>
                <w:rFonts w:eastAsiaTheme="minorEastAsia"/>
                <w:color w:val="000000" w:themeColor="text1"/>
                <w:sz w:val="24"/>
              </w:rPr>
              <w:t>粮</w:t>
            </w:r>
            <w:r>
              <w:rPr>
                <w:rFonts w:eastAsiaTheme="minorEastAsia"/>
                <w:color w:val="000000" w:themeColor="text1"/>
                <w:sz w:val="24"/>
              </w:rPr>
              <w:t xml:space="preserve"> </w:t>
            </w:r>
            <w:r>
              <w:rPr>
                <w:rFonts w:eastAsiaTheme="minorEastAsia"/>
                <w:color w:val="000000" w:themeColor="text1"/>
                <w:sz w:val="24"/>
              </w:rPr>
              <w:t>液</w:t>
            </w:r>
          </w:p>
        </w:tc>
        <w:tc>
          <w:tcPr>
            <w:tcW w:w="1276" w:type="dxa"/>
            <w:vAlign w:val="center"/>
          </w:tcPr>
          <w:p w:rsidR="005B64D2" w:rsidRDefault="008C4F21">
            <w:pPr>
              <w:jc w:val="right"/>
            </w:pPr>
            <w:r>
              <w:rPr>
                <w:rFonts w:eastAsiaTheme="minorEastAsia"/>
                <w:color w:val="000000" w:themeColor="text1"/>
                <w:sz w:val="24"/>
              </w:rPr>
              <w:t>1,900.00</w:t>
            </w:r>
          </w:p>
        </w:tc>
        <w:tc>
          <w:tcPr>
            <w:tcW w:w="1842" w:type="dxa"/>
            <w:vAlign w:val="center"/>
          </w:tcPr>
          <w:p w:rsidR="005B64D2" w:rsidRDefault="008C4F21">
            <w:pPr>
              <w:jc w:val="right"/>
            </w:pPr>
            <w:r>
              <w:rPr>
                <w:rFonts w:eastAsiaTheme="minorEastAsia"/>
                <w:color w:val="000000" w:themeColor="text1"/>
                <w:sz w:val="24"/>
              </w:rPr>
              <w:t>291,669.00</w:t>
            </w:r>
          </w:p>
        </w:tc>
        <w:tc>
          <w:tcPr>
            <w:tcW w:w="1616" w:type="dxa"/>
            <w:vAlign w:val="center"/>
          </w:tcPr>
          <w:p w:rsidR="005B64D2" w:rsidRDefault="008C4F21">
            <w:pPr>
              <w:jc w:val="right"/>
            </w:pPr>
            <w:r>
              <w:rPr>
                <w:rFonts w:eastAsiaTheme="minorEastAsia"/>
                <w:color w:val="000000" w:themeColor="text1"/>
                <w:sz w:val="24"/>
              </w:rPr>
              <w:t>1.85</w:t>
            </w:r>
          </w:p>
        </w:tc>
      </w:tr>
      <w:tr w:rsidR="005B64D2">
        <w:tc>
          <w:tcPr>
            <w:tcW w:w="817" w:type="dxa"/>
            <w:vAlign w:val="center"/>
          </w:tcPr>
          <w:p w:rsidR="005B64D2" w:rsidRDefault="008C4F21">
            <w:pPr>
              <w:jc w:val="center"/>
            </w:pPr>
            <w:r>
              <w:rPr>
                <w:rFonts w:eastAsiaTheme="minorEastAsia"/>
                <w:color w:val="000000" w:themeColor="text1"/>
                <w:sz w:val="24"/>
              </w:rPr>
              <w:t>6</w:t>
            </w:r>
          </w:p>
        </w:tc>
        <w:tc>
          <w:tcPr>
            <w:tcW w:w="1276" w:type="dxa"/>
            <w:vAlign w:val="center"/>
          </w:tcPr>
          <w:p w:rsidR="005B64D2" w:rsidRDefault="008C4F21">
            <w:pPr>
              <w:jc w:val="center"/>
            </w:pPr>
            <w:r>
              <w:rPr>
                <w:rFonts w:eastAsiaTheme="minorEastAsia"/>
                <w:color w:val="000000" w:themeColor="text1"/>
                <w:sz w:val="24"/>
              </w:rPr>
              <w:t>000333</w:t>
            </w:r>
          </w:p>
        </w:tc>
        <w:tc>
          <w:tcPr>
            <w:tcW w:w="1701" w:type="dxa"/>
            <w:vAlign w:val="center"/>
          </w:tcPr>
          <w:p w:rsidR="005B64D2" w:rsidRDefault="008C4F21">
            <w:pPr>
              <w:jc w:val="center"/>
            </w:pPr>
            <w:r>
              <w:rPr>
                <w:rFonts w:eastAsiaTheme="minorEastAsia"/>
                <w:color w:val="000000" w:themeColor="text1"/>
                <w:sz w:val="24"/>
              </w:rPr>
              <w:t>美的集团</w:t>
            </w:r>
          </w:p>
        </w:tc>
        <w:tc>
          <w:tcPr>
            <w:tcW w:w="1276" w:type="dxa"/>
            <w:vAlign w:val="center"/>
          </w:tcPr>
          <w:p w:rsidR="005B64D2" w:rsidRDefault="008C4F21">
            <w:pPr>
              <w:jc w:val="right"/>
            </w:pPr>
            <w:r>
              <w:rPr>
                <w:rFonts w:eastAsiaTheme="minorEastAsia"/>
                <w:color w:val="000000" w:themeColor="text1"/>
                <w:sz w:val="24"/>
              </w:rPr>
              <w:t>4,400.00</w:t>
            </w:r>
          </w:p>
        </w:tc>
        <w:tc>
          <w:tcPr>
            <w:tcW w:w="1842" w:type="dxa"/>
            <w:vAlign w:val="center"/>
          </w:tcPr>
          <w:p w:rsidR="005B64D2" w:rsidRDefault="008C4F21">
            <w:pPr>
              <w:jc w:val="right"/>
            </w:pPr>
            <w:r>
              <w:rPr>
                <w:rFonts w:eastAsiaTheme="minorEastAsia"/>
                <w:color w:val="000000" w:themeColor="text1"/>
                <w:sz w:val="24"/>
              </w:rPr>
              <w:t>282,568.00</w:t>
            </w:r>
          </w:p>
        </w:tc>
        <w:tc>
          <w:tcPr>
            <w:tcW w:w="1616" w:type="dxa"/>
            <w:vAlign w:val="center"/>
          </w:tcPr>
          <w:p w:rsidR="005B64D2" w:rsidRDefault="008C4F21">
            <w:pPr>
              <w:jc w:val="right"/>
            </w:pPr>
            <w:r>
              <w:rPr>
                <w:rFonts w:eastAsiaTheme="minorEastAsia"/>
                <w:color w:val="000000" w:themeColor="text1"/>
                <w:sz w:val="24"/>
              </w:rPr>
              <w:t>1.80</w:t>
            </w:r>
          </w:p>
        </w:tc>
      </w:tr>
      <w:tr w:rsidR="005B64D2">
        <w:tc>
          <w:tcPr>
            <w:tcW w:w="817" w:type="dxa"/>
            <w:vAlign w:val="center"/>
          </w:tcPr>
          <w:p w:rsidR="005B64D2" w:rsidRDefault="008C4F21">
            <w:pPr>
              <w:jc w:val="center"/>
            </w:pPr>
            <w:r>
              <w:rPr>
                <w:rFonts w:eastAsiaTheme="minorEastAsia"/>
                <w:color w:val="000000" w:themeColor="text1"/>
                <w:sz w:val="24"/>
              </w:rPr>
              <w:t>7</w:t>
            </w:r>
          </w:p>
        </w:tc>
        <w:tc>
          <w:tcPr>
            <w:tcW w:w="1276" w:type="dxa"/>
            <w:vAlign w:val="center"/>
          </w:tcPr>
          <w:p w:rsidR="005B64D2" w:rsidRDefault="008C4F21">
            <w:pPr>
              <w:jc w:val="center"/>
            </w:pPr>
            <w:r>
              <w:rPr>
                <w:rFonts w:eastAsiaTheme="minorEastAsia"/>
                <w:color w:val="000000" w:themeColor="text1"/>
                <w:sz w:val="24"/>
              </w:rPr>
              <w:t>002594</w:t>
            </w:r>
          </w:p>
        </w:tc>
        <w:tc>
          <w:tcPr>
            <w:tcW w:w="1701" w:type="dxa"/>
            <w:vAlign w:val="center"/>
          </w:tcPr>
          <w:p w:rsidR="005B64D2" w:rsidRDefault="008C4F21">
            <w:pPr>
              <w:jc w:val="center"/>
            </w:pPr>
            <w:r>
              <w:rPr>
                <w:rFonts w:eastAsiaTheme="minorEastAsia"/>
                <w:color w:val="000000" w:themeColor="text1"/>
                <w:sz w:val="24"/>
              </w:rPr>
              <w:t>比亚迪</w:t>
            </w:r>
          </w:p>
        </w:tc>
        <w:tc>
          <w:tcPr>
            <w:tcW w:w="1276" w:type="dxa"/>
            <w:vAlign w:val="center"/>
          </w:tcPr>
          <w:p w:rsidR="005B64D2" w:rsidRDefault="008C4F21">
            <w:pPr>
              <w:jc w:val="right"/>
            </w:pPr>
            <w:r>
              <w:rPr>
                <w:rFonts w:eastAsiaTheme="minorEastAsia"/>
                <w:color w:val="000000" w:themeColor="text1"/>
                <w:sz w:val="24"/>
              </w:rPr>
              <w:t>1,000.00</w:t>
            </w:r>
          </w:p>
        </w:tc>
        <w:tc>
          <w:tcPr>
            <w:tcW w:w="1842" w:type="dxa"/>
            <w:vAlign w:val="center"/>
          </w:tcPr>
          <w:p w:rsidR="005B64D2" w:rsidRDefault="008C4F21">
            <w:pPr>
              <w:jc w:val="right"/>
            </w:pPr>
            <w:r>
              <w:rPr>
                <w:rFonts w:eastAsiaTheme="minorEastAsia"/>
                <w:color w:val="000000" w:themeColor="text1"/>
                <w:sz w:val="24"/>
              </w:rPr>
              <w:t>203,060.00</w:t>
            </w:r>
          </w:p>
        </w:tc>
        <w:tc>
          <w:tcPr>
            <w:tcW w:w="1616" w:type="dxa"/>
            <w:vAlign w:val="center"/>
          </w:tcPr>
          <w:p w:rsidR="005B64D2" w:rsidRDefault="008C4F21">
            <w:pPr>
              <w:jc w:val="right"/>
            </w:pPr>
            <w:r>
              <w:rPr>
                <w:rFonts w:eastAsiaTheme="minorEastAsia"/>
                <w:color w:val="000000" w:themeColor="text1"/>
                <w:sz w:val="24"/>
              </w:rPr>
              <w:t>1.29</w:t>
            </w:r>
          </w:p>
        </w:tc>
      </w:tr>
      <w:tr w:rsidR="005B64D2">
        <w:tc>
          <w:tcPr>
            <w:tcW w:w="817" w:type="dxa"/>
            <w:vAlign w:val="center"/>
          </w:tcPr>
          <w:p w:rsidR="005B64D2" w:rsidRDefault="008C4F21">
            <w:pPr>
              <w:jc w:val="center"/>
            </w:pPr>
            <w:r>
              <w:rPr>
                <w:rFonts w:eastAsiaTheme="minorEastAsia"/>
                <w:color w:val="000000" w:themeColor="text1"/>
                <w:sz w:val="24"/>
              </w:rPr>
              <w:t>8</w:t>
            </w:r>
          </w:p>
        </w:tc>
        <w:tc>
          <w:tcPr>
            <w:tcW w:w="1276" w:type="dxa"/>
            <w:vAlign w:val="center"/>
          </w:tcPr>
          <w:p w:rsidR="005B64D2" w:rsidRDefault="008C4F21">
            <w:pPr>
              <w:jc w:val="center"/>
            </w:pPr>
            <w:r>
              <w:rPr>
                <w:rFonts w:eastAsiaTheme="minorEastAsia"/>
                <w:color w:val="000000" w:themeColor="text1"/>
                <w:sz w:val="24"/>
              </w:rPr>
              <w:t>600900</w:t>
            </w:r>
          </w:p>
        </w:tc>
        <w:tc>
          <w:tcPr>
            <w:tcW w:w="1701" w:type="dxa"/>
            <w:vAlign w:val="center"/>
          </w:tcPr>
          <w:p w:rsidR="005B64D2" w:rsidRDefault="008C4F21">
            <w:pPr>
              <w:jc w:val="center"/>
            </w:pPr>
            <w:r>
              <w:rPr>
                <w:rFonts w:eastAsiaTheme="minorEastAsia"/>
                <w:color w:val="000000" w:themeColor="text1"/>
                <w:sz w:val="24"/>
              </w:rPr>
              <w:t>长江电力</w:t>
            </w:r>
          </w:p>
        </w:tc>
        <w:tc>
          <w:tcPr>
            <w:tcW w:w="1276" w:type="dxa"/>
            <w:vAlign w:val="center"/>
          </w:tcPr>
          <w:p w:rsidR="005B64D2" w:rsidRDefault="008C4F21">
            <w:pPr>
              <w:jc w:val="right"/>
            </w:pPr>
            <w:r>
              <w:rPr>
                <w:rFonts w:eastAsiaTheme="minorEastAsia"/>
                <w:color w:val="000000" w:themeColor="text1"/>
                <w:sz w:val="24"/>
              </w:rPr>
              <w:t>7,300.00</w:t>
            </w:r>
          </w:p>
        </w:tc>
        <w:tc>
          <w:tcPr>
            <w:tcW w:w="1842" w:type="dxa"/>
            <w:vAlign w:val="center"/>
          </w:tcPr>
          <w:p w:rsidR="005B64D2" w:rsidRDefault="008C4F21">
            <w:pPr>
              <w:jc w:val="right"/>
            </w:pPr>
            <w:r>
              <w:rPr>
                <w:rFonts w:eastAsiaTheme="minorEastAsia"/>
                <w:color w:val="000000" w:themeColor="text1"/>
                <w:sz w:val="24"/>
              </w:rPr>
              <w:t>181,989.00</w:t>
            </w:r>
          </w:p>
        </w:tc>
        <w:tc>
          <w:tcPr>
            <w:tcW w:w="1616" w:type="dxa"/>
            <w:vAlign w:val="center"/>
          </w:tcPr>
          <w:p w:rsidR="005B64D2" w:rsidRDefault="008C4F21">
            <w:pPr>
              <w:jc w:val="right"/>
            </w:pPr>
            <w:r>
              <w:rPr>
                <w:rFonts w:eastAsiaTheme="minorEastAsia"/>
                <w:color w:val="000000" w:themeColor="text1"/>
                <w:sz w:val="24"/>
              </w:rPr>
              <w:t>1.16</w:t>
            </w:r>
          </w:p>
        </w:tc>
      </w:tr>
      <w:tr w:rsidR="005B64D2">
        <w:tc>
          <w:tcPr>
            <w:tcW w:w="817" w:type="dxa"/>
            <w:vAlign w:val="center"/>
          </w:tcPr>
          <w:p w:rsidR="005B64D2" w:rsidRDefault="008C4F21">
            <w:pPr>
              <w:jc w:val="center"/>
            </w:pPr>
            <w:r>
              <w:rPr>
                <w:rFonts w:eastAsiaTheme="minorEastAsia"/>
                <w:color w:val="000000" w:themeColor="text1"/>
                <w:sz w:val="24"/>
              </w:rPr>
              <w:t>9</w:t>
            </w:r>
          </w:p>
        </w:tc>
        <w:tc>
          <w:tcPr>
            <w:tcW w:w="1276" w:type="dxa"/>
            <w:vAlign w:val="center"/>
          </w:tcPr>
          <w:p w:rsidR="005B64D2" w:rsidRDefault="008C4F21">
            <w:pPr>
              <w:jc w:val="center"/>
            </w:pPr>
            <w:r>
              <w:rPr>
                <w:rFonts w:eastAsiaTheme="minorEastAsia"/>
                <w:color w:val="000000" w:themeColor="text1"/>
                <w:sz w:val="24"/>
              </w:rPr>
              <w:t>601166</w:t>
            </w:r>
          </w:p>
        </w:tc>
        <w:tc>
          <w:tcPr>
            <w:tcW w:w="1701" w:type="dxa"/>
            <w:vAlign w:val="center"/>
          </w:tcPr>
          <w:p w:rsidR="005B64D2" w:rsidRDefault="008C4F21">
            <w:pPr>
              <w:jc w:val="center"/>
            </w:pPr>
            <w:r>
              <w:rPr>
                <w:rFonts w:eastAsiaTheme="minorEastAsia"/>
                <w:color w:val="000000" w:themeColor="text1"/>
                <w:sz w:val="24"/>
              </w:rPr>
              <w:t>兴业银行</w:t>
            </w:r>
          </w:p>
        </w:tc>
        <w:tc>
          <w:tcPr>
            <w:tcW w:w="1276" w:type="dxa"/>
            <w:vAlign w:val="center"/>
          </w:tcPr>
          <w:p w:rsidR="005B64D2" w:rsidRDefault="008C4F21">
            <w:pPr>
              <w:jc w:val="right"/>
            </w:pPr>
            <w:r>
              <w:rPr>
                <w:rFonts w:eastAsiaTheme="minorEastAsia"/>
                <w:color w:val="000000" w:themeColor="text1"/>
                <w:sz w:val="24"/>
              </w:rPr>
              <w:t>10,800.00</w:t>
            </w:r>
          </w:p>
        </w:tc>
        <w:tc>
          <w:tcPr>
            <w:tcW w:w="1842" w:type="dxa"/>
            <w:vAlign w:val="center"/>
          </w:tcPr>
          <w:p w:rsidR="005B64D2" w:rsidRDefault="008C4F21">
            <w:pPr>
              <w:jc w:val="right"/>
            </w:pPr>
            <w:r>
              <w:rPr>
                <w:rFonts w:eastAsiaTheme="minorEastAsia"/>
                <w:color w:val="000000" w:themeColor="text1"/>
                <w:sz w:val="24"/>
              </w:rPr>
              <w:t>170,424.00</w:t>
            </w:r>
          </w:p>
        </w:tc>
        <w:tc>
          <w:tcPr>
            <w:tcW w:w="1616" w:type="dxa"/>
            <w:vAlign w:val="center"/>
          </w:tcPr>
          <w:p w:rsidR="005B64D2" w:rsidRDefault="008C4F21">
            <w:pPr>
              <w:jc w:val="right"/>
            </w:pPr>
            <w:r>
              <w:rPr>
                <w:rFonts w:eastAsiaTheme="minorEastAsia"/>
                <w:color w:val="000000" w:themeColor="text1"/>
                <w:sz w:val="24"/>
              </w:rPr>
              <w:t>1.08</w:t>
            </w:r>
          </w:p>
        </w:tc>
      </w:tr>
      <w:tr w:rsidR="005B64D2">
        <w:tc>
          <w:tcPr>
            <w:tcW w:w="817" w:type="dxa"/>
            <w:vAlign w:val="center"/>
          </w:tcPr>
          <w:p w:rsidR="005B64D2" w:rsidRDefault="008C4F21">
            <w:pPr>
              <w:jc w:val="center"/>
            </w:pPr>
            <w:r>
              <w:rPr>
                <w:rFonts w:eastAsiaTheme="minorEastAsia"/>
                <w:color w:val="000000" w:themeColor="text1"/>
                <w:sz w:val="24"/>
              </w:rPr>
              <w:t>10</w:t>
            </w:r>
          </w:p>
        </w:tc>
        <w:tc>
          <w:tcPr>
            <w:tcW w:w="1276" w:type="dxa"/>
            <w:vAlign w:val="center"/>
          </w:tcPr>
          <w:p w:rsidR="005B64D2" w:rsidRDefault="008C4F21">
            <w:pPr>
              <w:jc w:val="center"/>
            </w:pPr>
            <w:r>
              <w:rPr>
                <w:rFonts w:eastAsiaTheme="minorEastAsia"/>
                <w:color w:val="000000" w:themeColor="text1"/>
                <w:sz w:val="24"/>
              </w:rPr>
              <w:t>000651</w:t>
            </w:r>
          </w:p>
        </w:tc>
        <w:tc>
          <w:tcPr>
            <w:tcW w:w="1701" w:type="dxa"/>
            <w:vAlign w:val="center"/>
          </w:tcPr>
          <w:p w:rsidR="005B64D2" w:rsidRDefault="008C4F21">
            <w:pPr>
              <w:jc w:val="center"/>
            </w:pPr>
            <w:r>
              <w:rPr>
                <w:rFonts w:eastAsiaTheme="minorEastAsia"/>
                <w:color w:val="000000" w:themeColor="text1"/>
                <w:sz w:val="24"/>
              </w:rPr>
              <w:t>格力电器</w:t>
            </w:r>
          </w:p>
        </w:tc>
        <w:tc>
          <w:tcPr>
            <w:tcW w:w="1276" w:type="dxa"/>
            <w:vAlign w:val="center"/>
          </w:tcPr>
          <w:p w:rsidR="005B64D2" w:rsidRDefault="008C4F21">
            <w:pPr>
              <w:jc w:val="right"/>
            </w:pPr>
            <w:r>
              <w:rPr>
                <w:rFonts w:eastAsiaTheme="minorEastAsia"/>
                <w:color w:val="000000" w:themeColor="text1"/>
                <w:sz w:val="24"/>
              </w:rPr>
              <w:t>4,300.00</w:t>
            </w:r>
          </w:p>
        </w:tc>
        <w:tc>
          <w:tcPr>
            <w:tcW w:w="1842" w:type="dxa"/>
            <w:vAlign w:val="center"/>
          </w:tcPr>
          <w:p w:rsidR="005B64D2" w:rsidRDefault="008C4F21">
            <w:pPr>
              <w:jc w:val="right"/>
            </w:pPr>
            <w:r>
              <w:rPr>
                <w:rFonts w:eastAsiaTheme="minorEastAsia"/>
                <w:color w:val="000000" w:themeColor="text1"/>
                <w:sz w:val="24"/>
              </w:rPr>
              <w:t>169,033.00</w:t>
            </w:r>
          </w:p>
        </w:tc>
        <w:tc>
          <w:tcPr>
            <w:tcW w:w="1616" w:type="dxa"/>
            <w:vAlign w:val="center"/>
          </w:tcPr>
          <w:p w:rsidR="005B64D2" w:rsidRDefault="008C4F21">
            <w:pPr>
              <w:jc w:val="right"/>
            </w:pPr>
            <w:r>
              <w:rPr>
                <w:rFonts w:eastAsiaTheme="minorEastAsia"/>
                <w:color w:val="000000" w:themeColor="text1"/>
                <w:sz w:val="24"/>
              </w:rPr>
              <w:t>1.07</w:t>
            </w:r>
          </w:p>
        </w:tc>
      </w:tr>
    </w:tbl>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5.3.2</w:t>
      </w:r>
      <w:r w:rsidRPr="00EE3DBC">
        <w:rPr>
          <w:rFonts w:eastAsiaTheme="minorEastAsia"/>
          <w:b/>
          <w:color w:val="000000" w:themeColor="text1"/>
          <w:kern w:val="0"/>
          <w:sz w:val="24"/>
        </w:rPr>
        <w:t>期末</w:t>
      </w:r>
      <w:r w:rsidRPr="00EE3DBC">
        <w:rPr>
          <w:rFonts w:eastAsiaTheme="minorEastAsia"/>
          <w:b/>
          <w:color w:val="000000" w:themeColor="text1"/>
          <w:sz w:val="24"/>
        </w:rPr>
        <w:t>积极投资按公允价值占基金资产净值比例大小排序的前五名股票投资明细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A960A3" w:rsidRPr="00EE3DBC">
        <w:tc>
          <w:tcPr>
            <w:tcW w:w="81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股票代码</w:t>
            </w:r>
          </w:p>
        </w:tc>
        <w:tc>
          <w:tcPr>
            <w:tcW w:w="1701"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股票名称</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股</w:t>
            </w:r>
            <w:r w:rsidRPr="00EE3DBC">
              <w:rPr>
                <w:rFonts w:eastAsiaTheme="minorEastAsia"/>
                <w:color w:val="000000" w:themeColor="text1"/>
                <w:sz w:val="24"/>
              </w:rPr>
              <w:t>)</w:t>
            </w:r>
          </w:p>
        </w:tc>
        <w:tc>
          <w:tcPr>
            <w:tcW w:w="1842" w:type="dxa"/>
            <w:vAlign w:val="center"/>
          </w:tcPr>
          <w:p w:rsidR="00A960A3" w:rsidRPr="00EE3DBC" w:rsidRDefault="005B4E34">
            <w:pPr>
              <w:autoSpaceDE w:val="0"/>
              <w:autoSpaceDN w:val="0"/>
              <w:adjustRightInd w:val="0"/>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5B64D2">
        <w:tc>
          <w:tcPr>
            <w:tcW w:w="817" w:type="dxa"/>
            <w:vAlign w:val="center"/>
          </w:tcPr>
          <w:p w:rsidR="005B64D2" w:rsidRDefault="008C4F21">
            <w:pPr>
              <w:jc w:val="center"/>
            </w:pPr>
            <w:r>
              <w:rPr>
                <w:rFonts w:eastAsiaTheme="minorEastAsia"/>
                <w:color w:val="000000" w:themeColor="text1"/>
                <w:sz w:val="24"/>
              </w:rPr>
              <w:t>1</w:t>
            </w:r>
          </w:p>
        </w:tc>
        <w:tc>
          <w:tcPr>
            <w:tcW w:w="1276" w:type="dxa"/>
            <w:vAlign w:val="center"/>
          </w:tcPr>
          <w:p w:rsidR="005B64D2" w:rsidRDefault="008C4F21">
            <w:pPr>
              <w:jc w:val="center"/>
            </w:pPr>
            <w:r>
              <w:rPr>
                <w:rFonts w:eastAsiaTheme="minorEastAsia"/>
                <w:color w:val="000000" w:themeColor="text1"/>
                <w:sz w:val="24"/>
              </w:rPr>
              <w:t>600256</w:t>
            </w:r>
          </w:p>
        </w:tc>
        <w:tc>
          <w:tcPr>
            <w:tcW w:w="1701" w:type="dxa"/>
            <w:vAlign w:val="center"/>
          </w:tcPr>
          <w:p w:rsidR="005B64D2" w:rsidRDefault="008C4F21">
            <w:pPr>
              <w:jc w:val="center"/>
            </w:pPr>
            <w:r>
              <w:rPr>
                <w:rFonts w:eastAsiaTheme="minorEastAsia"/>
                <w:color w:val="000000" w:themeColor="text1"/>
                <w:sz w:val="24"/>
              </w:rPr>
              <w:t>广汇能源</w:t>
            </w:r>
          </w:p>
        </w:tc>
        <w:tc>
          <w:tcPr>
            <w:tcW w:w="1276" w:type="dxa"/>
            <w:vAlign w:val="center"/>
          </w:tcPr>
          <w:p w:rsidR="005B64D2" w:rsidRDefault="008C4F21">
            <w:pPr>
              <w:jc w:val="right"/>
            </w:pPr>
            <w:r>
              <w:rPr>
                <w:rFonts w:eastAsiaTheme="minorEastAsia"/>
                <w:color w:val="000000" w:themeColor="text1"/>
                <w:sz w:val="24"/>
              </w:rPr>
              <w:t>5,800.00</w:t>
            </w:r>
          </w:p>
        </w:tc>
        <w:tc>
          <w:tcPr>
            <w:tcW w:w="1842" w:type="dxa"/>
            <w:vAlign w:val="center"/>
          </w:tcPr>
          <w:p w:rsidR="005B64D2" w:rsidRDefault="008C4F21">
            <w:pPr>
              <w:jc w:val="right"/>
            </w:pPr>
            <w:r>
              <w:rPr>
                <w:rFonts w:eastAsiaTheme="minorEastAsia"/>
                <w:color w:val="000000" w:themeColor="text1"/>
                <w:sz w:val="24"/>
              </w:rPr>
              <w:t>43,152.00</w:t>
            </w:r>
          </w:p>
        </w:tc>
        <w:tc>
          <w:tcPr>
            <w:tcW w:w="1616" w:type="dxa"/>
            <w:vAlign w:val="center"/>
          </w:tcPr>
          <w:p w:rsidR="005B64D2" w:rsidRDefault="008C4F21">
            <w:pPr>
              <w:jc w:val="right"/>
            </w:pPr>
            <w:r>
              <w:rPr>
                <w:rFonts w:eastAsiaTheme="minorEastAsia"/>
                <w:color w:val="000000" w:themeColor="text1"/>
                <w:sz w:val="24"/>
              </w:rPr>
              <w:t>0.27</w:t>
            </w:r>
          </w:p>
        </w:tc>
      </w:tr>
      <w:tr w:rsidR="005B64D2">
        <w:tc>
          <w:tcPr>
            <w:tcW w:w="817" w:type="dxa"/>
            <w:vAlign w:val="center"/>
          </w:tcPr>
          <w:p w:rsidR="005B64D2" w:rsidRDefault="008C4F21">
            <w:pPr>
              <w:jc w:val="center"/>
            </w:pPr>
            <w:r>
              <w:rPr>
                <w:rFonts w:eastAsiaTheme="minorEastAsia"/>
                <w:color w:val="000000" w:themeColor="text1"/>
                <w:sz w:val="24"/>
              </w:rPr>
              <w:t>2</w:t>
            </w:r>
          </w:p>
        </w:tc>
        <w:tc>
          <w:tcPr>
            <w:tcW w:w="1276" w:type="dxa"/>
            <w:vAlign w:val="center"/>
          </w:tcPr>
          <w:p w:rsidR="005B64D2" w:rsidRDefault="008C4F21">
            <w:pPr>
              <w:jc w:val="center"/>
            </w:pPr>
            <w:r>
              <w:rPr>
                <w:rFonts w:eastAsiaTheme="minorEastAsia"/>
                <w:color w:val="000000" w:themeColor="text1"/>
                <w:sz w:val="24"/>
              </w:rPr>
              <w:t>300476</w:t>
            </w:r>
          </w:p>
        </w:tc>
        <w:tc>
          <w:tcPr>
            <w:tcW w:w="1701" w:type="dxa"/>
            <w:vAlign w:val="center"/>
          </w:tcPr>
          <w:p w:rsidR="005B64D2" w:rsidRDefault="008C4F21">
            <w:pPr>
              <w:jc w:val="center"/>
            </w:pPr>
            <w:r>
              <w:rPr>
                <w:rFonts w:eastAsiaTheme="minorEastAsia"/>
                <w:color w:val="000000" w:themeColor="text1"/>
                <w:sz w:val="24"/>
              </w:rPr>
              <w:t>胜宏科技</w:t>
            </w:r>
          </w:p>
        </w:tc>
        <w:tc>
          <w:tcPr>
            <w:tcW w:w="1276" w:type="dxa"/>
            <w:vAlign w:val="center"/>
          </w:tcPr>
          <w:p w:rsidR="005B64D2" w:rsidRDefault="008C4F21">
            <w:pPr>
              <w:jc w:val="right"/>
            </w:pPr>
            <w:r>
              <w:rPr>
                <w:rFonts w:eastAsiaTheme="minorEastAsia"/>
                <w:color w:val="000000" w:themeColor="text1"/>
                <w:sz w:val="24"/>
              </w:rPr>
              <w:t>1,300.00</w:t>
            </w:r>
          </w:p>
        </w:tc>
        <w:tc>
          <w:tcPr>
            <w:tcW w:w="1842" w:type="dxa"/>
            <w:vAlign w:val="center"/>
          </w:tcPr>
          <w:p w:rsidR="005B64D2" w:rsidRDefault="008C4F21">
            <w:pPr>
              <w:jc w:val="right"/>
            </w:pPr>
            <w:r>
              <w:rPr>
                <w:rFonts w:eastAsiaTheme="minorEastAsia"/>
                <w:color w:val="000000" w:themeColor="text1"/>
                <w:sz w:val="24"/>
              </w:rPr>
              <w:t>31,486.00</w:t>
            </w:r>
          </w:p>
        </w:tc>
        <w:tc>
          <w:tcPr>
            <w:tcW w:w="1616" w:type="dxa"/>
            <w:vAlign w:val="center"/>
          </w:tcPr>
          <w:p w:rsidR="005B64D2" w:rsidRDefault="008C4F21">
            <w:pPr>
              <w:jc w:val="right"/>
            </w:pPr>
            <w:r>
              <w:rPr>
                <w:rFonts w:eastAsiaTheme="minorEastAsia"/>
                <w:color w:val="000000" w:themeColor="text1"/>
                <w:sz w:val="24"/>
              </w:rPr>
              <w:t>0.20</w:t>
            </w:r>
          </w:p>
        </w:tc>
      </w:tr>
      <w:tr w:rsidR="005B64D2">
        <w:tc>
          <w:tcPr>
            <w:tcW w:w="817" w:type="dxa"/>
            <w:vAlign w:val="center"/>
          </w:tcPr>
          <w:p w:rsidR="005B64D2" w:rsidRDefault="008C4F21">
            <w:pPr>
              <w:jc w:val="center"/>
            </w:pPr>
            <w:r>
              <w:rPr>
                <w:rFonts w:eastAsiaTheme="minorEastAsia"/>
                <w:color w:val="000000" w:themeColor="text1"/>
                <w:sz w:val="24"/>
              </w:rPr>
              <w:t>3</w:t>
            </w:r>
          </w:p>
        </w:tc>
        <w:tc>
          <w:tcPr>
            <w:tcW w:w="1276" w:type="dxa"/>
            <w:vAlign w:val="center"/>
          </w:tcPr>
          <w:p w:rsidR="005B64D2" w:rsidRDefault="008C4F21">
            <w:pPr>
              <w:jc w:val="center"/>
            </w:pPr>
            <w:r>
              <w:rPr>
                <w:rFonts w:eastAsiaTheme="minorEastAsia"/>
                <w:color w:val="000000" w:themeColor="text1"/>
                <w:sz w:val="24"/>
              </w:rPr>
              <w:t>688516</w:t>
            </w:r>
          </w:p>
        </w:tc>
        <w:tc>
          <w:tcPr>
            <w:tcW w:w="1701" w:type="dxa"/>
            <w:vAlign w:val="center"/>
          </w:tcPr>
          <w:p w:rsidR="005B64D2" w:rsidRDefault="008C4F21">
            <w:pPr>
              <w:jc w:val="center"/>
            </w:pPr>
            <w:r>
              <w:rPr>
                <w:rFonts w:eastAsiaTheme="minorEastAsia"/>
                <w:color w:val="000000" w:themeColor="text1"/>
                <w:sz w:val="24"/>
              </w:rPr>
              <w:t>奥特维</w:t>
            </w:r>
          </w:p>
        </w:tc>
        <w:tc>
          <w:tcPr>
            <w:tcW w:w="1276" w:type="dxa"/>
            <w:vAlign w:val="center"/>
          </w:tcPr>
          <w:p w:rsidR="005B64D2" w:rsidRDefault="008C4F21">
            <w:pPr>
              <w:jc w:val="right"/>
            </w:pPr>
            <w:r>
              <w:rPr>
                <w:rFonts w:eastAsiaTheme="minorEastAsia"/>
                <w:color w:val="000000" w:themeColor="text1"/>
                <w:sz w:val="24"/>
              </w:rPr>
              <w:t>290.00</w:t>
            </w:r>
          </w:p>
        </w:tc>
        <w:tc>
          <w:tcPr>
            <w:tcW w:w="1842" w:type="dxa"/>
            <w:vAlign w:val="center"/>
          </w:tcPr>
          <w:p w:rsidR="005B64D2" w:rsidRDefault="008C4F21">
            <w:pPr>
              <w:jc w:val="right"/>
            </w:pPr>
            <w:r>
              <w:rPr>
                <w:rFonts w:eastAsiaTheme="minorEastAsia"/>
                <w:color w:val="000000" w:themeColor="text1"/>
                <w:sz w:val="24"/>
              </w:rPr>
              <w:t>29,783.00</w:t>
            </w:r>
          </w:p>
        </w:tc>
        <w:tc>
          <w:tcPr>
            <w:tcW w:w="1616" w:type="dxa"/>
            <w:vAlign w:val="center"/>
          </w:tcPr>
          <w:p w:rsidR="005B64D2" w:rsidRDefault="008C4F21">
            <w:pPr>
              <w:jc w:val="right"/>
            </w:pPr>
            <w:r>
              <w:rPr>
                <w:rFonts w:eastAsiaTheme="minorEastAsia"/>
                <w:color w:val="000000" w:themeColor="text1"/>
                <w:sz w:val="24"/>
              </w:rPr>
              <w:t>0.19</w:t>
            </w:r>
          </w:p>
        </w:tc>
      </w:tr>
      <w:tr w:rsidR="005B64D2">
        <w:tc>
          <w:tcPr>
            <w:tcW w:w="817" w:type="dxa"/>
            <w:vAlign w:val="center"/>
          </w:tcPr>
          <w:p w:rsidR="005B64D2" w:rsidRDefault="008C4F21">
            <w:pPr>
              <w:jc w:val="center"/>
            </w:pPr>
            <w:r>
              <w:rPr>
                <w:rFonts w:eastAsiaTheme="minorEastAsia"/>
                <w:color w:val="000000" w:themeColor="text1"/>
                <w:sz w:val="24"/>
              </w:rPr>
              <w:t>4</w:t>
            </w:r>
          </w:p>
        </w:tc>
        <w:tc>
          <w:tcPr>
            <w:tcW w:w="1276" w:type="dxa"/>
            <w:vAlign w:val="center"/>
          </w:tcPr>
          <w:p w:rsidR="005B64D2" w:rsidRDefault="008C4F21">
            <w:pPr>
              <w:jc w:val="center"/>
            </w:pPr>
            <w:r>
              <w:rPr>
                <w:rFonts w:eastAsiaTheme="minorEastAsia"/>
                <w:color w:val="000000" w:themeColor="text1"/>
                <w:sz w:val="24"/>
              </w:rPr>
              <w:t>603886</w:t>
            </w:r>
          </w:p>
        </w:tc>
        <w:tc>
          <w:tcPr>
            <w:tcW w:w="1701" w:type="dxa"/>
            <w:vAlign w:val="center"/>
          </w:tcPr>
          <w:p w:rsidR="005B64D2" w:rsidRDefault="008C4F21">
            <w:pPr>
              <w:jc w:val="center"/>
            </w:pPr>
            <w:r>
              <w:rPr>
                <w:rFonts w:eastAsiaTheme="minorEastAsia"/>
                <w:color w:val="000000" w:themeColor="text1"/>
                <w:sz w:val="24"/>
              </w:rPr>
              <w:t>元祖股份</w:t>
            </w:r>
          </w:p>
        </w:tc>
        <w:tc>
          <w:tcPr>
            <w:tcW w:w="1276" w:type="dxa"/>
            <w:vAlign w:val="center"/>
          </w:tcPr>
          <w:p w:rsidR="005B64D2" w:rsidRDefault="008C4F21">
            <w:pPr>
              <w:jc w:val="right"/>
            </w:pPr>
            <w:r>
              <w:rPr>
                <w:rFonts w:eastAsiaTheme="minorEastAsia"/>
                <w:color w:val="000000" w:themeColor="text1"/>
                <w:sz w:val="24"/>
              </w:rPr>
              <w:t>1,800.00</w:t>
            </w:r>
          </w:p>
        </w:tc>
        <w:tc>
          <w:tcPr>
            <w:tcW w:w="1842" w:type="dxa"/>
            <w:vAlign w:val="center"/>
          </w:tcPr>
          <w:p w:rsidR="005B64D2" w:rsidRDefault="008C4F21">
            <w:pPr>
              <w:jc w:val="right"/>
            </w:pPr>
            <w:r>
              <w:rPr>
                <w:rFonts w:eastAsiaTheme="minorEastAsia"/>
                <w:color w:val="000000" w:themeColor="text1"/>
                <w:sz w:val="24"/>
              </w:rPr>
              <w:t>29,430.00</w:t>
            </w:r>
          </w:p>
        </w:tc>
        <w:tc>
          <w:tcPr>
            <w:tcW w:w="1616" w:type="dxa"/>
            <w:vAlign w:val="center"/>
          </w:tcPr>
          <w:p w:rsidR="005B64D2" w:rsidRDefault="008C4F21">
            <w:pPr>
              <w:jc w:val="right"/>
            </w:pPr>
            <w:r>
              <w:rPr>
                <w:rFonts w:eastAsiaTheme="minorEastAsia"/>
                <w:color w:val="000000" w:themeColor="text1"/>
                <w:sz w:val="24"/>
              </w:rPr>
              <w:t>0.19</w:t>
            </w:r>
          </w:p>
        </w:tc>
      </w:tr>
      <w:tr w:rsidR="005B64D2">
        <w:tc>
          <w:tcPr>
            <w:tcW w:w="817" w:type="dxa"/>
            <w:vAlign w:val="center"/>
          </w:tcPr>
          <w:p w:rsidR="005B64D2" w:rsidRDefault="008C4F21">
            <w:pPr>
              <w:jc w:val="center"/>
            </w:pPr>
            <w:r>
              <w:rPr>
                <w:rFonts w:eastAsiaTheme="minorEastAsia"/>
                <w:color w:val="000000" w:themeColor="text1"/>
                <w:sz w:val="24"/>
              </w:rPr>
              <w:t>5</w:t>
            </w:r>
          </w:p>
        </w:tc>
        <w:tc>
          <w:tcPr>
            <w:tcW w:w="1276" w:type="dxa"/>
            <w:vAlign w:val="center"/>
          </w:tcPr>
          <w:p w:rsidR="005B64D2" w:rsidRDefault="008C4F21">
            <w:pPr>
              <w:jc w:val="center"/>
            </w:pPr>
            <w:r>
              <w:rPr>
                <w:rFonts w:eastAsiaTheme="minorEastAsia"/>
                <w:color w:val="000000" w:themeColor="text1"/>
                <w:sz w:val="24"/>
              </w:rPr>
              <w:t>603338</w:t>
            </w:r>
          </w:p>
        </w:tc>
        <w:tc>
          <w:tcPr>
            <w:tcW w:w="1701" w:type="dxa"/>
            <w:vAlign w:val="center"/>
          </w:tcPr>
          <w:p w:rsidR="005B64D2" w:rsidRDefault="008C4F21">
            <w:pPr>
              <w:jc w:val="center"/>
            </w:pPr>
            <w:r>
              <w:rPr>
                <w:rFonts w:eastAsiaTheme="minorEastAsia"/>
                <w:color w:val="000000" w:themeColor="text1"/>
                <w:sz w:val="24"/>
              </w:rPr>
              <w:t>浙江鼎力</w:t>
            </w:r>
          </w:p>
        </w:tc>
        <w:tc>
          <w:tcPr>
            <w:tcW w:w="1276" w:type="dxa"/>
            <w:vAlign w:val="center"/>
          </w:tcPr>
          <w:p w:rsidR="005B64D2" w:rsidRDefault="008C4F21">
            <w:pPr>
              <w:jc w:val="right"/>
            </w:pPr>
            <w:r>
              <w:rPr>
                <w:rFonts w:eastAsiaTheme="minorEastAsia"/>
                <w:color w:val="000000" w:themeColor="text1"/>
                <w:sz w:val="24"/>
              </w:rPr>
              <w:t>500.00</w:t>
            </w:r>
          </w:p>
        </w:tc>
        <w:tc>
          <w:tcPr>
            <w:tcW w:w="1842" w:type="dxa"/>
            <w:vAlign w:val="center"/>
          </w:tcPr>
          <w:p w:rsidR="005B64D2" w:rsidRDefault="008C4F21">
            <w:pPr>
              <w:jc w:val="right"/>
            </w:pPr>
            <w:r>
              <w:rPr>
                <w:rFonts w:eastAsiaTheme="minorEastAsia"/>
                <w:color w:val="000000" w:themeColor="text1"/>
                <w:sz w:val="24"/>
              </w:rPr>
              <w:t>28,650.00</w:t>
            </w:r>
          </w:p>
        </w:tc>
        <w:tc>
          <w:tcPr>
            <w:tcW w:w="1616" w:type="dxa"/>
            <w:vAlign w:val="center"/>
          </w:tcPr>
          <w:p w:rsidR="005B64D2" w:rsidRDefault="008C4F21">
            <w:pPr>
              <w:jc w:val="right"/>
            </w:pPr>
            <w:r>
              <w:rPr>
                <w:rFonts w:eastAsiaTheme="minorEastAsia"/>
                <w:color w:val="000000" w:themeColor="text1"/>
                <w:sz w:val="24"/>
              </w:rPr>
              <w:t>0.18</w:t>
            </w:r>
          </w:p>
        </w:tc>
      </w:tr>
    </w:tbl>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5.4 </w:t>
      </w:r>
      <w:r w:rsidRPr="00EE3DBC">
        <w:rPr>
          <w:rFonts w:eastAsiaTheme="minorEastAsia"/>
          <w:b/>
          <w:color w:val="000000" w:themeColor="text1"/>
          <w:kern w:val="0"/>
          <w:sz w:val="24"/>
        </w:rPr>
        <w:t>报告期末按债券品种分类的债券投资组合</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3260"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债券品种</w:t>
            </w:r>
          </w:p>
        </w:tc>
        <w:tc>
          <w:tcPr>
            <w:tcW w:w="2835"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1</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国家债券</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203,890.41</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1.30</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2</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央行票据</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3</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金融债券</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其中：政策性金融债</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4</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企业债券</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5</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企业短期融资券</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6</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中期票据</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7</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可转债</w:t>
            </w:r>
            <w:r w:rsidRPr="00EE3DBC">
              <w:rPr>
                <w:rFonts w:eastAsiaTheme="minorEastAsia"/>
                <w:color w:val="000000" w:themeColor="text1"/>
                <w:szCs w:val="21"/>
              </w:rPr>
              <w:t>（可交换债）</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8</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同业存单</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9</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其他</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10</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合计</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203,890.41</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1.30</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5.5 </w:t>
      </w:r>
      <w:r w:rsidRPr="00EE3DBC">
        <w:rPr>
          <w:rFonts w:eastAsiaTheme="minorEastAsia"/>
          <w:b/>
          <w:color w:val="000000" w:themeColor="text1"/>
          <w:kern w:val="0"/>
          <w:sz w:val="24"/>
        </w:rPr>
        <w:t>报告期末按公允价值占基金资产净值比例大小排序的前五名债券投资明细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A960A3" w:rsidRPr="00EE3DBC">
        <w:tc>
          <w:tcPr>
            <w:tcW w:w="1252"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310"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债券代码</w:t>
            </w:r>
          </w:p>
        </w:tc>
        <w:tc>
          <w:tcPr>
            <w:tcW w:w="1282"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债券名称</w:t>
            </w:r>
          </w:p>
        </w:tc>
        <w:tc>
          <w:tcPr>
            <w:tcW w:w="1426"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张</w:t>
            </w:r>
            <w:r w:rsidRPr="00EE3DBC">
              <w:rPr>
                <w:rFonts w:eastAsiaTheme="minorEastAsia"/>
                <w:color w:val="000000" w:themeColor="text1"/>
                <w:sz w:val="24"/>
              </w:rPr>
              <w:t>)</w:t>
            </w:r>
          </w:p>
        </w:tc>
        <w:tc>
          <w:tcPr>
            <w:tcW w:w="1646"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2"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5B64D2">
        <w:tc>
          <w:tcPr>
            <w:tcW w:w="1252" w:type="dxa"/>
            <w:vAlign w:val="center"/>
          </w:tcPr>
          <w:p w:rsidR="005B64D2" w:rsidRDefault="008C4F21">
            <w:pPr>
              <w:jc w:val="center"/>
            </w:pPr>
            <w:r>
              <w:rPr>
                <w:rFonts w:eastAsiaTheme="minorEastAsia"/>
                <w:color w:val="000000" w:themeColor="text1"/>
                <w:sz w:val="24"/>
              </w:rPr>
              <w:t>1</w:t>
            </w:r>
          </w:p>
        </w:tc>
        <w:tc>
          <w:tcPr>
            <w:tcW w:w="1310" w:type="dxa"/>
            <w:vAlign w:val="center"/>
          </w:tcPr>
          <w:p w:rsidR="005B64D2" w:rsidRDefault="008C4F21">
            <w:pPr>
              <w:jc w:val="center"/>
            </w:pPr>
            <w:r>
              <w:rPr>
                <w:rFonts w:eastAsiaTheme="minorEastAsia"/>
                <w:color w:val="000000" w:themeColor="text1"/>
                <w:sz w:val="24"/>
              </w:rPr>
              <w:t>019703</w:t>
            </w:r>
          </w:p>
        </w:tc>
        <w:tc>
          <w:tcPr>
            <w:tcW w:w="1282" w:type="dxa"/>
            <w:vAlign w:val="center"/>
          </w:tcPr>
          <w:p w:rsidR="005B64D2" w:rsidRDefault="008C4F21">
            <w:pPr>
              <w:jc w:val="center"/>
            </w:pPr>
            <w:r>
              <w:rPr>
                <w:rFonts w:eastAsiaTheme="minorEastAsia"/>
                <w:color w:val="000000" w:themeColor="text1"/>
                <w:sz w:val="24"/>
              </w:rPr>
              <w:t>23</w:t>
            </w:r>
            <w:r>
              <w:rPr>
                <w:rFonts w:eastAsiaTheme="minorEastAsia"/>
                <w:color w:val="000000" w:themeColor="text1"/>
                <w:sz w:val="24"/>
              </w:rPr>
              <w:t>国债</w:t>
            </w:r>
            <w:r>
              <w:rPr>
                <w:rFonts w:eastAsiaTheme="minorEastAsia"/>
                <w:color w:val="000000" w:themeColor="text1"/>
                <w:sz w:val="24"/>
              </w:rPr>
              <w:t>10</w:t>
            </w:r>
          </w:p>
        </w:tc>
        <w:tc>
          <w:tcPr>
            <w:tcW w:w="1426" w:type="dxa"/>
            <w:vAlign w:val="center"/>
          </w:tcPr>
          <w:p w:rsidR="005B64D2" w:rsidRDefault="008C4F21">
            <w:pPr>
              <w:jc w:val="right"/>
            </w:pPr>
            <w:r>
              <w:rPr>
                <w:rFonts w:eastAsiaTheme="minorEastAsia"/>
                <w:color w:val="000000" w:themeColor="text1"/>
                <w:sz w:val="24"/>
              </w:rPr>
              <w:t>2,000</w:t>
            </w:r>
          </w:p>
        </w:tc>
        <w:tc>
          <w:tcPr>
            <w:tcW w:w="1646" w:type="dxa"/>
            <w:vAlign w:val="center"/>
          </w:tcPr>
          <w:p w:rsidR="005B64D2" w:rsidRDefault="008C4F21">
            <w:pPr>
              <w:jc w:val="right"/>
            </w:pPr>
            <w:r>
              <w:rPr>
                <w:rFonts w:eastAsiaTheme="minorEastAsia"/>
                <w:color w:val="000000" w:themeColor="text1"/>
                <w:sz w:val="24"/>
              </w:rPr>
              <w:t>203,890.41</w:t>
            </w:r>
          </w:p>
        </w:tc>
        <w:tc>
          <w:tcPr>
            <w:tcW w:w="1612" w:type="dxa"/>
            <w:vAlign w:val="center"/>
          </w:tcPr>
          <w:p w:rsidR="005B64D2" w:rsidRDefault="008C4F21">
            <w:pPr>
              <w:jc w:val="right"/>
            </w:pPr>
            <w:r>
              <w:rPr>
                <w:rFonts w:eastAsiaTheme="minorEastAsia"/>
                <w:color w:val="000000" w:themeColor="text1"/>
                <w:sz w:val="24"/>
              </w:rPr>
              <w:t>1.30</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5.6</w:t>
      </w:r>
      <w:r w:rsidRPr="00EE3DBC">
        <w:rPr>
          <w:rFonts w:eastAsiaTheme="minorEastAsia"/>
          <w:b/>
          <w:color w:val="000000" w:themeColor="text1"/>
          <w:kern w:val="0"/>
          <w:sz w:val="24"/>
        </w:rPr>
        <w:t>报告期末按公允价值占基金资产净值比例大小排序的前十名资产支持证券投资明细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本基金本报告期末未持有资产支持证券。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bCs/>
          <w:color w:val="000000" w:themeColor="text1"/>
          <w:kern w:val="0"/>
          <w:sz w:val="24"/>
        </w:rPr>
      </w:pPr>
      <w:r w:rsidRPr="00EE3DBC">
        <w:rPr>
          <w:rFonts w:eastAsiaTheme="minorEastAsia"/>
          <w:b/>
          <w:bCs/>
          <w:color w:val="000000" w:themeColor="text1"/>
          <w:kern w:val="0"/>
          <w:sz w:val="24"/>
        </w:rPr>
        <w:t xml:space="preserve">5.7 </w:t>
      </w:r>
      <w:r w:rsidRPr="00EE3DBC">
        <w:rPr>
          <w:rFonts w:eastAsiaTheme="minorEastAsia"/>
          <w:b/>
          <w:bCs/>
          <w:color w:val="000000" w:themeColor="text1"/>
          <w:kern w:val="0"/>
          <w:sz w:val="24"/>
        </w:rPr>
        <w:t>报告期末按公允价值占基金资产净值比例大小排序的前五名贵金属投资明细</w:t>
      </w:r>
    </w:p>
    <w:p w:rsidR="00A960A3" w:rsidRPr="00EE3DBC" w:rsidRDefault="005B4E34">
      <w:pPr>
        <w:widowControl/>
        <w:spacing w:line="360" w:lineRule="auto"/>
        <w:jc w:val="left"/>
        <w:rPr>
          <w:color w:val="000000" w:themeColor="text1"/>
          <w:szCs w:val="21"/>
        </w:rPr>
      </w:pPr>
      <w:r w:rsidRPr="00EE3DBC">
        <w:rPr>
          <w:color w:val="000000" w:themeColor="text1"/>
          <w:szCs w:val="21"/>
        </w:rPr>
        <w:t>本基金本报告期末未持有贵金属。</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5.8</w:t>
      </w:r>
      <w:r w:rsidRPr="00EE3DBC">
        <w:rPr>
          <w:rFonts w:eastAsiaTheme="minorEastAsia"/>
          <w:b/>
          <w:bCs/>
          <w:color w:val="000000" w:themeColor="text1"/>
          <w:sz w:val="24"/>
        </w:rPr>
        <w:t>报告期末按公允价值占基金资产净值比例大小排名的前五名权证投资明细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本基金本报告期末未持有权证。</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t>5.9</w:t>
      </w:r>
      <w:r w:rsidRPr="00EE3DBC">
        <w:rPr>
          <w:rFonts w:eastAsiaTheme="minorEastAsia"/>
          <w:b/>
          <w:color w:val="000000" w:themeColor="text1"/>
          <w:sz w:val="24"/>
        </w:rPr>
        <w:t xml:space="preserve"> </w:t>
      </w:r>
      <w:r w:rsidRPr="00EE3DBC">
        <w:rPr>
          <w:rFonts w:eastAsiaTheme="minorEastAsia"/>
          <w:b/>
          <w:color w:val="000000" w:themeColor="text1"/>
          <w:sz w:val="24"/>
        </w:rPr>
        <w:t>报告期末本基金投资的股指期货交易情况说明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本基金本报告期末未持有股指期货。</w:t>
      </w:r>
    </w:p>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color w:val="000000" w:themeColor="text1"/>
          <w:sz w:val="24"/>
        </w:rPr>
        <w:t>5.10</w:t>
      </w:r>
      <w:r w:rsidRPr="00EE3DBC">
        <w:rPr>
          <w:rFonts w:eastAsiaTheme="minorEastAsia"/>
          <w:b/>
          <w:color w:val="000000" w:themeColor="text1"/>
          <w:sz w:val="24"/>
        </w:rPr>
        <w:t>报告期末本基金投资的国债期货交易情况说明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lastRenderedPageBreak/>
        <w:t>本基金本报告期末未持有国债期货。</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5.11 </w:t>
      </w:r>
      <w:r w:rsidRPr="00EE3DBC">
        <w:rPr>
          <w:rFonts w:eastAsiaTheme="minorEastAsia"/>
          <w:b/>
          <w:color w:val="000000" w:themeColor="text1"/>
          <w:kern w:val="0"/>
          <w:sz w:val="24"/>
        </w:rPr>
        <w:t>投资组合报告附注</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5.11.1</w:t>
      </w:r>
      <w:r w:rsidRPr="00EE3DBC">
        <w:rPr>
          <w:rFonts w:eastAsiaTheme="minorEastAsia"/>
          <w:color w:val="000000" w:themeColor="text1"/>
          <w:kern w:val="0"/>
          <w:sz w:val="24"/>
        </w:rPr>
        <w:t>本基金投资的前十名证券的发行主体中，招商银行股份有限公司在报告编制日前一年内曾受到国家金融监督管理总局深圳监管局、国家外汇管理局深圳市分局的处罚。本基金对上述主体所发行证券的投资决策程序符合相关法律法规、基金合同及公司投资制度的要求。</w:t>
      </w:r>
    </w:p>
    <w:p w:rsidR="005B64D2" w:rsidRDefault="008C4F21">
      <w:pPr>
        <w:spacing w:line="360" w:lineRule="auto"/>
        <w:rPr>
          <w:rFonts w:eastAsiaTheme="minorEastAsia"/>
          <w:color w:val="000000" w:themeColor="text1"/>
          <w:kern w:val="0"/>
          <w:sz w:val="24"/>
        </w:rPr>
      </w:pPr>
      <w:r>
        <w:rPr>
          <w:rFonts w:eastAsiaTheme="minorEastAsia"/>
          <w:color w:val="000000" w:themeColor="text1"/>
          <w:kern w:val="0"/>
          <w:sz w:val="24"/>
        </w:rPr>
        <w:t>除上述主体外，本基金投资的其余前十名证券的发行主体本期未出现被监管部门立案调查，或在报告编制日前一年内受到公开谴责、处罚的情形。</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5.11.2</w:t>
      </w:r>
      <w:r w:rsidRPr="00EE3DBC">
        <w:rPr>
          <w:rFonts w:eastAsiaTheme="minorEastAsia"/>
          <w:color w:val="000000" w:themeColor="text1"/>
          <w:kern w:val="0"/>
          <w:sz w:val="24"/>
        </w:rPr>
        <w:t>报告期内本基金投资的前十名股票中没有在基金合同规定备选股票库之外的股票。</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5.11.3</w:t>
      </w:r>
      <w:r w:rsidRPr="00EE3DBC">
        <w:rPr>
          <w:rFonts w:eastAsiaTheme="minorEastAsia"/>
          <w:b/>
          <w:color w:val="000000" w:themeColor="text1"/>
          <w:kern w:val="0"/>
          <w:sz w:val="24"/>
        </w:rPr>
        <w:t>其他资产构成</w:t>
      </w:r>
    </w:p>
    <w:tbl>
      <w:tblPr>
        <w:tblStyle w:val="afa"/>
        <w:tblW w:w="8528" w:type="dxa"/>
        <w:tblLayout w:type="fixed"/>
        <w:tblLook w:val="04A0" w:firstRow="1" w:lastRow="0" w:firstColumn="1" w:lastColumn="0" w:noHBand="0" w:noVBand="1"/>
      </w:tblPr>
      <w:tblGrid>
        <w:gridCol w:w="959"/>
        <w:gridCol w:w="2761"/>
        <w:gridCol w:w="4808"/>
      </w:tblGrid>
      <w:tr w:rsidR="00A960A3" w:rsidRPr="00EE3DBC">
        <w:tc>
          <w:tcPr>
            <w:tcW w:w="959"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序号</w:t>
            </w:r>
          </w:p>
        </w:tc>
        <w:tc>
          <w:tcPr>
            <w:tcW w:w="2761"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名称</w:t>
            </w:r>
          </w:p>
        </w:tc>
        <w:tc>
          <w:tcPr>
            <w:tcW w:w="4808"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金额（元）</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kern w:val="0"/>
                <w:sz w:val="24"/>
              </w:rPr>
            </w:pPr>
            <w:r w:rsidRPr="00EE3DBC">
              <w:rPr>
                <w:rFonts w:eastAsiaTheme="minorEastAsia"/>
                <w:color w:val="000000" w:themeColor="text1"/>
                <w:sz w:val="24"/>
              </w:rPr>
              <w:t>1</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存出保证金</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2</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应收证券清算款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3</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应收股利</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4</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应收利息</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5</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应收申购款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44,259.59</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6</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其他应收款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7</w:t>
            </w:r>
          </w:p>
        </w:tc>
        <w:tc>
          <w:tcPr>
            <w:tcW w:w="2761" w:type="dxa"/>
          </w:tcPr>
          <w:p w:rsidR="00A960A3" w:rsidRPr="00EE3DBC" w:rsidRDefault="005B4E34">
            <w:pPr>
              <w:autoSpaceDE w:val="0"/>
              <w:autoSpaceDN w:val="0"/>
              <w:adjustRightInd w:val="0"/>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待摊费用</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8</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9</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合计</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44,259.59</w:t>
            </w:r>
          </w:p>
        </w:tc>
      </w:tr>
    </w:tbl>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5.11.4</w:t>
      </w:r>
      <w:r w:rsidRPr="00EE3DBC">
        <w:rPr>
          <w:rFonts w:eastAsiaTheme="minorEastAsia"/>
          <w:b/>
          <w:color w:val="000000" w:themeColor="text1"/>
          <w:kern w:val="0"/>
          <w:sz w:val="24"/>
        </w:rPr>
        <w:t>报告期末持有的处于转股期的可转换债券明细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本基金本报告期末未持有处于转股期的可转换债券。</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w:t>
      </w:r>
      <w:r w:rsidRPr="00EE3DBC">
        <w:rPr>
          <w:rFonts w:eastAsiaTheme="minorEastAsia"/>
          <w:b/>
          <w:color w:val="000000" w:themeColor="text1"/>
          <w:sz w:val="24"/>
        </w:rPr>
        <w:t>期末前十名股票中存在流通受限情况的说明</w:t>
      </w:r>
    </w:p>
    <w:p w:rsidR="00A960A3" w:rsidRPr="00EE3DBC" w:rsidRDefault="005B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color w:val="000000" w:themeColor="text1"/>
          <w:kern w:val="0"/>
          <w:sz w:val="24"/>
        </w:rPr>
      </w:pPr>
      <w:r w:rsidRPr="00EE3DBC">
        <w:rPr>
          <w:rFonts w:eastAsiaTheme="minorEastAsia"/>
          <w:b/>
          <w:bCs/>
          <w:color w:val="000000" w:themeColor="text1"/>
          <w:kern w:val="0"/>
          <w:sz w:val="24"/>
        </w:rPr>
        <w:t>5.11.5.1</w:t>
      </w:r>
      <w:r w:rsidRPr="00EE3DBC">
        <w:rPr>
          <w:b/>
          <w:color w:val="000000" w:themeColor="text1"/>
          <w:kern w:val="0"/>
          <w:sz w:val="24"/>
        </w:rPr>
        <w:t>期末指数投资前十名股票中存在流通受限情况的说明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本基金本报告期末前十名股票中不存在流通受限情况。</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5.11.5.2</w:t>
      </w:r>
      <w:r w:rsidRPr="00EE3DBC">
        <w:rPr>
          <w:rFonts w:eastAsiaTheme="minorEastAsia"/>
          <w:b/>
          <w:color w:val="000000" w:themeColor="text1"/>
          <w:sz w:val="24"/>
        </w:rPr>
        <w:t>期末积极投资前五名股票中存在流通受限情况的说明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本基金本报告期末前五名积极投资中不存在流通受限情况。</w:t>
      </w:r>
    </w:p>
    <w:p w:rsidR="00A960A3" w:rsidRPr="00EE3DBC" w:rsidRDefault="00A960A3">
      <w:pPr>
        <w:spacing w:line="360" w:lineRule="auto"/>
        <w:rPr>
          <w:rFonts w:eastAsiaTheme="minorEastAsia"/>
          <w:bCs/>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lastRenderedPageBreak/>
        <w:t>5.11.6</w:t>
      </w:r>
      <w:r w:rsidRPr="00EE3DBC">
        <w:rPr>
          <w:rFonts w:eastAsiaTheme="minorEastAsia"/>
          <w:b/>
          <w:bCs/>
          <w:color w:val="000000" w:themeColor="text1"/>
          <w:kern w:val="0"/>
          <w:sz w:val="24"/>
        </w:rPr>
        <w:t>投资组合报告附注的其他文字描述部分</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kern w:val="0"/>
          <w:sz w:val="24"/>
        </w:rPr>
        <w:t>因四舍五入原因，投资组合报告中分项之和与合计可能存在尾差。</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§6  </w:t>
      </w:r>
      <w:r w:rsidRPr="00EE3DBC">
        <w:rPr>
          <w:rFonts w:eastAsiaTheme="minorEastAsia"/>
          <w:color w:val="000000" w:themeColor="text1"/>
          <w:kern w:val="0"/>
          <w:sz w:val="24"/>
          <w:szCs w:val="24"/>
        </w:rPr>
        <w:t>开放式基金份额变动</w:t>
      </w:r>
    </w:p>
    <w:p w:rsidR="0098228A" w:rsidRPr="00EE3DBC" w:rsidRDefault="0098228A" w:rsidP="0098228A">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sidRPr="00EE3DBC">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16,291,595.78</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1,641,103.73</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791,891.21</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2,671,834.51</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412,015.72</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2,817,665.30</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16,671,471.27</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1,495,272.94</w:t>
            </w:r>
          </w:p>
        </w:tc>
      </w:tr>
    </w:tbl>
    <w:p w:rsidR="00A960A3" w:rsidRPr="00EE3DBC" w:rsidRDefault="005B4E34" w:rsidP="009A3BD8">
      <w:pPr>
        <w:pStyle w:val="1"/>
        <w:tabs>
          <w:tab w:val="center" w:pos="4156"/>
          <w:tab w:val="right" w:pos="8312"/>
        </w:tabs>
        <w:spacing w:beforeLines="100" w:before="312" w:afterLines="100" w:after="312" w:line="360" w:lineRule="auto"/>
        <w:jc w:val="center"/>
        <w:rPr>
          <w:color w:val="000000" w:themeColor="text1"/>
          <w:sz w:val="24"/>
          <w:szCs w:val="24"/>
        </w:rPr>
      </w:pPr>
      <w:r w:rsidRPr="00EE3DBC">
        <w:rPr>
          <w:rFonts w:eastAsiaTheme="minorEastAsia"/>
          <w:color w:val="000000" w:themeColor="text1"/>
          <w:kern w:val="0"/>
          <w:sz w:val="24"/>
          <w:szCs w:val="24"/>
        </w:rPr>
        <w:t xml:space="preserve">§7  </w:t>
      </w:r>
      <w:r w:rsidRPr="00EE3DBC">
        <w:rPr>
          <w:color w:val="000000" w:themeColor="text1"/>
          <w:sz w:val="24"/>
          <w:szCs w:val="24"/>
        </w:rPr>
        <w:t>基金管理人运用固有资金投资本基金情况</w:t>
      </w:r>
    </w:p>
    <w:p w:rsidR="0098228A" w:rsidRPr="00EE3DBC" w:rsidRDefault="0098228A" w:rsidP="0098228A">
      <w:pPr>
        <w:spacing w:line="360" w:lineRule="auto"/>
        <w:jc w:val="left"/>
        <w:rPr>
          <w:color w:val="000000" w:themeColor="text1"/>
          <w:szCs w:val="21"/>
        </w:rPr>
      </w:pPr>
      <w:r w:rsidRPr="00EE3DBC">
        <w:rPr>
          <w:b/>
          <w:color w:val="000000" w:themeColor="text1"/>
          <w:szCs w:val="21"/>
        </w:rPr>
        <w:t>7.1</w:t>
      </w:r>
      <w:r w:rsidRPr="00EE3DBC">
        <w:rPr>
          <w:rFonts w:eastAsiaTheme="minorEastAsia"/>
          <w:b/>
          <w:bCs/>
          <w:color w:val="000000" w:themeColor="text1"/>
          <w:kern w:val="44"/>
          <w:szCs w:val="21"/>
        </w:rPr>
        <w:t>基金管理人持有本基金份额变动情况</w:t>
      </w:r>
    </w:p>
    <w:p w:rsidR="0098228A" w:rsidRPr="00EE3DBC" w:rsidRDefault="0098228A" w:rsidP="0098228A">
      <w:pPr>
        <w:autoSpaceDE w:val="0"/>
        <w:autoSpaceDN w:val="0"/>
        <w:adjustRightInd w:val="0"/>
        <w:spacing w:before="29" w:line="360" w:lineRule="auto"/>
        <w:ind w:left="15"/>
        <w:jc w:val="right"/>
        <w:rPr>
          <w:rFonts w:eastAsiaTheme="minorEastAsia"/>
          <w:color w:val="000000" w:themeColor="text1"/>
          <w:kern w:val="0"/>
          <w:szCs w:val="21"/>
        </w:rPr>
      </w:pPr>
      <w:r w:rsidRPr="00EE3DBC">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sidRPr="00EE3DBC">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摩根沪深</w:t>
            </w:r>
            <w:r w:rsidRPr="00EE3DBC">
              <w:rPr>
                <w:rFonts w:eastAsiaTheme="minorEastAsia"/>
                <w:color w:val="000000" w:themeColor="text1"/>
                <w:szCs w:val="21"/>
              </w:rPr>
              <w:t>300</w:t>
            </w:r>
            <w:r w:rsidRPr="00EE3DBC">
              <w:rPr>
                <w:rFonts w:eastAsiaTheme="minorEastAsia"/>
                <w:color w:val="000000" w:themeColor="text1"/>
                <w:szCs w:val="21"/>
              </w:rPr>
              <w:t>指数增强发起式</w:t>
            </w:r>
            <w:r w:rsidRPr="00EE3DBC">
              <w:rPr>
                <w:rFonts w:eastAsiaTheme="minorEastAsia"/>
                <w:color w:val="000000" w:themeColor="text1"/>
                <w:szCs w:val="21"/>
              </w:rPr>
              <w:t>C</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pStyle w:val="ab"/>
              <w:adjustRightInd w:val="0"/>
              <w:snapToGrid w:val="0"/>
              <w:spacing w:line="360" w:lineRule="exact"/>
              <w:rPr>
                <w:rFonts w:eastAsia="方正仿宋简体"/>
                <w:color w:val="000000" w:themeColor="text1"/>
                <w:sz w:val="21"/>
                <w:szCs w:val="21"/>
              </w:rPr>
            </w:pPr>
            <w:r w:rsidRPr="00EE3DBC">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15,158,738.63</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rFonts w:eastAsiaTheme="minorEastAsia"/>
                <w:color w:val="000000" w:themeColor="text1"/>
                <w:kern w:val="0"/>
                <w:szCs w:val="21"/>
              </w:rPr>
              <w:t>报告期期间</w:t>
            </w:r>
            <w:r w:rsidRPr="00EE3DBC">
              <w:rPr>
                <w:color w:val="000000" w:themeColor="text1"/>
                <w:szCs w:val="21"/>
              </w:rPr>
              <w:t>买入</w:t>
            </w:r>
            <w:r w:rsidRPr="00EE3DBC">
              <w:rPr>
                <w:color w:val="000000" w:themeColor="text1"/>
                <w:szCs w:val="21"/>
              </w:rPr>
              <w:t>/</w:t>
            </w:r>
            <w:r w:rsidRPr="00EE3DBC">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rFonts w:eastAsiaTheme="minorEastAsia"/>
                <w:color w:val="000000" w:themeColor="text1"/>
                <w:kern w:val="0"/>
                <w:szCs w:val="21"/>
              </w:rPr>
              <w:t>报告期期间</w:t>
            </w:r>
            <w:r w:rsidRPr="00EE3DBC">
              <w:rPr>
                <w:color w:val="000000" w:themeColor="text1"/>
                <w:szCs w:val="21"/>
              </w:rPr>
              <w:t>卖出</w:t>
            </w:r>
            <w:r w:rsidRPr="00EE3DBC">
              <w:rPr>
                <w:color w:val="000000" w:themeColor="text1"/>
                <w:szCs w:val="21"/>
              </w:rPr>
              <w:t>/</w:t>
            </w:r>
            <w:r w:rsidRPr="00EE3DBC">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15,158,738.63</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297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djustRightInd w:val="0"/>
              <w:snapToGrid w:val="0"/>
              <w:spacing w:line="360" w:lineRule="exact"/>
              <w:rPr>
                <w:color w:val="000000" w:themeColor="text1"/>
                <w:szCs w:val="21"/>
              </w:rPr>
            </w:pPr>
            <w:r w:rsidRPr="00EE3DBC">
              <w:rPr>
                <w:color w:val="000000" w:themeColor="text1"/>
                <w:szCs w:val="21"/>
              </w:rPr>
              <w:t>报告期期末持有的本基金份额占基金总份额比例（</w:t>
            </w:r>
            <w:r w:rsidRPr="00EE3DBC">
              <w:rPr>
                <w:color w:val="000000" w:themeColor="text1"/>
                <w:szCs w:val="21"/>
              </w:rPr>
              <w:t>%</w:t>
            </w:r>
            <w:r w:rsidRPr="00EE3DBC">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83.44</w:t>
            </w:r>
          </w:p>
        </w:tc>
        <w:tc>
          <w:tcPr>
            <w:tcW w:w="2693"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jc w:val="right"/>
              <w:rPr>
                <w:rFonts w:eastAsiaTheme="minorEastAsia"/>
                <w:color w:val="000000" w:themeColor="text1"/>
                <w:kern w:val="0"/>
                <w:szCs w:val="21"/>
              </w:rPr>
            </w:pPr>
            <w:r w:rsidRPr="00EE3DBC">
              <w:rPr>
                <w:rFonts w:eastAsiaTheme="minorEastAsia"/>
                <w:color w:val="000000" w:themeColor="text1"/>
                <w:szCs w:val="21"/>
              </w:rPr>
              <w:t>-</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left"/>
        <w:rPr>
          <w:color w:val="000000" w:themeColor="text1"/>
          <w:sz w:val="24"/>
        </w:rPr>
      </w:pPr>
      <w:r w:rsidRPr="00EE3DBC">
        <w:rPr>
          <w:b/>
          <w:color w:val="000000" w:themeColor="text1"/>
          <w:sz w:val="24"/>
        </w:rPr>
        <w:t xml:space="preserve">7.2 </w:t>
      </w:r>
      <w:r w:rsidRPr="00EE3DBC">
        <w:rPr>
          <w:b/>
          <w:color w:val="000000" w:themeColor="text1"/>
          <w:sz w:val="24"/>
        </w:rPr>
        <w:t>基金管理人运用固有资金投资本基金交易明细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无。</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lastRenderedPageBreak/>
        <w:t xml:space="preserve">§8  </w:t>
      </w:r>
      <w:r w:rsidRPr="00EE3DBC">
        <w:rPr>
          <w:rFonts w:eastAsiaTheme="minorEastAsia"/>
          <w:color w:val="000000" w:themeColor="text1"/>
          <w:kern w:val="0"/>
          <w:sz w:val="24"/>
          <w:szCs w:val="24"/>
        </w:rPr>
        <w:t>报告期末发起式基金发起资金持有份额情况</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1157"/>
        <w:gridCol w:w="1314"/>
        <w:gridCol w:w="1065"/>
        <w:gridCol w:w="1458"/>
        <w:gridCol w:w="1495"/>
      </w:tblGrid>
      <w:tr w:rsidR="00A960A3" w:rsidRPr="00EE3DBC">
        <w:trPr>
          <w:trHeight w:val="543"/>
          <w:jc w:val="center"/>
        </w:trPr>
        <w:tc>
          <w:tcPr>
            <w:tcW w:w="2391" w:type="dxa"/>
            <w:tcBorders>
              <w:top w:val="single" w:sz="4" w:space="0" w:color="auto"/>
              <w:left w:val="single" w:sz="4" w:space="0" w:color="auto"/>
              <w:bottom w:val="single" w:sz="4" w:space="0" w:color="auto"/>
              <w:right w:val="single" w:sz="4" w:space="0" w:color="auto"/>
            </w:tcBorders>
            <w:vAlign w:val="center"/>
          </w:tcPr>
          <w:p w:rsidR="00A960A3" w:rsidRPr="00EE3DBC" w:rsidRDefault="005B4E34">
            <w:pPr>
              <w:widowControl/>
              <w:jc w:val="left"/>
              <w:rPr>
                <w:rFonts w:eastAsiaTheme="minorEastAsia"/>
                <w:color w:val="000000" w:themeColor="text1"/>
                <w:sz w:val="24"/>
              </w:rPr>
            </w:pPr>
            <w:r w:rsidRPr="00EE3DBC">
              <w:rPr>
                <w:rFonts w:eastAsiaTheme="minorEastAsia"/>
                <w:color w:val="000000" w:themeColor="text1"/>
                <w:sz w:val="24"/>
              </w:rPr>
              <w:t>项目</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持有份额总数</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持有份额占基金总份额比例</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发起份额总数</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发起份额占基金总份额比例</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widowControl/>
              <w:jc w:val="left"/>
              <w:rPr>
                <w:rFonts w:eastAsiaTheme="minorEastAsia"/>
                <w:color w:val="000000" w:themeColor="text1"/>
                <w:sz w:val="24"/>
              </w:rPr>
            </w:pPr>
            <w:r w:rsidRPr="00EE3DBC">
              <w:rPr>
                <w:rFonts w:eastAsiaTheme="minorEastAsia"/>
                <w:color w:val="000000" w:themeColor="text1"/>
                <w:sz w:val="24"/>
              </w:rPr>
              <w:t>发起份额承诺持有期限</w:t>
            </w:r>
          </w:p>
        </w:tc>
      </w:tr>
      <w:tr w:rsidR="006C3A74"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6C3A74" w:rsidRPr="00EE3DBC" w:rsidRDefault="006C3A74" w:rsidP="006C3A7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基金管理人固有资金</w:t>
            </w:r>
          </w:p>
        </w:tc>
        <w:tc>
          <w:tcPr>
            <w:tcW w:w="1157" w:type="dxa"/>
            <w:tcBorders>
              <w:top w:val="single" w:sz="4" w:space="0" w:color="auto"/>
              <w:left w:val="single" w:sz="4" w:space="0" w:color="auto"/>
              <w:bottom w:val="single" w:sz="4" w:space="0" w:color="auto"/>
              <w:right w:val="single" w:sz="4" w:space="0" w:color="auto"/>
            </w:tcBorders>
          </w:tcPr>
          <w:p w:rsidR="006C3A74" w:rsidRPr="00EE3DBC" w:rsidRDefault="006C3A74" w:rsidP="008C4F21">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15,158,738.63</w:t>
            </w:r>
          </w:p>
        </w:tc>
        <w:tc>
          <w:tcPr>
            <w:tcW w:w="1314" w:type="dxa"/>
            <w:tcBorders>
              <w:top w:val="single" w:sz="4" w:space="0" w:color="auto"/>
              <w:left w:val="single" w:sz="4" w:space="0" w:color="auto"/>
              <w:bottom w:val="single" w:sz="4" w:space="0" w:color="auto"/>
              <w:right w:val="single" w:sz="4" w:space="0" w:color="auto"/>
            </w:tcBorders>
          </w:tcPr>
          <w:p w:rsidR="006C3A74" w:rsidRPr="00EE3DBC" w:rsidRDefault="006C3A74" w:rsidP="008C4F21">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83.44%</w:t>
            </w:r>
          </w:p>
        </w:tc>
        <w:tc>
          <w:tcPr>
            <w:tcW w:w="1065" w:type="dxa"/>
            <w:tcBorders>
              <w:top w:val="single" w:sz="4" w:space="0" w:color="auto"/>
              <w:left w:val="single" w:sz="4" w:space="0" w:color="auto"/>
              <w:bottom w:val="single" w:sz="4" w:space="0" w:color="auto"/>
              <w:right w:val="single" w:sz="4" w:space="0" w:color="auto"/>
            </w:tcBorders>
          </w:tcPr>
          <w:p w:rsidR="006C3A74" w:rsidRPr="00EE3DBC" w:rsidRDefault="006C3A74" w:rsidP="008C4F21">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10,000,783.32</w:t>
            </w:r>
          </w:p>
        </w:tc>
        <w:tc>
          <w:tcPr>
            <w:tcW w:w="1458" w:type="dxa"/>
            <w:tcBorders>
              <w:top w:val="single" w:sz="4" w:space="0" w:color="auto"/>
              <w:left w:val="single" w:sz="4" w:space="0" w:color="auto"/>
              <w:bottom w:val="single" w:sz="4" w:space="0" w:color="auto"/>
              <w:right w:val="single" w:sz="4" w:space="0" w:color="auto"/>
            </w:tcBorders>
          </w:tcPr>
          <w:p w:rsidR="006C3A74" w:rsidRPr="00EE3DBC" w:rsidRDefault="006C3A74" w:rsidP="008C4F21">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55.05%</w:t>
            </w:r>
          </w:p>
        </w:tc>
        <w:tc>
          <w:tcPr>
            <w:tcW w:w="1495" w:type="dxa"/>
            <w:tcBorders>
              <w:top w:val="single" w:sz="4" w:space="0" w:color="auto"/>
              <w:left w:val="single" w:sz="4" w:space="0" w:color="auto"/>
              <w:bottom w:val="single" w:sz="4" w:space="0" w:color="auto"/>
              <w:right w:val="single" w:sz="4" w:space="0" w:color="auto"/>
            </w:tcBorders>
          </w:tcPr>
          <w:p w:rsidR="006C3A74" w:rsidRPr="00EE3DBC" w:rsidRDefault="006C3A74" w:rsidP="006C3A7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3</w:t>
            </w:r>
            <w:r w:rsidRPr="00EE3DBC">
              <w:rPr>
                <w:rFonts w:eastAsiaTheme="minorEastAsia"/>
                <w:color w:val="000000" w:themeColor="text1"/>
                <w:kern w:val="0"/>
                <w:sz w:val="24"/>
              </w:rPr>
              <w:t>年</w:t>
            </w:r>
          </w:p>
        </w:tc>
      </w:tr>
      <w:tr w:rsidR="00A960A3" w:rsidRPr="00EE3DBC">
        <w:trPr>
          <w:trHeight w:val="790"/>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rPr>
                <w:rFonts w:eastAsiaTheme="minorEastAsia"/>
                <w:color w:val="000000" w:themeColor="text1"/>
                <w:sz w:val="24"/>
              </w:rPr>
            </w:pPr>
            <w:r w:rsidRPr="00EE3DBC">
              <w:rPr>
                <w:rFonts w:eastAsiaTheme="minorEastAsia"/>
                <w:color w:val="000000" w:themeColor="text1"/>
                <w:sz w:val="24"/>
              </w:rPr>
              <w:t>基金管理人高级管理人员</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基金经理等人员</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基金管理人股东</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其他</w:t>
            </w:r>
          </w:p>
        </w:tc>
        <w:tc>
          <w:tcPr>
            <w:tcW w:w="1157"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314"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06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58"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c>
          <w:tcPr>
            <w:tcW w:w="1495" w:type="dxa"/>
            <w:tcBorders>
              <w:top w:val="single" w:sz="4" w:space="0" w:color="auto"/>
              <w:left w:val="single" w:sz="4" w:space="0" w:color="auto"/>
              <w:bottom w:val="single" w:sz="4" w:space="0" w:color="auto"/>
              <w:right w:val="single" w:sz="4" w:space="0" w:color="auto"/>
            </w:tcBorders>
          </w:tcPr>
          <w:p w:rsidR="00A960A3" w:rsidRPr="00EE3DBC" w:rsidRDefault="005B4E3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w:t>
            </w:r>
          </w:p>
        </w:tc>
      </w:tr>
      <w:tr w:rsidR="006C3A74" w:rsidRPr="00EE3DBC">
        <w:trPr>
          <w:jc w:val="center"/>
        </w:trPr>
        <w:tc>
          <w:tcPr>
            <w:tcW w:w="2391" w:type="dxa"/>
            <w:tcBorders>
              <w:top w:val="single" w:sz="4" w:space="0" w:color="auto"/>
              <w:left w:val="single" w:sz="4" w:space="0" w:color="auto"/>
              <w:bottom w:val="single" w:sz="4" w:space="0" w:color="auto"/>
              <w:right w:val="single" w:sz="4" w:space="0" w:color="auto"/>
            </w:tcBorders>
          </w:tcPr>
          <w:p w:rsidR="006C3A74" w:rsidRPr="00EE3DBC" w:rsidRDefault="006C3A74" w:rsidP="006C3A74">
            <w:pPr>
              <w:adjustRightInd w:val="0"/>
              <w:snapToGrid w:val="0"/>
              <w:spacing w:line="360" w:lineRule="exact"/>
              <w:jc w:val="left"/>
              <w:rPr>
                <w:rFonts w:eastAsiaTheme="minorEastAsia"/>
                <w:color w:val="000000" w:themeColor="text1"/>
                <w:sz w:val="24"/>
              </w:rPr>
            </w:pPr>
            <w:r w:rsidRPr="00EE3DBC">
              <w:rPr>
                <w:rFonts w:eastAsiaTheme="minorEastAsia"/>
                <w:color w:val="000000" w:themeColor="text1"/>
                <w:sz w:val="24"/>
              </w:rPr>
              <w:t>合计</w:t>
            </w:r>
          </w:p>
        </w:tc>
        <w:tc>
          <w:tcPr>
            <w:tcW w:w="1157" w:type="dxa"/>
            <w:tcBorders>
              <w:top w:val="single" w:sz="4" w:space="0" w:color="auto"/>
              <w:left w:val="single" w:sz="4" w:space="0" w:color="auto"/>
              <w:bottom w:val="single" w:sz="4" w:space="0" w:color="auto"/>
              <w:right w:val="single" w:sz="4" w:space="0" w:color="auto"/>
            </w:tcBorders>
          </w:tcPr>
          <w:p w:rsidR="006C3A74" w:rsidRPr="00EE3DBC" w:rsidRDefault="006C3A74" w:rsidP="008C4F21">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15,158,738.63</w:t>
            </w:r>
          </w:p>
        </w:tc>
        <w:tc>
          <w:tcPr>
            <w:tcW w:w="1314" w:type="dxa"/>
            <w:tcBorders>
              <w:top w:val="single" w:sz="4" w:space="0" w:color="auto"/>
              <w:left w:val="single" w:sz="4" w:space="0" w:color="auto"/>
              <w:bottom w:val="single" w:sz="4" w:space="0" w:color="auto"/>
              <w:right w:val="single" w:sz="4" w:space="0" w:color="auto"/>
            </w:tcBorders>
          </w:tcPr>
          <w:p w:rsidR="006C3A74" w:rsidRPr="00EE3DBC" w:rsidRDefault="006C3A74" w:rsidP="008C4F21">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83.44%</w:t>
            </w:r>
          </w:p>
        </w:tc>
        <w:tc>
          <w:tcPr>
            <w:tcW w:w="1065" w:type="dxa"/>
            <w:tcBorders>
              <w:top w:val="single" w:sz="4" w:space="0" w:color="auto"/>
              <w:left w:val="single" w:sz="4" w:space="0" w:color="auto"/>
              <w:bottom w:val="single" w:sz="4" w:space="0" w:color="auto"/>
              <w:right w:val="single" w:sz="4" w:space="0" w:color="auto"/>
            </w:tcBorders>
          </w:tcPr>
          <w:p w:rsidR="006C3A74" w:rsidRPr="00EE3DBC" w:rsidRDefault="006C3A74" w:rsidP="008C4F21">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10,000,783.32</w:t>
            </w:r>
          </w:p>
        </w:tc>
        <w:tc>
          <w:tcPr>
            <w:tcW w:w="1458" w:type="dxa"/>
            <w:tcBorders>
              <w:top w:val="single" w:sz="4" w:space="0" w:color="auto"/>
              <w:left w:val="single" w:sz="4" w:space="0" w:color="auto"/>
              <w:bottom w:val="single" w:sz="4" w:space="0" w:color="auto"/>
              <w:right w:val="single" w:sz="4" w:space="0" w:color="auto"/>
            </w:tcBorders>
          </w:tcPr>
          <w:p w:rsidR="006C3A74" w:rsidRPr="00EE3DBC" w:rsidRDefault="006C3A74" w:rsidP="008C4F21">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55.05%</w:t>
            </w:r>
          </w:p>
        </w:tc>
        <w:tc>
          <w:tcPr>
            <w:tcW w:w="1495" w:type="dxa"/>
            <w:tcBorders>
              <w:top w:val="single" w:sz="4" w:space="0" w:color="auto"/>
              <w:left w:val="single" w:sz="4" w:space="0" w:color="auto"/>
              <w:bottom w:val="single" w:sz="4" w:space="0" w:color="auto"/>
              <w:right w:val="single" w:sz="4" w:space="0" w:color="auto"/>
            </w:tcBorders>
          </w:tcPr>
          <w:p w:rsidR="006C3A74" w:rsidRPr="00EE3DBC" w:rsidRDefault="006C3A74" w:rsidP="006C3A74">
            <w:pPr>
              <w:adjustRightInd w:val="0"/>
              <w:snapToGrid w:val="0"/>
              <w:spacing w:line="360" w:lineRule="exact"/>
              <w:jc w:val="right"/>
              <w:rPr>
                <w:rFonts w:eastAsiaTheme="minorEastAsia"/>
                <w:color w:val="000000" w:themeColor="text1"/>
                <w:kern w:val="0"/>
                <w:sz w:val="24"/>
              </w:rPr>
            </w:pPr>
            <w:r w:rsidRPr="00EE3DBC">
              <w:rPr>
                <w:rFonts w:eastAsiaTheme="minorEastAsia"/>
                <w:color w:val="000000" w:themeColor="text1"/>
                <w:kern w:val="0"/>
                <w:sz w:val="24"/>
              </w:rPr>
              <w:t>3</w:t>
            </w:r>
            <w:r w:rsidRPr="00EE3DBC">
              <w:rPr>
                <w:rFonts w:eastAsiaTheme="minorEastAsia"/>
                <w:color w:val="000000" w:themeColor="text1"/>
                <w:kern w:val="0"/>
                <w:sz w:val="24"/>
              </w:rPr>
              <w:t>年</w:t>
            </w:r>
          </w:p>
        </w:tc>
      </w:tr>
    </w:tbl>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§9  </w:t>
      </w:r>
      <w:r w:rsidRPr="00EE3DBC">
        <w:rPr>
          <w:rFonts w:eastAsiaTheme="minorEastAsia"/>
          <w:color w:val="000000" w:themeColor="text1"/>
          <w:kern w:val="0"/>
          <w:sz w:val="24"/>
          <w:szCs w:val="24"/>
        </w:rPr>
        <w:t>影响投资者决策的其他重要信息</w:t>
      </w:r>
    </w:p>
    <w:p w:rsidR="00A960A3" w:rsidRPr="00EE3DBC" w:rsidRDefault="005B4E34">
      <w:pPr>
        <w:autoSpaceDE w:val="0"/>
        <w:autoSpaceDN w:val="0"/>
        <w:adjustRightInd w:val="0"/>
        <w:spacing w:line="360" w:lineRule="auto"/>
        <w:jc w:val="left"/>
        <w:rPr>
          <w:b/>
          <w:bCs/>
          <w:color w:val="000000"/>
          <w:kern w:val="0"/>
          <w:sz w:val="24"/>
        </w:rPr>
      </w:pPr>
      <w:r w:rsidRPr="00EE3DBC">
        <w:rPr>
          <w:b/>
          <w:bCs/>
          <w:color w:val="000000"/>
          <w:kern w:val="0"/>
          <w:sz w:val="24"/>
        </w:rPr>
        <w:t xml:space="preserve">9.1 </w:t>
      </w:r>
      <w:r w:rsidRPr="00EE3DBC">
        <w:rPr>
          <w:b/>
          <w:bCs/>
          <w:color w:val="000000"/>
          <w:kern w:val="0"/>
          <w:sz w:val="24"/>
        </w:rPr>
        <w:t>报告期内单一投资者持有基金份额比例达到或超过</w:t>
      </w:r>
      <w:r w:rsidRPr="00EE3DBC">
        <w:rPr>
          <w:b/>
          <w:bCs/>
          <w:color w:val="000000"/>
          <w:kern w:val="0"/>
          <w:sz w:val="24"/>
        </w:rPr>
        <w:t>20%</w:t>
      </w:r>
      <w:r w:rsidRPr="00EE3DBC">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960A3" w:rsidRPr="00EE3DBC">
        <w:tc>
          <w:tcPr>
            <w:tcW w:w="993" w:type="dxa"/>
            <w:vMerge w:val="restart"/>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投资者类别</w:t>
            </w:r>
            <w:r w:rsidRPr="00EE3DBC">
              <w:rPr>
                <w:color w:val="000000"/>
                <w:kern w:val="0"/>
                <w:sz w:val="24"/>
              </w:rPr>
              <w:t xml:space="preserve">  </w:t>
            </w:r>
          </w:p>
        </w:tc>
        <w:tc>
          <w:tcPr>
            <w:tcW w:w="5670" w:type="dxa"/>
            <w:gridSpan w:val="5"/>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报告期内持有基金份额变化情况</w:t>
            </w:r>
          </w:p>
        </w:tc>
        <w:tc>
          <w:tcPr>
            <w:tcW w:w="2549" w:type="dxa"/>
            <w:gridSpan w:val="2"/>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报告期末持有基金情况</w:t>
            </w:r>
          </w:p>
        </w:tc>
      </w:tr>
      <w:tr w:rsidR="00A960A3" w:rsidRPr="00EE3DBC">
        <w:tc>
          <w:tcPr>
            <w:tcW w:w="993" w:type="dxa"/>
            <w:vMerge/>
            <w:vAlign w:val="center"/>
          </w:tcPr>
          <w:p w:rsidR="00A960A3" w:rsidRPr="00EE3DBC" w:rsidRDefault="00A960A3">
            <w:pPr>
              <w:autoSpaceDE w:val="0"/>
              <w:autoSpaceDN w:val="0"/>
              <w:adjustRightInd w:val="0"/>
              <w:jc w:val="center"/>
              <w:rPr>
                <w:b/>
                <w:bCs/>
                <w:color w:val="000000"/>
                <w:kern w:val="0"/>
                <w:sz w:val="24"/>
              </w:rPr>
            </w:pPr>
          </w:p>
        </w:tc>
        <w:tc>
          <w:tcPr>
            <w:tcW w:w="992"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序号</w:t>
            </w:r>
          </w:p>
        </w:tc>
        <w:tc>
          <w:tcPr>
            <w:tcW w:w="1843"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持有基金份额比例达到或者超过</w:t>
            </w:r>
            <w:r w:rsidRPr="00EE3DBC">
              <w:rPr>
                <w:color w:val="000000"/>
                <w:kern w:val="0"/>
                <w:sz w:val="24"/>
              </w:rPr>
              <w:t>20%</w:t>
            </w:r>
            <w:r w:rsidRPr="00EE3DBC">
              <w:rPr>
                <w:color w:val="000000"/>
                <w:kern w:val="0"/>
                <w:sz w:val="24"/>
              </w:rPr>
              <w:t>的时间区间</w:t>
            </w:r>
          </w:p>
        </w:tc>
        <w:tc>
          <w:tcPr>
            <w:tcW w:w="851" w:type="dxa"/>
            <w:vAlign w:val="center"/>
          </w:tcPr>
          <w:p w:rsidR="00A960A3" w:rsidRPr="00EE3DBC" w:rsidRDefault="005B4E34">
            <w:pPr>
              <w:widowControl/>
              <w:jc w:val="center"/>
              <w:rPr>
                <w:b/>
                <w:bCs/>
                <w:color w:val="000000"/>
                <w:kern w:val="0"/>
                <w:sz w:val="24"/>
              </w:rPr>
            </w:pPr>
            <w:r w:rsidRPr="00EE3DBC">
              <w:rPr>
                <w:color w:val="000000"/>
                <w:kern w:val="0"/>
                <w:sz w:val="24"/>
              </w:rPr>
              <w:t>期初份额</w:t>
            </w:r>
          </w:p>
        </w:tc>
        <w:tc>
          <w:tcPr>
            <w:tcW w:w="850" w:type="dxa"/>
            <w:vAlign w:val="center"/>
          </w:tcPr>
          <w:p w:rsidR="00A960A3" w:rsidRPr="00EE3DBC" w:rsidRDefault="005B4E34">
            <w:pPr>
              <w:widowControl/>
              <w:jc w:val="center"/>
              <w:rPr>
                <w:b/>
                <w:bCs/>
                <w:color w:val="000000"/>
                <w:kern w:val="0"/>
                <w:sz w:val="24"/>
              </w:rPr>
            </w:pPr>
            <w:r w:rsidRPr="00EE3DBC">
              <w:rPr>
                <w:color w:val="000000"/>
                <w:kern w:val="0"/>
                <w:sz w:val="24"/>
              </w:rPr>
              <w:t>申购份额</w:t>
            </w:r>
          </w:p>
        </w:tc>
        <w:tc>
          <w:tcPr>
            <w:tcW w:w="1134" w:type="dxa"/>
            <w:vAlign w:val="center"/>
          </w:tcPr>
          <w:p w:rsidR="00A960A3" w:rsidRPr="00EE3DBC" w:rsidRDefault="005B4E34">
            <w:pPr>
              <w:widowControl/>
              <w:jc w:val="center"/>
              <w:rPr>
                <w:b/>
                <w:bCs/>
                <w:color w:val="000000"/>
                <w:kern w:val="0"/>
                <w:sz w:val="24"/>
              </w:rPr>
            </w:pPr>
            <w:r w:rsidRPr="00EE3DBC">
              <w:rPr>
                <w:color w:val="000000"/>
                <w:kern w:val="0"/>
                <w:sz w:val="24"/>
              </w:rPr>
              <w:t>赎回份额</w:t>
            </w:r>
          </w:p>
        </w:tc>
        <w:tc>
          <w:tcPr>
            <w:tcW w:w="1419"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持有份额</w:t>
            </w:r>
          </w:p>
        </w:tc>
        <w:tc>
          <w:tcPr>
            <w:tcW w:w="1130"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份额占比</w:t>
            </w:r>
          </w:p>
        </w:tc>
      </w:tr>
      <w:tr w:rsidR="005B64D2">
        <w:tc>
          <w:tcPr>
            <w:tcW w:w="993" w:type="dxa"/>
            <w:vAlign w:val="center"/>
          </w:tcPr>
          <w:p w:rsidR="005B64D2" w:rsidRDefault="008C4F21">
            <w:r>
              <w:rPr>
                <w:bCs/>
                <w:color w:val="000000"/>
                <w:kern w:val="0"/>
                <w:sz w:val="24"/>
              </w:rPr>
              <w:t>机构</w:t>
            </w:r>
          </w:p>
        </w:tc>
        <w:tc>
          <w:tcPr>
            <w:tcW w:w="992" w:type="dxa"/>
            <w:vAlign w:val="center"/>
          </w:tcPr>
          <w:p w:rsidR="005B64D2" w:rsidRDefault="008C4F21">
            <w:pPr>
              <w:jc w:val="center"/>
            </w:pPr>
            <w:r>
              <w:rPr>
                <w:color w:val="000000"/>
                <w:kern w:val="0"/>
                <w:sz w:val="24"/>
              </w:rPr>
              <w:t>1</w:t>
            </w:r>
          </w:p>
        </w:tc>
        <w:tc>
          <w:tcPr>
            <w:tcW w:w="1843" w:type="dxa"/>
            <w:vAlign w:val="center"/>
          </w:tcPr>
          <w:p w:rsidR="005B64D2" w:rsidRDefault="008C4F21">
            <w:pPr>
              <w:jc w:val="center"/>
            </w:pPr>
            <w:r>
              <w:rPr>
                <w:color w:val="000000"/>
                <w:kern w:val="0"/>
                <w:sz w:val="24"/>
              </w:rPr>
              <w:t>20240101-20240331</w:t>
            </w:r>
          </w:p>
        </w:tc>
        <w:tc>
          <w:tcPr>
            <w:tcW w:w="851" w:type="dxa"/>
            <w:vAlign w:val="center"/>
          </w:tcPr>
          <w:p w:rsidR="005B64D2" w:rsidRDefault="008C4F21">
            <w:pPr>
              <w:jc w:val="center"/>
            </w:pPr>
            <w:r>
              <w:rPr>
                <w:color w:val="000000"/>
                <w:kern w:val="0"/>
                <w:sz w:val="24"/>
              </w:rPr>
              <w:t>14,999,675.00</w:t>
            </w:r>
          </w:p>
        </w:tc>
        <w:tc>
          <w:tcPr>
            <w:tcW w:w="850" w:type="dxa"/>
            <w:vAlign w:val="center"/>
          </w:tcPr>
          <w:p w:rsidR="005B64D2" w:rsidRDefault="008C4F21">
            <w:pPr>
              <w:jc w:val="center"/>
            </w:pPr>
            <w:r>
              <w:rPr>
                <w:color w:val="000000"/>
                <w:kern w:val="0"/>
                <w:sz w:val="24"/>
              </w:rPr>
              <w:t>0.00</w:t>
            </w:r>
          </w:p>
        </w:tc>
        <w:tc>
          <w:tcPr>
            <w:tcW w:w="1134" w:type="dxa"/>
            <w:vAlign w:val="center"/>
          </w:tcPr>
          <w:p w:rsidR="005B64D2" w:rsidRDefault="008C4F21">
            <w:pPr>
              <w:jc w:val="center"/>
            </w:pPr>
            <w:r>
              <w:rPr>
                <w:color w:val="000000"/>
                <w:kern w:val="0"/>
                <w:sz w:val="24"/>
              </w:rPr>
              <w:t>0.00</w:t>
            </w:r>
          </w:p>
        </w:tc>
        <w:tc>
          <w:tcPr>
            <w:tcW w:w="1419" w:type="dxa"/>
            <w:vAlign w:val="center"/>
          </w:tcPr>
          <w:p w:rsidR="005B64D2" w:rsidRDefault="008C4F21">
            <w:pPr>
              <w:jc w:val="center"/>
            </w:pPr>
            <w:r>
              <w:rPr>
                <w:color w:val="000000"/>
                <w:kern w:val="0"/>
                <w:sz w:val="24"/>
              </w:rPr>
              <w:t>14,999,675.00</w:t>
            </w:r>
          </w:p>
        </w:tc>
        <w:tc>
          <w:tcPr>
            <w:tcW w:w="1130" w:type="dxa"/>
            <w:vAlign w:val="center"/>
          </w:tcPr>
          <w:p w:rsidR="005B64D2" w:rsidRDefault="008C4F21">
            <w:pPr>
              <w:jc w:val="center"/>
            </w:pPr>
            <w:r>
              <w:rPr>
                <w:color w:val="000000"/>
                <w:kern w:val="0"/>
                <w:sz w:val="24"/>
              </w:rPr>
              <w:t>82.57%</w:t>
            </w:r>
          </w:p>
        </w:tc>
      </w:tr>
      <w:tr w:rsidR="00A960A3" w:rsidRPr="00EE3DBC">
        <w:tc>
          <w:tcPr>
            <w:tcW w:w="9212" w:type="dxa"/>
            <w:gridSpan w:val="8"/>
            <w:vAlign w:val="center"/>
          </w:tcPr>
          <w:p w:rsidR="00A960A3" w:rsidRPr="00EE3DBC" w:rsidRDefault="005B4E34">
            <w:pPr>
              <w:autoSpaceDE w:val="0"/>
              <w:autoSpaceDN w:val="0"/>
              <w:adjustRightInd w:val="0"/>
              <w:jc w:val="center"/>
              <w:rPr>
                <w:kern w:val="0"/>
                <w:sz w:val="24"/>
              </w:rPr>
            </w:pPr>
            <w:r w:rsidRPr="00EE3DBC">
              <w:rPr>
                <w:color w:val="000000"/>
                <w:kern w:val="0"/>
                <w:sz w:val="24"/>
              </w:rPr>
              <w:t>产品特有风险</w:t>
            </w:r>
          </w:p>
        </w:tc>
      </w:tr>
      <w:tr w:rsidR="00A960A3" w:rsidRPr="00EE3DBC">
        <w:tc>
          <w:tcPr>
            <w:tcW w:w="9212" w:type="dxa"/>
            <w:gridSpan w:val="8"/>
            <w:vAlign w:val="center"/>
          </w:tcPr>
          <w:p w:rsidR="00A960A3" w:rsidRPr="00EE3DBC" w:rsidRDefault="005B4E34">
            <w:pPr>
              <w:autoSpaceDE w:val="0"/>
              <w:autoSpaceDN w:val="0"/>
              <w:adjustRightInd w:val="0"/>
              <w:jc w:val="left"/>
              <w:rPr>
                <w:kern w:val="0"/>
                <w:sz w:val="24"/>
              </w:rPr>
            </w:pPr>
            <w:r w:rsidRPr="00EE3DBC">
              <w:rPr>
                <w:kern w:val="0"/>
                <w:sz w:val="24"/>
              </w:rPr>
              <w:t>本基金的集中度风险主要体现在有单一投资者持有基金份额比例达到或者超过</w:t>
            </w:r>
            <w:r w:rsidRPr="00EE3DBC">
              <w:rPr>
                <w:kern w:val="0"/>
                <w:sz w:val="24"/>
              </w:rPr>
              <w:t>20%</w:t>
            </w:r>
            <w:r w:rsidRPr="00EE3DBC">
              <w:rPr>
                <w:kern w:val="0"/>
                <w:sz w:val="24"/>
              </w:rPr>
              <w:t>，如果投资者发生大额赎回，可能出现基金可变现资产无法满足投资者赎回需要以及因为资产变现成本过高导致投资者的利益受到损害的风险。</w:t>
            </w:r>
          </w:p>
        </w:tc>
      </w:tr>
    </w:tbl>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§10  </w:t>
      </w:r>
      <w:r w:rsidRPr="00EE3DBC">
        <w:rPr>
          <w:rFonts w:eastAsiaTheme="minorEastAsia"/>
          <w:color w:val="000000" w:themeColor="text1"/>
          <w:kern w:val="0"/>
          <w:sz w:val="24"/>
          <w:szCs w:val="24"/>
        </w:rPr>
        <w:t>备查文件目录</w:t>
      </w:r>
    </w:p>
    <w:p w:rsidR="00A960A3" w:rsidRPr="00EE3DBC" w:rsidRDefault="005B4E34">
      <w:pPr>
        <w:spacing w:line="360" w:lineRule="auto"/>
        <w:rPr>
          <w:rFonts w:eastAsiaTheme="minorEastAsia"/>
          <w:b/>
          <w:color w:val="000000" w:themeColor="text1"/>
          <w:kern w:val="0"/>
          <w:sz w:val="24"/>
        </w:rPr>
      </w:pPr>
      <w:r w:rsidRPr="00EE3DBC">
        <w:rPr>
          <w:rFonts w:eastAsiaTheme="minorEastAsia"/>
          <w:b/>
          <w:color w:val="000000" w:themeColor="text1"/>
          <w:sz w:val="24"/>
        </w:rPr>
        <w:t xml:space="preserve">10.1 </w:t>
      </w:r>
      <w:r w:rsidRPr="00EE3DBC">
        <w:rPr>
          <w:rFonts w:eastAsiaTheme="minorEastAsia"/>
          <w:b/>
          <w:color w:val="000000" w:themeColor="text1"/>
          <w:sz w:val="24"/>
        </w:rPr>
        <w:t>备查文件目录</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一</w:t>
      </w:r>
      <w:r>
        <w:rPr>
          <w:rFonts w:eastAsiaTheme="minorEastAsia"/>
          <w:color w:val="000000" w:themeColor="text1"/>
          <w:sz w:val="24"/>
        </w:rPr>
        <w:t>)</w:t>
      </w:r>
      <w:r>
        <w:rPr>
          <w:rFonts w:eastAsiaTheme="minorEastAsia"/>
          <w:color w:val="000000" w:themeColor="text1"/>
          <w:sz w:val="24"/>
        </w:rPr>
        <w:t>中国证监会准予本基金募集注册的文件</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二</w:t>
      </w:r>
      <w:r>
        <w:rPr>
          <w:rFonts w:eastAsiaTheme="minorEastAsia"/>
          <w:color w:val="000000" w:themeColor="text1"/>
          <w:sz w:val="24"/>
        </w:rPr>
        <w:t>)</w:t>
      </w:r>
      <w:r>
        <w:rPr>
          <w:rFonts w:eastAsiaTheme="minorEastAsia"/>
          <w:color w:val="000000" w:themeColor="text1"/>
          <w:sz w:val="24"/>
        </w:rPr>
        <w:t>摩根沪深</w:t>
      </w:r>
      <w:r>
        <w:rPr>
          <w:rFonts w:eastAsiaTheme="minorEastAsia"/>
          <w:color w:val="000000" w:themeColor="text1"/>
          <w:sz w:val="24"/>
        </w:rPr>
        <w:t>300</w:t>
      </w:r>
      <w:r>
        <w:rPr>
          <w:rFonts w:eastAsiaTheme="minorEastAsia"/>
          <w:color w:val="000000" w:themeColor="text1"/>
          <w:sz w:val="24"/>
        </w:rPr>
        <w:t>指数增强型发起式证券投资基金基金合同</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lastRenderedPageBreak/>
        <w:t>(</w:t>
      </w:r>
      <w:r>
        <w:rPr>
          <w:rFonts w:eastAsiaTheme="minorEastAsia"/>
          <w:color w:val="000000" w:themeColor="text1"/>
          <w:sz w:val="24"/>
        </w:rPr>
        <w:t>三</w:t>
      </w:r>
      <w:r>
        <w:rPr>
          <w:rFonts w:eastAsiaTheme="minorEastAsia"/>
          <w:color w:val="000000" w:themeColor="text1"/>
          <w:sz w:val="24"/>
        </w:rPr>
        <w:t>)</w:t>
      </w:r>
      <w:r>
        <w:rPr>
          <w:rFonts w:eastAsiaTheme="minorEastAsia"/>
          <w:color w:val="000000" w:themeColor="text1"/>
          <w:sz w:val="24"/>
        </w:rPr>
        <w:t>摩根沪深</w:t>
      </w:r>
      <w:r>
        <w:rPr>
          <w:rFonts w:eastAsiaTheme="minorEastAsia"/>
          <w:color w:val="000000" w:themeColor="text1"/>
          <w:sz w:val="24"/>
        </w:rPr>
        <w:t>300</w:t>
      </w:r>
      <w:r>
        <w:rPr>
          <w:rFonts w:eastAsiaTheme="minorEastAsia"/>
          <w:color w:val="000000" w:themeColor="text1"/>
          <w:sz w:val="24"/>
        </w:rPr>
        <w:t>指数增强型发起式证券投资基金托管协议</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四</w:t>
      </w:r>
      <w:r>
        <w:rPr>
          <w:rFonts w:eastAsiaTheme="minorEastAsia"/>
          <w:color w:val="000000" w:themeColor="text1"/>
          <w:sz w:val="24"/>
        </w:rPr>
        <w:t>)</w:t>
      </w:r>
      <w:r>
        <w:rPr>
          <w:rFonts w:eastAsiaTheme="minorEastAsia"/>
          <w:color w:val="000000" w:themeColor="text1"/>
          <w:sz w:val="24"/>
        </w:rPr>
        <w:t>法律意见书</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五</w:t>
      </w:r>
      <w:r>
        <w:rPr>
          <w:rFonts w:eastAsiaTheme="minorEastAsia"/>
          <w:color w:val="000000" w:themeColor="text1"/>
          <w:sz w:val="24"/>
        </w:rPr>
        <w:t>)</w:t>
      </w:r>
      <w:r>
        <w:rPr>
          <w:rFonts w:eastAsiaTheme="minorEastAsia"/>
          <w:color w:val="000000" w:themeColor="text1"/>
          <w:sz w:val="24"/>
        </w:rPr>
        <w:t>基金管理人业务资格批件、营业执照</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六</w:t>
      </w:r>
      <w:r>
        <w:rPr>
          <w:rFonts w:eastAsiaTheme="minorEastAsia"/>
          <w:color w:val="000000" w:themeColor="text1"/>
          <w:sz w:val="24"/>
        </w:rPr>
        <w:t>)</w:t>
      </w:r>
      <w:r>
        <w:rPr>
          <w:rFonts w:eastAsiaTheme="minorEastAsia"/>
          <w:color w:val="000000" w:themeColor="text1"/>
          <w:sz w:val="24"/>
        </w:rPr>
        <w:t>基金托管人业务资格批件、营业执照</w:t>
      </w:r>
    </w:p>
    <w:p w:rsidR="005B64D2" w:rsidRDefault="008C4F21">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七</w:t>
      </w:r>
      <w:r>
        <w:rPr>
          <w:rFonts w:eastAsiaTheme="minorEastAsia"/>
          <w:color w:val="000000" w:themeColor="text1"/>
          <w:sz w:val="24"/>
        </w:rPr>
        <w:t>)</w:t>
      </w:r>
      <w:r>
        <w:rPr>
          <w:rFonts w:eastAsiaTheme="minorEastAsia"/>
          <w:color w:val="000000" w:themeColor="text1"/>
          <w:sz w:val="24"/>
        </w:rPr>
        <w:t>摩根基金管理（中国）有限公司开放式基金业务规则</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w:t>
      </w:r>
      <w:r w:rsidRPr="00EE3DBC">
        <w:rPr>
          <w:rFonts w:eastAsiaTheme="minorEastAsia"/>
          <w:color w:val="000000" w:themeColor="text1"/>
          <w:sz w:val="24"/>
        </w:rPr>
        <w:t>八</w:t>
      </w:r>
      <w:r w:rsidRPr="00EE3DBC">
        <w:rPr>
          <w:rFonts w:eastAsiaTheme="minorEastAsia"/>
          <w:color w:val="000000" w:themeColor="text1"/>
          <w:sz w:val="24"/>
        </w:rPr>
        <w:t>)</w:t>
      </w:r>
      <w:r w:rsidRPr="00EE3DBC">
        <w:rPr>
          <w:rFonts w:eastAsiaTheme="minorEastAsia"/>
          <w:color w:val="000000" w:themeColor="text1"/>
          <w:sz w:val="24"/>
        </w:rPr>
        <w:t>中国证监会要求的其他文件</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10.2 </w:t>
      </w:r>
      <w:r w:rsidRPr="00EE3DBC">
        <w:rPr>
          <w:rFonts w:eastAsiaTheme="minorEastAsia"/>
          <w:b/>
          <w:color w:val="000000" w:themeColor="text1"/>
          <w:sz w:val="24"/>
        </w:rPr>
        <w:t>存放地点</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基金管理人或基金托管人处。</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10.3 </w:t>
      </w:r>
      <w:r w:rsidRPr="00EE3DBC">
        <w:rPr>
          <w:rFonts w:eastAsiaTheme="minorEastAsia"/>
          <w:b/>
          <w:color w:val="000000" w:themeColor="text1"/>
          <w:sz w:val="24"/>
        </w:rPr>
        <w:t>查阅方式</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投资者可在营业时间免费查阅，也可按工本费购买复印件。</w:t>
      </w:r>
    </w:p>
    <w:p w:rsidR="00A960A3" w:rsidRPr="00EE3DBC" w:rsidRDefault="005B4E34">
      <w:pPr>
        <w:spacing w:line="360" w:lineRule="auto"/>
        <w:ind w:left="840"/>
        <w:jc w:val="right"/>
        <w:rPr>
          <w:rFonts w:eastAsiaTheme="minorEastAsia"/>
          <w:color w:val="000000" w:themeColor="text1"/>
          <w:sz w:val="24"/>
        </w:rPr>
      </w:pPr>
      <w:r w:rsidRPr="00EE3DBC">
        <w:rPr>
          <w:rFonts w:eastAsiaTheme="minorEastAsia"/>
          <w:color w:val="000000" w:themeColor="text1"/>
          <w:sz w:val="24"/>
        </w:rPr>
        <w:tab/>
      </w: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摩根基金管理（中国）有限公司</w:t>
      </w: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二〇二四年四月二十二日</w:t>
      </w:r>
    </w:p>
    <w:p w:rsidR="00A960A3" w:rsidRPr="00EE3DBC" w:rsidRDefault="00A960A3">
      <w:pPr>
        <w:spacing w:line="360" w:lineRule="auto"/>
        <w:ind w:firstLineChars="900" w:firstLine="2168"/>
        <w:rPr>
          <w:rFonts w:eastAsiaTheme="minorEastAsia"/>
          <w:b/>
          <w:color w:val="000000" w:themeColor="text1"/>
          <w:sz w:val="24"/>
        </w:rPr>
      </w:pPr>
    </w:p>
    <w:sectPr w:rsidR="00A960A3" w:rsidRPr="00EE3DBC">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BB" w:rsidRDefault="00707FBB">
      <w:r>
        <w:separator/>
      </w:r>
    </w:p>
  </w:endnote>
  <w:endnote w:type="continuationSeparator" w:id="0">
    <w:p w:rsidR="00707FBB" w:rsidRDefault="0070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26EB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26EB2">
      <w:rPr>
        <w:noProof/>
        <w:kern w:val="0"/>
        <w:szCs w:val="21"/>
      </w:rPr>
      <w:t>18</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0A3" w:rsidRDefault="00A960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B26EB2">
      <w:rPr>
        <w:rStyle w:val="af5"/>
        <w:noProof/>
      </w:rPr>
      <w:t>13</w:t>
    </w:r>
    <w:r>
      <w:rPr>
        <w:rStyle w:val="af5"/>
      </w:rPr>
      <w:fldChar w:fldCharType="end"/>
    </w:r>
  </w:p>
  <w:p w:rsidR="00A960A3" w:rsidRDefault="00A960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BB" w:rsidRDefault="00707FBB">
      <w:r>
        <w:separator/>
      </w:r>
    </w:p>
  </w:footnote>
  <w:footnote w:type="continuationSeparator" w:id="0">
    <w:p w:rsidR="00707FBB" w:rsidRDefault="0070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f"/>
      <w:pBdr>
        <w:bottom w:val="single" w:sz="6" w:space="0" w:color="auto"/>
      </w:pBdr>
      <w:jc w:val="right"/>
    </w:pPr>
    <w:r>
      <w:rPr>
        <w:sz w:val="21"/>
        <w:szCs w:val="21"/>
      </w:rPr>
      <w:t>摩根沪深</w:t>
    </w:r>
    <w:r>
      <w:rPr>
        <w:sz w:val="21"/>
        <w:szCs w:val="21"/>
      </w:rPr>
      <w:t>300</w:t>
    </w:r>
    <w:r>
      <w:rPr>
        <w:sz w:val="21"/>
        <w:szCs w:val="21"/>
      </w:rPr>
      <w:t>指数增强型发起式证券投资基金</w:t>
    </w:r>
    <w:r>
      <w:rPr>
        <w:sz w:val="21"/>
        <w:szCs w:val="21"/>
      </w:rPr>
      <w:t>2024</w:t>
    </w:r>
    <w:r>
      <w:rPr>
        <w:sz w:val="21"/>
        <w:szCs w:val="21"/>
      </w:rPr>
      <w:t>年第</w:t>
    </w:r>
    <w:r>
      <w:rPr>
        <w:sz w:val="21"/>
        <w:szCs w:val="21"/>
      </w:rPr>
      <w:t>1</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392F"/>
    <w:rsid w:val="000140FF"/>
    <w:rsid w:val="000148F1"/>
    <w:rsid w:val="0001536C"/>
    <w:rsid w:val="00017581"/>
    <w:rsid w:val="00020149"/>
    <w:rsid w:val="00020583"/>
    <w:rsid w:val="00021DD4"/>
    <w:rsid w:val="00023BE7"/>
    <w:rsid w:val="00026AAE"/>
    <w:rsid w:val="00031E23"/>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70CD1"/>
    <w:rsid w:val="0007171B"/>
    <w:rsid w:val="00074E9F"/>
    <w:rsid w:val="00081D05"/>
    <w:rsid w:val="00085449"/>
    <w:rsid w:val="00087CF7"/>
    <w:rsid w:val="00090B0F"/>
    <w:rsid w:val="00091214"/>
    <w:rsid w:val="00094876"/>
    <w:rsid w:val="00095912"/>
    <w:rsid w:val="00095CE0"/>
    <w:rsid w:val="00096933"/>
    <w:rsid w:val="00097230"/>
    <w:rsid w:val="0009778D"/>
    <w:rsid w:val="000A457E"/>
    <w:rsid w:val="000A53FD"/>
    <w:rsid w:val="000A549A"/>
    <w:rsid w:val="000A72F2"/>
    <w:rsid w:val="000B0C56"/>
    <w:rsid w:val="000B3E43"/>
    <w:rsid w:val="000B51C1"/>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60FF"/>
    <w:rsid w:val="000F635F"/>
    <w:rsid w:val="000F6C61"/>
    <w:rsid w:val="001008A1"/>
    <w:rsid w:val="00100C12"/>
    <w:rsid w:val="00102E56"/>
    <w:rsid w:val="001049B6"/>
    <w:rsid w:val="001051C6"/>
    <w:rsid w:val="0010726B"/>
    <w:rsid w:val="001078B6"/>
    <w:rsid w:val="0011177A"/>
    <w:rsid w:val="00116E31"/>
    <w:rsid w:val="00120BED"/>
    <w:rsid w:val="0012304E"/>
    <w:rsid w:val="001248EF"/>
    <w:rsid w:val="001257C7"/>
    <w:rsid w:val="00126DDF"/>
    <w:rsid w:val="001270BF"/>
    <w:rsid w:val="00127BAC"/>
    <w:rsid w:val="0013087F"/>
    <w:rsid w:val="00134868"/>
    <w:rsid w:val="001366D4"/>
    <w:rsid w:val="00142A56"/>
    <w:rsid w:val="00144DF5"/>
    <w:rsid w:val="00145A97"/>
    <w:rsid w:val="00146485"/>
    <w:rsid w:val="00147338"/>
    <w:rsid w:val="001506B4"/>
    <w:rsid w:val="00150A6E"/>
    <w:rsid w:val="00150AD6"/>
    <w:rsid w:val="00153B40"/>
    <w:rsid w:val="00154ADA"/>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F00"/>
    <w:rsid w:val="0018325A"/>
    <w:rsid w:val="00183C9E"/>
    <w:rsid w:val="00184556"/>
    <w:rsid w:val="00186199"/>
    <w:rsid w:val="001928F7"/>
    <w:rsid w:val="00194537"/>
    <w:rsid w:val="0019563C"/>
    <w:rsid w:val="001A21A9"/>
    <w:rsid w:val="001A363B"/>
    <w:rsid w:val="001A3F20"/>
    <w:rsid w:val="001A59D8"/>
    <w:rsid w:val="001A5FA6"/>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2A6A"/>
    <w:rsid w:val="001E3DC2"/>
    <w:rsid w:val="001E56FF"/>
    <w:rsid w:val="001E5C6B"/>
    <w:rsid w:val="001E6E4D"/>
    <w:rsid w:val="001F03E1"/>
    <w:rsid w:val="001F218E"/>
    <w:rsid w:val="001F3CC6"/>
    <w:rsid w:val="001F40BA"/>
    <w:rsid w:val="001F4530"/>
    <w:rsid w:val="001F54A2"/>
    <w:rsid w:val="002010DE"/>
    <w:rsid w:val="00202968"/>
    <w:rsid w:val="00202C32"/>
    <w:rsid w:val="00203AEF"/>
    <w:rsid w:val="00210344"/>
    <w:rsid w:val="00211A26"/>
    <w:rsid w:val="002125F7"/>
    <w:rsid w:val="00213171"/>
    <w:rsid w:val="00214463"/>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651F"/>
    <w:rsid w:val="00250BE3"/>
    <w:rsid w:val="00251290"/>
    <w:rsid w:val="0025158D"/>
    <w:rsid w:val="00251D17"/>
    <w:rsid w:val="0025281A"/>
    <w:rsid w:val="00253D3C"/>
    <w:rsid w:val="0025435F"/>
    <w:rsid w:val="00255292"/>
    <w:rsid w:val="00260200"/>
    <w:rsid w:val="00263563"/>
    <w:rsid w:val="002648D8"/>
    <w:rsid w:val="00270548"/>
    <w:rsid w:val="00272485"/>
    <w:rsid w:val="00272E0C"/>
    <w:rsid w:val="00273F86"/>
    <w:rsid w:val="002752B0"/>
    <w:rsid w:val="002774F0"/>
    <w:rsid w:val="0028459B"/>
    <w:rsid w:val="00284C5F"/>
    <w:rsid w:val="002873F0"/>
    <w:rsid w:val="00292198"/>
    <w:rsid w:val="002964F9"/>
    <w:rsid w:val="002A1F14"/>
    <w:rsid w:val="002A2678"/>
    <w:rsid w:val="002A2E01"/>
    <w:rsid w:val="002A398F"/>
    <w:rsid w:val="002A44F9"/>
    <w:rsid w:val="002A558D"/>
    <w:rsid w:val="002A5C6B"/>
    <w:rsid w:val="002A5D31"/>
    <w:rsid w:val="002A714F"/>
    <w:rsid w:val="002A721F"/>
    <w:rsid w:val="002B1851"/>
    <w:rsid w:val="002B27FF"/>
    <w:rsid w:val="002B4429"/>
    <w:rsid w:val="002B6793"/>
    <w:rsid w:val="002C0B68"/>
    <w:rsid w:val="002C1726"/>
    <w:rsid w:val="002C1DF3"/>
    <w:rsid w:val="002C21A6"/>
    <w:rsid w:val="002C26D5"/>
    <w:rsid w:val="002C5777"/>
    <w:rsid w:val="002D1791"/>
    <w:rsid w:val="002D32E3"/>
    <w:rsid w:val="002E0FEB"/>
    <w:rsid w:val="002E1EBA"/>
    <w:rsid w:val="002F0F79"/>
    <w:rsid w:val="002F280E"/>
    <w:rsid w:val="002F3709"/>
    <w:rsid w:val="002F3A6C"/>
    <w:rsid w:val="002F4296"/>
    <w:rsid w:val="00300951"/>
    <w:rsid w:val="003023C9"/>
    <w:rsid w:val="00302CA8"/>
    <w:rsid w:val="00302DE9"/>
    <w:rsid w:val="003041B1"/>
    <w:rsid w:val="00305084"/>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432B"/>
    <w:rsid w:val="00357EB5"/>
    <w:rsid w:val="00361E7E"/>
    <w:rsid w:val="00370AA4"/>
    <w:rsid w:val="00371FF4"/>
    <w:rsid w:val="00373015"/>
    <w:rsid w:val="00377520"/>
    <w:rsid w:val="00380D36"/>
    <w:rsid w:val="003822D3"/>
    <w:rsid w:val="0038409E"/>
    <w:rsid w:val="00386630"/>
    <w:rsid w:val="00390522"/>
    <w:rsid w:val="00390B25"/>
    <w:rsid w:val="00390C86"/>
    <w:rsid w:val="00391076"/>
    <w:rsid w:val="00397156"/>
    <w:rsid w:val="00397960"/>
    <w:rsid w:val="003A0A5A"/>
    <w:rsid w:val="003A3BC4"/>
    <w:rsid w:val="003A458A"/>
    <w:rsid w:val="003A4DA3"/>
    <w:rsid w:val="003B07C8"/>
    <w:rsid w:val="003B2082"/>
    <w:rsid w:val="003B2F13"/>
    <w:rsid w:val="003B405E"/>
    <w:rsid w:val="003B57D3"/>
    <w:rsid w:val="003C1F58"/>
    <w:rsid w:val="003C39FF"/>
    <w:rsid w:val="003C792F"/>
    <w:rsid w:val="003D124B"/>
    <w:rsid w:val="003D18F3"/>
    <w:rsid w:val="003D4E5A"/>
    <w:rsid w:val="003D5951"/>
    <w:rsid w:val="003D78B5"/>
    <w:rsid w:val="003E1062"/>
    <w:rsid w:val="003E244F"/>
    <w:rsid w:val="003E3AE8"/>
    <w:rsid w:val="003E62A6"/>
    <w:rsid w:val="003E695F"/>
    <w:rsid w:val="003E6C9B"/>
    <w:rsid w:val="003E709C"/>
    <w:rsid w:val="003E7B89"/>
    <w:rsid w:val="003F20D3"/>
    <w:rsid w:val="003F4241"/>
    <w:rsid w:val="003F7525"/>
    <w:rsid w:val="003F7C45"/>
    <w:rsid w:val="0040132C"/>
    <w:rsid w:val="00405085"/>
    <w:rsid w:val="004066FC"/>
    <w:rsid w:val="00407C10"/>
    <w:rsid w:val="004113B4"/>
    <w:rsid w:val="00414827"/>
    <w:rsid w:val="00416C10"/>
    <w:rsid w:val="00417735"/>
    <w:rsid w:val="004217C8"/>
    <w:rsid w:val="0042218B"/>
    <w:rsid w:val="004222C8"/>
    <w:rsid w:val="0042253F"/>
    <w:rsid w:val="00424EF3"/>
    <w:rsid w:val="0042600B"/>
    <w:rsid w:val="004268BB"/>
    <w:rsid w:val="00431047"/>
    <w:rsid w:val="004318F0"/>
    <w:rsid w:val="00431B86"/>
    <w:rsid w:val="00431BC5"/>
    <w:rsid w:val="004408EC"/>
    <w:rsid w:val="00441B38"/>
    <w:rsid w:val="00441D14"/>
    <w:rsid w:val="00441E6A"/>
    <w:rsid w:val="00443C8F"/>
    <w:rsid w:val="00452481"/>
    <w:rsid w:val="004542D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1BBA"/>
    <w:rsid w:val="004A3E3C"/>
    <w:rsid w:val="004A3F71"/>
    <w:rsid w:val="004B0E6D"/>
    <w:rsid w:val="004B16E8"/>
    <w:rsid w:val="004B2326"/>
    <w:rsid w:val="004B6250"/>
    <w:rsid w:val="004B76B1"/>
    <w:rsid w:val="004C0057"/>
    <w:rsid w:val="004C0541"/>
    <w:rsid w:val="004C2C46"/>
    <w:rsid w:val="004C7235"/>
    <w:rsid w:val="004C7955"/>
    <w:rsid w:val="004D047F"/>
    <w:rsid w:val="004D0AAD"/>
    <w:rsid w:val="004D3D96"/>
    <w:rsid w:val="004D650F"/>
    <w:rsid w:val="004E0347"/>
    <w:rsid w:val="004E2133"/>
    <w:rsid w:val="004E32E2"/>
    <w:rsid w:val="004E5AB9"/>
    <w:rsid w:val="004E60FB"/>
    <w:rsid w:val="004F4F38"/>
    <w:rsid w:val="004F779C"/>
    <w:rsid w:val="004F7846"/>
    <w:rsid w:val="005000D4"/>
    <w:rsid w:val="005015FA"/>
    <w:rsid w:val="00505411"/>
    <w:rsid w:val="00510CAF"/>
    <w:rsid w:val="005128C5"/>
    <w:rsid w:val="00514754"/>
    <w:rsid w:val="0051478B"/>
    <w:rsid w:val="0051566A"/>
    <w:rsid w:val="00515D7B"/>
    <w:rsid w:val="005166E9"/>
    <w:rsid w:val="0052009E"/>
    <w:rsid w:val="00525E59"/>
    <w:rsid w:val="00530D61"/>
    <w:rsid w:val="005318CC"/>
    <w:rsid w:val="00531D1B"/>
    <w:rsid w:val="00533544"/>
    <w:rsid w:val="005349B1"/>
    <w:rsid w:val="005374BC"/>
    <w:rsid w:val="00537A4E"/>
    <w:rsid w:val="00543188"/>
    <w:rsid w:val="00543367"/>
    <w:rsid w:val="00543BFA"/>
    <w:rsid w:val="00547D9C"/>
    <w:rsid w:val="00547DA1"/>
    <w:rsid w:val="005505E1"/>
    <w:rsid w:val="0055513C"/>
    <w:rsid w:val="00557A54"/>
    <w:rsid w:val="00560C94"/>
    <w:rsid w:val="0056150F"/>
    <w:rsid w:val="0056291C"/>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3295"/>
    <w:rsid w:val="005A46FF"/>
    <w:rsid w:val="005A5AE2"/>
    <w:rsid w:val="005A66EB"/>
    <w:rsid w:val="005B011E"/>
    <w:rsid w:val="005B14F0"/>
    <w:rsid w:val="005B2E84"/>
    <w:rsid w:val="005B4E34"/>
    <w:rsid w:val="005B64D2"/>
    <w:rsid w:val="005B7B0E"/>
    <w:rsid w:val="005C526E"/>
    <w:rsid w:val="005C5409"/>
    <w:rsid w:val="005C69AC"/>
    <w:rsid w:val="005C6DCF"/>
    <w:rsid w:val="005C722E"/>
    <w:rsid w:val="005D01A4"/>
    <w:rsid w:val="005D14DE"/>
    <w:rsid w:val="005D44E4"/>
    <w:rsid w:val="005D45B3"/>
    <w:rsid w:val="005D4CEB"/>
    <w:rsid w:val="005E0C14"/>
    <w:rsid w:val="005E1D51"/>
    <w:rsid w:val="005F04E6"/>
    <w:rsid w:val="005F26F7"/>
    <w:rsid w:val="005F43B9"/>
    <w:rsid w:val="005F68CB"/>
    <w:rsid w:val="005F6A4A"/>
    <w:rsid w:val="005F6F31"/>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7CAF"/>
    <w:rsid w:val="00661974"/>
    <w:rsid w:val="00662F58"/>
    <w:rsid w:val="00664551"/>
    <w:rsid w:val="0066704D"/>
    <w:rsid w:val="006676A0"/>
    <w:rsid w:val="006706B6"/>
    <w:rsid w:val="00670857"/>
    <w:rsid w:val="00671124"/>
    <w:rsid w:val="006727B0"/>
    <w:rsid w:val="0067307E"/>
    <w:rsid w:val="00677E68"/>
    <w:rsid w:val="006848C1"/>
    <w:rsid w:val="006868CD"/>
    <w:rsid w:val="00687AD5"/>
    <w:rsid w:val="00691D14"/>
    <w:rsid w:val="00694EE4"/>
    <w:rsid w:val="00695251"/>
    <w:rsid w:val="00695296"/>
    <w:rsid w:val="00695ADE"/>
    <w:rsid w:val="00695C0D"/>
    <w:rsid w:val="00696356"/>
    <w:rsid w:val="00696B8B"/>
    <w:rsid w:val="006A591E"/>
    <w:rsid w:val="006A72C6"/>
    <w:rsid w:val="006B02DA"/>
    <w:rsid w:val="006B10DA"/>
    <w:rsid w:val="006B2065"/>
    <w:rsid w:val="006B3940"/>
    <w:rsid w:val="006B5B3E"/>
    <w:rsid w:val="006C168D"/>
    <w:rsid w:val="006C3A74"/>
    <w:rsid w:val="006C642C"/>
    <w:rsid w:val="006C6FC6"/>
    <w:rsid w:val="006D0E4F"/>
    <w:rsid w:val="006D676F"/>
    <w:rsid w:val="006D7693"/>
    <w:rsid w:val="006E231B"/>
    <w:rsid w:val="006E3118"/>
    <w:rsid w:val="006E346E"/>
    <w:rsid w:val="006E34B7"/>
    <w:rsid w:val="006F103E"/>
    <w:rsid w:val="006F364A"/>
    <w:rsid w:val="006F4CD8"/>
    <w:rsid w:val="006F53D9"/>
    <w:rsid w:val="007004DC"/>
    <w:rsid w:val="007027B6"/>
    <w:rsid w:val="00703E8A"/>
    <w:rsid w:val="00707FB8"/>
    <w:rsid w:val="00707FBB"/>
    <w:rsid w:val="0071006D"/>
    <w:rsid w:val="00711522"/>
    <w:rsid w:val="007124FE"/>
    <w:rsid w:val="00713186"/>
    <w:rsid w:val="00713757"/>
    <w:rsid w:val="0071425C"/>
    <w:rsid w:val="00716F79"/>
    <w:rsid w:val="00717772"/>
    <w:rsid w:val="00721AF1"/>
    <w:rsid w:val="0072280F"/>
    <w:rsid w:val="00722B5E"/>
    <w:rsid w:val="0072708F"/>
    <w:rsid w:val="00727C6C"/>
    <w:rsid w:val="00730C66"/>
    <w:rsid w:val="0073150B"/>
    <w:rsid w:val="00732D1D"/>
    <w:rsid w:val="00736034"/>
    <w:rsid w:val="0073681C"/>
    <w:rsid w:val="00740619"/>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7111A"/>
    <w:rsid w:val="00772272"/>
    <w:rsid w:val="007756ED"/>
    <w:rsid w:val="007870FC"/>
    <w:rsid w:val="0078729B"/>
    <w:rsid w:val="00787CD0"/>
    <w:rsid w:val="00787D03"/>
    <w:rsid w:val="00791053"/>
    <w:rsid w:val="00791A3A"/>
    <w:rsid w:val="00794196"/>
    <w:rsid w:val="007951F3"/>
    <w:rsid w:val="0079671E"/>
    <w:rsid w:val="00797637"/>
    <w:rsid w:val="007A3680"/>
    <w:rsid w:val="007A59B8"/>
    <w:rsid w:val="007A6BEA"/>
    <w:rsid w:val="007B2862"/>
    <w:rsid w:val="007B662A"/>
    <w:rsid w:val="007C7E22"/>
    <w:rsid w:val="007D0592"/>
    <w:rsid w:val="007D1C16"/>
    <w:rsid w:val="007D28C9"/>
    <w:rsid w:val="007D2D2E"/>
    <w:rsid w:val="007D3CC8"/>
    <w:rsid w:val="007D62F9"/>
    <w:rsid w:val="007D63A4"/>
    <w:rsid w:val="007E008D"/>
    <w:rsid w:val="007E1AA2"/>
    <w:rsid w:val="007E1AD0"/>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07DE7"/>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2F16"/>
    <w:rsid w:val="008A4909"/>
    <w:rsid w:val="008B11E0"/>
    <w:rsid w:val="008B1773"/>
    <w:rsid w:val="008B1823"/>
    <w:rsid w:val="008B65CD"/>
    <w:rsid w:val="008B6E16"/>
    <w:rsid w:val="008B7110"/>
    <w:rsid w:val="008C2029"/>
    <w:rsid w:val="008C3990"/>
    <w:rsid w:val="008C4F21"/>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F2477"/>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5CF5"/>
    <w:rsid w:val="009500A1"/>
    <w:rsid w:val="0095037E"/>
    <w:rsid w:val="00951746"/>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228A"/>
    <w:rsid w:val="00983C82"/>
    <w:rsid w:val="00983D29"/>
    <w:rsid w:val="00983E6E"/>
    <w:rsid w:val="00984520"/>
    <w:rsid w:val="0098545C"/>
    <w:rsid w:val="00990AAA"/>
    <w:rsid w:val="00992BA2"/>
    <w:rsid w:val="00992F83"/>
    <w:rsid w:val="00994AB9"/>
    <w:rsid w:val="0099508A"/>
    <w:rsid w:val="00997231"/>
    <w:rsid w:val="009974EB"/>
    <w:rsid w:val="009A1126"/>
    <w:rsid w:val="009A3BD8"/>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401"/>
    <w:rsid w:val="009E6C54"/>
    <w:rsid w:val="009F2261"/>
    <w:rsid w:val="009F2A25"/>
    <w:rsid w:val="009F3EB4"/>
    <w:rsid w:val="009F5235"/>
    <w:rsid w:val="009F531A"/>
    <w:rsid w:val="009F6550"/>
    <w:rsid w:val="009F786E"/>
    <w:rsid w:val="00A008DA"/>
    <w:rsid w:val="00A00902"/>
    <w:rsid w:val="00A039FF"/>
    <w:rsid w:val="00A05ACE"/>
    <w:rsid w:val="00A078CB"/>
    <w:rsid w:val="00A14AE3"/>
    <w:rsid w:val="00A16675"/>
    <w:rsid w:val="00A22CD6"/>
    <w:rsid w:val="00A234EC"/>
    <w:rsid w:val="00A2417A"/>
    <w:rsid w:val="00A26668"/>
    <w:rsid w:val="00A27804"/>
    <w:rsid w:val="00A30F47"/>
    <w:rsid w:val="00A36822"/>
    <w:rsid w:val="00A36AB5"/>
    <w:rsid w:val="00A37A23"/>
    <w:rsid w:val="00A411D1"/>
    <w:rsid w:val="00A43389"/>
    <w:rsid w:val="00A43E71"/>
    <w:rsid w:val="00A45753"/>
    <w:rsid w:val="00A47B15"/>
    <w:rsid w:val="00A52F84"/>
    <w:rsid w:val="00A5533F"/>
    <w:rsid w:val="00A56B05"/>
    <w:rsid w:val="00A57678"/>
    <w:rsid w:val="00A60E2F"/>
    <w:rsid w:val="00A63284"/>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960A3"/>
    <w:rsid w:val="00AA1B53"/>
    <w:rsid w:val="00AA3556"/>
    <w:rsid w:val="00AA35FD"/>
    <w:rsid w:val="00AA3DB7"/>
    <w:rsid w:val="00AB0340"/>
    <w:rsid w:val="00AB3012"/>
    <w:rsid w:val="00AB321C"/>
    <w:rsid w:val="00AB5B99"/>
    <w:rsid w:val="00AB688F"/>
    <w:rsid w:val="00AB75EA"/>
    <w:rsid w:val="00AB7AA2"/>
    <w:rsid w:val="00AC4BC1"/>
    <w:rsid w:val="00AD04BD"/>
    <w:rsid w:val="00AD1C72"/>
    <w:rsid w:val="00AD25F6"/>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26EB2"/>
    <w:rsid w:val="00B306AA"/>
    <w:rsid w:val="00B32AB3"/>
    <w:rsid w:val="00B34E7C"/>
    <w:rsid w:val="00B368EA"/>
    <w:rsid w:val="00B37EEF"/>
    <w:rsid w:val="00B424F8"/>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A6F84"/>
    <w:rsid w:val="00BB0187"/>
    <w:rsid w:val="00BB1EB3"/>
    <w:rsid w:val="00BB2678"/>
    <w:rsid w:val="00BC013A"/>
    <w:rsid w:val="00BC1F94"/>
    <w:rsid w:val="00BC2343"/>
    <w:rsid w:val="00BC41FB"/>
    <w:rsid w:val="00BD30C8"/>
    <w:rsid w:val="00BD3EB4"/>
    <w:rsid w:val="00BD5C65"/>
    <w:rsid w:val="00BD71EE"/>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52FE"/>
    <w:rsid w:val="00C16739"/>
    <w:rsid w:val="00C22C7D"/>
    <w:rsid w:val="00C22CCE"/>
    <w:rsid w:val="00C231D6"/>
    <w:rsid w:val="00C23BA2"/>
    <w:rsid w:val="00C272C4"/>
    <w:rsid w:val="00C31C12"/>
    <w:rsid w:val="00C32AF2"/>
    <w:rsid w:val="00C331A9"/>
    <w:rsid w:val="00C33204"/>
    <w:rsid w:val="00C338EB"/>
    <w:rsid w:val="00C3465D"/>
    <w:rsid w:val="00C35643"/>
    <w:rsid w:val="00C379E9"/>
    <w:rsid w:val="00C4274D"/>
    <w:rsid w:val="00C439FB"/>
    <w:rsid w:val="00C43F23"/>
    <w:rsid w:val="00C50011"/>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F5F"/>
    <w:rsid w:val="00CA35A8"/>
    <w:rsid w:val="00CA5927"/>
    <w:rsid w:val="00CA79EC"/>
    <w:rsid w:val="00CB39C2"/>
    <w:rsid w:val="00CB4664"/>
    <w:rsid w:val="00CB4C8C"/>
    <w:rsid w:val="00CB6782"/>
    <w:rsid w:val="00CC080A"/>
    <w:rsid w:val="00CC0994"/>
    <w:rsid w:val="00CD0AAD"/>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5DB6"/>
    <w:rsid w:val="00D5574C"/>
    <w:rsid w:val="00D604CE"/>
    <w:rsid w:val="00D61315"/>
    <w:rsid w:val="00D61982"/>
    <w:rsid w:val="00D6267A"/>
    <w:rsid w:val="00D67D12"/>
    <w:rsid w:val="00D7585A"/>
    <w:rsid w:val="00D77B06"/>
    <w:rsid w:val="00D80618"/>
    <w:rsid w:val="00D82494"/>
    <w:rsid w:val="00D84A4B"/>
    <w:rsid w:val="00D92168"/>
    <w:rsid w:val="00D940B5"/>
    <w:rsid w:val="00D95CB0"/>
    <w:rsid w:val="00D977C0"/>
    <w:rsid w:val="00DA00A3"/>
    <w:rsid w:val="00DA13F3"/>
    <w:rsid w:val="00DA23C3"/>
    <w:rsid w:val="00DA2DE3"/>
    <w:rsid w:val="00DA7146"/>
    <w:rsid w:val="00DA716A"/>
    <w:rsid w:val="00DB1F4F"/>
    <w:rsid w:val="00DB37EE"/>
    <w:rsid w:val="00DB4450"/>
    <w:rsid w:val="00DB7B69"/>
    <w:rsid w:val="00DC234A"/>
    <w:rsid w:val="00DC27AD"/>
    <w:rsid w:val="00DC41E4"/>
    <w:rsid w:val="00DC5116"/>
    <w:rsid w:val="00DC5271"/>
    <w:rsid w:val="00DC7879"/>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67FB"/>
    <w:rsid w:val="00E104FA"/>
    <w:rsid w:val="00E1082A"/>
    <w:rsid w:val="00E11166"/>
    <w:rsid w:val="00E13182"/>
    <w:rsid w:val="00E15383"/>
    <w:rsid w:val="00E1738C"/>
    <w:rsid w:val="00E22D28"/>
    <w:rsid w:val="00E230E3"/>
    <w:rsid w:val="00E23731"/>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72B1C"/>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48AC"/>
    <w:rsid w:val="00EE01D9"/>
    <w:rsid w:val="00EE224C"/>
    <w:rsid w:val="00EE26F3"/>
    <w:rsid w:val="00EE3DBC"/>
    <w:rsid w:val="00EE4874"/>
    <w:rsid w:val="00EE79A6"/>
    <w:rsid w:val="00EF6111"/>
    <w:rsid w:val="00EF698A"/>
    <w:rsid w:val="00F005A0"/>
    <w:rsid w:val="00F006CC"/>
    <w:rsid w:val="00F05EAD"/>
    <w:rsid w:val="00F06616"/>
    <w:rsid w:val="00F07BA8"/>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91F6D"/>
    <w:rsid w:val="00F966DC"/>
    <w:rsid w:val="00F96AA6"/>
    <w:rsid w:val="00F97B71"/>
    <w:rsid w:val="00FA0A2A"/>
    <w:rsid w:val="00FA2DDA"/>
    <w:rsid w:val="00FA34CA"/>
    <w:rsid w:val="00FA4A55"/>
    <w:rsid w:val="00FA4D4F"/>
    <w:rsid w:val="00FA54E8"/>
    <w:rsid w:val="00FA7193"/>
    <w:rsid w:val="00FA7910"/>
    <w:rsid w:val="00FB2D17"/>
    <w:rsid w:val="00FB2F69"/>
    <w:rsid w:val="00FB368B"/>
    <w:rsid w:val="00FB45FF"/>
    <w:rsid w:val="00FB572A"/>
    <w:rsid w:val="00FB5D97"/>
    <w:rsid w:val="00FC054F"/>
    <w:rsid w:val="00FC1CA5"/>
    <w:rsid w:val="00FC219C"/>
    <w:rsid w:val="00FC2979"/>
    <w:rsid w:val="00FD1C3C"/>
    <w:rsid w:val="00FD1E02"/>
    <w:rsid w:val="00FD38A8"/>
    <w:rsid w:val="00FD6AC8"/>
    <w:rsid w:val="00FE3EA1"/>
    <w:rsid w:val="00FE4818"/>
    <w:rsid w:val="00FE5D80"/>
    <w:rsid w:val="00FE67F1"/>
    <w:rsid w:val="00FF1577"/>
    <w:rsid w:val="00FF273D"/>
    <w:rsid w:val="00FF3515"/>
    <w:rsid w:val="00FF6ADB"/>
    <w:rsid w:val="103A7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658592D-73B5-4DF2-9BE5-DA8575E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semiHidden/>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qFormat/>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HTML0">
    <w:name w:val="HTML 预设格式 字符"/>
    <w:basedOn w:val="a1"/>
    <w:link w:val="HTML"/>
    <w:uiPriority w:val="99"/>
    <w:rPr>
      <w:rFonts w:ascii="宋体" w:hAnsi="宋体" w:cs="宋体"/>
      <w:sz w:val="24"/>
      <w:szCs w:val="24"/>
    </w:rPr>
  </w:style>
  <w:style w:type="character" w:customStyle="1" w:styleId="ac">
    <w:name w:val="日期 字符"/>
    <w:basedOn w:val="a1"/>
    <w:link w:val="ab"/>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590">
      <w:bodyDiv w:val="1"/>
      <w:marLeft w:val="0"/>
      <w:marRight w:val="0"/>
      <w:marTop w:val="0"/>
      <w:marBottom w:val="0"/>
      <w:divBdr>
        <w:top w:val="none" w:sz="0" w:space="0" w:color="auto"/>
        <w:left w:val="none" w:sz="0" w:space="0" w:color="auto"/>
        <w:bottom w:val="none" w:sz="0" w:space="0" w:color="auto"/>
        <w:right w:val="none" w:sz="0" w:space="0" w:color="auto"/>
      </w:divBdr>
    </w:div>
    <w:div w:id="94391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1518</Words>
  <Characters>8659</Characters>
  <Application>Microsoft Office Word</Application>
  <DocSecurity>0</DocSecurity>
  <Lines>72</Lines>
  <Paragraphs>20</Paragraphs>
  <ScaleCrop>false</ScaleCrop>
  <Company>TRT. Ltd. Co.</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167</cp:revision>
  <cp:lastPrinted>2007-07-19T00:46:00Z</cp:lastPrinted>
  <dcterms:created xsi:type="dcterms:W3CDTF">2012-11-28T02:28:00Z</dcterms:created>
  <dcterms:modified xsi:type="dcterms:W3CDTF">2024-04-19T05:38:00Z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