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58A9E7" w14:textId="77777777" w:rsidR="005C5EC4" w:rsidRDefault="005C5EC4">
      <w:pPr>
        <w:spacing w:line="360" w:lineRule="auto"/>
        <w:rPr>
          <w:rFonts w:ascii="宋体" w:hAnsi="宋体" w:hint="eastAsia"/>
          <w:sz w:val="48"/>
        </w:rPr>
      </w:pPr>
      <w:r>
        <w:rPr>
          <w:rFonts w:ascii="宋体" w:hAnsi="宋体" w:hint="eastAsia"/>
          <w:sz w:val="48"/>
        </w:rPr>
        <w:t xml:space="preserve">　 </w:t>
      </w:r>
    </w:p>
    <w:p w14:paraId="107AC861" w14:textId="77777777" w:rsidR="005C5EC4" w:rsidRDefault="005C5EC4">
      <w:pPr>
        <w:spacing w:line="360" w:lineRule="auto"/>
        <w:rPr>
          <w:rFonts w:ascii="宋体" w:hAnsi="宋体" w:hint="eastAsia"/>
          <w:sz w:val="48"/>
        </w:rPr>
      </w:pPr>
      <w:r>
        <w:rPr>
          <w:rFonts w:ascii="宋体" w:hAnsi="宋体" w:hint="eastAsia"/>
          <w:sz w:val="48"/>
        </w:rPr>
        <w:t xml:space="preserve">　 </w:t>
      </w:r>
    </w:p>
    <w:p w14:paraId="5165F353" w14:textId="77777777" w:rsidR="005C5EC4" w:rsidRDefault="005C5EC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color w:val="000000" w:themeColor="text1"/>
          <w:sz w:val="48"/>
          <w:szCs w:val="30"/>
        </w:rPr>
        <w:t>摩根沪</w:t>
      </w:r>
      <w:proofErr w:type="gramEnd"/>
      <w:r>
        <w:rPr>
          <w:rFonts w:ascii="宋体" w:hAnsi="宋体" w:hint="eastAsia"/>
          <w:b/>
          <w:bCs/>
          <w:color w:val="000000" w:themeColor="text1"/>
          <w:sz w:val="48"/>
          <w:szCs w:val="30"/>
        </w:rPr>
        <w:t>深300指数增强型发起式证券投资基金</w:t>
      </w:r>
      <w:r>
        <w:rPr>
          <w:rFonts w:ascii="宋体" w:hAnsi="宋体" w:hint="eastAsia"/>
          <w:b/>
          <w:bCs/>
          <w:color w:val="000000" w:themeColor="text1"/>
          <w:sz w:val="48"/>
          <w:szCs w:val="30"/>
        </w:rPr>
        <w:br/>
        <w:t>2025年第3季度报告</w:t>
      </w:r>
    </w:p>
    <w:p w14:paraId="4F3498EF"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2FDBE43D" w14:textId="77777777" w:rsidR="005C5EC4" w:rsidRDefault="005C5EC4">
      <w:pPr>
        <w:spacing w:line="360" w:lineRule="auto"/>
        <w:jc w:val="center"/>
      </w:pPr>
      <w:r>
        <w:rPr>
          <w:rFonts w:ascii="宋体" w:hAnsi="宋体" w:hint="eastAsia"/>
          <w:b/>
          <w:bCs/>
          <w:sz w:val="28"/>
          <w:szCs w:val="30"/>
        </w:rPr>
        <w:t>2025年9月30日</w:t>
      </w:r>
    </w:p>
    <w:p w14:paraId="21CFC2B7"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3A6DB60E"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1DEE0D2E"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507C6C3C" w14:textId="77777777" w:rsidR="005C5EC4" w:rsidRDefault="005C5EC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51216C"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537C0E17"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59356ABC"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714C9B17"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22E6B7AB"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0820EDC5"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724E5F74" w14:textId="77777777" w:rsidR="005C5EC4" w:rsidRDefault="005C5EC4">
      <w:pPr>
        <w:spacing w:line="360" w:lineRule="auto"/>
        <w:jc w:val="center"/>
        <w:rPr>
          <w:rFonts w:ascii="宋体" w:hAnsi="宋体" w:hint="eastAsia"/>
          <w:sz w:val="28"/>
          <w:szCs w:val="30"/>
        </w:rPr>
      </w:pPr>
      <w:r>
        <w:rPr>
          <w:rFonts w:ascii="宋体" w:hAnsi="宋体" w:hint="eastAsia"/>
          <w:sz w:val="28"/>
          <w:szCs w:val="30"/>
        </w:rPr>
        <w:t xml:space="preserve">　 </w:t>
      </w:r>
    </w:p>
    <w:p w14:paraId="43B0CA85" w14:textId="77777777" w:rsidR="005C5EC4" w:rsidRDefault="005C5EC4">
      <w:pPr>
        <w:spacing w:line="360" w:lineRule="auto"/>
        <w:ind w:firstLineChars="800" w:firstLine="2249"/>
        <w:jc w:val="left"/>
      </w:pPr>
      <w:r>
        <w:rPr>
          <w:rFonts w:ascii="宋体" w:hAnsi="宋体" w:hint="eastAsia"/>
          <w:b/>
          <w:bCs/>
          <w:sz w:val="28"/>
          <w:szCs w:val="30"/>
        </w:rPr>
        <w:t>基金管理人：摩根基金管理（中国）有限公司</w:t>
      </w:r>
    </w:p>
    <w:p w14:paraId="70562103" w14:textId="77777777" w:rsidR="005C5EC4" w:rsidRDefault="005C5EC4">
      <w:pPr>
        <w:spacing w:line="360" w:lineRule="auto"/>
        <w:ind w:firstLineChars="800" w:firstLine="2249"/>
        <w:jc w:val="left"/>
      </w:pPr>
      <w:r>
        <w:rPr>
          <w:rFonts w:ascii="宋体" w:hAnsi="宋体" w:hint="eastAsia"/>
          <w:b/>
          <w:bCs/>
          <w:sz w:val="28"/>
          <w:szCs w:val="30"/>
        </w:rPr>
        <w:t>基金托管人：江苏银行股份有限公司</w:t>
      </w:r>
    </w:p>
    <w:p w14:paraId="333D61FB" w14:textId="77777777" w:rsidR="005C5EC4" w:rsidRDefault="005C5EC4">
      <w:pPr>
        <w:spacing w:line="360" w:lineRule="auto"/>
        <w:ind w:firstLineChars="800" w:firstLine="2249"/>
        <w:jc w:val="left"/>
      </w:pPr>
      <w:r>
        <w:rPr>
          <w:rFonts w:ascii="宋体" w:hAnsi="宋体" w:hint="eastAsia"/>
          <w:b/>
          <w:bCs/>
          <w:sz w:val="28"/>
          <w:szCs w:val="30"/>
        </w:rPr>
        <w:t>报告送出日期：2025年10月28日</w:t>
      </w:r>
    </w:p>
    <w:p w14:paraId="54E4B79E" w14:textId="77777777" w:rsidR="005C5EC4" w:rsidRDefault="005C5EC4">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656515A4" w14:textId="77777777" w:rsidR="005C5EC4" w:rsidRDefault="005C5EC4">
      <w:pPr>
        <w:spacing w:line="360" w:lineRule="auto"/>
        <w:ind w:firstLineChars="200" w:firstLine="420"/>
        <w:divId w:val="1154639725"/>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基金托管人江苏银行股份有限公司根据本基金合同规定，于2025年10月27日复核了本报告中的财务指标、净值表现和投资组合报告等内容，保证复核内容不存在虚假记载、误导性陈述或者重大遗漏。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71FC2E55" w14:textId="77777777" w:rsidR="005C5EC4" w:rsidRDefault="005C5EC4">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B4CA3" w14:paraId="5E8B9224" w14:textId="77777777">
        <w:trPr>
          <w:divId w:val="206591087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8A7973" w14:textId="77777777" w:rsidR="005C5EC4" w:rsidRDefault="005C5EC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62134F" w14:textId="77777777" w:rsidR="005C5EC4" w:rsidRDefault="005C5EC4">
            <w:pPr>
              <w:jc w:val="left"/>
            </w:pPr>
            <w:r>
              <w:rPr>
                <w:rFonts w:ascii="宋体" w:hAnsi="宋体" w:hint="eastAsia"/>
                <w:szCs w:val="24"/>
                <w:lang w:eastAsia="zh-Hans"/>
              </w:rPr>
              <w:t>摩根沪深300指数增强发起式</w:t>
            </w:r>
            <w:r>
              <w:rPr>
                <w:rFonts w:ascii="宋体" w:hAnsi="宋体" w:hint="eastAsia"/>
                <w:lang w:eastAsia="zh-Hans"/>
              </w:rPr>
              <w:t xml:space="preserve"> </w:t>
            </w:r>
          </w:p>
        </w:tc>
      </w:tr>
      <w:tr w:rsidR="002B4CA3" w14:paraId="2E9272B3"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72641E" w14:textId="77777777" w:rsidR="005C5EC4" w:rsidRDefault="005C5EC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77A219" w14:textId="77777777" w:rsidR="005C5EC4" w:rsidRDefault="005C5EC4">
            <w:pPr>
              <w:jc w:val="left"/>
            </w:pPr>
            <w:r>
              <w:rPr>
                <w:rFonts w:ascii="宋体" w:hAnsi="宋体" w:hint="eastAsia"/>
                <w:lang w:eastAsia="zh-Hans"/>
              </w:rPr>
              <w:t>017445</w:t>
            </w:r>
          </w:p>
        </w:tc>
      </w:tr>
      <w:tr w:rsidR="002B4CA3" w14:paraId="6770E999"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46F9CB" w14:textId="77777777" w:rsidR="005C5EC4" w:rsidRDefault="005C5EC4">
            <w:pPr>
              <w:jc w:val="left"/>
            </w:pPr>
            <w:bookmarkStart w:id="25"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9C680" w14:textId="77777777" w:rsidR="005C5EC4" w:rsidRDefault="005C5EC4">
            <w:pPr>
              <w:jc w:val="left"/>
            </w:pPr>
            <w:r>
              <w:rPr>
                <w:rFonts w:ascii="宋体" w:hAnsi="宋体" w:hint="eastAsia"/>
                <w:lang w:eastAsia="zh-Hans"/>
              </w:rPr>
              <w:t>契约型开放式</w:t>
            </w:r>
          </w:p>
        </w:tc>
      </w:tr>
      <w:tr w:rsidR="002B4CA3" w14:paraId="08DDC0E8"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BE8F43" w14:textId="77777777" w:rsidR="005C5EC4" w:rsidRDefault="005C5EC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8AE0C5" w14:textId="77777777" w:rsidR="005C5EC4" w:rsidRDefault="005C5EC4">
            <w:pPr>
              <w:jc w:val="left"/>
            </w:pPr>
            <w:r>
              <w:rPr>
                <w:rFonts w:ascii="宋体" w:hAnsi="宋体" w:hint="eastAsia"/>
                <w:lang w:eastAsia="zh-Hans"/>
              </w:rPr>
              <w:t>2022年12月28日</w:t>
            </w:r>
          </w:p>
        </w:tc>
      </w:tr>
      <w:tr w:rsidR="002B4CA3" w14:paraId="24B97CB0"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3E47DE" w14:textId="77777777" w:rsidR="005C5EC4" w:rsidRDefault="005C5EC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57E357" w14:textId="77777777" w:rsidR="005C5EC4" w:rsidRDefault="005C5EC4">
            <w:pPr>
              <w:jc w:val="left"/>
            </w:pPr>
            <w:r>
              <w:rPr>
                <w:rFonts w:ascii="宋体" w:hAnsi="宋体" w:hint="eastAsia"/>
                <w:lang w:eastAsia="zh-Hans"/>
              </w:rPr>
              <w:t>25,873,202.33</w:t>
            </w:r>
            <w:r>
              <w:rPr>
                <w:rFonts w:hint="eastAsia"/>
              </w:rPr>
              <w:t>份</w:t>
            </w:r>
            <w:r>
              <w:rPr>
                <w:rFonts w:ascii="宋体" w:hAnsi="宋体" w:hint="eastAsia"/>
                <w:lang w:eastAsia="zh-Hans"/>
              </w:rPr>
              <w:t xml:space="preserve"> </w:t>
            </w:r>
          </w:p>
        </w:tc>
      </w:tr>
      <w:tr w:rsidR="002B4CA3" w14:paraId="23A63CA5"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F13DFB" w14:textId="77777777" w:rsidR="005C5EC4" w:rsidRDefault="005C5EC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E3C26B" w14:textId="77777777" w:rsidR="005C5EC4" w:rsidRDefault="005C5EC4">
            <w:pPr>
              <w:jc w:val="left"/>
            </w:pPr>
            <w:r>
              <w:rPr>
                <w:rFonts w:ascii="宋体" w:hAnsi="宋体" w:hint="eastAsia"/>
                <w:lang w:eastAsia="zh-Hans"/>
              </w:rPr>
              <w:t>在力求对标的指数进行有效跟踪的基础上，通过量化的方法进行积极的组合管理与严格的风险控制，力争实现超越目标指数的投资收益，谋求基金资产的长期增值。</w:t>
            </w:r>
          </w:p>
        </w:tc>
      </w:tr>
      <w:tr w:rsidR="002B4CA3" w14:paraId="6F47245E"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713B24" w14:textId="77777777" w:rsidR="005C5EC4" w:rsidRDefault="005C5EC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F6AC93" w14:textId="77777777" w:rsidR="005C5EC4" w:rsidRDefault="005C5EC4">
            <w:pPr>
              <w:jc w:val="left"/>
            </w:pPr>
            <w:r>
              <w:rPr>
                <w:rFonts w:ascii="宋体" w:hAnsi="宋体" w:hint="eastAsia"/>
                <w:lang w:eastAsia="zh-Hans"/>
              </w:rPr>
              <w:t>1、资产配置策略</w:t>
            </w:r>
            <w:r>
              <w:rPr>
                <w:rFonts w:ascii="宋体" w:hAnsi="宋体" w:hint="eastAsia"/>
                <w:lang w:eastAsia="zh-Hans"/>
              </w:rPr>
              <w:br/>
              <w:t>本基金为指数增强型基金，股票资产占基金资产的比例不低于80%，一般情况下将保持资产配置的基本稳定。基金运作过程中，将综合考量系统性风险、股票资产估值、流动性要求、申购赎回以及分红等因素，对基金资产配置做出合适调整。</w:t>
            </w:r>
            <w:r>
              <w:rPr>
                <w:rFonts w:ascii="宋体" w:hAnsi="宋体" w:hint="eastAsia"/>
                <w:lang w:eastAsia="zh-Hans"/>
              </w:rPr>
              <w:br/>
              <w:t>2、股票投资策略</w:t>
            </w:r>
            <w:r>
              <w:rPr>
                <w:rFonts w:ascii="宋体" w:hAnsi="宋体" w:hint="eastAsia"/>
                <w:lang w:eastAsia="zh-Hans"/>
              </w:rPr>
              <w:br/>
              <w:t>本基金属于指数增强型股票基金，一方面采用指数化被动投资以追求有效跟踪标的指数，另一方面采用量化模型调整投资组合力求超越标的指数表现。力争控制本基金净值增长率与业绩比较基准之间的日均跟踪偏离度的绝对值不超过0.5%，年跟踪误差不超过7.75%。</w:t>
            </w:r>
            <w:r>
              <w:rPr>
                <w:rFonts w:ascii="宋体" w:hAnsi="宋体" w:hint="eastAsia"/>
                <w:lang w:eastAsia="zh-Hans"/>
              </w:rPr>
              <w:br/>
              <w:t>本基金所采用的股票量化投资模型主要包含三个部分，以实现股票收益预测，风险控制和跟踪误差控制。这三个部分包括收益预测模型，风险模型和组合</w:t>
            </w:r>
            <w:r>
              <w:rPr>
                <w:rFonts w:ascii="宋体" w:hAnsi="宋体" w:hint="eastAsia"/>
                <w:lang w:eastAsia="zh-Hans"/>
              </w:rPr>
              <w:lastRenderedPageBreak/>
              <w:t>优化模型。</w:t>
            </w:r>
            <w:r>
              <w:rPr>
                <w:rFonts w:ascii="宋体" w:hAnsi="宋体" w:hint="eastAsia"/>
                <w:lang w:eastAsia="zh-Hans"/>
              </w:rPr>
              <w:br/>
              <w:t>收益预测模型以量化投资团队开发的多因子选股模型和事件驱动策略为基础，深入分析个股的估值水平、盈利指标、波动指标、运营指标、市场情绪面等指标，根据行情变化进行动态调整，争取做出全面优质的股票收益预测。</w:t>
            </w:r>
            <w:r>
              <w:rPr>
                <w:rFonts w:ascii="宋体" w:hAnsi="宋体" w:hint="eastAsia"/>
                <w:lang w:eastAsia="zh-Hans"/>
              </w:rPr>
              <w:br/>
              <w:t>风险模型控制投资组合对各类风险因子的敞口，包括资产波动率、行业集中度、风格暴露等，力求主动风险以及跟踪误差控制在目标范围内。</w:t>
            </w:r>
            <w:r>
              <w:rPr>
                <w:rFonts w:ascii="宋体" w:hAnsi="宋体" w:hint="eastAsia"/>
                <w:lang w:eastAsia="zh-Hans"/>
              </w:rPr>
              <w:br/>
              <w:t>组合优化模型结合收益预测模型和风险模型的产出，并综合考虑交易成本等因素，在风险约束条件下，将投研成果转化为实际的可投资组合。力争股票配置最优化，以期达到持续超越业绩比较基准收益率的投资目标。</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管理策略、期限结构配置策略、信用债投资策略、可转换债券投资策略、证券公司短期公司债券投资策略等多种投资策略，实施积极主动的组合管理，并根据对债券收益率曲线形态、息差变化的预测，对债券组合进行动态调整。</w:t>
            </w:r>
            <w:r>
              <w:rPr>
                <w:rFonts w:ascii="宋体" w:hAnsi="宋体" w:hint="eastAsia"/>
                <w:lang w:eastAsia="zh-Hans"/>
              </w:rPr>
              <w:br/>
              <w:t>4、股指期货投资策略</w:t>
            </w:r>
            <w:r>
              <w:rPr>
                <w:rFonts w:ascii="宋体" w:hAnsi="宋体" w:hint="eastAsia"/>
                <w:lang w:eastAsia="zh-Hans"/>
              </w:rPr>
              <w:br/>
              <w:t>本基金在进行股指期货投资时，将根据风险管理的原则，以套期保值为主要目的，在风险可控的前提下，本着谨慎原则，参与股指期货的投资，以管理投资组合的系统性风险，改善组合的风险收益特性。</w:t>
            </w:r>
            <w:r>
              <w:rPr>
                <w:rFonts w:ascii="宋体" w:hAnsi="宋体" w:hint="eastAsia"/>
                <w:lang w:eastAsia="zh-Hans"/>
              </w:rPr>
              <w:br/>
              <w:t>5、股票期权投资策略</w:t>
            </w:r>
            <w:r>
              <w:rPr>
                <w:rFonts w:ascii="宋体" w:hAnsi="宋体" w:hint="eastAsia"/>
                <w:lang w:eastAsia="zh-Hans"/>
              </w:rPr>
              <w:br/>
              <w:t>本基金将按照风险管理的原则，以套期保值为主要目的，参与股票期权的投资。本基金将在有效控制风险的前提下，选择流动性好、交易活跃的期权合约进行投资。本基金将基于对证券市场的预判，并结合股票期权定价模型，选择估值合理的期权合约。</w:t>
            </w:r>
            <w:r>
              <w:rPr>
                <w:rFonts w:ascii="宋体" w:hAnsi="宋体" w:hint="eastAsia"/>
                <w:lang w:eastAsia="zh-Hans"/>
              </w:rPr>
              <w:br/>
              <w:t>6、国债期货投资策略</w:t>
            </w:r>
            <w:r>
              <w:rPr>
                <w:rFonts w:ascii="宋体" w:hAnsi="宋体" w:hint="eastAsia"/>
                <w:lang w:eastAsia="zh-Hans"/>
              </w:rPr>
              <w:br/>
              <w:t>基金管理人将按照相关法律法规的规定，根据风险管理原则，以套期保值为目的，结合对宏观经济形势和政策趋势的判断、对债券市场进行定性和定量分析，对国债期货和现货基差、国债期货的流动性、波动水平、套期保值的有效性等指标进行跟踪监控，主要选择流动性好、交易活跃的国债期货合约进行交易。</w:t>
            </w:r>
            <w:r>
              <w:rPr>
                <w:rFonts w:ascii="宋体" w:hAnsi="宋体" w:hint="eastAsia"/>
                <w:lang w:eastAsia="zh-Hans"/>
              </w:rPr>
              <w:br/>
              <w:t>7、资产支持证券投资策略</w:t>
            </w:r>
            <w:r>
              <w:rPr>
                <w:rFonts w:ascii="宋体" w:hAnsi="宋体" w:hint="eastAsia"/>
                <w:lang w:eastAsia="zh-Hans"/>
              </w:rPr>
              <w:b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8、存托凭证投资策略</w:t>
            </w:r>
            <w:r>
              <w:rPr>
                <w:rFonts w:ascii="宋体" w:hAnsi="宋体" w:hint="eastAsia"/>
                <w:lang w:eastAsia="zh-Hans"/>
              </w:rPr>
              <w:br/>
              <w:t>本基金将根据本基金的投资目标和股票投资策略，基于对基础证券投资价值的深入研究判断，进行存托凭证的投资。</w:t>
            </w:r>
            <w:r>
              <w:rPr>
                <w:rFonts w:ascii="宋体" w:hAnsi="宋体" w:hint="eastAsia"/>
                <w:lang w:eastAsia="zh-Hans"/>
              </w:rPr>
              <w:br/>
              <w:t>9、融资及转融通证券出借策略</w:t>
            </w:r>
            <w:r>
              <w:rPr>
                <w:rFonts w:ascii="宋体" w:hAnsi="宋体" w:hint="eastAsia"/>
                <w:lang w:eastAsia="zh-Hans"/>
              </w:rPr>
              <w:br/>
              <w:t>本基金参与融资业务，将综合考虑融资成本、保证金比例、冲抵保证金证券折算率、信用资质等条件，选择合适的交易对手方。同时，在保障基金投资组合充足流动性以及有效控制融资杠杆风险的前提下，确定融资比例。</w:t>
            </w:r>
          </w:p>
        </w:tc>
      </w:tr>
      <w:tr w:rsidR="002B4CA3" w14:paraId="41B52C35"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4B275C" w14:textId="77777777" w:rsidR="005C5EC4" w:rsidRDefault="005C5EC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1AC8B" w14:textId="77777777" w:rsidR="005C5EC4" w:rsidRDefault="005C5EC4">
            <w:pPr>
              <w:jc w:val="left"/>
            </w:pPr>
            <w:r>
              <w:rPr>
                <w:rFonts w:ascii="宋体" w:hAnsi="宋体" w:hint="eastAsia"/>
                <w:lang w:eastAsia="zh-Hans"/>
              </w:rPr>
              <w:t>沪深300指数收益率×95%+银行活期存款利率(税后)×5%</w:t>
            </w:r>
          </w:p>
        </w:tc>
      </w:tr>
      <w:tr w:rsidR="002B4CA3" w14:paraId="67201459"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6DD3AE" w14:textId="77777777" w:rsidR="005C5EC4" w:rsidRDefault="005C5EC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5E9FAA" w14:textId="77777777" w:rsidR="005C5EC4" w:rsidRDefault="005C5EC4">
            <w:pPr>
              <w:jc w:val="left"/>
            </w:pPr>
            <w:r>
              <w:rPr>
                <w:rFonts w:ascii="宋体" w:hAnsi="宋体" w:hint="eastAsia"/>
                <w:lang w:eastAsia="zh-Hans"/>
              </w:rPr>
              <w:t>本基金为指数增强型基金，其预期风险与预期收益高于混合型基金、债券型基金与货币市场基金。同时，本基金主要投资于标的指数成份股及其备选成份股，具有与标的指数相似的风险收益特征。</w:t>
            </w:r>
          </w:p>
        </w:tc>
      </w:tr>
      <w:tr w:rsidR="002B4CA3" w14:paraId="549ECE81"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B98122" w14:textId="77777777" w:rsidR="005C5EC4" w:rsidRDefault="005C5EC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9BD748" w14:textId="77777777" w:rsidR="005C5EC4" w:rsidRDefault="005C5EC4">
            <w:pPr>
              <w:jc w:val="left"/>
            </w:pPr>
            <w:r>
              <w:rPr>
                <w:rFonts w:ascii="宋体" w:hAnsi="宋体" w:hint="eastAsia"/>
                <w:lang w:eastAsia="zh-Hans"/>
              </w:rPr>
              <w:t>摩根基金管理（中国）有限公司</w:t>
            </w:r>
          </w:p>
        </w:tc>
      </w:tr>
      <w:tr w:rsidR="002B4CA3" w14:paraId="69ECDC7B" w14:textId="77777777">
        <w:trPr>
          <w:divId w:val="20659108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6513B0" w14:textId="77777777" w:rsidR="005C5EC4" w:rsidRDefault="005C5EC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B12533" w14:textId="77777777" w:rsidR="005C5EC4" w:rsidRDefault="005C5EC4">
            <w:pPr>
              <w:jc w:val="left"/>
            </w:pPr>
            <w:r>
              <w:rPr>
                <w:rFonts w:ascii="宋体" w:hAnsi="宋体" w:hint="eastAsia"/>
                <w:lang w:eastAsia="zh-Hans"/>
              </w:rPr>
              <w:t>江苏银行股份有限公司</w:t>
            </w:r>
          </w:p>
        </w:tc>
      </w:tr>
      <w:tr w:rsidR="002B4CA3" w14:paraId="537E8B74" w14:textId="77777777">
        <w:trPr>
          <w:divId w:val="20659108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D35B69" w14:textId="77777777" w:rsidR="005C5EC4" w:rsidRDefault="005C5EC4">
            <w:pPr>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66A73B" w14:textId="77777777" w:rsidR="005C5EC4" w:rsidRDefault="005C5EC4">
            <w:pPr>
              <w:jc w:val="center"/>
            </w:pPr>
            <w:r>
              <w:rPr>
                <w:rFonts w:ascii="宋体" w:hAnsi="宋体" w:hint="eastAsia"/>
                <w:lang w:eastAsia="zh-Hans"/>
              </w:rPr>
              <w:t>摩根沪深300指数增强发起式A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A6556" w14:textId="77777777" w:rsidR="005C5EC4" w:rsidRDefault="005C5EC4">
            <w:pPr>
              <w:jc w:val="center"/>
            </w:pPr>
            <w:r>
              <w:rPr>
                <w:rFonts w:ascii="宋体" w:hAnsi="宋体" w:hint="eastAsia"/>
                <w:lang w:eastAsia="zh-Hans"/>
              </w:rPr>
              <w:t>摩根沪深300指数增强发起式C</w:t>
            </w:r>
            <w:r>
              <w:rPr>
                <w:rFonts w:ascii="宋体" w:hAnsi="宋体" w:hint="eastAsia"/>
                <w:kern w:val="0"/>
                <w:sz w:val="20"/>
                <w:lang w:eastAsia="zh-Hans"/>
              </w:rPr>
              <w:t xml:space="preserve"> </w:t>
            </w:r>
          </w:p>
        </w:tc>
      </w:tr>
      <w:tr w:rsidR="002B4CA3" w14:paraId="178CB9B2" w14:textId="77777777">
        <w:trPr>
          <w:divId w:val="20659108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B8BAAE" w14:textId="77777777" w:rsidR="005C5EC4" w:rsidRDefault="005C5EC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E8160" w14:textId="77777777" w:rsidR="005C5EC4" w:rsidRDefault="005C5EC4">
            <w:pPr>
              <w:jc w:val="center"/>
            </w:pPr>
            <w:r>
              <w:rPr>
                <w:rFonts w:ascii="宋体" w:hAnsi="宋体" w:hint="eastAsia"/>
                <w:lang w:eastAsia="zh-Hans"/>
              </w:rPr>
              <w:t>017445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60362" w14:textId="77777777" w:rsidR="005C5EC4" w:rsidRDefault="005C5EC4">
            <w:pPr>
              <w:jc w:val="center"/>
            </w:pPr>
            <w:r>
              <w:rPr>
                <w:rFonts w:ascii="宋体" w:hAnsi="宋体" w:hint="eastAsia"/>
                <w:lang w:eastAsia="zh-Hans"/>
              </w:rPr>
              <w:t>017446</w:t>
            </w:r>
            <w:r>
              <w:rPr>
                <w:rFonts w:ascii="宋体" w:hAnsi="宋体" w:hint="eastAsia"/>
                <w:kern w:val="0"/>
                <w:sz w:val="20"/>
                <w:lang w:eastAsia="zh-Hans"/>
              </w:rPr>
              <w:t xml:space="preserve"> </w:t>
            </w:r>
          </w:p>
        </w:tc>
      </w:tr>
      <w:bookmarkEnd w:id="26"/>
      <w:bookmarkEnd w:id="25"/>
      <w:tr w:rsidR="002B4CA3" w14:paraId="070C454F" w14:textId="77777777">
        <w:trPr>
          <w:divId w:val="20659108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BC9525" w14:textId="77777777" w:rsidR="005C5EC4" w:rsidRDefault="005C5EC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257C0" w14:textId="77777777" w:rsidR="005C5EC4" w:rsidRDefault="005C5EC4">
            <w:pPr>
              <w:jc w:val="center"/>
            </w:pPr>
            <w:r>
              <w:rPr>
                <w:rFonts w:ascii="宋体" w:hAnsi="宋体" w:hint="eastAsia"/>
                <w:lang w:eastAsia="zh-Hans"/>
              </w:rPr>
              <w:t>19,266,176.87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D3A25" w14:textId="77777777" w:rsidR="005C5EC4" w:rsidRDefault="005C5EC4">
            <w:pPr>
              <w:jc w:val="center"/>
            </w:pPr>
            <w:r>
              <w:rPr>
                <w:rFonts w:ascii="宋体" w:hAnsi="宋体" w:hint="eastAsia"/>
                <w:lang w:eastAsia="zh-Hans"/>
              </w:rPr>
              <w:t>6,607,025.46</w:t>
            </w:r>
            <w:r>
              <w:rPr>
                <w:rFonts w:hint="eastAsia"/>
              </w:rPr>
              <w:t>份</w:t>
            </w:r>
            <w:r>
              <w:rPr>
                <w:rFonts w:ascii="宋体" w:hAnsi="宋体" w:hint="eastAsia"/>
                <w:lang w:eastAsia="zh-Hans"/>
              </w:rPr>
              <w:t xml:space="preserve"> </w:t>
            </w:r>
          </w:p>
        </w:tc>
      </w:tr>
    </w:tbl>
    <w:p w14:paraId="7CCB8D16" w14:textId="77777777" w:rsidR="005C5EC4" w:rsidRDefault="005C5EC4">
      <w:pPr>
        <w:pStyle w:val="XBRLTitle1"/>
        <w:spacing w:before="156" w:line="360" w:lineRule="auto"/>
        <w:ind w:left="425"/>
      </w:pPr>
      <w:bookmarkStart w:id="27" w:name="_Toc513386584"/>
      <w:bookmarkStart w:id="28" w:name="_Toc490050003"/>
      <w:bookmarkStart w:id="29" w:name="_Toc438646455"/>
      <w:bookmarkStart w:id="30" w:name="_Toc481075049"/>
      <w:bookmarkStart w:id="31" w:name="_Toc512519482"/>
      <w:bookmarkStart w:id="32" w:name="m401"/>
      <w:bookmarkStart w:id="33" w:name="m401_tab"/>
      <w:proofErr w:type="spellStart"/>
      <w:r>
        <w:rPr>
          <w:rFonts w:hAnsi="宋体" w:hint="eastAsia"/>
        </w:rPr>
        <w:t>主要财务指标和基金净值表现</w:t>
      </w:r>
      <w:bookmarkEnd w:id="27"/>
      <w:bookmarkEnd w:id="28"/>
      <w:bookmarkEnd w:id="29"/>
      <w:bookmarkEnd w:id="30"/>
      <w:bookmarkEnd w:id="31"/>
      <w:proofErr w:type="spellEnd"/>
      <w:r>
        <w:rPr>
          <w:rFonts w:hAnsi="宋体" w:hint="eastAsia"/>
        </w:rPr>
        <w:t xml:space="preserve"> </w:t>
      </w:r>
    </w:p>
    <w:p w14:paraId="27F07756" w14:textId="77777777" w:rsidR="005C5EC4" w:rsidRDefault="005C5EC4">
      <w:pPr>
        <w:pStyle w:val="XBRLTitle2"/>
        <w:spacing w:before="156" w:line="360" w:lineRule="auto"/>
        <w:ind w:left="454"/>
      </w:pPr>
      <w:bookmarkStart w:id="34" w:name="_Toc513386585"/>
      <w:bookmarkStart w:id="35" w:name="_Toc490050004"/>
      <w:bookmarkStart w:id="36" w:name="_Toc438646456"/>
      <w:bookmarkStart w:id="37" w:name="_Toc481075050"/>
      <w:bookmarkStart w:id="38" w:name="_Toc512519483"/>
      <w:proofErr w:type="spellStart"/>
      <w:r>
        <w:rPr>
          <w:rFonts w:hAnsi="宋体" w:hint="eastAsia"/>
        </w:rPr>
        <w:t>主要财务指标</w:t>
      </w:r>
      <w:bookmarkEnd w:id="34"/>
      <w:bookmarkEnd w:id="35"/>
      <w:bookmarkEnd w:id="36"/>
      <w:bookmarkEnd w:id="37"/>
      <w:bookmarkEnd w:id="38"/>
      <w:proofErr w:type="spellEnd"/>
      <w:r>
        <w:rPr>
          <w:rFonts w:hAnsi="宋体" w:hint="eastAsia"/>
        </w:rPr>
        <w:t xml:space="preserve"> </w:t>
      </w:r>
    </w:p>
    <w:p w14:paraId="4F1ED8E9" w14:textId="77777777" w:rsidR="005C5EC4" w:rsidRDefault="005C5EC4">
      <w:pPr>
        <w:jc w:val="right"/>
        <w:divId w:val="7890919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2B4CA3" w14:paraId="2CE527BC" w14:textId="77777777">
        <w:trPr>
          <w:divId w:val="7890919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D744519" w14:textId="77777777" w:rsidR="005C5EC4" w:rsidRDefault="005C5EC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08BC3D9" w14:textId="77777777" w:rsidR="005C5EC4" w:rsidRDefault="005C5EC4">
            <w:pPr>
              <w:pStyle w:val="a5"/>
              <w:jc w:val="center"/>
              <w:rPr>
                <w:rFonts w:hint="eastAsia"/>
              </w:rPr>
            </w:pPr>
            <w:r>
              <w:rPr>
                <w:rFonts w:hint="eastAsia"/>
                <w:kern w:val="2"/>
                <w:sz w:val="21"/>
                <w:szCs w:val="24"/>
                <w:lang w:eastAsia="zh-Hans"/>
              </w:rPr>
              <w:t xml:space="preserve">报告期（2025年7月1日 - 2025年9月30日） </w:t>
            </w:r>
          </w:p>
        </w:tc>
      </w:tr>
      <w:tr w:rsidR="002B4CA3" w14:paraId="5AB3B95B" w14:textId="77777777">
        <w:trPr>
          <w:divId w:val="7890919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23135" w14:textId="77777777" w:rsidR="005C5EC4" w:rsidRDefault="005C5EC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696BD43" w14:textId="77777777" w:rsidR="005C5EC4" w:rsidRDefault="005C5EC4">
            <w:pPr>
              <w:jc w:val="center"/>
            </w:pPr>
            <w:r>
              <w:rPr>
                <w:rFonts w:ascii="宋体" w:hAnsi="宋体" w:hint="eastAsia"/>
                <w:szCs w:val="24"/>
                <w:lang w:eastAsia="zh-Hans"/>
              </w:rPr>
              <w:t>摩根沪深300指数增强发起式A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FE76252" w14:textId="77777777" w:rsidR="005C5EC4" w:rsidRDefault="005C5EC4">
            <w:pPr>
              <w:jc w:val="center"/>
            </w:pPr>
            <w:r>
              <w:rPr>
                <w:rFonts w:ascii="宋体" w:hAnsi="宋体" w:hint="eastAsia"/>
                <w:szCs w:val="24"/>
                <w:lang w:eastAsia="zh-Hans"/>
              </w:rPr>
              <w:t>摩根沪深300指数增强发起式C</w:t>
            </w:r>
          </w:p>
        </w:tc>
      </w:tr>
      <w:tr w:rsidR="002B4CA3" w14:paraId="212DF21C" w14:textId="77777777">
        <w:trPr>
          <w:divId w:val="7890919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DAC288" w14:textId="77777777" w:rsidR="005C5EC4" w:rsidRDefault="005C5EC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65B984" w14:textId="77777777" w:rsidR="005C5EC4" w:rsidRDefault="005C5EC4">
            <w:pPr>
              <w:jc w:val="right"/>
            </w:pPr>
            <w:r>
              <w:rPr>
                <w:rFonts w:ascii="宋体" w:hAnsi="宋体" w:hint="eastAsia"/>
                <w:szCs w:val="24"/>
                <w:lang w:eastAsia="zh-Hans"/>
              </w:rPr>
              <w:t>1,757,243.60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8ADC30" w14:textId="77777777" w:rsidR="005C5EC4" w:rsidRDefault="005C5EC4">
            <w:pPr>
              <w:jc w:val="right"/>
            </w:pPr>
            <w:r>
              <w:rPr>
                <w:rFonts w:ascii="宋体" w:hAnsi="宋体" w:hint="eastAsia"/>
                <w:szCs w:val="24"/>
                <w:lang w:eastAsia="zh-Hans"/>
              </w:rPr>
              <w:t>407,267.19</w:t>
            </w:r>
          </w:p>
        </w:tc>
      </w:tr>
      <w:tr w:rsidR="002B4CA3" w14:paraId="205EB447" w14:textId="77777777">
        <w:trPr>
          <w:divId w:val="7890919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ADD963" w14:textId="77777777" w:rsidR="005C5EC4" w:rsidRDefault="005C5EC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799429" w14:textId="77777777" w:rsidR="005C5EC4" w:rsidRDefault="005C5EC4">
            <w:pPr>
              <w:jc w:val="right"/>
            </w:pPr>
            <w:r>
              <w:rPr>
                <w:rFonts w:ascii="宋体" w:hAnsi="宋体" w:hint="eastAsia"/>
                <w:szCs w:val="24"/>
                <w:lang w:eastAsia="zh-Hans"/>
              </w:rPr>
              <w:t>4,118,022.74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35E9FF" w14:textId="77777777" w:rsidR="005C5EC4" w:rsidRDefault="005C5EC4">
            <w:pPr>
              <w:jc w:val="right"/>
            </w:pPr>
            <w:r>
              <w:rPr>
                <w:rFonts w:ascii="宋体" w:hAnsi="宋体" w:hint="eastAsia"/>
                <w:szCs w:val="24"/>
                <w:lang w:eastAsia="zh-Hans"/>
              </w:rPr>
              <w:t>751,638.35</w:t>
            </w:r>
          </w:p>
        </w:tc>
      </w:tr>
      <w:tr w:rsidR="002B4CA3" w14:paraId="1ADFF745" w14:textId="77777777">
        <w:trPr>
          <w:divId w:val="7890919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36DD0F" w14:textId="77777777" w:rsidR="005C5EC4" w:rsidRDefault="005C5EC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CB7D6A" w14:textId="77777777" w:rsidR="005C5EC4" w:rsidRDefault="005C5EC4">
            <w:pPr>
              <w:jc w:val="right"/>
            </w:pPr>
            <w:r>
              <w:rPr>
                <w:rFonts w:ascii="宋体" w:hAnsi="宋体" w:hint="eastAsia"/>
                <w:szCs w:val="24"/>
                <w:lang w:eastAsia="zh-Hans"/>
              </w:rPr>
              <w:t>0.2003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9713D1" w14:textId="77777777" w:rsidR="005C5EC4" w:rsidRDefault="005C5EC4">
            <w:pPr>
              <w:jc w:val="right"/>
            </w:pPr>
            <w:r>
              <w:rPr>
                <w:rFonts w:ascii="宋体" w:hAnsi="宋体" w:hint="eastAsia"/>
                <w:szCs w:val="24"/>
                <w:lang w:eastAsia="zh-Hans"/>
              </w:rPr>
              <w:t>0.1929</w:t>
            </w:r>
          </w:p>
        </w:tc>
      </w:tr>
      <w:tr w:rsidR="002B4CA3" w14:paraId="52BBBC4B" w14:textId="77777777">
        <w:trPr>
          <w:divId w:val="7890919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1DCA57" w14:textId="77777777" w:rsidR="005C5EC4" w:rsidRDefault="005C5EC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E82EE5" w14:textId="77777777" w:rsidR="005C5EC4" w:rsidRDefault="005C5EC4">
            <w:pPr>
              <w:jc w:val="right"/>
            </w:pPr>
            <w:r>
              <w:rPr>
                <w:rFonts w:ascii="宋体" w:hAnsi="宋体" w:hint="eastAsia"/>
                <w:szCs w:val="24"/>
                <w:lang w:eastAsia="zh-Hans"/>
              </w:rPr>
              <w:t>23,113,633.45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5BBF03" w14:textId="77777777" w:rsidR="005C5EC4" w:rsidRDefault="005C5EC4">
            <w:pPr>
              <w:jc w:val="right"/>
            </w:pPr>
            <w:r>
              <w:rPr>
                <w:rFonts w:ascii="宋体" w:hAnsi="宋体" w:hint="eastAsia"/>
                <w:szCs w:val="24"/>
                <w:lang w:eastAsia="zh-Hans"/>
              </w:rPr>
              <w:t>7,862,223.60</w:t>
            </w:r>
          </w:p>
        </w:tc>
      </w:tr>
      <w:tr w:rsidR="002B4CA3" w14:paraId="39C281E3" w14:textId="77777777">
        <w:trPr>
          <w:divId w:val="7890919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3359CC" w14:textId="77777777" w:rsidR="005C5EC4" w:rsidRDefault="005C5EC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08A4B3" w14:textId="77777777" w:rsidR="005C5EC4" w:rsidRDefault="005C5EC4">
            <w:pPr>
              <w:jc w:val="right"/>
            </w:pPr>
            <w:r>
              <w:rPr>
                <w:rFonts w:ascii="宋体" w:hAnsi="宋体" w:hint="eastAsia"/>
                <w:szCs w:val="24"/>
                <w:lang w:eastAsia="zh-Hans"/>
              </w:rPr>
              <w:t>1.1997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A34CB4" w14:textId="77777777" w:rsidR="005C5EC4" w:rsidRDefault="005C5EC4">
            <w:pPr>
              <w:jc w:val="right"/>
            </w:pPr>
            <w:r>
              <w:rPr>
                <w:rFonts w:ascii="宋体" w:hAnsi="宋体" w:hint="eastAsia"/>
                <w:szCs w:val="24"/>
                <w:lang w:eastAsia="zh-Hans"/>
              </w:rPr>
              <w:t>1.1900</w:t>
            </w:r>
          </w:p>
        </w:tc>
      </w:tr>
    </w:tbl>
    <w:p w14:paraId="75FDBBE6" w14:textId="77777777" w:rsidR="005C5EC4" w:rsidRDefault="005C5EC4">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21E6FFA" w14:textId="77777777" w:rsidR="005C5EC4" w:rsidRDefault="005C5EC4">
      <w:pPr>
        <w:pStyle w:val="XBRLTitle2"/>
        <w:spacing w:before="156" w:line="360" w:lineRule="auto"/>
        <w:ind w:left="454"/>
      </w:pPr>
      <w:bookmarkStart w:id="39" w:name="_Toc513386586"/>
      <w:bookmarkStart w:id="40" w:name="_Toc490050005"/>
      <w:bookmarkStart w:id="41" w:name="_Toc438646457"/>
      <w:bookmarkStart w:id="42" w:name="_Toc481075051"/>
      <w:bookmarkStart w:id="43" w:name="_Toc512519484"/>
      <w:proofErr w:type="spellStart"/>
      <w:r>
        <w:rPr>
          <w:rFonts w:hAnsi="宋体" w:hint="eastAsia"/>
        </w:rPr>
        <w:t>基金净值表现</w:t>
      </w:r>
      <w:bookmarkEnd w:id="39"/>
      <w:bookmarkEnd w:id="40"/>
      <w:bookmarkEnd w:id="41"/>
      <w:bookmarkEnd w:id="42"/>
      <w:bookmarkEnd w:id="43"/>
      <w:proofErr w:type="spellEnd"/>
      <w:r>
        <w:rPr>
          <w:rFonts w:hAnsi="宋体" w:hint="eastAsia"/>
        </w:rPr>
        <w:t xml:space="preserve"> </w:t>
      </w:r>
    </w:p>
    <w:p w14:paraId="04BA8265" w14:textId="77777777" w:rsidR="005C5EC4" w:rsidRDefault="005C5EC4">
      <w:pPr>
        <w:pStyle w:val="XBRLTitle3"/>
        <w:spacing w:before="156"/>
        <w:ind w:left="0"/>
      </w:pPr>
      <w:bookmarkStart w:id="44" w:name="_Toc513386587"/>
      <w:bookmarkStart w:id="45" w:name="_Toc490050006"/>
      <w:bookmarkStart w:id="46" w:name="_Toc481075052"/>
      <w:bookmarkStart w:id="47" w:name="_Toc512519485"/>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0229157E" w14:textId="77777777" w:rsidR="005C5EC4" w:rsidRDefault="005C5EC4">
      <w:pPr>
        <w:spacing w:line="360" w:lineRule="auto"/>
        <w:jc w:val="center"/>
        <w:divId w:val="1765304358"/>
      </w:pPr>
      <w:proofErr w:type="gramStart"/>
      <w:r>
        <w:rPr>
          <w:rFonts w:ascii="宋体" w:hAnsi="宋体" w:hint="eastAsia"/>
        </w:rPr>
        <w:t>摩根沪</w:t>
      </w:r>
      <w:proofErr w:type="gramEnd"/>
      <w:r>
        <w:rPr>
          <w:rFonts w:ascii="宋体" w:hAnsi="宋体" w:hint="eastAsia"/>
        </w:rPr>
        <w:t>深300指数增强发起式A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B4CA3" w14:paraId="2041724D" w14:textId="77777777">
        <w:trPr>
          <w:divId w:val="17653043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2A2A1B" w14:textId="77777777" w:rsidR="005C5EC4" w:rsidRDefault="005C5E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9E5BE0" w14:textId="77777777" w:rsidR="005C5EC4" w:rsidRDefault="005C5E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3779EA" w14:textId="77777777" w:rsidR="005C5EC4" w:rsidRDefault="005C5E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4CE22B" w14:textId="77777777" w:rsidR="005C5EC4" w:rsidRDefault="005C5E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8D757F" w14:textId="77777777" w:rsidR="005C5EC4" w:rsidRDefault="005C5E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155DE" w14:textId="77777777" w:rsidR="005C5EC4" w:rsidRDefault="005C5E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A7D91F" w14:textId="77777777" w:rsidR="005C5EC4" w:rsidRDefault="005C5EC4">
            <w:pPr>
              <w:spacing w:line="360" w:lineRule="auto"/>
              <w:jc w:val="center"/>
            </w:pPr>
            <w:r>
              <w:rPr>
                <w:rFonts w:ascii="宋体" w:hAnsi="宋体" w:hint="eastAsia"/>
              </w:rPr>
              <w:t xml:space="preserve">②－④ </w:t>
            </w:r>
          </w:p>
        </w:tc>
      </w:tr>
      <w:tr w:rsidR="002B4CA3" w14:paraId="298372E4" w14:textId="77777777">
        <w:trPr>
          <w:divId w:val="17653043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AA727" w14:textId="77777777" w:rsidR="005C5EC4" w:rsidRDefault="005C5E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B38F8" w14:textId="77777777" w:rsidR="005C5EC4" w:rsidRDefault="005C5EC4">
            <w:pPr>
              <w:spacing w:line="360" w:lineRule="auto"/>
              <w:jc w:val="right"/>
            </w:pPr>
            <w:r>
              <w:rPr>
                <w:rFonts w:ascii="宋体" w:hAnsi="宋体" w:hint="eastAsia"/>
              </w:rPr>
              <w:t xml:space="preserve">20.19%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5459B" w14:textId="77777777" w:rsidR="005C5EC4" w:rsidRDefault="005C5EC4">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C1809" w14:textId="77777777" w:rsidR="005C5EC4" w:rsidRDefault="005C5EC4">
            <w:pPr>
              <w:spacing w:line="360" w:lineRule="auto"/>
              <w:jc w:val="right"/>
            </w:pPr>
            <w:r>
              <w:rPr>
                <w:rFonts w:ascii="宋体" w:hAnsi="宋体" w:hint="eastAsia"/>
              </w:rPr>
              <w:t xml:space="preserve">17.01%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2EB1B" w14:textId="77777777" w:rsidR="005C5EC4" w:rsidRDefault="005C5EC4">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8262D9" w14:textId="77777777" w:rsidR="005C5EC4" w:rsidRDefault="005C5EC4">
            <w:pPr>
              <w:spacing w:line="360" w:lineRule="auto"/>
              <w:jc w:val="right"/>
            </w:pPr>
            <w:r>
              <w:rPr>
                <w:rFonts w:ascii="宋体" w:hAnsi="宋体" w:hint="eastAsia"/>
              </w:rPr>
              <w:t xml:space="preserve">3.18%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6D201" w14:textId="77777777" w:rsidR="005C5EC4" w:rsidRDefault="005C5EC4">
            <w:pPr>
              <w:spacing w:line="360" w:lineRule="auto"/>
              <w:jc w:val="right"/>
            </w:pPr>
            <w:r>
              <w:rPr>
                <w:rFonts w:ascii="宋体" w:hAnsi="宋体" w:hint="eastAsia"/>
              </w:rPr>
              <w:t xml:space="preserve">0.02% </w:t>
            </w:r>
          </w:p>
        </w:tc>
      </w:tr>
      <w:tr w:rsidR="002B4CA3" w14:paraId="2B7CD4F0" w14:textId="77777777">
        <w:trPr>
          <w:divId w:val="17653043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B587D" w14:textId="77777777" w:rsidR="005C5EC4" w:rsidRDefault="005C5E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E8E13" w14:textId="77777777" w:rsidR="005C5EC4" w:rsidRDefault="005C5EC4">
            <w:pPr>
              <w:spacing w:line="360" w:lineRule="auto"/>
              <w:jc w:val="right"/>
            </w:pPr>
            <w:r>
              <w:rPr>
                <w:rFonts w:ascii="宋体" w:hAnsi="宋体" w:hint="eastAsia"/>
              </w:rPr>
              <w:t xml:space="preserve">22.13%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D4080" w14:textId="77777777" w:rsidR="005C5EC4" w:rsidRDefault="005C5EC4">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040EC" w14:textId="77777777" w:rsidR="005C5EC4" w:rsidRDefault="005C5EC4">
            <w:pPr>
              <w:spacing w:line="360" w:lineRule="auto"/>
              <w:jc w:val="right"/>
            </w:pPr>
            <w:r>
              <w:rPr>
                <w:rFonts w:ascii="宋体" w:hAnsi="宋体" w:hint="eastAsia"/>
              </w:rPr>
              <w:t xml:space="preserve">18.42%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77014" w14:textId="77777777" w:rsidR="005C5EC4" w:rsidRDefault="005C5EC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C3A103" w14:textId="77777777" w:rsidR="005C5EC4" w:rsidRDefault="005C5EC4">
            <w:pPr>
              <w:spacing w:line="360" w:lineRule="auto"/>
              <w:jc w:val="right"/>
            </w:pPr>
            <w:r>
              <w:rPr>
                <w:rFonts w:ascii="宋体" w:hAnsi="宋体" w:hint="eastAsia"/>
              </w:rPr>
              <w:t xml:space="preserve">3.71%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49960" w14:textId="77777777" w:rsidR="005C5EC4" w:rsidRDefault="005C5EC4">
            <w:pPr>
              <w:spacing w:line="360" w:lineRule="auto"/>
              <w:jc w:val="right"/>
            </w:pPr>
            <w:r>
              <w:rPr>
                <w:rFonts w:ascii="宋体" w:hAnsi="宋体" w:hint="eastAsia"/>
              </w:rPr>
              <w:t xml:space="preserve">0.04% </w:t>
            </w:r>
          </w:p>
        </w:tc>
      </w:tr>
      <w:tr w:rsidR="002B4CA3" w14:paraId="41B6A9D2" w14:textId="77777777">
        <w:trPr>
          <w:divId w:val="17653043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1C597" w14:textId="77777777" w:rsidR="005C5EC4" w:rsidRDefault="005C5E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619DB" w14:textId="77777777" w:rsidR="005C5EC4" w:rsidRDefault="005C5EC4">
            <w:pPr>
              <w:spacing w:line="360" w:lineRule="auto"/>
              <w:jc w:val="right"/>
            </w:pPr>
            <w:r>
              <w:rPr>
                <w:rFonts w:ascii="宋体" w:hAnsi="宋体" w:hint="eastAsia"/>
              </w:rPr>
              <w:t xml:space="preserve">20.28%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AC4E5" w14:textId="77777777" w:rsidR="005C5EC4" w:rsidRDefault="005C5EC4">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052F8" w14:textId="77777777" w:rsidR="005C5EC4" w:rsidRDefault="005C5EC4">
            <w:pPr>
              <w:spacing w:line="360" w:lineRule="auto"/>
              <w:jc w:val="right"/>
            </w:pPr>
            <w:r>
              <w:rPr>
                <w:rFonts w:ascii="宋体" w:hAnsi="宋体" w:hint="eastAsia"/>
              </w:rPr>
              <w:t xml:space="preserve">14.74%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BBC66" w14:textId="77777777" w:rsidR="005C5EC4" w:rsidRDefault="005C5EC4">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F779C2" w14:textId="77777777" w:rsidR="005C5EC4" w:rsidRDefault="005C5EC4">
            <w:pPr>
              <w:spacing w:line="360" w:lineRule="auto"/>
              <w:jc w:val="right"/>
            </w:pPr>
            <w:r>
              <w:rPr>
                <w:rFonts w:ascii="宋体" w:hAnsi="宋体" w:hint="eastAsia"/>
              </w:rPr>
              <w:t xml:space="preserve">5.54%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6E61D" w14:textId="77777777" w:rsidR="005C5EC4" w:rsidRDefault="005C5EC4">
            <w:pPr>
              <w:spacing w:line="360" w:lineRule="auto"/>
              <w:jc w:val="right"/>
            </w:pPr>
            <w:r>
              <w:rPr>
                <w:rFonts w:ascii="宋体" w:hAnsi="宋体" w:hint="eastAsia"/>
              </w:rPr>
              <w:t xml:space="preserve">0.02% </w:t>
            </w:r>
          </w:p>
        </w:tc>
      </w:tr>
      <w:tr w:rsidR="002B4CA3" w14:paraId="50708FA7" w14:textId="77777777">
        <w:trPr>
          <w:divId w:val="17653043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DBB7A" w14:textId="77777777" w:rsidR="005C5EC4" w:rsidRDefault="005C5E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DF729" w14:textId="77777777" w:rsidR="005C5EC4" w:rsidRDefault="005C5EC4">
            <w:pPr>
              <w:spacing w:line="360" w:lineRule="auto"/>
              <w:jc w:val="right"/>
            </w:pPr>
            <w:r>
              <w:rPr>
                <w:rFonts w:ascii="宋体" w:hAnsi="宋体" w:hint="eastAsia"/>
              </w:rPr>
              <w:t xml:space="preserve">19.97%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FB072" w14:textId="77777777" w:rsidR="005C5EC4" w:rsidRDefault="005C5EC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0C301" w14:textId="77777777" w:rsidR="005C5EC4" w:rsidRDefault="005C5EC4">
            <w:pPr>
              <w:spacing w:line="360" w:lineRule="auto"/>
              <w:jc w:val="right"/>
            </w:pPr>
            <w:r>
              <w:rPr>
                <w:rFonts w:ascii="宋体" w:hAnsi="宋体" w:hint="eastAsia"/>
              </w:rPr>
              <w:t xml:space="preserve">18.44%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5E30A" w14:textId="77777777" w:rsidR="005C5EC4" w:rsidRDefault="005C5EC4">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73E321" w14:textId="77777777" w:rsidR="005C5EC4" w:rsidRDefault="005C5EC4">
            <w:pPr>
              <w:spacing w:line="360" w:lineRule="auto"/>
              <w:jc w:val="right"/>
            </w:pPr>
            <w:r>
              <w:rPr>
                <w:rFonts w:ascii="宋体" w:hAnsi="宋体" w:hint="eastAsia"/>
              </w:rPr>
              <w:t xml:space="preserve">1.53%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D436D" w14:textId="77777777" w:rsidR="005C5EC4" w:rsidRDefault="005C5EC4">
            <w:pPr>
              <w:spacing w:line="360" w:lineRule="auto"/>
              <w:jc w:val="right"/>
            </w:pPr>
            <w:r>
              <w:rPr>
                <w:rFonts w:ascii="宋体" w:hAnsi="宋体" w:hint="eastAsia"/>
              </w:rPr>
              <w:t xml:space="preserve">0.01% </w:t>
            </w:r>
          </w:p>
        </w:tc>
      </w:tr>
    </w:tbl>
    <w:p w14:paraId="0943D89B" w14:textId="77777777" w:rsidR="005C5EC4" w:rsidRDefault="005C5EC4">
      <w:pPr>
        <w:spacing w:line="360" w:lineRule="auto"/>
        <w:jc w:val="center"/>
        <w:divId w:val="1933588736"/>
      </w:pPr>
      <w:proofErr w:type="gramStart"/>
      <w:r>
        <w:rPr>
          <w:rFonts w:ascii="宋体" w:hAnsi="宋体" w:hint="eastAsia"/>
        </w:rPr>
        <w:t>摩根沪</w:t>
      </w:r>
      <w:proofErr w:type="gramEnd"/>
      <w:r>
        <w:rPr>
          <w:rFonts w:ascii="宋体" w:hAnsi="宋体" w:hint="eastAsia"/>
        </w:rPr>
        <w:t>深300指数增强发起式C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B4CA3" w14:paraId="3B07836F" w14:textId="77777777">
        <w:trPr>
          <w:divId w:val="19335887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D96B1C" w14:textId="77777777" w:rsidR="005C5EC4" w:rsidRDefault="005C5E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EEB882" w14:textId="77777777" w:rsidR="005C5EC4" w:rsidRDefault="005C5E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293AED" w14:textId="77777777" w:rsidR="005C5EC4" w:rsidRDefault="005C5E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C67EED" w14:textId="77777777" w:rsidR="005C5EC4" w:rsidRDefault="005C5E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0001FF" w14:textId="77777777" w:rsidR="005C5EC4" w:rsidRDefault="005C5E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95A71" w14:textId="77777777" w:rsidR="005C5EC4" w:rsidRDefault="005C5E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EF93D8" w14:textId="77777777" w:rsidR="005C5EC4" w:rsidRDefault="005C5EC4">
            <w:pPr>
              <w:spacing w:line="360" w:lineRule="auto"/>
              <w:jc w:val="center"/>
            </w:pPr>
            <w:r>
              <w:rPr>
                <w:rFonts w:ascii="宋体" w:hAnsi="宋体" w:hint="eastAsia"/>
              </w:rPr>
              <w:t xml:space="preserve">②－④ </w:t>
            </w:r>
          </w:p>
        </w:tc>
      </w:tr>
      <w:tr w:rsidR="002B4CA3" w14:paraId="08B9B052" w14:textId="77777777">
        <w:trPr>
          <w:divId w:val="1933588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A1B7B" w14:textId="77777777" w:rsidR="005C5EC4" w:rsidRDefault="005C5E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D1592" w14:textId="77777777" w:rsidR="005C5EC4" w:rsidRDefault="005C5EC4">
            <w:pPr>
              <w:spacing w:line="360" w:lineRule="auto"/>
              <w:jc w:val="right"/>
            </w:pPr>
            <w:r>
              <w:rPr>
                <w:rFonts w:ascii="宋体" w:hAnsi="宋体" w:hint="eastAsia"/>
              </w:rPr>
              <w:t xml:space="preserve">20.10%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184B7" w14:textId="77777777" w:rsidR="005C5EC4" w:rsidRDefault="005C5EC4">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D31EE" w14:textId="77777777" w:rsidR="005C5EC4" w:rsidRDefault="005C5EC4">
            <w:pPr>
              <w:spacing w:line="360" w:lineRule="auto"/>
              <w:jc w:val="right"/>
            </w:pPr>
            <w:r>
              <w:rPr>
                <w:rFonts w:ascii="宋体" w:hAnsi="宋体" w:hint="eastAsia"/>
              </w:rPr>
              <w:t xml:space="preserve">17.01%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13BF2" w14:textId="77777777" w:rsidR="005C5EC4" w:rsidRDefault="005C5EC4">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E58D80" w14:textId="77777777" w:rsidR="005C5EC4" w:rsidRDefault="005C5EC4">
            <w:pPr>
              <w:spacing w:line="360" w:lineRule="auto"/>
              <w:jc w:val="right"/>
            </w:pPr>
            <w:r>
              <w:rPr>
                <w:rFonts w:ascii="宋体" w:hAnsi="宋体" w:hint="eastAsia"/>
              </w:rPr>
              <w:t xml:space="preserve">3.09%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2587E" w14:textId="77777777" w:rsidR="005C5EC4" w:rsidRDefault="005C5EC4">
            <w:pPr>
              <w:spacing w:line="360" w:lineRule="auto"/>
              <w:jc w:val="right"/>
            </w:pPr>
            <w:r>
              <w:rPr>
                <w:rFonts w:ascii="宋体" w:hAnsi="宋体" w:hint="eastAsia"/>
              </w:rPr>
              <w:t xml:space="preserve">0.02% </w:t>
            </w:r>
          </w:p>
        </w:tc>
      </w:tr>
      <w:tr w:rsidR="002B4CA3" w14:paraId="624B0342" w14:textId="77777777">
        <w:trPr>
          <w:divId w:val="1933588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DE565" w14:textId="77777777" w:rsidR="005C5EC4" w:rsidRDefault="005C5E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648F4" w14:textId="77777777" w:rsidR="005C5EC4" w:rsidRDefault="005C5EC4">
            <w:pPr>
              <w:spacing w:line="360" w:lineRule="auto"/>
              <w:jc w:val="right"/>
            </w:pPr>
            <w:r>
              <w:rPr>
                <w:rFonts w:ascii="宋体" w:hAnsi="宋体" w:hint="eastAsia"/>
              </w:rPr>
              <w:t xml:space="preserve">21.95%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99CBE" w14:textId="77777777" w:rsidR="005C5EC4" w:rsidRDefault="005C5EC4">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F18A3" w14:textId="77777777" w:rsidR="005C5EC4" w:rsidRDefault="005C5EC4">
            <w:pPr>
              <w:spacing w:line="360" w:lineRule="auto"/>
              <w:jc w:val="right"/>
            </w:pPr>
            <w:r>
              <w:rPr>
                <w:rFonts w:ascii="宋体" w:hAnsi="宋体" w:hint="eastAsia"/>
              </w:rPr>
              <w:t xml:space="preserve">18.42%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1098B" w14:textId="77777777" w:rsidR="005C5EC4" w:rsidRDefault="005C5EC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E7FBA7" w14:textId="77777777" w:rsidR="005C5EC4" w:rsidRDefault="005C5EC4">
            <w:pPr>
              <w:spacing w:line="360" w:lineRule="auto"/>
              <w:jc w:val="right"/>
            </w:pPr>
            <w:r>
              <w:rPr>
                <w:rFonts w:ascii="宋体" w:hAnsi="宋体" w:hint="eastAsia"/>
              </w:rPr>
              <w:t xml:space="preserve">3.53%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E0D8F" w14:textId="77777777" w:rsidR="005C5EC4" w:rsidRDefault="005C5EC4">
            <w:pPr>
              <w:spacing w:line="360" w:lineRule="auto"/>
              <w:jc w:val="right"/>
            </w:pPr>
            <w:r>
              <w:rPr>
                <w:rFonts w:ascii="宋体" w:hAnsi="宋体" w:hint="eastAsia"/>
              </w:rPr>
              <w:t xml:space="preserve">0.04% </w:t>
            </w:r>
          </w:p>
        </w:tc>
      </w:tr>
      <w:tr w:rsidR="002B4CA3" w14:paraId="78E0D8AD" w14:textId="77777777">
        <w:trPr>
          <w:divId w:val="1933588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8F2C9" w14:textId="77777777" w:rsidR="005C5EC4" w:rsidRDefault="005C5E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6F3DF" w14:textId="77777777" w:rsidR="005C5EC4" w:rsidRDefault="005C5EC4">
            <w:pPr>
              <w:spacing w:line="360" w:lineRule="auto"/>
              <w:jc w:val="right"/>
            </w:pPr>
            <w:r>
              <w:rPr>
                <w:rFonts w:ascii="宋体" w:hAnsi="宋体" w:hint="eastAsia"/>
              </w:rPr>
              <w:t xml:space="preserve">19.92%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66662" w14:textId="77777777" w:rsidR="005C5EC4" w:rsidRDefault="005C5EC4">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2BC87" w14:textId="77777777" w:rsidR="005C5EC4" w:rsidRDefault="005C5EC4">
            <w:pPr>
              <w:spacing w:line="360" w:lineRule="auto"/>
              <w:jc w:val="right"/>
            </w:pPr>
            <w:r>
              <w:rPr>
                <w:rFonts w:ascii="宋体" w:hAnsi="宋体" w:hint="eastAsia"/>
              </w:rPr>
              <w:t xml:space="preserve">14.74%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77BB4" w14:textId="77777777" w:rsidR="005C5EC4" w:rsidRDefault="005C5EC4">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01A179" w14:textId="77777777" w:rsidR="005C5EC4" w:rsidRDefault="005C5EC4">
            <w:pPr>
              <w:spacing w:line="360" w:lineRule="auto"/>
              <w:jc w:val="right"/>
            </w:pPr>
            <w:r>
              <w:rPr>
                <w:rFonts w:ascii="宋体" w:hAnsi="宋体" w:hint="eastAsia"/>
              </w:rPr>
              <w:t xml:space="preserve">5.18%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C8D2E" w14:textId="77777777" w:rsidR="005C5EC4" w:rsidRDefault="005C5EC4">
            <w:pPr>
              <w:spacing w:line="360" w:lineRule="auto"/>
              <w:jc w:val="right"/>
            </w:pPr>
            <w:r>
              <w:rPr>
                <w:rFonts w:ascii="宋体" w:hAnsi="宋体" w:hint="eastAsia"/>
              </w:rPr>
              <w:t xml:space="preserve">0.02% </w:t>
            </w:r>
          </w:p>
        </w:tc>
      </w:tr>
      <w:tr w:rsidR="002B4CA3" w14:paraId="281217B5" w14:textId="77777777">
        <w:trPr>
          <w:divId w:val="1933588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5632D" w14:textId="77777777" w:rsidR="005C5EC4" w:rsidRDefault="005C5E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A98C7" w14:textId="77777777" w:rsidR="005C5EC4" w:rsidRDefault="005C5EC4">
            <w:pPr>
              <w:spacing w:line="360" w:lineRule="auto"/>
              <w:jc w:val="right"/>
            </w:pPr>
            <w:r>
              <w:rPr>
                <w:rFonts w:ascii="宋体" w:hAnsi="宋体" w:hint="eastAsia"/>
              </w:rPr>
              <w:t xml:space="preserve">19.00%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3E58E" w14:textId="77777777" w:rsidR="005C5EC4" w:rsidRDefault="005C5EC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A5B90" w14:textId="77777777" w:rsidR="005C5EC4" w:rsidRDefault="005C5EC4">
            <w:pPr>
              <w:spacing w:line="360" w:lineRule="auto"/>
              <w:jc w:val="right"/>
            </w:pPr>
            <w:r>
              <w:rPr>
                <w:rFonts w:ascii="宋体" w:hAnsi="宋体" w:hint="eastAsia"/>
              </w:rPr>
              <w:t xml:space="preserve">18.44%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7A17F" w14:textId="77777777" w:rsidR="005C5EC4" w:rsidRDefault="005C5EC4">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0B341E" w14:textId="77777777" w:rsidR="005C5EC4" w:rsidRDefault="005C5EC4">
            <w:pPr>
              <w:spacing w:line="360" w:lineRule="auto"/>
              <w:jc w:val="right"/>
            </w:pPr>
            <w:r>
              <w:rPr>
                <w:rFonts w:ascii="宋体" w:hAnsi="宋体" w:hint="eastAsia"/>
              </w:rPr>
              <w:t xml:space="preserve">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B3877" w14:textId="77777777" w:rsidR="005C5EC4" w:rsidRDefault="005C5EC4">
            <w:pPr>
              <w:spacing w:line="360" w:lineRule="auto"/>
              <w:jc w:val="right"/>
            </w:pPr>
            <w:r>
              <w:rPr>
                <w:rFonts w:ascii="宋体" w:hAnsi="宋体" w:hint="eastAsia"/>
              </w:rPr>
              <w:t xml:space="preserve">0.01% </w:t>
            </w:r>
          </w:p>
        </w:tc>
      </w:tr>
    </w:tbl>
    <w:p w14:paraId="59243280" w14:textId="77777777" w:rsidR="005C5EC4" w:rsidRDefault="005C5EC4">
      <w:pPr>
        <w:pStyle w:val="XBRLTitle3"/>
        <w:spacing w:before="156"/>
        <w:ind w:left="0"/>
      </w:pPr>
      <w:bookmarkStart w:id="48" w:name="_Toc513386588"/>
      <w:bookmarkStart w:id="49" w:name="_Toc490050007"/>
      <w:bookmarkStart w:id="50" w:name="_Toc481075053"/>
      <w:bookmarkStart w:id="51" w:name="_Toc512519486"/>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5CB237BC" w14:textId="77777777" w:rsidR="005C5EC4" w:rsidRDefault="005C5EC4">
      <w:pPr>
        <w:spacing w:line="360" w:lineRule="auto"/>
        <w:jc w:val="left"/>
        <w:divId w:val="1481993980"/>
      </w:pPr>
      <w:bookmarkStart w:id="52" w:name="m07_04_07_09_tab"/>
      <w:bookmarkStart w:id="53" w:name="m07_04_07_09"/>
      <w:bookmarkStart w:id="54" w:name="m01_01"/>
      <w:r>
        <w:rPr>
          <w:rFonts w:ascii="宋体" w:hAnsi="宋体" w:hint="eastAsia"/>
          <w:noProof/>
        </w:rPr>
        <w:drawing>
          <wp:inline distT="0" distB="0" distL="0" distR="0" wp14:anchorId="5D1619FA" wp14:editId="33EF6E0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C10FBF7" w14:textId="77777777" w:rsidR="005C5EC4" w:rsidRDefault="005C5EC4">
      <w:pPr>
        <w:spacing w:line="360" w:lineRule="auto"/>
        <w:jc w:val="left"/>
        <w:divId w:val="1809006647"/>
      </w:pPr>
      <w:r>
        <w:rPr>
          <w:rFonts w:ascii="宋体" w:hAnsi="宋体" w:hint="eastAsia"/>
          <w:noProof/>
        </w:rPr>
        <w:drawing>
          <wp:inline distT="0" distB="0" distL="0" distR="0" wp14:anchorId="035DC796" wp14:editId="3FBE775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29F164F" w14:textId="77777777" w:rsidR="005C5EC4" w:rsidRDefault="005C5EC4">
      <w:pPr>
        <w:spacing w:line="360" w:lineRule="auto"/>
      </w:pPr>
      <w:r>
        <w:rPr>
          <w:rFonts w:ascii="宋体" w:hAnsi="宋体" w:hint="eastAsia"/>
        </w:rPr>
        <w:t>注：</w:t>
      </w:r>
      <w:r>
        <w:rPr>
          <w:rFonts w:ascii="宋体" w:hAnsi="宋体" w:hint="eastAsia"/>
          <w:lang w:eastAsia="zh-Hans"/>
        </w:rPr>
        <w:t>本基金合同生效日为2022年12月28日，图示的时间段为合同生效日至本报告期末。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bookmarkEnd w:id="54"/>
    </w:p>
    <w:p w14:paraId="5C27BDE6" w14:textId="77777777" w:rsidR="005C5EC4" w:rsidRDefault="005C5EC4">
      <w:pPr>
        <w:pStyle w:val="XBRLTitle1"/>
        <w:spacing w:before="156" w:line="360" w:lineRule="auto"/>
        <w:ind w:left="425"/>
      </w:pPr>
      <w:bookmarkStart w:id="55" w:name="_Toc513386589"/>
      <w:bookmarkStart w:id="56" w:name="_Toc512519487"/>
      <w:bookmarkStart w:id="57" w:name="_Toc490050008"/>
      <w:bookmarkStart w:id="58" w:name="_Toc438646458"/>
      <w:bookmarkStart w:id="59" w:name="_Toc481075054"/>
      <w:proofErr w:type="spellStart"/>
      <w:r>
        <w:rPr>
          <w:rFonts w:hAnsi="宋体" w:hint="eastAsia"/>
        </w:rPr>
        <w:t>管理人报告</w:t>
      </w:r>
      <w:bookmarkEnd w:id="55"/>
      <w:bookmarkEnd w:id="56"/>
      <w:bookmarkEnd w:id="57"/>
      <w:bookmarkEnd w:id="58"/>
      <w:bookmarkEnd w:id="59"/>
      <w:proofErr w:type="spellEnd"/>
      <w:r>
        <w:rPr>
          <w:rFonts w:hAnsi="宋体" w:hint="eastAsia"/>
        </w:rPr>
        <w:t xml:space="preserve"> </w:t>
      </w:r>
    </w:p>
    <w:p w14:paraId="7BACFB4A" w14:textId="77777777" w:rsidR="005C5EC4" w:rsidRDefault="005C5EC4">
      <w:pPr>
        <w:pStyle w:val="XBRLTitle2"/>
        <w:spacing w:before="156" w:line="360" w:lineRule="auto"/>
        <w:ind w:left="454"/>
      </w:pPr>
      <w:bookmarkStart w:id="60" w:name="_Toc513386590"/>
      <w:bookmarkStart w:id="61" w:name="_Toc512519488"/>
      <w:bookmarkStart w:id="62" w:name="_Toc490050009"/>
      <w:bookmarkStart w:id="63" w:name="_Toc438646459"/>
      <w:bookmarkStart w:id="64" w:name="_Toc481075055"/>
      <w:proofErr w:type="spellStart"/>
      <w:r>
        <w:rPr>
          <w:rFonts w:hAnsi="宋体" w:hint="eastAsia"/>
        </w:rPr>
        <w:t>基金经理（或基金经理小组）简介</w:t>
      </w:r>
      <w:bookmarkEnd w:id="60"/>
      <w:bookmarkEnd w:id="61"/>
      <w:bookmarkEnd w:id="62"/>
      <w:bookmarkEnd w:id="63"/>
      <w:bookmarkEnd w:id="6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B4CA3" w14:paraId="2FDD3CB4" w14:textId="77777777">
        <w:trPr>
          <w:divId w:val="205379838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144D0" w14:textId="77777777" w:rsidR="005C5EC4" w:rsidRDefault="005C5EC4">
            <w:pPr>
              <w:snapToGrid w:val="0"/>
              <w:jc w:val="center"/>
            </w:pPr>
            <w:bookmarkStart w:id="65" w:name="m04_02"/>
            <w:bookmarkEnd w:id="6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9AE04" w14:textId="77777777" w:rsidR="005C5EC4" w:rsidRDefault="005C5EC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589C0" w14:textId="77777777" w:rsidR="005C5EC4" w:rsidRDefault="005C5EC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824A5D" w14:textId="77777777" w:rsidR="005C5EC4" w:rsidRDefault="005C5EC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BB3CB" w14:textId="77777777" w:rsidR="005C5EC4" w:rsidRDefault="005C5EC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B4CA3" w14:paraId="39BE8C03" w14:textId="77777777">
        <w:trPr>
          <w:divId w:val="205379838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E8395" w14:textId="77777777" w:rsidR="005C5EC4" w:rsidRDefault="005C5E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ABBD5" w14:textId="77777777" w:rsidR="005C5EC4" w:rsidRDefault="005C5EC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47F8C" w14:textId="77777777" w:rsidR="005C5EC4" w:rsidRDefault="005C5EC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DD4EF" w14:textId="77777777" w:rsidR="005C5EC4" w:rsidRDefault="005C5EC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E9BB4" w14:textId="77777777" w:rsidR="005C5EC4" w:rsidRDefault="005C5E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84227" w14:textId="77777777" w:rsidR="005C5EC4" w:rsidRDefault="005C5EC4">
            <w:pPr>
              <w:widowControl/>
              <w:jc w:val="left"/>
            </w:pPr>
          </w:p>
        </w:tc>
      </w:tr>
      <w:tr w:rsidR="002B4CA3" w14:paraId="0D837969" w14:textId="77777777">
        <w:trPr>
          <w:divId w:val="205379838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E319E" w14:textId="77777777" w:rsidR="005C5EC4" w:rsidRDefault="005C5EC4">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27521" w14:textId="77777777" w:rsidR="005C5EC4" w:rsidRDefault="005C5EC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4610F" w14:textId="77777777" w:rsidR="005C5EC4" w:rsidRDefault="005C5EC4">
            <w:pPr>
              <w:jc w:val="center"/>
            </w:pPr>
            <w:r>
              <w:rPr>
                <w:rFonts w:ascii="宋体" w:hAnsi="宋体" w:hint="eastAsia"/>
                <w:szCs w:val="24"/>
                <w:lang w:eastAsia="zh-Hans"/>
              </w:rPr>
              <w:t>2022年12月28日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C4FC6" w14:textId="77777777" w:rsidR="005C5EC4" w:rsidRDefault="005C5EC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D11CF" w14:textId="77777777" w:rsidR="005C5EC4" w:rsidRDefault="005C5EC4">
            <w:pPr>
              <w:jc w:val="center"/>
            </w:pPr>
            <w:r>
              <w:rPr>
                <w:rFonts w:ascii="宋体" w:hAnsi="宋体" w:hint="eastAsia"/>
                <w:szCs w:val="24"/>
                <w:lang w:eastAsia="zh-Hans"/>
              </w:rPr>
              <w:t>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0F27C" w14:textId="77777777" w:rsidR="005C5EC4" w:rsidRDefault="005C5EC4">
            <w:pPr>
              <w:jc w:val="left"/>
            </w:pPr>
            <w:r>
              <w:rPr>
                <w:rFonts w:ascii="宋体" w:hAnsi="宋体" w:hint="eastAsia"/>
                <w:szCs w:val="24"/>
                <w:lang w:eastAsia="zh-Hans"/>
              </w:rPr>
              <w:t xml:space="preserve">毛时超先生曾任平安基金管理有限公司量化研究员、基金经理助理、基金经理；自2021年11月加入摩根基金管理(中国)有限公司(原上投摩根基金管理有限公司)，现任指数及量化投资部基金经理。 </w:t>
            </w:r>
          </w:p>
        </w:tc>
      </w:tr>
    </w:tbl>
    <w:p w14:paraId="07D56D04" w14:textId="77777777" w:rsidR="005C5EC4" w:rsidRDefault="005C5EC4">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3.自2025年10月22日起，曲蕾蕾女士被聘任为本</w:t>
      </w:r>
      <w:proofErr w:type="gramStart"/>
      <w:r>
        <w:rPr>
          <w:rFonts w:ascii="宋体" w:hAnsi="宋体" w:hint="eastAsia"/>
          <w:szCs w:val="21"/>
        </w:rPr>
        <w:t>基金基金</w:t>
      </w:r>
      <w:proofErr w:type="gramEnd"/>
      <w:r>
        <w:rPr>
          <w:rFonts w:ascii="宋体" w:hAnsi="宋体" w:hint="eastAsia"/>
          <w:szCs w:val="21"/>
        </w:rPr>
        <w:t>经理，毛时超先生不再担任本</w:t>
      </w:r>
      <w:proofErr w:type="gramStart"/>
      <w:r>
        <w:rPr>
          <w:rFonts w:ascii="宋体" w:hAnsi="宋体" w:hint="eastAsia"/>
          <w:szCs w:val="21"/>
        </w:rPr>
        <w:t>基金基金</w:t>
      </w:r>
      <w:proofErr w:type="gramEnd"/>
      <w:r>
        <w:rPr>
          <w:rFonts w:ascii="宋体" w:hAnsi="宋体" w:hint="eastAsia"/>
          <w:szCs w:val="21"/>
        </w:rPr>
        <w:t xml:space="preserve">经理。 </w:t>
      </w:r>
    </w:p>
    <w:p w14:paraId="21C3EAF4" w14:textId="77777777" w:rsidR="005C5EC4" w:rsidRDefault="005C5EC4">
      <w:pPr>
        <w:pStyle w:val="XBRLTitle2"/>
        <w:spacing w:before="156" w:line="360" w:lineRule="auto"/>
        <w:ind w:left="454"/>
      </w:pPr>
      <w:bookmarkStart w:id="66" w:name="_Toc513386591"/>
      <w:bookmarkStart w:id="67" w:name="_Toc512519489"/>
      <w:bookmarkStart w:id="68" w:name="_Toc490050010"/>
      <w:bookmarkStart w:id="69" w:name="_Toc438646460"/>
      <w:bookmarkStart w:id="70" w:name="_Toc481075056"/>
      <w:bookmarkStart w:id="71" w:name="m402"/>
      <w:proofErr w:type="spellStart"/>
      <w:r>
        <w:rPr>
          <w:rFonts w:hAnsi="宋体" w:hint="eastAsia"/>
        </w:rPr>
        <w:t>管理人对报告期内本基金运作遵规守信情况的说明</w:t>
      </w:r>
      <w:bookmarkEnd w:id="66"/>
      <w:bookmarkEnd w:id="67"/>
      <w:bookmarkEnd w:id="68"/>
      <w:bookmarkEnd w:id="69"/>
      <w:bookmarkEnd w:id="70"/>
      <w:proofErr w:type="spellEnd"/>
      <w:r>
        <w:rPr>
          <w:rFonts w:hAnsi="宋体" w:hint="eastAsia"/>
        </w:rPr>
        <w:t xml:space="preserve"> </w:t>
      </w:r>
    </w:p>
    <w:p w14:paraId="74194477" w14:textId="77777777" w:rsidR="005C5EC4" w:rsidRDefault="005C5EC4">
      <w:pPr>
        <w:spacing w:line="360" w:lineRule="auto"/>
        <w:ind w:firstLineChars="200" w:firstLine="420"/>
        <w:jc w:val="left"/>
      </w:pPr>
      <w:bookmarkStart w:id="72" w:name="m403"/>
      <w:bookmarkEnd w:id="71"/>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864816B" w14:textId="77777777" w:rsidR="005C5EC4" w:rsidRDefault="005C5EC4">
      <w:pPr>
        <w:pStyle w:val="XBRLTitle2"/>
        <w:spacing w:before="156" w:line="360" w:lineRule="auto"/>
        <w:ind w:left="454"/>
      </w:pPr>
      <w:bookmarkStart w:id="73" w:name="_Toc513386592"/>
      <w:bookmarkStart w:id="74" w:name="_Toc512519490"/>
      <w:bookmarkStart w:id="75" w:name="_Toc490050011"/>
      <w:bookmarkStart w:id="76" w:name="_Toc438646462"/>
      <w:bookmarkStart w:id="77" w:name="_Toc481075057"/>
      <w:bookmarkEnd w:id="72"/>
      <w:proofErr w:type="spellStart"/>
      <w:r>
        <w:rPr>
          <w:rFonts w:hAnsi="宋体" w:hint="eastAsia"/>
        </w:rPr>
        <w:t>公平交易专项说明</w:t>
      </w:r>
      <w:bookmarkEnd w:id="73"/>
      <w:bookmarkEnd w:id="74"/>
      <w:bookmarkEnd w:id="75"/>
      <w:bookmarkEnd w:id="76"/>
      <w:bookmarkEnd w:id="77"/>
      <w:proofErr w:type="spellEnd"/>
      <w:r>
        <w:rPr>
          <w:rFonts w:hAnsi="宋体" w:hint="eastAsia"/>
        </w:rPr>
        <w:t xml:space="preserve"> </w:t>
      </w:r>
    </w:p>
    <w:p w14:paraId="12C5A6D6" w14:textId="77777777" w:rsidR="005C5EC4" w:rsidRDefault="005C5EC4">
      <w:pPr>
        <w:pStyle w:val="XBRLTitle3"/>
        <w:spacing w:before="156"/>
        <w:ind w:left="0"/>
      </w:pPr>
      <w:bookmarkStart w:id="78" w:name="_Toc513386593"/>
      <w:bookmarkStart w:id="79" w:name="_Toc512519491"/>
      <w:bookmarkStart w:id="80" w:name="_Toc490050012"/>
      <w:bookmarkStart w:id="81" w:name="_Toc481075058"/>
      <w:bookmarkStart w:id="82" w:name="m404_01_0570"/>
      <w:proofErr w:type="spellStart"/>
      <w:r>
        <w:rPr>
          <w:rFonts w:hint="eastAsia"/>
        </w:rPr>
        <w:t>公平交易制度的执行情况</w:t>
      </w:r>
      <w:bookmarkEnd w:id="78"/>
      <w:bookmarkEnd w:id="79"/>
      <w:bookmarkEnd w:id="80"/>
      <w:bookmarkEnd w:id="81"/>
      <w:proofErr w:type="spellEnd"/>
    </w:p>
    <w:p w14:paraId="439E25BA" w14:textId="77777777" w:rsidR="005C5EC4" w:rsidRDefault="005C5EC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51A1D13" w14:textId="77777777" w:rsidR="005C5EC4" w:rsidRDefault="005C5EC4">
      <w:pPr>
        <w:pStyle w:val="XBRLTitle3"/>
        <w:spacing w:before="156"/>
        <w:ind w:left="0"/>
      </w:pPr>
      <w:bookmarkStart w:id="83" w:name="_Toc513386594"/>
      <w:bookmarkStart w:id="84" w:name="_Toc512519492"/>
      <w:bookmarkStart w:id="85" w:name="_Toc490050013"/>
      <w:bookmarkStart w:id="86" w:name="_Toc481075059"/>
      <w:bookmarkStart w:id="87" w:name="m404_01_0578"/>
      <w:bookmarkEnd w:id="82"/>
      <w:proofErr w:type="spellStart"/>
      <w:r>
        <w:rPr>
          <w:rFonts w:hint="eastAsia"/>
        </w:rPr>
        <w:t>异常交易行为的专项说明</w:t>
      </w:r>
      <w:bookmarkEnd w:id="83"/>
      <w:bookmarkEnd w:id="84"/>
      <w:bookmarkEnd w:id="85"/>
      <w:bookmarkEnd w:id="86"/>
      <w:proofErr w:type="spellEnd"/>
    </w:p>
    <w:p w14:paraId="75DA26D5" w14:textId="77777777" w:rsidR="005C5EC4" w:rsidRDefault="005C5EC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D10BDC7" w14:textId="77777777" w:rsidR="005C5EC4" w:rsidRDefault="005C5EC4">
      <w:pPr>
        <w:pStyle w:val="XBRLTitle2"/>
        <w:spacing w:before="156" w:line="360" w:lineRule="auto"/>
        <w:ind w:left="454"/>
      </w:pPr>
      <w:bookmarkStart w:id="88" w:name="_Toc513386595"/>
      <w:bookmarkStart w:id="89" w:name="_Toc512519493"/>
      <w:bookmarkStart w:id="90" w:name="_Toc490050014"/>
      <w:bookmarkStart w:id="91" w:name="_Toc481075061"/>
      <w:bookmarkStart w:id="92" w:name="m405_01_2550"/>
      <w:bookmarkEnd w:id="87"/>
      <w:proofErr w:type="spellStart"/>
      <w:r>
        <w:rPr>
          <w:rFonts w:hAnsi="宋体" w:hint="eastAsia"/>
        </w:rPr>
        <w:t>报告期内基金的投资策略和运作分析</w:t>
      </w:r>
      <w:bookmarkEnd w:id="88"/>
      <w:bookmarkEnd w:id="89"/>
      <w:bookmarkEnd w:id="90"/>
      <w:bookmarkEnd w:id="91"/>
      <w:proofErr w:type="spellEnd"/>
      <w:r>
        <w:rPr>
          <w:rFonts w:hAnsi="宋体" w:hint="eastAsia"/>
        </w:rPr>
        <w:t xml:space="preserve"> </w:t>
      </w:r>
    </w:p>
    <w:p w14:paraId="164D53A3" w14:textId="77777777" w:rsidR="005C5EC4" w:rsidRDefault="005C5EC4">
      <w:pPr>
        <w:spacing w:line="360" w:lineRule="auto"/>
        <w:ind w:firstLineChars="200" w:firstLine="420"/>
        <w:jc w:val="left"/>
      </w:pPr>
      <w:r>
        <w:rPr>
          <w:rFonts w:ascii="宋体" w:hAnsi="宋体" w:cs="宋体" w:hint="eastAsia"/>
          <w:color w:val="000000"/>
          <w:kern w:val="0"/>
        </w:rPr>
        <w:t>报告期内，A股整体呈现稳步上涨的趋势，全球关税冲突对市场影响减弱，投资者的乐观情绪得到明显修复。</w:t>
      </w:r>
      <w:r>
        <w:rPr>
          <w:rFonts w:ascii="宋体" w:hAnsi="宋体" w:cs="宋体" w:hint="eastAsia"/>
          <w:color w:val="000000"/>
          <w:kern w:val="0"/>
        </w:rPr>
        <w:br/>
        <w:t xml:space="preserve">　　从行业来看，有色金属、电子、通信、电力设备等行业表现突出，银行、国防军工、非银金融、食品饮料等行业表现较差。从风格来看，高贝塔、动量、成长因子表现突出，股息率、短期反转因子则表现较差，偏向成长类型的强势股整体表现最好。</w:t>
      </w:r>
      <w:r>
        <w:rPr>
          <w:rFonts w:ascii="宋体" w:hAnsi="宋体" w:cs="宋体" w:hint="eastAsia"/>
          <w:color w:val="000000"/>
          <w:kern w:val="0"/>
        </w:rPr>
        <w:br/>
        <w:t xml:space="preserve">　　本基金采用指数增强投资策略，采用多因子模型进行选股，重点关注估值相对业绩增速较为合理的公司，在严格控制行业和风格偏离，以及持股分散的情况下，力争实现相对基准指数长期稳健的超额收益表现。</w:t>
      </w:r>
      <w:r>
        <w:rPr>
          <w:rFonts w:ascii="宋体" w:hAnsi="宋体" w:cs="宋体" w:hint="eastAsia"/>
          <w:color w:val="000000"/>
          <w:kern w:val="0"/>
        </w:rPr>
        <w:br/>
        <w:t xml:space="preserve">　　展望未来，随着宏观经济有望企稳回升，本基金跟踪的沪深300指数相关公司，公司经营情况与经济发展紧密相关，估值水平依然处于历史较低分位数，或具有较好的中长期投资配置价值。</w:t>
      </w:r>
    </w:p>
    <w:p w14:paraId="2F8E4D9C" w14:textId="77777777" w:rsidR="005C5EC4" w:rsidRDefault="005C5EC4">
      <w:pPr>
        <w:pStyle w:val="XBRLTitle2"/>
        <w:spacing w:before="156" w:line="360" w:lineRule="auto"/>
        <w:ind w:left="454"/>
      </w:pPr>
      <w:bookmarkStart w:id="93" w:name="_Toc513386596"/>
      <w:bookmarkStart w:id="94" w:name="_Toc512519494"/>
      <w:bookmarkStart w:id="95" w:name="_Toc481075062"/>
      <w:bookmarkStart w:id="96" w:name="_Toc490050015"/>
      <w:bookmarkStart w:id="97" w:name="m405_01_2549"/>
      <w:bookmarkEnd w:id="92"/>
      <w:proofErr w:type="spellStart"/>
      <w:r>
        <w:rPr>
          <w:rFonts w:hAnsi="宋体" w:hint="eastAsia"/>
        </w:rPr>
        <w:t>报告期内基金的业绩表现</w:t>
      </w:r>
      <w:bookmarkEnd w:id="93"/>
      <w:bookmarkEnd w:id="94"/>
      <w:bookmarkEnd w:id="95"/>
      <w:bookmarkEnd w:id="96"/>
      <w:proofErr w:type="spellEnd"/>
      <w:r>
        <w:rPr>
          <w:rFonts w:hAnsi="宋体" w:hint="eastAsia"/>
        </w:rPr>
        <w:t xml:space="preserve"> </w:t>
      </w:r>
      <w:bookmarkEnd w:id="97"/>
    </w:p>
    <w:p w14:paraId="014438C3" w14:textId="77777777" w:rsidR="005C5EC4" w:rsidRDefault="005C5EC4">
      <w:pPr>
        <w:spacing w:line="360" w:lineRule="auto"/>
        <w:ind w:firstLineChars="200" w:firstLine="420"/>
        <w:divId w:val="1902472404"/>
      </w:pPr>
      <w:r>
        <w:rPr>
          <w:rFonts w:ascii="宋体" w:hAnsi="宋体" w:hint="eastAsia"/>
        </w:rPr>
        <w:t>本报告期</w:t>
      </w:r>
      <w:proofErr w:type="gramStart"/>
      <w:r>
        <w:rPr>
          <w:rFonts w:ascii="宋体" w:hAnsi="宋体" w:hint="eastAsia"/>
        </w:rPr>
        <w:t>摩根沪</w:t>
      </w:r>
      <w:proofErr w:type="gramEnd"/>
      <w:r>
        <w:rPr>
          <w:rFonts w:ascii="宋体" w:hAnsi="宋体" w:hint="eastAsia"/>
        </w:rPr>
        <w:t>深300指数增强发起式A份额净值增长率为：20.19%，同期业绩比较基准收益率为：17.01%；</w:t>
      </w:r>
      <w:r>
        <w:rPr>
          <w:rFonts w:ascii="宋体" w:hAnsi="宋体" w:hint="eastAsia"/>
        </w:rPr>
        <w:br/>
        <w:t xml:space="preserve">　　</w:t>
      </w:r>
      <w:proofErr w:type="gramStart"/>
      <w:r>
        <w:rPr>
          <w:rFonts w:ascii="宋体" w:hAnsi="宋体" w:hint="eastAsia"/>
        </w:rPr>
        <w:t>摩根沪</w:t>
      </w:r>
      <w:proofErr w:type="gramEnd"/>
      <w:r>
        <w:rPr>
          <w:rFonts w:ascii="宋体" w:hAnsi="宋体" w:hint="eastAsia"/>
        </w:rPr>
        <w:t>深300指数增强发起式C份额净值增长率为：20.10%，同期业绩比较基准收益率为：17.01%。</w:t>
      </w:r>
    </w:p>
    <w:p w14:paraId="31423136" w14:textId="77777777" w:rsidR="005C5EC4" w:rsidRDefault="005C5EC4">
      <w:pPr>
        <w:pStyle w:val="XBRLTitle2"/>
        <w:spacing w:before="156" w:line="360" w:lineRule="auto"/>
        <w:ind w:left="454"/>
      </w:pPr>
      <w:bookmarkStart w:id="98" w:name="m406"/>
      <w:bookmarkStart w:id="99" w:name="_Toc513386597"/>
      <w:bookmarkStart w:id="100" w:name="_Toc512519495"/>
      <w:bookmarkStart w:id="101" w:name="_Toc438646465"/>
      <w:bookmarkStart w:id="102" w:name="_Toc481075063"/>
      <w:bookmarkStart w:id="103" w:name="_Toc490050016"/>
      <w:bookmarkStart w:id="104" w:name="m407"/>
      <w:bookmarkEnd w:id="98"/>
      <w:proofErr w:type="spellStart"/>
      <w:r>
        <w:rPr>
          <w:rFonts w:hAnsi="宋体" w:hint="eastAsia"/>
        </w:rPr>
        <w:t>报告期内基金持有人数或基金资产净值预警说明</w:t>
      </w:r>
      <w:bookmarkEnd w:id="99"/>
      <w:bookmarkEnd w:id="100"/>
      <w:bookmarkEnd w:id="101"/>
      <w:bookmarkEnd w:id="102"/>
      <w:bookmarkEnd w:id="103"/>
      <w:proofErr w:type="spellEnd"/>
      <w:r>
        <w:rPr>
          <w:rFonts w:hAnsi="宋体" w:hint="eastAsia"/>
        </w:rPr>
        <w:t xml:space="preserve"> </w:t>
      </w:r>
    </w:p>
    <w:p w14:paraId="5366AA13" w14:textId="77777777" w:rsidR="005C5EC4" w:rsidRDefault="005C5EC4">
      <w:pPr>
        <w:spacing w:line="360" w:lineRule="auto"/>
        <w:ind w:firstLineChars="200" w:firstLine="420"/>
        <w:jc w:val="left"/>
      </w:pPr>
      <w:r>
        <w:rPr>
          <w:rFonts w:ascii="宋体" w:hAnsi="宋体" w:hint="eastAsia"/>
        </w:rPr>
        <w:t>无。</w:t>
      </w:r>
    </w:p>
    <w:p w14:paraId="24978EDB" w14:textId="77777777" w:rsidR="005C5EC4" w:rsidRDefault="005C5EC4">
      <w:pPr>
        <w:pStyle w:val="XBRLTitle1"/>
        <w:spacing w:before="156" w:line="360" w:lineRule="auto"/>
        <w:ind w:left="425"/>
      </w:pPr>
      <w:bookmarkStart w:id="105" w:name="_Toc513386598"/>
      <w:bookmarkStart w:id="106" w:name="_Toc490050017"/>
      <w:bookmarkStart w:id="107" w:name="_Toc438646466"/>
      <w:bookmarkStart w:id="108" w:name="_Toc481075064"/>
      <w:bookmarkStart w:id="109" w:name="_Toc512519496"/>
      <w:bookmarkEnd w:id="104"/>
      <w:proofErr w:type="spellStart"/>
      <w:r>
        <w:rPr>
          <w:rFonts w:hAnsi="宋体" w:hint="eastAsia"/>
        </w:rPr>
        <w:t>投资组合报告</w:t>
      </w:r>
      <w:bookmarkEnd w:id="105"/>
      <w:bookmarkEnd w:id="106"/>
      <w:bookmarkEnd w:id="107"/>
      <w:bookmarkEnd w:id="108"/>
      <w:bookmarkEnd w:id="109"/>
      <w:proofErr w:type="spellEnd"/>
      <w:r>
        <w:rPr>
          <w:rFonts w:hAnsi="宋体" w:hint="eastAsia"/>
        </w:rPr>
        <w:t xml:space="preserve"> </w:t>
      </w:r>
    </w:p>
    <w:p w14:paraId="65503196" w14:textId="77777777" w:rsidR="005C5EC4" w:rsidRDefault="005C5EC4">
      <w:pPr>
        <w:pStyle w:val="XBRLTitle2"/>
        <w:spacing w:before="156" w:line="360" w:lineRule="auto"/>
        <w:ind w:left="454"/>
      </w:pPr>
      <w:bookmarkStart w:id="110" w:name="_Toc513386599"/>
      <w:bookmarkStart w:id="111" w:name="_Toc512519497"/>
      <w:bookmarkStart w:id="112" w:name="_Toc490050018"/>
      <w:bookmarkStart w:id="113" w:name="_Toc438646467"/>
      <w:bookmarkStart w:id="114" w:name="_Toc481075065"/>
      <w:bookmarkStart w:id="115" w:name="m501"/>
      <w:proofErr w:type="spellStart"/>
      <w:r>
        <w:rPr>
          <w:rFonts w:hAnsi="宋体" w:hint="eastAsia"/>
        </w:rPr>
        <w:t>报告期末基金资产组合情况</w:t>
      </w:r>
      <w:bookmarkEnd w:id="110"/>
      <w:bookmarkEnd w:id="111"/>
      <w:bookmarkEnd w:id="112"/>
      <w:bookmarkEnd w:id="113"/>
      <w:bookmarkEnd w:id="11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B4CA3" w14:paraId="45BA432D"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8B3303" w14:textId="77777777" w:rsidR="005C5EC4" w:rsidRDefault="005C5EC4">
            <w:pPr>
              <w:jc w:val="center"/>
            </w:pPr>
            <w:bookmarkStart w:id="116" w:name="m08QD_01_tab"/>
            <w:bookmarkEnd w:id="116"/>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730ED09" w14:textId="77777777" w:rsidR="005C5EC4" w:rsidRDefault="005C5EC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B0217CE" w14:textId="77777777" w:rsidR="005C5EC4" w:rsidRDefault="005C5EC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A583A1E" w14:textId="77777777" w:rsidR="005C5EC4" w:rsidRDefault="005C5EC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B4CA3" w14:paraId="07DF9361"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AFEA9E" w14:textId="77777777" w:rsidR="005C5EC4" w:rsidRDefault="005C5EC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8C87E00" w14:textId="77777777" w:rsidR="005C5EC4" w:rsidRDefault="005C5EC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968E3B" w14:textId="77777777" w:rsidR="005C5EC4" w:rsidRDefault="005C5EC4">
            <w:pPr>
              <w:jc w:val="right"/>
            </w:pPr>
            <w:r>
              <w:rPr>
                <w:rFonts w:ascii="宋体" w:hAnsi="宋体" w:hint="eastAsia"/>
                <w:szCs w:val="24"/>
                <w:lang w:eastAsia="zh-Hans"/>
              </w:rPr>
              <w:t>27,901,558.72</w:t>
            </w:r>
          </w:p>
        </w:tc>
        <w:tc>
          <w:tcPr>
            <w:tcW w:w="1333" w:type="pct"/>
            <w:tcBorders>
              <w:top w:val="single" w:sz="4" w:space="0" w:color="auto"/>
              <w:left w:val="nil"/>
              <w:bottom w:val="single" w:sz="4" w:space="0" w:color="auto"/>
              <w:right w:val="single" w:sz="4" w:space="0" w:color="auto"/>
            </w:tcBorders>
            <w:vAlign w:val="center"/>
            <w:hideMark/>
          </w:tcPr>
          <w:p w14:paraId="50DB4B2B" w14:textId="77777777" w:rsidR="005C5EC4" w:rsidRDefault="005C5EC4">
            <w:pPr>
              <w:jc w:val="right"/>
            </w:pPr>
            <w:r>
              <w:rPr>
                <w:rFonts w:ascii="宋体" w:hAnsi="宋体" w:hint="eastAsia"/>
                <w:szCs w:val="24"/>
                <w:lang w:eastAsia="zh-Hans"/>
              </w:rPr>
              <w:t>89.69</w:t>
            </w:r>
          </w:p>
        </w:tc>
      </w:tr>
      <w:tr w:rsidR="002B4CA3" w14:paraId="0ABDC5FD"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25B327" w14:textId="77777777" w:rsidR="005C5EC4" w:rsidRDefault="005C5E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569A82" w14:textId="77777777" w:rsidR="005C5EC4" w:rsidRDefault="005C5EC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726809" w14:textId="77777777" w:rsidR="005C5EC4" w:rsidRDefault="005C5EC4">
            <w:pPr>
              <w:jc w:val="right"/>
            </w:pPr>
            <w:r>
              <w:rPr>
                <w:rFonts w:ascii="宋体" w:hAnsi="宋体" w:hint="eastAsia"/>
                <w:szCs w:val="24"/>
                <w:lang w:eastAsia="zh-Hans"/>
              </w:rPr>
              <w:t>27,901,558.72</w:t>
            </w:r>
          </w:p>
        </w:tc>
        <w:tc>
          <w:tcPr>
            <w:tcW w:w="1333" w:type="pct"/>
            <w:tcBorders>
              <w:top w:val="single" w:sz="4" w:space="0" w:color="auto"/>
              <w:left w:val="nil"/>
              <w:bottom w:val="single" w:sz="4" w:space="0" w:color="auto"/>
              <w:right w:val="single" w:sz="4" w:space="0" w:color="auto"/>
            </w:tcBorders>
            <w:vAlign w:val="center"/>
            <w:hideMark/>
          </w:tcPr>
          <w:p w14:paraId="2D0DF005" w14:textId="77777777" w:rsidR="005C5EC4" w:rsidRDefault="005C5EC4">
            <w:pPr>
              <w:jc w:val="right"/>
            </w:pPr>
            <w:r>
              <w:rPr>
                <w:rFonts w:ascii="宋体" w:hAnsi="宋体" w:hint="eastAsia"/>
                <w:szCs w:val="24"/>
                <w:lang w:eastAsia="zh-Hans"/>
              </w:rPr>
              <w:t>89.69</w:t>
            </w:r>
          </w:p>
        </w:tc>
      </w:tr>
      <w:tr w:rsidR="002B4CA3" w14:paraId="0BC43720"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612A0B" w14:textId="77777777" w:rsidR="005C5EC4" w:rsidRDefault="005C5EC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396A524" w14:textId="77777777" w:rsidR="005C5EC4" w:rsidRDefault="005C5EC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4A11F2" w14:textId="77777777" w:rsidR="005C5EC4" w:rsidRDefault="005C5E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9F4FC6" w14:textId="77777777" w:rsidR="005C5EC4" w:rsidRDefault="005C5EC4">
            <w:pPr>
              <w:jc w:val="right"/>
            </w:pPr>
            <w:r>
              <w:rPr>
                <w:rFonts w:ascii="宋体" w:hAnsi="宋体" w:hint="eastAsia"/>
                <w:szCs w:val="24"/>
                <w:lang w:eastAsia="zh-Hans"/>
              </w:rPr>
              <w:t>-</w:t>
            </w:r>
          </w:p>
        </w:tc>
      </w:tr>
      <w:tr w:rsidR="002B4CA3" w14:paraId="3F8AAB97"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837216" w14:textId="77777777" w:rsidR="005C5EC4" w:rsidRDefault="005C5EC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BC76F5" w14:textId="77777777" w:rsidR="005C5EC4" w:rsidRDefault="005C5EC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2C5AFE" w14:textId="77777777" w:rsidR="005C5EC4" w:rsidRDefault="005C5EC4">
            <w:pPr>
              <w:jc w:val="right"/>
            </w:pPr>
            <w:r>
              <w:rPr>
                <w:rFonts w:ascii="宋体" w:hAnsi="宋体" w:hint="eastAsia"/>
                <w:szCs w:val="24"/>
                <w:lang w:eastAsia="zh-Hans"/>
              </w:rPr>
              <w:t>906,608.44</w:t>
            </w:r>
          </w:p>
        </w:tc>
        <w:tc>
          <w:tcPr>
            <w:tcW w:w="1333" w:type="pct"/>
            <w:tcBorders>
              <w:top w:val="single" w:sz="4" w:space="0" w:color="auto"/>
              <w:left w:val="nil"/>
              <w:bottom w:val="single" w:sz="4" w:space="0" w:color="auto"/>
              <w:right w:val="single" w:sz="4" w:space="0" w:color="auto"/>
            </w:tcBorders>
            <w:vAlign w:val="center"/>
            <w:hideMark/>
          </w:tcPr>
          <w:p w14:paraId="0FAB73EB" w14:textId="77777777" w:rsidR="005C5EC4" w:rsidRDefault="005C5EC4">
            <w:pPr>
              <w:jc w:val="right"/>
            </w:pPr>
            <w:r>
              <w:rPr>
                <w:rFonts w:ascii="宋体" w:hAnsi="宋体" w:hint="eastAsia"/>
                <w:szCs w:val="24"/>
                <w:lang w:eastAsia="zh-Hans"/>
              </w:rPr>
              <w:t>2.91</w:t>
            </w:r>
          </w:p>
        </w:tc>
      </w:tr>
      <w:tr w:rsidR="002B4CA3" w14:paraId="2A274C50"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E59E4D" w14:textId="77777777" w:rsidR="005C5EC4" w:rsidRDefault="005C5E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F6DB6C" w14:textId="77777777" w:rsidR="005C5EC4" w:rsidRDefault="005C5EC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4C83D7" w14:textId="77777777" w:rsidR="005C5EC4" w:rsidRDefault="005C5EC4">
            <w:pPr>
              <w:jc w:val="right"/>
            </w:pPr>
            <w:r>
              <w:rPr>
                <w:rFonts w:ascii="宋体" w:hAnsi="宋体" w:hint="eastAsia"/>
                <w:szCs w:val="24"/>
                <w:lang w:eastAsia="zh-Hans"/>
              </w:rPr>
              <w:t>906,608.44</w:t>
            </w:r>
          </w:p>
        </w:tc>
        <w:tc>
          <w:tcPr>
            <w:tcW w:w="1333" w:type="pct"/>
            <w:tcBorders>
              <w:top w:val="single" w:sz="4" w:space="0" w:color="auto"/>
              <w:left w:val="nil"/>
              <w:bottom w:val="single" w:sz="4" w:space="0" w:color="auto"/>
              <w:right w:val="single" w:sz="4" w:space="0" w:color="auto"/>
            </w:tcBorders>
            <w:vAlign w:val="center"/>
            <w:hideMark/>
          </w:tcPr>
          <w:p w14:paraId="5B6AC57E" w14:textId="77777777" w:rsidR="005C5EC4" w:rsidRDefault="005C5EC4">
            <w:pPr>
              <w:jc w:val="right"/>
            </w:pPr>
            <w:r>
              <w:rPr>
                <w:rFonts w:ascii="宋体" w:hAnsi="宋体" w:hint="eastAsia"/>
                <w:szCs w:val="24"/>
                <w:lang w:eastAsia="zh-Hans"/>
              </w:rPr>
              <w:t>2.91</w:t>
            </w:r>
          </w:p>
        </w:tc>
      </w:tr>
      <w:tr w:rsidR="002B4CA3" w14:paraId="0E1E22BB"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A77539" w14:textId="77777777" w:rsidR="005C5EC4" w:rsidRDefault="005C5E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48F594" w14:textId="77777777" w:rsidR="005C5EC4" w:rsidRDefault="005C5EC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0221DB" w14:textId="77777777" w:rsidR="005C5EC4" w:rsidRDefault="005C5E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D9A865" w14:textId="77777777" w:rsidR="005C5EC4" w:rsidRDefault="005C5EC4">
            <w:pPr>
              <w:jc w:val="right"/>
            </w:pPr>
            <w:r>
              <w:rPr>
                <w:rFonts w:ascii="宋体" w:hAnsi="宋体" w:hint="eastAsia"/>
                <w:szCs w:val="24"/>
                <w:lang w:eastAsia="zh-Hans"/>
              </w:rPr>
              <w:t>-</w:t>
            </w:r>
          </w:p>
        </w:tc>
      </w:tr>
      <w:tr w:rsidR="002B4CA3" w14:paraId="0FE55A36"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2712F6" w14:textId="77777777" w:rsidR="005C5EC4" w:rsidRDefault="005C5EC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70F3598" w14:textId="77777777" w:rsidR="005C5EC4" w:rsidRDefault="005C5EC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87D3F8" w14:textId="77777777" w:rsidR="005C5EC4" w:rsidRDefault="005C5E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DBC36F" w14:textId="77777777" w:rsidR="005C5EC4" w:rsidRDefault="005C5EC4">
            <w:pPr>
              <w:jc w:val="right"/>
            </w:pPr>
            <w:r>
              <w:rPr>
                <w:rFonts w:ascii="宋体" w:hAnsi="宋体" w:hint="eastAsia"/>
                <w:szCs w:val="24"/>
                <w:lang w:eastAsia="zh-Hans"/>
              </w:rPr>
              <w:t>-</w:t>
            </w:r>
          </w:p>
        </w:tc>
      </w:tr>
      <w:tr w:rsidR="002B4CA3" w14:paraId="321EA5DB"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C277C5" w14:textId="77777777" w:rsidR="005C5EC4" w:rsidRDefault="005C5EC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B79BC92" w14:textId="77777777" w:rsidR="005C5EC4" w:rsidRDefault="005C5EC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441E8F" w14:textId="77777777" w:rsidR="005C5EC4" w:rsidRDefault="005C5E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550E9E" w14:textId="77777777" w:rsidR="005C5EC4" w:rsidRDefault="005C5EC4">
            <w:pPr>
              <w:jc w:val="right"/>
            </w:pPr>
            <w:r>
              <w:rPr>
                <w:rFonts w:ascii="宋体" w:hAnsi="宋体" w:hint="eastAsia"/>
                <w:szCs w:val="24"/>
                <w:lang w:eastAsia="zh-Hans"/>
              </w:rPr>
              <w:t>-</w:t>
            </w:r>
          </w:p>
        </w:tc>
      </w:tr>
      <w:tr w:rsidR="002B4CA3" w14:paraId="219260B8"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CD8FF5" w14:textId="77777777" w:rsidR="005C5EC4" w:rsidRDefault="005C5EC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5189C32" w14:textId="77777777" w:rsidR="005C5EC4" w:rsidRDefault="005C5EC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2CFD1C" w14:textId="77777777" w:rsidR="005C5EC4" w:rsidRDefault="005C5E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F6F7EF" w14:textId="77777777" w:rsidR="005C5EC4" w:rsidRDefault="005C5EC4">
            <w:pPr>
              <w:jc w:val="right"/>
            </w:pPr>
            <w:r>
              <w:rPr>
                <w:rFonts w:ascii="宋体" w:hAnsi="宋体" w:hint="eastAsia"/>
                <w:szCs w:val="24"/>
                <w:lang w:eastAsia="zh-Hans"/>
              </w:rPr>
              <w:t>-</w:t>
            </w:r>
          </w:p>
        </w:tc>
      </w:tr>
      <w:tr w:rsidR="002B4CA3" w14:paraId="0DBBAB91"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9544F8" w14:textId="77777777" w:rsidR="005C5EC4" w:rsidRDefault="005C5E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839492" w14:textId="77777777" w:rsidR="005C5EC4" w:rsidRDefault="005C5EC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E75A8A" w14:textId="77777777" w:rsidR="005C5EC4" w:rsidRDefault="005C5E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892E22" w14:textId="77777777" w:rsidR="005C5EC4" w:rsidRDefault="005C5EC4">
            <w:pPr>
              <w:jc w:val="right"/>
            </w:pPr>
            <w:r>
              <w:rPr>
                <w:rFonts w:ascii="宋体" w:hAnsi="宋体" w:hint="eastAsia"/>
                <w:szCs w:val="24"/>
                <w:lang w:eastAsia="zh-Hans"/>
              </w:rPr>
              <w:t>-</w:t>
            </w:r>
          </w:p>
        </w:tc>
      </w:tr>
      <w:tr w:rsidR="002B4CA3" w14:paraId="3C721CCF"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B18BA6" w14:textId="77777777" w:rsidR="005C5EC4" w:rsidRDefault="005C5EC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D47656C" w14:textId="77777777" w:rsidR="005C5EC4" w:rsidRDefault="005C5EC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0AE5D5" w14:textId="77777777" w:rsidR="005C5EC4" w:rsidRDefault="005C5EC4">
            <w:pPr>
              <w:jc w:val="right"/>
            </w:pPr>
            <w:r>
              <w:rPr>
                <w:rFonts w:ascii="宋体" w:hAnsi="宋体" w:hint="eastAsia"/>
                <w:szCs w:val="24"/>
                <w:lang w:eastAsia="zh-Hans"/>
              </w:rPr>
              <w:t>1,976,897.19</w:t>
            </w:r>
          </w:p>
        </w:tc>
        <w:tc>
          <w:tcPr>
            <w:tcW w:w="1333" w:type="pct"/>
            <w:tcBorders>
              <w:top w:val="single" w:sz="4" w:space="0" w:color="auto"/>
              <w:left w:val="nil"/>
              <w:bottom w:val="single" w:sz="4" w:space="0" w:color="auto"/>
              <w:right w:val="single" w:sz="4" w:space="0" w:color="auto"/>
            </w:tcBorders>
            <w:vAlign w:val="center"/>
            <w:hideMark/>
          </w:tcPr>
          <w:p w14:paraId="381FF120" w14:textId="77777777" w:rsidR="005C5EC4" w:rsidRDefault="005C5EC4">
            <w:pPr>
              <w:jc w:val="right"/>
            </w:pPr>
            <w:r>
              <w:rPr>
                <w:rFonts w:ascii="宋体" w:hAnsi="宋体" w:hint="eastAsia"/>
                <w:szCs w:val="24"/>
                <w:lang w:eastAsia="zh-Hans"/>
              </w:rPr>
              <w:t>6.35</w:t>
            </w:r>
          </w:p>
        </w:tc>
      </w:tr>
      <w:tr w:rsidR="002B4CA3" w14:paraId="7A4DC55B"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C81648" w14:textId="77777777" w:rsidR="005C5EC4" w:rsidRDefault="005C5EC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70B7CE9" w14:textId="77777777" w:rsidR="005C5EC4" w:rsidRDefault="005C5EC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C3A554" w14:textId="77777777" w:rsidR="005C5EC4" w:rsidRDefault="005C5EC4">
            <w:pPr>
              <w:jc w:val="right"/>
            </w:pPr>
            <w:r>
              <w:rPr>
                <w:rFonts w:ascii="宋体" w:hAnsi="宋体" w:hint="eastAsia"/>
                <w:szCs w:val="24"/>
                <w:lang w:eastAsia="zh-Hans"/>
              </w:rPr>
              <w:t>325,344.98</w:t>
            </w:r>
          </w:p>
        </w:tc>
        <w:tc>
          <w:tcPr>
            <w:tcW w:w="1333" w:type="pct"/>
            <w:tcBorders>
              <w:top w:val="single" w:sz="4" w:space="0" w:color="auto"/>
              <w:left w:val="nil"/>
              <w:bottom w:val="single" w:sz="4" w:space="0" w:color="auto"/>
              <w:right w:val="single" w:sz="4" w:space="0" w:color="auto"/>
            </w:tcBorders>
            <w:vAlign w:val="center"/>
            <w:hideMark/>
          </w:tcPr>
          <w:p w14:paraId="22AA4CB7" w14:textId="77777777" w:rsidR="005C5EC4" w:rsidRDefault="005C5EC4">
            <w:pPr>
              <w:jc w:val="right"/>
            </w:pPr>
            <w:r>
              <w:rPr>
                <w:rFonts w:ascii="宋体" w:hAnsi="宋体" w:hint="eastAsia"/>
                <w:szCs w:val="24"/>
                <w:lang w:eastAsia="zh-Hans"/>
              </w:rPr>
              <w:t>1.05</w:t>
            </w:r>
          </w:p>
        </w:tc>
      </w:tr>
      <w:tr w:rsidR="002B4CA3" w14:paraId="62A8D7AE" w14:textId="77777777">
        <w:trPr>
          <w:divId w:val="20305979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993773" w14:textId="77777777" w:rsidR="005C5EC4" w:rsidRDefault="005C5EC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4F0EA8D" w14:textId="77777777" w:rsidR="005C5EC4" w:rsidRDefault="005C5EC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6310C5" w14:textId="77777777" w:rsidR="005C5EC4" w:rsidRDefault="005C5EC4">
            <w:pPr>
              <w:jc w:val="right"/>
            </w:pPr>
            <w:r>
              <w:rPr>
                <w:rFonts w:ascii="宋体" w:hAnsi="宋体" w:hint="eastAsia"/>
                <w:szCs w:val="24"/>
                <w:lang w:eastAsia="zh-Hans"/>
              </w:rPr>
              <w:t>31,110,409.33</w:t>
            </w:r>
          </w:p>
        </w:tc>
        <w:tc>
          <w:tcPr>
            <w:tcW w:w="1333" w:type="pct"/>
            <w:tcBorders>
              <w:top w:val="single" w:sz="4" w:space="0" w:color="auto"/>
              <w:left w:val="nil"/>
              <w:bottom w:val="single" w:sz="4" w:space="0" w:color="auto"/>
              <w:right w:val="single" w:sz="4" w:space="0" w:color="auto"/>
            </w:tcBorders>
            <w:vAlign w:val="center"/>
            <w:hideMark/>
          </w:tcPr>
          <w:p w14:paraId="28871E79" w14:textId="77777777" w:rsidR="005C5EC4" w:rsidRDefault="005C5EC4">
            <w:pPr>
              <w:jc w:val="right"/>
            </w:pPr>
            <w:r>
              <w:rPr>
                <w:rFonts w:ascii="宋体" w:hAnsi="宋体" w:hint="eastAsia"/>
                <w:szCs w:val="24"/>
                <w:lang w:eastAsia="zh-Hans"/>
              </w:rPr>
              <w:t>100.00</w:t>
            </w:r>
          </w:p>
        </w:tc>
      </w:tr>
    </w:tbl>
    <w:p w14:paraId="0267123F" w14:textId="77777777" w:rsidR="005C5EC4" w:rsidRDefault="005C5EC4">
      <w:pPr>
        <w:pStyle w:val="XBRLTitle2"/>
        <w:spacing w:before="156" w:line="360" w:lineRule="auto"/>
        <w:ind w:left="454"/>
      </w:pPr>
      <w:bookmarkStart w:id="117" w:name="_Toc513386600"/>
      <w:bookmarkStart w:id="118" w:name="_Toc490050019"/>
      <w:bookmarkStart w:id="119" w:name="_Toc438646468"/>
      <w:bookmarkStart w:id="120" w:name="_Toc481075066"/>
      <w:bookmarkStart w:id="121" w:name="_Toc512519498"/>
      <w:bookmarkEnd w:id="115"/>
      <w:proofErr w:type="spellStart"/>
      <w:r>
        <w:rPr>
          <w:rFonts w:hAnsi="宋体" w:hint="eastAsia"/>
        </w:rPr>
        <w:t>报告期末按行业分类的股票投资组合</w:t>
      </w:r>
      <w:bookmarkEnd w:id="117"/>
      <w:bookmarkEnd w:id="118"/>
      <w:bookmarkEnd w:id="119"/>
      <w:bookmarkEnd w:id="120"/>
      <w:bookmarkEnd w:id="121"/>
      <w:proofErr w:type="spellEnd"/>
      <w:r>
        <w:rPr>
          <w:rFonts w:hAnsi="宋体" w:hint="eastAsia"/>
          <w:lang w:eastAsia="zh-CN"/>
        </w:rPr>
        <w:t xml:space="preserve"> </w:t>
      </w:r>
    </w:p>
    <w:p w14:paraId="47339ACE" w14:textId="77777777" w:rsidR="005C5EC4" w:rsidRDefault="005C5EC4">
      <w:pPr>
        <w:pStyle w:val="XBRLTitle3"/>
        <w:spacing w:before="156"/>
        <w:ind w:left="0"/>
      </w:pPr>
      <w:bookmarkStart w:id="122" w:name="_Toc513386601"/>
      <w:bookmarkStart w:id="123" w:name="_Toc512519499"/>
      <w:bookmarkStart w:id="124" w:name="_Toc490050020"/>
      <w:bookmarkStart w:id="125" w:name="_Toc481075067"/>
      <w:proofErr w:type="spellStart"/>
      <w:r>
        <w:rPr>
          <w:rFonts w:hint="eastAsia"/>
        </w:rPr>
        <w:t>报告期末指数投资按行业分类的境内股票投资组合</w:t>
      </w:r>
      <w:bookmarkEnd w:id="122"/>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2B4CA3" w14:paraId="00B8A4C6" w14:textId="77777777">
        <w:trPr>
          <w:divId w:val="1604222184"/>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1C6B937" w14:textId="77777777" w:rsidR="005C5EC4" w:rsidRDefault="005C5EC4">
            <w:pPr>
              <w:jc w:val="center"/>
            </w:pPr>
            <w:bookmarkStart w:id="126"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BC3E6F" w14:textId="77777777" w:rsidR="005C5EC4" w:rsidRDefault="005C5EC4">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B3FECA" w14:textId="77777777" w:rsidR="005C5EC4" w:rsidRDefault="005C5EC4">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B427CC0" w14:textId="77777777" w:rsidR="005C5EC4" w:rsidRDefault="005C5EC4">
            <w:pPr>
              <w:jc w:val="center"/>
            </w:pPr>
            <w:r>
              <w:rPr>
                <w:rFonts w:ascii="宋体" w:hAnsi="宋体" w:hint="eastAsia"/>
              </w:rPr>
              <w:t xml:space="preserve">占基金资产净值比例(%) </w:t>
            </w:r>
          </w:p>
        </w:tc>
      </w:tr>
      <w:tr w:rsidR="002B4CA3" w14:paraId="49B34B96"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95FD4C" w14:textId="77777777" w:rsidR="005C5EC4" w:rsidRDefault="005C5EC4">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31D63" w14:textId="77777777" w:rsidR="005C5EC4" w:rsidRDefault="005C5EC4">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2B168F" w14:textId="77777777" w:rsidR="005C5EC4" w:rsidRDefault="005C5EC4">
            <w:pPr>
              <w:jc w:val="right"/>
            </w:pPr>
            <w:r>
              <w:rPr>
                <w:rFonts w:ascii="宋体" w:hAnsi="宋体" w:hint="eastAsia"/>
              </w:rPr>
              <w:t>283,404.00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0D639D" w14:textId="77777777" w:rsidR="005C5EC4" w:rsidRDefault="005C5EC4">
            <w:pPr>
              <w:jc w:val="right"/>
            </w:pPr>
            <w:r>
              <w:rPr>
                <w:rFonts w:ascii="宋体" w:hAnsi="宋体" w:hint="eastAsia"/>
              </w:rPr>
              <w:t>0.91</w:t>
            </w:r>
          </w:p>
        </w:tc>
      </w:tr>
      <w:tr w:rsidR="002B4CA3" w14:paraId="73F05C9C"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679341" w14:textId="77777777" w:rsidR="005C5EC4" w:rsidRDefault="005C5EC4">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8915AE" w14:textId="77777777" w:rsidR="005C5EC4" w:rsidRDefault="005C5EC4">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1191CC" w14:textId="77777777" w:rsidR="005C5EC4" w:rsidRDefault="005C5EC4">
            <w:pPr>
              <w:jc w:val="right"/>
            </w:pPr>
            <w:r>
              <w:rPr>
                <w:rFonts w:ascii="宋体" w:hAnsi="宋体" w:hint="eastAsia"/>
              </w:rPr>
              <w:t>1,442,706.00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1313EE" w14:textId="77777777" w:rsidR="005C5EC4" w:rsidRDefault="005C5EC4">
            <w:pPr>
              <w:jc w:val="right"/>
            </w:pPr>
            <w:r>
              <w:rPr>
                <w:rFonts w:ascii="宋体" w:hAnsi="宋体" w:hint="eastAsia"/>
              </w:rPr>
              <w:t>4.66</w:t>
            </w:r>
          </w:p>
        </w:tc>
      </w:tr>
      <w:tr w:rsidR="002B4CA3" w14:paraId="5564FDD9"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DD3FE" w14:textId="77777777" w:rsidR="005C5EC4" w:rsidRDefault="005C5EC4">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5A92E8" w14:textId="77777777" w:rsidR="005C5EC4" w:rsidRDefault="005C5EC4">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C2D41A" w14:textId="77777777" w:rsidR="005C5EC4" w:rsidRDefault="005C5EC4">
            <w:pPr>
              <w:jc w:val="right"/>
            </w:pPr>
            <w:r>
              <w:rPr>
                <w:rFonts w:ascii="宋体" w:hAnsi="宋体" w:hint="eastAsia"/>
              </w:rPr>
              <w:t>15,654,587.54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4FD32C" w14:textId="77777777" w:rsidR="005C5EC4" w:rsidRDefault="005C5EC4">
            <w:pPr>
              <w:jc w:val="right"/>
            </w:pPr>
            <w:r>
              <w:rPr>
                <w:rFonts w:ascii="宋体" w:hAnsi="宋体" w:hint="eastAsia"/>
              </w:rPr>
              <w:t>50.54</w:t>
            </w:r>
          </w:p>
        </w:tc>
      </w:tr>
      <w:tr w:rsidR="002B4CA3" w14:paraId="4CCACE06"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6B56E2" w14:textId="77777777" w:rsidR="005C5EC4" w:rsidRDefault="005C5EC4">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0E8E8" w14:textId="77777777" w:rsidR="005C5EC4" w:rsidRDefault="005C5EC4">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23C6BA" w14:textId="77777777" w:rsidR="005C5EC4" w:rsidRDefault="005C5EC4">
            <w:pPr>
              <w:jc w:val="right"/>
            </w:pPr>
            <w:r>
              <w:rPr>
                <w:rFonts w:ascii="宋体" w:hAnsi="宋体" w:hint="eastAsia"/>
              </w:rPr>
              <w:t>794,327.00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8B9B1E" w14:textId="77777777" w:rsidR="005C5EC4" w:rsidRDefault="005C5EC4">
            <w:pPr>
              <w:jc w:val="right"/>
            </w:pPr>
            <w:r>
              <w:rPr>
                <w:rFonts w:ascii="宋体" w:hAnsi="宋体" w:hint="eastAsia"/>
              </w:rPr>
              <w:t>2.56</w:t>
            </w:r>
          </w:p>
        </w:tc>
      </w:tr>
      <w:tr w:rsidR="002B4CA3" w14:paraId="58FF46E8"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EAD66" w14:textId="77777777" w:rsidR="005C5EC4" w:rsidRDefault="005C5EC4">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5EE724" w14:textId="77777777" w:rsidR="005C5EC4" w:rsidRDefault="005C5EC4">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D615B0" w14:textId="77777777" w:rsidR="005C5EC4" w:rsidRDefault="005C5EC4">
            <w:pPr>
              <w:jc w:val="right"/>
            </w:pPr>
            <w:r>
              <w:rPr>
                <w:rFonts w:ascii="宋体" w:hAnsi="宋体" w:hint="eastAsia"/>
              </w:rPr>
              <w:t>440,437.00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0AD0F6" w14:textId="77777777" w:rsidR="005C5EC4" w:rsidRDefault="005C5EC4">
            <w:pPr>
              <w:jc w:val="right"/>
            </w:pPr>
            <w:r>
              <w:rPr>
                <w:rFonts w:ascii="宋体" w:hAnsi="宋体" w:hint="eastAsia"/>
              </w:rPr>
              <w:t>1.42</w:t>
            </w:r>
          </w:p>
        </w:tc>
      </w:tr>
      <w:tr w:rsidR="002B4CA3" w14:paraId="7368C171"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00E71" w14:textId="77777777" w:rsidR="005C5EC4" w:rsidRDefault="005C5EC4">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46EEED" w14:textId="77777777" w:rsidR="005C5EC4" w:rsidRDefault="005C5EC4">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8C6D4" w14:textId="77777777" w:rsidR="005C5EC4" w:rsidRDefault="005C5EC4">
            <w:pPr>
              <w:jc w:val="right"/>
            </w:pPr>
            <w:r>
              <w:rPr>
                <w:rFonts w:ascii="宋体" w:hAnsi="宋体" w:hint="eastAsia"/>
              </w:rPr>
              <w:t>57,705.00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00667D" w14:textId="77777777" w:rsidR="005C5EC4" w:rsidRDefault="005C5EC4">
            <w:pPr>
              <w:jc w:val="right"/>
            </w:pPr>
            <w:r>
              <w:rPr>
                <w:rFonts w:ascii="宋体" w:hAnsi="宋体" w:hint="eastAsia"/>
              </w:rPr>
              <w:t>0.19</w:t>
            </w:r>
          </w:p>
        </w:tc>
      </w:tr>
      <w:tr w:rsidR="002B4CA3" w14:paraId="3EE5BAC1"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D20BCE" w14:textId="77777777" w:rsidR="005C5EC4" w:rsidRDefault="005C5EC4">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BAC23" w14:textId="77777777" w:rsidR="005C5EC4" w:rsidRDefault="005C5EC4">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A78D70" w14:textId="77777777" w:rsidR="005C5EC4" w:rsidRDefault="005C5EC4">
            <w:pPr>
              <w:jc w:val="right"/>
            </w:pPr>
            <w:r>
              <w:rPr>
                <w:rFonts w:ascii="宋体" w:hAnsi="宋体" w:hint="eastAsia"/>
              </w:rPr>
              <w:t>797,590.00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E9C98B" w14:textId="77777777" w:rsidR="005C5EC4" w:rsidRDefault="005C5EC4">
            <w:pPr>
              <w:jc w:val="right"/>
            </w:pPr>
            <w:r>
              <w:rPr>
                <w:rFonts w:ascii="宋体" w:hAnsi="宋体" w:hint="eastAsia"/>
              </w:rPr>
              <w:t>2.57</w:t>
            </w:r>
          </w:p>
        </w:tc>
      </w:tr>
      <w:tr w:rsidR="002B4CA3" w14:paraId="01B8E33C"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3A4F1D" w14:textId="77777777" w:rsidR="005C5EC4" w:rsidRDefault="005C5EC4">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F9CC92" w14:textId="77777777" w:rsidR="005C5EC4" w:rsidRDefault="005C5EC4">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9F05B" w14:textId="77777777" w:rsidR="005C5EC4" w:rsidRDefault="005C5EC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F69B84" w14:textId="77777777" w:rsidR="005C5EC4" w:rsidRDefault="005C5EC4">
            <w:pPr>
              <w:jc w:val="right"/>
            </w:pPr>
            <w:r>
              <w:rPr>
                <w:rFonts w:ascii="宋体" w:hAnsi="宋体" w:hint="eastAsia"/>
              </w:rPr>
              <w:t>-</w:t>
            </w:r>
          </w:p>
        </w:tc>
      </w:tr>
      <w:tr w:rsidR="002B4CA3" w14:paraId="0985A350"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F224D4" w14:textId="77777777" w:rsidR="005C5EC4" w:rsidRDefault="005C5EC4">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7B9D0D" w14:textId="77777777" w:rsidR="005C5EC4" w:rsidRDefault="005C5EC4">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4E9DF" w14:textId="77777777" w:rsidR="005C5EC4" w:rsidRDefault="005C5EC4">
            <w:pPr>
              <w:jc w:val="right"/>
            </w:pPr>
            <w:r>
              <w:rPr>
                <w:rFonts w:ascii="宋体" w:hAnsi="宋体" w:hint="eastAsia"/>
              </w:rPr>
              <w:t>1,348,236.60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CC3F0" w14:textId="77777777" w:rsidR="005C5EC4" w:rsidRDefault="005C5EC4">
            <w:pPr>
              <w:jc w:val="right"/>
            </w:pPr>
            <w:r>
              <w:rPr>
                <w:rFonts w:ascii="宋体" w:hAnsi="宋体" w:hint="eastAsia"/>
              </w:rPr>
              <w:t>4.35</w:t>
            </w:r>
          </w:p>
        </w:tc>
      </w:tr>
      <w:tr w:rsidR="002B4CA3" w14:paraId="7635E7D5"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D6D9D3" w14:textId="77777777" w:rsidR="005C5EC4" w:rsidRDefault="005C5EC4">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F6278" w14:textId="77777777" w:rsidR="005C5EC4" w:rsidRDefault="005C5EC4">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21883C" w14:textId="77777777" w:rsidR="005C5EC4" w:rsidRDefault="005C5EC4">
            <w:pPr>
              <w:jc w:val="right"/>
            </w:pPr>
            <w:r>
              <w:rPr>
                <w:rFonts w:ascii="宋体" w:hAnsi="宋体" w:hint="eastAsia"/>
              </w:rPr>
              <w:t>6,141,257.58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743C31" w14:textId="77777777" w:rsidR="005C5EC4" w:rsidRDefault="005C5EC4">
            <w:pPr>
              <w:jc w:val="right"/>
            </w:pPr>
            <w:r>
              <w:rPr>
                <w:rFonts w:ascii="宋体" w:hAnsi="宋体" w:hint="eastAsia"/>
              </w:rPr>
              <w:t>19.83</w:t>
            </w:r>
          </w:p>
        </w:tc>
      </w:tr>
      <w:tr w:rsidR="002B4CA3" w14:paraId="34227843"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0BD3E3" w14:textId="77777777" w:rsidR="005C5EC4" w:rsidRDefault="005C5EC4">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C6889" w14:textId="77777777" w:rsidR="005C5EC4" w:rsidRDefault="005C5EC4">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304AB" w14:textId="77777777" w:rsidR="005C5EC4" w:rsidRDefault="005C5EC4">
            <w:pPr>
              <w:jc w:val="right"/>
            </w:pPr>
            <w:r>
              <w:rPr>
                <w:rFonts w:ascii="宋体" w:hAnsi="宋体" w:hint="eastAsia"/>
              </w:rPr>
              <w:t>180,241.00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66F71A" w14:textId="77777777" w:rsidR="005C5EC4" w:rsidRDefault="005C5EC4">
            <w:pPr>
              <w:jc w:val="right"/>
            </w:pPr>
            <w:r>
              <w:rPr>
                <w:rFonts w:ascii="宋体" w:hAnsi="宋体" w:hint="eastAsia"/>
              </w:rPr>
              <w:t>0.58</w:t>
            </w:r>
          </w:p>
        </w:tc>
      </w:tr>
      <w:tr w:rsidR="002B4CA3" w14:paraId="76E9B81C"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6C77AF" w14:textId="77777777" w:rsidR="005C5EC4" w:rsidRDefault="005C5EC4">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384A25" w14:textId="77777777" w:rsidR="005C5EC4" w:rsidRDefault="005C5EC4">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81318E" w14:textId="77777777" w:rsidR="005C5EC4" w:rsidRDefault="005C5EC4">
            <w:pPr>
              <w:jc w:val="right"/>
            </w:pPr>
            <w:r>
              <w:rPr>
                <w:rFonts w:ascii="宋体" w:hAnsi="宋体" w:hint="eastAsia"/>
              </w:rPr>
              <w:t>223,037.00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6CC56" w14:textId="77777777" w:rsidR="005C5EC4" w:rsidRDefault="005C5EC4">
            <w:pPr>
              <w:jc w:val="right"/>
            </w:pPr>
            <w:r>
              <w:rPr>
                <w:rFonts w:ascii="宋体" w:hAnsi="宋体" w:hint="eastAsia"/>
              </w:rPr>
              <w:t>0.72</w:t>
            </w:r>
          </w:p>
        </w:tc>
      </w:tr>
      <w:tr w:rsidR="002B4CA3" w14:paraId="15A764E9"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90533" w14:textId="77777777" w:rsidR="005C5EC4" w:rsidRDefault="005C5EC4">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597F9F" w14:textId="77777777" w:rsidR="005C5EC4" w:rsidRDefault="005C5EC4">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1C79D" w14:textId="77777777" w:rsidR="005C5EC4" w:rsidRDefault="005C5EC4">
            <w:pPr>
              <w:jc w:val="right"/>
            </w:pPr>
            <w:r>
              <w:rPr>
                <w:rFonts w:ascii="宋体" w:hAnsi="宋体" w:hint="eastAsia"/>
              </w:rPr>
              <w:t>373,031.00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D38522" w14:textId="77777777" w:rsidR="005C5EC4" w:rsidRDefault="005C5EC4">
            <w:pPr>
              <w:jc w:val="right"/>
            </w:pPr>
            <w:r>
              <w:rPr>
                <w:rFonts w:ascii="宋体" w:hAnsi="宋体" w:hint="eastAsia"/>
              </w:rPr>
              <w:t>1.20</w:t>
            </w:r>
          </w:p>
        </w:tc>
      </w:tr>
      <w:tr w:rsidR="002B4CA3" w14:paraId="1E9CC145"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70646" w14:textId="77777777" w:rsidR="005C5EC4" w:rsidRDefault="005C5EC4">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189E25" w14:textId="77777777" w:rsidR="005C5EC4" w:rsidRDefault="005C5EC4">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77CECD" w14:textId="77777777" w:rsidR="005C5EC4" w:rsidRDefault="005C5EC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574C0" w14:textId="77777777" w:rsidR="005C5EC4" w:rsidRDefault="005C5EC4">
            <w:pPr>
              <w:jc w:val="right"/>
            </w:pPr>
            <w:r>
              <w:rPr>
                <w:rFonts w:ascii="宋体" w:hAnsi="宋体" w:hint="eastAsia"/>
              </w:rPr>
              <w:t>-</w:t>
            </w:r>
          </w:p>
        </w:tc>
      </w:tr>
      <w:tr w:rsidR="002B4CA3" w14:paraId="33ECA57B"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F2D88" w14:textId="77777777" w:rsidR="005C5EC4" w:rsidRDefault="005C5EC4">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72C6D3" w14:textId="77777777" w:rsidR="005C5EC4" w:rsidRDefault="005C5EC4">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424F6A" w14:textId="77777777" w:rsidR="005C5EC4" w:rsidRDefault="005C5EC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ED6947" w14:textId="77777777" w:rsidR="005C5EC4" w:rsidRDefault="005C5EC4">
            <w:pPr>
              <w:jc w:val="right"/>
            </w:pPr>
            <w:r>
              <w:rPr>
                <w:rFonts w:ascii="宋体" w:hAnsi="宋体" w:hint="eastAsia"/>
              </w:rPr>
              <w:t>-</w:t>
            </w:r>
          </w:p>
        </w:tc>
      </w:tr>
      <w:tr w:rsidR="002B4CA3" w14:paraId="22276B6E"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952D9D" w14:textId="77777777" w:rsidR="005C5EC4" w:rsidRDefault="005C5EC4">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038FEA" w14:textId="77777777" w:rsidR="005C5EC4" w:rsidRDefault="005C5EC4">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B4E078" w14:textId="77777777" w:rsidR="005C5EC4" w:rsidRDefault="005C5EC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143AFB" w14:textId="77777777" w:rsidR="005C5EC4" w:rsidRDefault="005C5EC4">
            <w:pPr>
              <w:jc w:val="right"/>
            </w:pPr>
            <w:r>
              <w:rPr>
                <w:rFonts w:ascii="宋体" w:hAnsi="宋体" w:hint="eastAsia"/>
              </w:rPr>
              <w:t>-</w:t>
            </w:r>
          </w:p>
        </w:tc>
      </w:tr>
      <w:tr w:rsidR="002B4CA3" w14:paraId="76E0FB83"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10FEF" w14:textId="77777777" w:rsidR="005C5EC4" w:rsidRDefault="005C5EC4">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D2DC7" w14:textId="77777777" w:rsidR="005C5EC4" w:rsidRDefault="005C5EC4">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31D8A1" w14:textId="77777777" w:rsidR="005C5EC4" w:rsidRDefault="005C5EC4">
            <w:pPr>
              <w:jc w:val="right"/>
            </w:pPr>
            <w:r>
              <w:rPr>
                <w:rFonts w:ascii="宋体" w:hAnsi="宋体" w:hint="eastAsia"/>
              </w:rPr>
              <w:t>63,551.00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047D7" w14:textId="77777777" w:rsidR="005C5EC4" w:rsidRDefault="005C5EC4">
            <w:pPr>
              <w:jc w:val="right"/>
            </w:pPr>
            <w:r>
              <w:rPr>
                <w:rFonts w:ascii="宋体" w:hAnsi="宋体" w:hint="eastAsia"/>
              </w:rPr>
              <w:t>0.21</w:t>
            </w:r>
          </w:p>
        </w:tc>
      </w:tr>
      <w:tr w:rsidR="002B4CA3" w14:paraId="15D99246"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1DCCD2" w14:textId="77777777" w:rsidR="005C5EC4" w:rsidRDefault="005C5EC4">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7746D" w14:textId="77777777" w:rsidR="005C5EC4" w:rsidRDefault="005C5EC4">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4A2ECD" w14:textId="77777777" w:rsidR="005C5EC4" w:rsidRDefault="005C5EC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F2209A" w14:textId="77777777" w:rsidR="005C5EC4" w:rsidRDefault="005C5EC4">
            <w:pPr>
              <w:jc w:val="right"/>
            </w:pPr>
            <w:r>
              <w:rPr>
                <w:rFonts w:ascii="宋体" w:hAnsi="宋体" w:hint="eastAsia"/>
              </w:rPr>
              <w:t>-</w:t>
            </w:r>
          </w:p>
        </w:tc>
      </w:tr>
      <w:tr w:rsidR="002B4CA3" w14:paraId="6FF06958"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CD45EB" w14:textId="77777777" w:rsidR="005C5EC4" w:rsidRDefault="005C5EC4">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0034F2" w14:textId="77777777" w:rsidR="005C5EC4" w:rsidRDefault="005C5EC4">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FBE2F5" w14:textId="77777777" w:rsidR="005C5EC4" w:rsidRDefault="005C5EC4">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3EAFF0" w14:textId="77777777" w:rsidR="005C5EC4" w:rsidRDefault="005C5EC4">
            <w:pPr>
              <w:jc w:val="right"/>
            </w:pPr>
            <w:r>
              <w:rPr>
                <w:rFonts w:ascii="宋体" w:hAnsi="宋体" w:hint="eastAsia"/>
              </w:rPr>
              <w:t>-</w:t>
            </w:r>
          </w:p>
        </w:tc>
      </w:tr>
      <w:tr w:rsidR="002B4CA3" w14:paraId="520EFBEF" w14:textId="77777777">
        <w:trPr>
          <w:divId w:val="1604222184"/>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64908" w14:textId="77777777" w:rsidR="005C5EC4" w:rsidRDefault="005C5EC4"/>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C9FAF" w14:textId="77777777" w:rsidR="005C5EC4" w:rsidRDefault="005C5EC4">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F6C615" w14:textId="77777777" w:rsidR="005C5EC4" w:rsidRDefault="005C5EC4">
            <w:pPr>
              <w:jc w:val="right"/>
            </w:pPr>
            <w:r>
              <w:rPr>
                <w:rFonts w:ascii="宋体" w:hAnsi="宋体" w:hint="eastAsia"/>
              </w:rPr>
              <w:t>27,800,110.72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19CE60" w14:textId="77777777" w:rsidR="005C5EC4" w:rsidRDefault="005C5EC4">
            <w:pPr>
              <w:jc w:val="right"/>
            </w:pPr>
            <w:r>
              <w:rPr>
                <w:rFonts w:ascii="宋体" w:hAnsi="宋体" w:hint="eastAsia"/>
              </w:rPr>
              <w:t>89.75</w:t>
            </w:r>
          </w:p>
        </w:tc>
      </w:tr>
    </w:tbl>
    <w:p w14:paraId="23E3EF78" w14:textId="77777777" w:rsidR="005C5EC4" w:rsidRDefault="005C5EC4">
      <w:pPr>
        <w:pStyle w:val="XBRLTitle3"/>
        <w:spacing w:before="156"/>
        <w:ind w:left="0"/>
      </w:pPr>
      <w:bookmarkStart w:id="127" w:name="_Toc513386602"/>
      <w:proofErr w:type="spellStart"/>
      <w:r>
        <w:rPr>
          <w:rFonts w:hint="eastAsia"/>
        </w:rPr>
        <w:t>报告期末积极投资按行业分类的境内股票投资组合</w:t>
      </w:r>
      <w:bookmarkEnd w:id="12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2B4CA3" w14:paraId="52EF5D29" w14:textId="77777777">
        <w:trPr>
          <w:divId w:val="1845784260"/>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bookmarkEnd w:id="123"/>
          <w:bookmarkEnd w:id="124"/>
          <w:bookmarkEnd w:id="125"/>
          <w:p w14:paraId="7A669ACB" w14:textId="77777777" w:rsidR="005C5EC4" w:rsidRDefault="005C5EC4">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D4D5388" w14:textId="77777777" w:rsidR="005C5EC4" w:rsidRDefault="005C5EC4">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A8A76ED" w14:textId="77777777" w:rsidR="005C5EC4" w:rsidRDefault="005C5EC4">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D0138DE" w14:textId="77777777" w:rsidR="005C5EC4" w:rsidRDefault="005C5EC4">
            <w:pPr>
              <w:jc w:val="center"/>
            </w:pPr>
            <w:r>
              <w:rPr>
                <w:rFonts w:ascii="宋体" w:hAnsi="宋体" w:hint="eastAsia"/>
              </w:rPr>
              <w:t xml:space="preserve">占基金资产净值比例(%) </w:t>
            </w:r>
          </w:p>
        </w:tc>
      </w:tr>
      <w:tr w:rsidR="002B4CA3" w14:paraId="2F07DC18"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D5D6CB" w14:textId="77777777" w:rsidR="005C5EC4" w:rsidRDefault="005C5EC4">
            <w:pPr>
              <w:jc w:val="center"/>
            </w:pPr>
            <w:r>
              <w:rPr>
                <w:rFonts w:ascii="宋体" w:hAnsi="宋体" w:hint="eastAsia"/>
              </w:rPr>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9E0EF9" w14:textId="77777777" w:rsidR="005C5EC4" w:rsidRDefault="005C5EC4">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3B14F82"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443FB2E" w14:textId="77777777" w:rsidR="005C5EC4" w:rsidRDefault="005C5EC4">
            <w:pPr>
              <w:jc w:val="right"/>
            </w:pPr>
            <w:r>
              <w:rPr>
                <w:rFonts w:ascii="宋体" w:hAnsi="宋体" w:hint="eastAsia"/>
              </w:rPr>
              <w:t>-</w:t>
            </w:r>
          </w:p>
        </w:tc>
      </w:tr>
      <w:tr w:rsidR="002B4CA3" w14:paraId="17E98758"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934A07" w14:textId="77777777" w:rsidR="005C5EC4" w:rsidRDefault="005C5EC4">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BC90F" w14:textId="77777777" w:rsidR="005C5EC4" w:rsidRDefault="005C5EC4">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9AD081C" w14:textId="77777777" w:rsidR="005C5EC4" w:rsidRDefault="005C5EC4">
            <w:pPr>
              <w:jc w:val="right"/>
            </w:pPr>
            <w:r>
              <w:rPr>
                <w:rFonts w:ascii="宋体" w:hAnsi="宋体" w:hint="eastAsia"/>
              </w:rPr>
              <w:t>31,960.00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E1CF4D5" w14:textId="77777777" w:rsidR="005C5EC4" w:rsidRDefault="005C5EC4">
            <w:pPr>
              <w:jc w:val="right"/>
            </w:pPr>
            <w:r>
              <w:rPr>
                <w:rFonts w:ascii="宋体" w:hAnsi="宋体" w:hint="eastAsia"/>
              </w:rPr>
              <w:t>0.10</w:t>
            </w:r>
          </w:p>
        </w:tc>
      </w:tr>
      <w:tr w:rsidR="002B4CA3" w14:paraId="44A2F821"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F9E706" w14:textId="77777777" w:rsidR="005C5EC4" w:rsidRDefault="005C5EC4">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20C9E4" w14:textId="77777777" w:rsidR="005C5EC4" w:rsidRDefault="005C5EC4">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EEDFB48" w14:textId="77777777" w:rsidR="005C5EC4" w:rsidRDefault="005C5EC4">
            <w:pPr>
              <w:jc w:val="right"/>
            </w:pPr>
            <w:r>
              <w:rPr>
                <w:rFonts w:ascii="宋体" w:hAnsi="宋体" w:hint="eastAsia"/>
              </w:rPr>
              <w:t>58,148.00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ACDCF9F" w14:textId="77777777" w:rsidR="005C5EC4" w:rsidRDefault="005C5EC4">
            <w:pPr>
              <w:jc w:val="right"/>
            </w:pPr>
            <w:r>
              <w:rPr>
                <w:rFonts w:ascii="宋体" w:hAnsi="宋体" w:hint="eastAsia"/>
              </w:rPr>
              <w:t>0.19</w:t>
            </w:r>
          </w:p>
        </w:tc>
      </w:tr>
      <w:tr w:rsidR="002B4CA3" w14:paraId="1BD1E392"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5DD16" w14:textId="77777777" w:rsidR="005C5EC4" w:rsidRDefault="005C5EC4">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CF5953" w14:textId="77777777" w:rsidR="005C5EC4" w:rsidRDefault="005C5EC4">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DA2B82B"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6801C7E" w14:textId="77777777" w:rsidR="005C5EC4" w:rsidRDefault="005C5EC4">
            <w:pPr>
              <w:jc w:val="right"/>
            </w:pPr>
            <w:r>
              <w:rPr>
                <w:rFonts w:ascii="宋体" w:hAnsi="宋体" w:hint="eastAsia"/>
              </w:rPr>
              <w:t>-</w:t>
            </w:r>
          </w:p>
        </w:tc>
      </w:tr>
      <w:tr w:rsidR="002B4CA3" w14:paraId="48EA907B"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40AB0" w14:textId="77777777" w:rsidR="005C5EC4" w:rsidRDefault="005C5EC4">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EAFA0C" w14:textId="77777777" w:rsidR="005C5EC4" w:rsidRDefault="005C5EC4">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E877EB7"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F1522F2" w14:textId="77777777" w:rsidR="005C5EC4" w:rsidRDefault="005C5EC4">
            <w:pPr>
              <w:jc w:val="right"/>
            </w:pPr>
            <w:r>
              <w:rPr>
                <w:rFonts w:ascii="宋体" w:hAnsi="宋体" w:hint="eastAsia"/>
              </w:rPr>
              <w:t>-</w:t>
            </w:r>
          </w:p>
        </w:tc>
      </w:tr>
      <w:tr w:rsidR="002B4CA3" w14:paraId="48648D9F"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58E1B" w14:textId="77777777" w:rsidR="005C5EC4" w:rsidRDefault="005C5EC4">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99053" w14:textId="77777777" w:rsidR="005C5EC4" w:rsidRDefault="005C5EC4">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0C2BD48"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9E45A2E" w14:textId="77777777" w:rsidR="005C5EC4" w:rsidRDefault="005C5EC4">
            <w:pPr>
              <w:jc w:val="right"/>
            </w:pPr>
            <w:r>
              <w:rPr>
                <w:rFonts w:ascii="宋体" w:hAnsi="宋体" w:hint="eastAsia"/>
              </w:rPr>
              <w:t>-</w:t>
            </w:r>
          </w:p>
        </w:tc>
      </w:tr>
      <w:tr w:rsidR="002B4CA3" w14:paraId="3373F29C"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99F0CA" w14:textId="77777777" w:rsidR="005C5EC4" w:rsidRDefault="005C5EC4">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B76208" w14:textId="77777777" w:rsidR="005C5EC4" w:rsidRDefault="005C5EC4">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6388EEC"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2CFA82F" w14:textId="77777777" w:rsidR="005C5EC4" w:rsidRDefault="005C5EC4">
            <w:pPr>
              <w:jc w:val="right"/>
            </w:pPr>
            <w:r>
              <w:rPr>
                <w:rFonts w:ascii="宋体" w:hAnsi="宋体" w:hint="eastAsia"/>
              </w:rPr>
              <w:t>-</w:t>
            </w:r>
          </w:p>
        </w:tc>
      </w:tr>
      <w:tr w:rsidR="002B4CA3" w14:paraId="148476D4"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2F14DB" w14:textId="77777777" w:rsidR="005C5EC4" w:rsidRDefault="005C5EC4">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3FC24A" w14:textId="77777777" w:rsidR="005C5EC4" w:rsidRDefault="005C5EC4">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00D7B96"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04AE6C9" w14:textId="77777777" w:rsidR="005C5EC4" w:rsidRDefault="005C5EC4">
            <w:pPr>
              <w:jc w:val="right"/>
            </w:pPr>
            <w:r>
              <w:rPr>
                <w:rFonts w:ascii="宋体" w:hAnsi="宋体" w:hint="eastAsia"/>
              </w:rPr>
              <w:t>-</w:t>
            </w:r>
          </w:p>
        </w:tc>
      </w:tr>
      <w:tr w:rsidR="002B4CA3" w14:paraId="2F2270C6"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CF5345" w14:textId="77777777" w:rsidR="005C5EC4" w:rsidRDefault="005C5EC4">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BA5703" w14:textId="77777777" w:rsidR="005C5EC4" w:rsidRDefault="005C5EC4">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BA8B280"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1D4E358" w14:textId="77777777" w:rsidR="005C5EC4" w:rsidRDefault="005C5EC4">
            <w:pPr>
              <w:jc w:val="right"/>
            </w:pPr>
            <w:r>
              <w:rPr>
                <w:rFonts w:ascii="宋体" w:hAnsi="宋体" w:hint="eastAsia"/>
              </w:rPr>
              <w:t>-</w:t>
            </w:r>
          </w:p>
        </w:tc>
      </w:tr>
      <w:tr w:rsidR="002B4CA3" w14:paraId="6D1B4AA9"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D328C" w14:textId="77777777" w:rsidR="005C5EC4" w:rsidRDefault="005C5EC4">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98FDCD" w14:textId="77777777" w:rsidR="005C5EC4" w:rsidRDefault="005C5EC4">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34D6C40" w14:textId="77777777" w:rsidR="005C5EC4" w:rsidRDefault="005C5EC4">
            <w:pPr>
              <w:jc w:val="right"/>
            </w:pPr>
            <w:r>
              <w:rPr>
                <w:rFonts w:ascii="宋体" w:hAnsi="宋体" w:hint="eastAsia"/>
              </w:rPr>
              <w:t>11,340.00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C3EB7BA" w14:textId="77777777" w:rsidR="005C5EC4" w:rsidRDefault="005C5EC4">
            <w:pPr>
              <w:jc w:val="right"/>
            </w:pPr>
            <w:r>
              <w:rPr>
                <w:rFonts w:ascii="宋体" w:hAnsi="宋体" w:hint="eastAsia"/>
              </w:rPr>
              <w:t>0.04</w:t>
            </w:r>
          </w:p>
        </w:tc>
      </w:tr>
      <w:tr w:rsidR="002B4CA3" w14:paraId="245685A1"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0C2B68" w14:textId="77777777" w:rsidR="005C5EC4" w:rsidRDefault="005C5EC4">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EA11EB" w14:textId="77777777" w:rsidR="005C5EC4" w:rsidRDefault="005C5EC4">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ABE35BF"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E209DE7" w14:textId="77777777" w:rsidR="005C5EC4" w:rsidRDefault="005C5EC4">
            <w:pPr>
              <w:jc w:val="right"/>
            </w:pPr>
            <w:r>
              <w:rPr>
                <w:rFonts w:ascii="宋体" w:hAnsi="宋体" w:hint="eastAsia"/>
              </w:rPr>
              <w:t>-</w:t>
            </w:r>
          </w:p>
        </w:tc>
      </w:tr>
      <w:tr w:rsidR="002B4CA3" w14:paraId="2FD29D87"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13BBE" w14:textId="77777777" w:rsidR="005C5EC4" w:rsidRDefault="005C5EC4">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6DC217" w14:textId="77777777" w:rsidR="005C5EC4" w:rsidRDefault="005C5EC4">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EBBAC92"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0D82A10" w14:textId="77777777" w:rsidR="005C5EC4" w:rsidRDefault="005C5EC4">
            <w:pPr>
              <w:jc w:val="right"/>
            </w:pPr>
            <w:r>
              <w:rPr>
                <w:rFonts w:ascii="宋体" w:hAnsi="宋体" w:hint="eastAsia"/>
              </w:rPr>
              <w:t>-</w:t>
            </w:r>
          </w:p>
        </w:tc>
      </w:tr>
      <w:tr w:rsidR="002B4CA3" w14:paraId="7C30B12C"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F2054E" w14:textId="77777777" w:rsidR="005C5EC4" w:rsidRDefault="005C5EC4">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C26332" w14:textId="77777777" w:rsidR="005C5EC4" w:rsidRDefault="005C5EC4">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464312F"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2BF9E82" w14:textId="77777777" w:rsidR="005C5EC4" w:rsidRDefault="005C5EC4">
            <w:pPr>
              <w:jc w:val="right"/>
            </w:pPr>
            <w:r>
              <w:rPr>
                <w:rFonts w:ascii="宋体" w:hAnsi="宋体" w:hint="eastAsia"/>
              </w:rPr>
              <w:t>-</w:t>
            </w:r>
          </w:p>
        </w:tc>
      </w:tr>
      <w:tr w:rsidR="002B4CA3" w14:paraId="368C2A64"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09DDEA" w14:textId="77777777" w:rsidR="005C5EC4" w:rsidRDefault="005C5EC4">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9360CD" w14:textId="77777777" w:rsidR="005C5EC4" w:rsidRDefault="005C5EC4">
            <w:pPr>
              <w:jc w:val="left"/>
            </w:pPr>
            <w:r>
              <w:rPr>
                <w:rFonts w:ascii="宋体" w:hAnsi="宋体" w:hint="eastAsia"/>
              </w:rPr>
              <w:t>水利、环境和公共设施管理业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CF58FFC"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3A18586" w14:textId="77777777" w:rsidR="005C5EC4" w:rsidRDefault="005C5EC4">
            <w:pPr>
              <w:jc w:val="right"/>
            </w:pPr>
            <w:r>
              <w:rPr>
                <w:rFonts w:ascii="宋体" w:hAnsi="宋体" w:hint="eastAsia"/>
              </w:rPr>
              <w:t>-</w:t>
            </w:r>
          </w:p>
        </w:tc>
      </w:tr>
      <w:tr w:rsidR="002B4CA3" w14:paraId="0C98BB98"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A430775" w14:textId="77777777" w:rsidR="005C5EC4" w:rsidRDefault="005C5EC4">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81F822" w14:textId="77777777" w:rsidR="005C5EC4" w:rsidRDefault="005C5EC4">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D190804"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4556F38" w14:textId="77777777" w:rsidR="005C5EC4" w:rsidRDefault="005C5EC4">
            <w:pPr>
              <w:jc w:val="right"/>
            </w:pPr>
            <w:r>
              <w:rPr>
                <w:rFonts w:ascii="宋体" w:hAnsi="宋体" w:hint="eastAsia"/>
              </w:rPr>
              <w:t>-</w:t>
            </w:r>
          </w:p>
        </w:tc>
      </w:tr>
      <w:tr w:rsidR="002B4CA3" w14:paraId="46E3A5EE"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61809F" w14:textId="77777777" w:rsidR="005C5EC4" w:rsidRDefault="005C5EC4">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903BC3" w14:textId="77777777" w:rsidR="005C5EC4" w:rsidRDefault="005C5EC4">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D51862C"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B953A20" w14:textId="77777777" w:rsidR="005C5EC4" w:rsidRDefault="005C5EC4">
            <w:pPr>
              <w:jc w:val="right"/>
            </w:pPr>
            <w:r>
              <w:rPr>
                <w:rFonts w:ascii="宋体" w:hAnsi="宋体" w:hint="eastAsia"/>
              </w:rPr>
              <w:t>-</w:t>
            </w:r>
          </w:p>
        </w:tc>
      </w:tr>
      <w:tr w:rsidR="002B4CA3" w14:paraId="75510A10"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61802B" w14:textId="77777777" w:rsidR="005C5EC4" w:rsidRDefault="005C5EC4">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57EA9E5" w14:textId="77777777" w:rsidR="005C5EC4" w:rsidRDefault="005C5EC4">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748797A"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2691B81" w14:textId="77777777" w:rsidR="005C5EC4" w:rsidRDefault="005C5EC4">
            <w:pPr>
              <w:jc w:val="right"/>
            </w:pPr>
            <w:r>
              <w:rPr>
                <w:rFonts w:ascii="宋体" w:hAnsi="宋体" w:hint="eastAsia"/>
              </w:rPr>
              <w:t>-</w:t>
            </w:r>
          </w:p>
        </w:tc>
      </w:tr>
      <w:tr w:rsidR="002B4CA3" w14:paraId="45347469"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FBFEB9" w14:textId="77777777" w:rsidR="005C5EC4" w:rsidRDefault="005C5EC4">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E67E33D" w14:textId="77777777" w:rsidR="005C5EC4" w:rsidRDefault="005C5EC4">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2856172"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1F8146E" w14:textId="77777777" w:rsidR="005C5EC4" w:rsidRDefault="005C5EC4">
            <w:pPr>
              <w:jc w:val="right"/>
            </w:pPr>
            <w:r>
              <w:rPr>
                <w:rFonts w:ascii="宋体" w:hAnsi="宋体" w:hint="eastAsia"/>
              </w:rPr>
              <w:t>-</w:t>
            </w:r>
          </w:p>
        </w:tc>
      </w:tr>
      <w:tr w:rsidR="002B4CA3" w14:paraId="0702797B"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62BFAF" w14:textId="77777777" w:rsidR="005C5EC4" w:rsidRDefault="005C5EC4">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604064" w14:textId="77777777" w:rsidR="005C5EC4" w:rsidRDefault="005C5EC4">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930F6D" w14:textId="77777777" w:rsidR="005C5EC4" w:rsidRDefault="005C5EC4">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6C38CEF" w14:textId="77777777" w:rsidR="005C5EC4" w:rsidRDefault="005C5EC4">
            <w:pPr>
              <w:jc w:val="right"/>
            </w:pPr>
            <w:r>
              <w:rPr>
                <w:rFonts w:ascii="宋体" w:hAnsi="宋体" w:hint="eastAsia"/>
              </w:rPr>
              <w:t>-</w:t>
            </w:r>
          </w:p>
        </w:tc>
      </w:tr>
      <w:tr w:rsidR="002B4CA3" w14:paraId="20D578DB" w14:textId="77777777">
        <w:trPr>
          <w:divId w:val="1845784260"/>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FB1032" w14:textId="77777777" w:rsidR="005C5EC4" w:rsidRDefault="005C5EC4"/>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A8FD98" w14:textId="77777777" w:rsidR="005C5EC4" w:rsidRDefault="005C5EC4">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415893C" w14:textId="77777777" w:rsidR="005C5EC4" w:rsidRDefault="005C5EC4">
            <w:pPr>
              <w:jc w:val="right"/>
            </w:pPr>
            <w:r>
              <w:rPr>
                <w:rFonts w:ascii="宋体" w:hAnsi="宋体" w:hint="eastAsia"/>
              </w:rPr>
              <w:t>101,448.00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93E948B" w14:textId="77777777" w:rsidR="005C5EC4" w:rsidRDefault="005C5EC4">
            <w:pPr>
              <w:jc w:val="right"/>
            </w:pPr>
            <w:r>
              <w:rPr>
                <w:rFonts w:ascii="宋体" w:hAnsi="宋体" w:hint="eastAsia"/>
              </w:rPr>
              <w:t>0.33</w:t>
            </w:r>
          </w:p>
        </w:tc>
      </w:tr>
    </w:tbl>
    <w:p w14:paraId="388A33AA" w14:textId="77777777" w:rsidR="005C5EC4" w:rsidRDefault="005C5EC4">
      <w:pPr>
        <w:pStyle w:val="XBRLTitle3"/>
        <w:spacing w:before="156"/>
        <w:ind w:left="0"/>
      </w:pPr>
      <w:bookmarkStart w:id="128" w:name="_Toc513386603"/>
      <w:bookmarkStart w:id="129" w:name="_Toc512519500"/>
      <w:bookmarkStart w:id="130" w:name="_Toc490050021"/>
      <w:bookmarkStart w:id="131" w:name="_Toc481075068"/>
      <w:proofErr w:type="spellStart"/>
      <w:r>
        <w:rPr>
          <w:rFonts w:hint="eastAsia"/>
        </w:rPr>
        <w:t>报告期末按行业分类的港股通投资股票投资组合</w:t>
      </w:r>
      <w:bookmarkEnd w:id="128"/>
      <w:bookmarkEnd w:id="129"/>
      <w:bookmarkEnd w:id="130"/>
      <w:bookmarkEnd w:id="131"/>
      <w:proofErr w:type="spellEnd"/>
      <w:r>
        <w:rPr>
          <w:rFonts w:hint="eastAsia"/>
          <w:szCs w:val="24"/>
        </w:rPr>
        <w:t xml:space="preserve"> </w:t>
      </w:r>
    </w:p>
    <w:p w14:paraId="28ECCCE3" w14:textId="77777777" w:rsidR="005C5EC4" w:rsidRDefault="005C5EC4">
      <w:pPr>
        <w:spacing w:line="360" w:lineRule="auto"/>
        <w:ind w:firstLineChars="200" w:firstLine="420"/>
      </w:pPr>
      <w:r>
        <w:rPr>
          <w:rFonts w:ascii="宋体" w:hAnsi="宋体" w:hint="eastAsia"/>
          <w:szCs w:val="21"/>
          <w:lang w:eastAsia="zh-Hans"/>
        </w:rPr>
        <w:t>本基金本报告期末未持有港股通股票　。</w:t>
      </w:r>
    </w:p>
    <w:p w14:paraId="1F7CE8EC" w14:textId="77777777" w:rsidR="005C5EC4" w:rsidRDefault="005C5EC4">
      <w:pPr>
        <w:pStyle w:val="XBRLTitle2"/>
        <w:spacing w:before="156" w:line="360" w:lineRule="auto"/>
        <w:ind w:left="454"/>
      </w:pPr>
      <w:bookmarkStart w:id="132" w:name="_Toc513386604"/>
      <w:bookmarkStart w:id="133" w:name="_Toc481075437"/>
      <w:bookmarkStart w:id="134" w:name="_Toc512605774"/>
      <w:bookmarkStart w:id="135" w:name="_Toc512600998"/>
      <w:bookmarkStart w:id="136" w:name="_Toc512605565"/>
      <w:bookmarkStart w:id="137" w:name="_Toc512609352"/>
      <w:bookmarkStart w:id="138" w:name="_Toc512519502"/>
      <w:bookmarkStart w:id="139" w:name="_Toc490050023"/>
      <w:bookmarkStart w:id="140" w:name="_Toc438646471"/>
      <w:bookmarkStart w:id="141" w:name="_Toc481075070"/>
      <w:bookmarkStart w:id="142" w:name="m505"/>
      <w:proofErr w:type="spellStart"/>
      <w:r>
        <w:rPr>
          <w:rFonts w:hAnsi="宋体" w:hint="eastAsia"/>
        </w:rPr>
        <w:t>期末按公允价值占基金资产净值比例大小排序的股票投资明细</w:t>
      </w:r>
      <w:bookmarkEnd w:id="132"/>
      <w:bookmarkEnd w:id="133"/>
      <w:bookmarkEnd w:id="134"/>
      <w:bookmarkEnd w:id="135"/>
      <w:bookmarkEnd w:id="136"/>
      <w:bookmarkEnd w:id="137"/>
      <w:proofErr w:type="spellEnd"/>
      <w:r>
        <w:rPr>
          <w:rFonts w:hAnsi="宋体" w:hint="eastAsia"/>
        </w:rPr>
        <w:t xml:space="preserve"> </w:t>
      </w:r>
    </w:p>
    <w:p w14:paraId="16007204" w14:textId="77777777" w:rsidR="005C5EC4" w:rsidRDefault="005C5EC4">
      <w:pPr>
        <w:pStyle w:val="XBRLTitle3"/>
        <w:spacing w:before="156"/>
        <w:ind w:left="0"/>
      </w:pPr>
      <w:bookmarkStart w:id="143" w:name="_Toc513386605"/>
      <w:bookmarkStart w:id="144" w:name="m504_tab"/>
      <w:proofErr w:type="spellStart"/>
      <w:r>
        <w:rPr>
          <w:rFonts w:hint="eastAsia"/>
        </w:rPr>
        <w:t>报告期末指数投资按公允价值占基金资产净值比例大小排序的前十名股票投资明细</w:t>
      </w:r>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B4CA3" w14:paraId="11C3BE63" w14:textId="77777777">
        <w:trPr>
          <w:divId w:val="114065559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22B37C" w14:textId="77777777" w:rsidR="005C5EC4" w:rsidRDefault="005C5EC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4C6016" w14:textId="77777777" w:rsidR="005C5EC4" w:rsidRDefault="005C5EC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0EDCC5" w14:textId="77777777" w:rsidR="005C5EC4" w:rsidRDefault="005C5EC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3854EC" w14:textId="77777777" w:rsidR="005C5EC4" w:rsidRDefault="005C5EC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1EB607" w14:textId="77777777" w:rsidR="005C5EC4" w:rsidRDefault="005C5EC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A11A6" w14:textId="77777777" w:rsidR="005C5EC4" w:rsidRDefault="005C5EC4">
            <w:pPr>
              <w:jc w:val="center"/>
            </w:pPr>
            <w:r>
              <w:rPr>
                <w:rFonts w:ascii="宋体" w:hAnsi="宋体" w:hint="eastAsia"/>
                <w:color w:val="000000"/>
              </w:rPr>
              <w:t xml:space="preserve">占基金资产净值比例（%） </w:t>
            </w:r>
          </w:p>
        </w:tc>
      </w:tr>
      <w:tr w:rsidR="002B4CA3" w14:paraId="2FCD822A"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B8E78" w14:textId="77777777" w:rsidR="005C5EC4" w:rsidRDefault="005C5EC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55567" w14:textId="77777777" w:rsidR="005C5EC4" w:rsidRDefault="005C5EC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A3904" w14:textId="77777777" w:rsidR="005C5EC4" w:rsidRDefault="005C5EC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A3E2C" w14:textId="77777777" w:rsidR="005C5EC4" w:rsidRDefault="005C5EC4">
            <w:pPr>
              <w:jc w:val="right"/>
            </w:pPr>
            <w:r>
              <w:rPr>
                <w:rFonts w:ascii="宋体" w:hAnsi="宋体" w:hint="eastAsia"/>
                <w:szCs w:val="24"/>
                <w:lang w:eastAsia="zh-Hans"/>
              </w:rPr>
              <w:t>2,960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FF13B" w14:textId="77777777" w:rsidR="005C5EC4" w:rsidRDefault="005C5EC4">
            <w:pPr>
              <w:jc w:val="right"/>
            </w:pPr>
            <w:r>
              <w:rPr>
                <w:rFonts w:ascii="宋体" w:hAnsi="宋体" w:hint="eastAsia"/>
                <w:szCs w:val="24"/>
                <w:lang w:eastAsia="zh-Hans"/>
              </w:rPr>
              <w:t>1,189,920.00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636B5" w14:textId="77777777" w:rsidR="005C5EC4" w:rsidRDefault="005C5EC4">
            <w:pPr>
              <w:jc w:val="right"/>
            </w:pPr>
            <w:r>
              <w:rPr>
                <w:rFonts w:ascii="宋体" w:hAnsi="宋体" w:hint="eastAsia"/>
                <w:szCs w:val="24"/>
                <w:lang w:eastAsia="zh-Hans"/>
              </w:rPr>
              <w:t>3.84</w:t>
            </w:r>
          </w:p>
        </w:tc>
      </w:tr>
      <w:tr w:rsidR="002B4CA3" w14:paraId="06B60C1C"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758E0" w14:textId="77777777" w:rsidR="005C5EC4" w:rsidRDefault="005C5EC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97E7E" w14:textId="77777777" w:rsidR="005C5EC4" w:rsidRDefault="005C5EC4">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657A7" w14:textId="77777777" w:rsidR="005C5EC4" w:rsidRDefault="005C5EC4">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D7E20" w14:textId="77777777" w:rsidR="005C5EC4" w:rsidRDefault="005C5EC4">
            <w:pPr>
              <w:jc w:val="right"/>
            </w:pPr>
            <w:r>
              <w:rPr>
                <w:rFonts w:ascii="宋体" w:hAnsi="宋体" w:hint="eastAsia"/>
                <w:szCs w:val="24"/>
                <w:lang w:eastAsia="zh-Hans"/>
              </w:rPr>
              <w:t>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C975F" w14:textId="77777777" w:rsidR="005C5EC4" w:rsidRDefault="005C5EC4">
            <w:pPr>
              <w:jc w:val="right"/>
            </w:pPr>
            <w:r>
              <w:rPr>
                <w:rFonts w:ascii="宋体" w:hAnsi="宋体" w:hint="eastAsia"/>
                <w:szCs w:val="24"/>
                <w:lang w:eastAsia="zh-Hans"/>
              </w:rPr>
              <w:t>1,010,793.00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7FA31" w14:textId="77777777" w:rsidR="005C5EC4" w:rsidRDefault="005C5EC4">
            <w:pPr>
              <w:jc w:val="right"/>
            </w:pPr>
            <w:r>
              <w:rPr>
                <w:rFonts w:ascii="宋体" w:hAnsi="宋体" w:hint="eastAsia"/>
                <w:szCs w:val="24"/>
                <w:lang w:eastAsia="zh-Hans"/>
              </w:rPr>
              <w:t>3.26</w:t>
            </w:r>
          </w:p>
        </w:tc>
      </w:tr>
      <w:tr w:rsidR="002B4CA3" w14:paraId="49E96A2B"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B4DA4" w14:textId="77777777" w:rsidR="005C5EC4" w:rsidRDefault="005C5EC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E3A4A" w14:textId="77777777" w:rsidR="005C5EC4" w:rsidRDefault="005C5EC4">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ED4B7" w14:textId="77777777" w:rsidR="005C5EC4" w:rsidRDefault="005C5EC4">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35448" w14:textId="77777777" w:rsidR="005C5EC4" w:rsidRDefault="005C5EC4">
            <w:pPr>
              <w:jc w:val="right"/>
            </w:pPr>
            <w:r>
              <w:rPr>
                <w:rFonts w:ascii="宋体" w:hAnsi="宋体" w:hint="eastAsia"/>
                <w:szCs w:val="24"/>
                <w:lang w:eastAsia="zh-Hans"/>
              </w:rPr>
              <w:t>12,100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54C43" w14:textId="77777777" w:rsidR="005C5EC4" w:rsidRDefault="005C5EC4">
            <w:pPr>
              <w:jc w:val="right"/>
            </w:pPr>
            <w:r>
              <w:rPr>
                <w:rFonts w:ascii="宋体" w:hAnsi="宋体" w:hint="eastAsia"/>
                <w:szCs w:val="24"/>
                <w:lang w:eastAsia="zh-Hans"/>
              </w:rPr>
              <w:t>666,831.00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B74B8" w14:textId="77777777" w:rsidR="005C5EC4" w:rsidRDefault="005C5EC4">
            <w:pPr>
              <w:jc w:val="right"/>
            </w:pPr>
            <w:r>
              <w:rPr>
                <w:rFonts w:ascii="宋体" w:hAnsi="宋体" w:hint="eastAsia"/>
                <w:szCs w:val="24"/>
                <w:lang w:eastAsia="zh-Hans"/>
              </w:rPr>
              <w:t>2.15</w:t>
            </w:r>
          </w:p>
        </w:tc>
      </w:tr>
      <w:tr w:rsidR="002B4CA3" w14:paraId="26C5DA4A"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ADDB9" w14:textId="77777777" w:rsidR="005C5EC4" w:rsidRDefault="005C5EC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8BD7A" w14:textId="77777777" w:rsidR="005C5EC4" w:rsidRDefault="005C5EC4">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9BECD" w14:textId="77777777" w:rsidR="005C5EC4" w:rsidRDefault="005C5EC4">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96AE7" w14:textId="77777777" w:rsidR="005C5EC4" w:rsidRDefault="005C5EC4">
            <w:pPr>
              <w:jc w:val="right"/>
            </w:pPr>
            <w:r>
              <w:rPr>
                <w:rFonts w:ascii="宋体" w:hAnsi="宋体" w:hint="eastAsia"/>
                <w:szCs w:val="24"/>
                <w:lang w:eastAsia="zh-Hans"/>
              </w:rPr>
              <w:t>14,700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7151B" w14:textId="77777777" w:rsidR="005C5EC4" w:rsidRDefault="005C5EC4">
            <w:pPr>
              <w:jc w:val="right"/>
            </w:pPr>
            <w:r>
              <w:rPr>
                <w:rFonts w:ascii="宋体" w:hAnsi="宋体" w:hint="eastAsia"/>
                <w:szCs w:val="24"/>
                <w:lang w:eastAsia="zh-Hans"/>
              </w:rPr>
              <w:t>594,027.00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189F2" w14:textId="77777777" w:rsidR="005C5EC4" w:rsidRDefault="005C5EC4">
            <w:pPr>
              <w:jc w:val="right"/>
            </w:pPr>
            <w:r>
              <w:rPr>
                <w:rFonts w:ascii="宋体" w:hAnsi="宋体" w:hint="eastAsia"/>
                <w:szCs w:val="24"/>
                <w:lang w:eastAsia="zh-Hans"/>
              </w:rPr>
              <w:t>1.92</w:t>
            </w:r>
          </w:p>
        </w:tc>
      </w:tr>
      <w:tr w:rsidR="002B4CA3" w14:paraId="40BA01ED"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40667" w14:textId="77777777" w:rsidR="005C5EC4" w:rsidRDefault="005C5EC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655C4" w14:textId="77777777" w:rsidR="005C5EC4" w:rsidRDefault="005C5EC4">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50A75" w14:textId="77777777" w:rsidR="005C5EC4" w:rsidRDefault="005C5EC4">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F0491" w14:textId="77777777" w:rsidR="005C5EC4" w:rsidRDefault="005C5EC4">
            <w:pPr>
              <w:jc w:val="right"/>
            </w:pPr>
            <w:r>
              <w:rPr>
                <w:rFonts w:ascii="宋体" w:hAnsi="宋体" w:hint="eastAsia"/>
                <w:szCs w:val="24"/>
                <w:lang w:eastAsia="zh-Hans"/>
              </w:rPr>
              <w:t>18,300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F1541" w14:textId="77777777" w:rsidR="005C5EC4" w:rsidRDefault="005C5EC4">
            <w:pPr>
              <w:jc w:val="right"/>
            </w:pPr>
            <w:r>
              <w:rPr>
                <w:rFonts w:ascii="宋体" w:hAnsi="宋体" w:hint="eastAsia"/>
                <w:szCs w:val="24"/>
                <w:lang w:eastAsia="zh-Hans"/>
              </w:rPr>
              <w:t>538,752.00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F2BA5" w14:textId="77777777" w:rsidR="005C5EC4" w:rsidRDefault="005C5EC4">
            <w:pPr>
              <w:jc w:val="right"/>
            </w:pPr>
            <w:r>
              <w:rPr>
                <w:rFonts w:ascii="宋体" w:hAnsi="宋体" w:hint="eastAsia"/>
                <w:szCs w:val="24"/>
                <w:lang w:eastAsia="zh-Hans"/>
              </w:rPr>
              <w:t>1.74</w:t>
            </w:r>
          </w:p>
        </w:tc>
      </w:tr>
      <w:tr w:rsidR="002B4CA3" w14:paraId="5EFB65C3"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8C8A6" w14:textId="77777777" w:rsidR="005C5EC4" w:rsidRDefault="005C5EC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66332" w14:textId="77777777" w:rsidR="005C5EC4" w:rsidRDefault="005C5EC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8354D" w14:textId="77777777" w:rsidR="005C5EC4" w:rsidRDefault="005C5EC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1B764" w14:textId="77777777" w:rsidR="005C5EC4" w:rsidRDefault="005C5EC4">
            <w:pPr>
              <w:jc w:val="right"/>
            </w:pPr>
            <w:r>
              <w:rPr>
                <w:rFonts w:ascii="宋体" w:hAnsi="宋体" w:hint="eastAsia"/>
                <w:szCs w:val="24"/>
                <w:lang w:eastAsia="zh-Hans"/>
              </w:rPr>
              <w:t>1,100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57129" w14:textId="77777777" w:rsidR="005C5EC4" w:rsidRDefault="005C5EC4">
            <w:pPr>
              <w:jc w:val="right"/>
            </w:pPr>
            <w:r>
              <w:rPr>
                <w:rFonts w:ascii="宋体" w:hAnsi="宋体" w:hint="eastAsia"/>
                <w:szCs w:val="24"/>
                <w:lang w:eastAsia="zh-Hans"/>
              </w:rPr>
              <w:t>444,048.00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31939" w14:textId="77777777" w:rsidR="005C5EC4" w:rsidRDefault="005C5EC4">
            <w:pPr>
              <w:jc w:val="right"/>
            </w:pPr>
            <w:r>
              <w:rPr>
                <w:rFonts w:ascii="宋体" w:hAnsi="宋体" w:hint="eastAsia"/>
                <w:szCs w:val="24"/>
                <w:lang w:eastAsia="zh-Hans"/>
              </w:rPr>
              <w:t>1.43</w:t>
            </w:r>
          </w:p>
        </w:tc>
      </w:tr>
      <w:tr w:rsidR="002B4CA3" w14:paraId="0F89DD90"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BE3AC" w14:textId="77777777" w:rsidR="005C5EC4" w:rsidRDefault="005C5EC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A24A9" w14:textId="77777777" w:rsidR="005C5EC4" w:rsidRDefault="005C5EC4">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D45E0" w14:textId="77777777" w:rsidR="005C5EC4" w:rsidRDefault="005C5EC4">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EA474" w14:textId="77777777" w:rsidR="005C5EC4" w:rsidRDefault="005C5EC4">
            <w:pPr>
              <w:jc w:val="right"/>
            </w:pPr>
            <w:r>
              <w:rPr>
                <w:rFonts w:ascii="宋体" w:hAnsi="宋体" w:hint="eastAsia"/>
                <w:szCs w:val="24"/>
                <w:lang w:eastAsia="zh-Hans"/>
              </w:rPr>
              <w:t>1,160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7B634" w14:textId="77777777" w:rsidR="005C5EC4" w:rsidRDefault="005C5EC4">
            <w:pPr>
              <w:jc w:val="right"/>
            </w:pPr>
            <w:r>
              <w:rPr>
                <w:rFonts w:ascii="宋体" w:hAnsi="宋体" w:hint="eastAsia"/>
                <w:szCs w:val="24"/>
                <w:lang w:eastAsia="zh-Hans"/>
              </w:rPr>
              <w:t>424,293.20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5CE59" w14:textId="77777777" w:rsidR="005C5EC4" w:rsidRDefault="005C5EC4">
            <w:pPr>
              <w:jc w:val="right"/>
            </w:pPr>
            <w:r>
              <w:rPr>
                <w:rFonts w:ascii="宋体" w:hAnsi="宋体" w:hint="eastAsia"/>
                <w:szCs w:val="24"/>
                <w:lang w:eastAsia="zh-Hans"/>
              </w:rPr>
              <w:t>1.37</w:t>
            </w:r>
          </w:p>
        </w:tc>
      </w:tr>
      <w:tr w:rsidR="002B4CA3" w14:paraId="7592C719"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59DC0" w14:textId="77777777" w:rsidR="005C5EC4" w:rsidRDefault="005C5EC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1B0AE" w14:textId="77777777" w:rsidR="005C5EC4" w:rsidRDefault="005C5EC4">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3EC90" w14:textId="77777777" w:rsidR="005C5EC4" w:rsidRDefault="005C5EC4">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712C6" w14:textId="77777777" w:rsidR="005C5EC4" w:rsidRDefault="005C5EC4">
            <w:pPr>
              <w:jc w:val="right"/>
            </w:pPr>
            <w:r>
              <w:rPr>
                <w:rFonts w:ascii="宋体" w:hAnsi="宋体" w:hint="eastAsia"/>
                <w:szCs w:val="24"/>
                <w:lang w:eastAsia="zh-Hans"/>
              </w:rPr>
              <w:t>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81431" w14:textId="77777777" w:rsidR="005C5EC4" w:rsidRDefault="005C5EC4">
            <w:pPr>
              <w:jc w:val="right"/>
            </w:pPr>
            <w:r>
              <w:rPr>
                <w:rFonts w:ascii="宋体" w:hAnsi="宋体" w:hint="eastAsia"/>
                <w:szCs w:val="24"/>
                <w:lang w:eastAsia="zh-Hans"/>
              </w:rPr>
              <w:t>399,630.00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B629B" w14:textId="77777777" w:rsidR="005C5EC4" w:rsidRDefault="005C5EC4">
            <w:pPr>
              <w:jc w:val="right"/>
            </w:pPr>
            <w:r>
              <w:rPr>
                <w:rFonts w:ascii="宋体" w:hAnsi="宋体" w:hint="eastAsia"/>
                <w:szCs w:val="24"/>
                <w:lang w:eastAsia="zh-Hans"/>
              </w:rPr>
              <w:t>1.29</w:t>
            </w:r>
          </w:p>
        </w:tc>
      </w:tr>
      <w:tr w:rsidR="002B4CA3" w14:paraId="578062D2"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CEE6A" w14:textId="77777777" w:rsidR="005C5EC4" w:rsidRDefault="005C5EC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31461" w14:textId="77777777" w:rsidR="005C5EC4" w:rsidRDefault="005C5EC4">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185BC" w14:textId="77777777" w:rsidR="005C5EC4" w:rsidRDefault="005C5EC4">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4557E" w14:textId="77777777" w:rsidR="005C5EC4" w:rsidRDefault="005C5EC4">
            <w:pPr>
              <w:jc w:val="right"/>
            </w:pPr>
            <w:r>
              <w:rPr>
                <w:rFonts w:ascii="宋体" w:hAnsi="宋体" w:hint="eastAsia"/>
                <w:szCs w:val="24"/>
                <w:lang w:eastAsia="zh-Hans"/>
              </w:rPr>
              <w:t>19,700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06E3C" w14:textId="77777777" w:rsidR="005C5EC4" w:rsidRDefault="005C5EC4">
            <w:pPr>
              <w:jc w:val="right"/>
            </w:pPr>
            <w:r>
              <w:rPr>
                <w:rFonts w:ascii="宋体" w:hAnsi="宋体" w:hint="eastAsia"/>
                <w:szCs w:val="24"/>
                <w:lang w:eastAsia="zh-Hans"/>
              </w:rPr>
              <w:t>391,045.00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1B4C3" w14:textId="77777777" w:rsidR="005C5EC4" w:rsidRDefault="005C5EC4">
            <w:pPr>
              <w:jc w:val="right"/>
            </w:pPr>
            <w:r>
              <w:rPr>
                <w:rFonts w:ascii="宋体" w:hAnsi="宋体" w:hint="eastAsia"/>
                <w:szCs w:val="24"/>
                <w:lang w:eastAsia="zh-Hans"/>
              </w:rPr>
              <w:t>1.26</w:t>
            </w:r>
          </w:p>
        </w:tc>
      </w:tr>
      <w:tr w:rsidR="002B4CA3" w14:paraId="0A6C6ED8" w14:textId="77777777">
        <w:trPr>
          <w:divId w:val="114065559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C0527" w14:textId="77777777" w:rsidR="005C5EC4" w:rsidRDefault="005C5EC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E9478" w14:textId="77777777" w:rsidR="005C5EC4" w:rsidRDefault="005C5EC4">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27743" w14:textId="77777777" w:rsidR="005C5EC4" w:rsidRDefault="005C5EC4">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643F8" w14:textId="77777777" w:rsidR="005C5EC4" w:rsidRDefault="005C5EC4">
            <w:pPr>
              <w:jc w:val="right"/>
            </w:pPr>
            <w:r>
              <w:rPr>
                <w:rFonts w:ascii="宋体" w:hAnsi="宋体" w:hint="eastAsia"/>
                <w:szCs w:val="24"/>
                <w:lang w:eastAsia="zh-Hans"/>
              </w:rPr>
              <w:t>14,200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A5A09" w14:textId="77777777" w:rsidR="005C5EC4" w:rsidRDefault="005C5EC4">
            <w:pPr>
              <w:jc w:val="right"/>
            </w:pPr>
            <w:r>
              <w:rPr>
                <w:rFonts w:ascii="宋体" w:hAnsi="宋体" w:hint="eastAsia"/>
                <w:szCs w:val="24"/>
                <w:lang w:eastAsia="zh-Hans"/>
              </w:rPr>
              <w:t>386,950.00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CD60B" w14:textId="77777777" w:rsidR="005C5EC4" w:rsidRDefault="005C5EC4">
            <w:pPr>
              <w:jc w:val="right"/>
            </w:pPr>
            <w:r>
              <w:rPr>
                <w:rFonts w:ascii="宋体" w:hAnsi="宋体" w:hint="eastAsia"/>
                <w:szCs w:val="24"/>
                <w:lang w:eastAsia="zh-Hans"/>
              </w:rPr>
              <w:t>1.25</w:t>
            </w:r>
          </w:p>
        </w:tc>
      </w:tr>
    </w:tbl>
    <w:p w14:paraId="7CE4F7E8" w14:textId="77777777" w:rsidR="005C5EC4" w:rsidRDefault="005C5EC4">
      <w:pPr>
        <w:pStyle w:val="XBRLTitle3"/>
        <w:spacing w:before="156"/>
        <w:ind w:left="0"/>
      </w:pPr>
      <w:bookmarkStart w:id="145" w:name="_Toc513386606"/>
      <w:proofErr w:type="spellStart"/>
      <w:r>
        <w:rPr>
          <w:rFonts w:hint="eastAsia"/>
        </w:rPr>
        <w:t>报告期末积极投资按公允价值占基金资产净值比例大小排序的前五名股票投资明细</w:t>
      </w:r>
      <w:bookmarkEnd w:id="145"/>
      <w:bookmarkEnd w:id="14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B4CA3" w14:paraId="4C001C5C" w14:textId="77777777">
        <w:trPr>
          <w:divId w:val="149815666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077C42" w14:textId="77777777" w:rsidR="005C5EC4" w:rsidRDefault="005C5EC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36EF47" w14:textId="77777777" w:rsidR="005C5EC4" w:rsidRDefault="005C5EC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866802" w14:textId="77777777" w:rsidR="005C5EC4" w:rsidRDefault="005C5EC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51003F" w14:textId="77777777" w:rsidR="005C5EC4" w:rsidRDefault="005C5EC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8363D3" w14:textId="77777777" w:rsidR="005C5EC4" w:rsidRDefault="005C5EC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9987EA" w14:textId="77777777" w:rsidR="005C5EC4" w:rsidRDefault="005C5EC4">
            <w:pPr>
              <w:jc w:val="center"/>
            </w:pPr>
            <w:r>
              <w:rPr>
                <w:rFonts w:ascii="宋体" w:hAnsi="宋体" w:hint="eastAsia"/>
                <w:color w:val="000000"/>
              </w:rPr>
              <w:t xml:space="preserve">占基金资产净值比例（%） </w:t>
            </w:r>
          </w:p>
        </w:tc>
      </w:tr>
      <w:tr w:rsidR="002B4CA3" w14:paraId="70DE21B4" w14:textId="77777777">
        <w:trPr>
          <w:divId w:val="14981566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CD51B" w14:textId="77777777" w:rsidR="005C5EC4" w:rsidRDefault="005C5EC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844ED" w14:textId="77777777" w:rsidR="005C5EC4" w:rsidRDefault="005C5EC4">
            <w:pPr>
              <w:jc w:val="center"/>
            </w:pPr>
            <w:r>
              <w:rPr>
                <w:rFonts w:ascii="宋体" w:hAnsi="宋体" w:hint="eastAsia"/>
                <w:szCs w:val="24"/>
                <w:lang w:eastAsia="zh-Hans"/>
              </w:rPr>
              <w:t>002568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902F4" w14:textId="77777777" w:rsidR="005C5EC4" w:rsidRDefault="005C5EC4">
            <w:pPr>
              <w:jc w:val="center"/>
            </w:pPr>
            <w:r>
              <w:rPr>
                <w:rFonts w:ascii="宋体" w:hAnsi="宋体" w:hint="eastAsia"/>
                <w:szCs w:val="24"/>
                <w:lang w:eastAsia="zh-Hans"/>
              </w:rPr>
              <w:t>百润股份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30FB9" w14:textId="77777777" w:rsidR="005C5EC4" w:rsidRDefault="005C5EC4">
            <w:pPr>
              <w:jc w:val="right"/>
            </w:pPr>
            <w:r>
              <w:rPr>
                <w:rFonts w:ascii="宋体" w:hAnsi="宋体" w:hint="eastAsia"/>
                <w:szCs w:val="24"/>
                <w:lang w:eastAsia="zh-Hans"/>
              </w:rPr>
              <w:t>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F182E" w14:textId="77777777" w:rsidR="005C5EC4" w:rsidRDefault="005C5EC4">
            <w:pPr>
              <w:jc w:val="right"/>
            </w:pPr>
            <w:r>
              <w:rPr>
                <w:rFonts w:ascii="宋体" w:hAnsi="宋体" w:hint="eastAsia"/>
                <w:szCs w:val="24"/>
                <w:lang w:eastAsia="zh-Hans"/>
              </w:rPr>
              <w:t>38,670.00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F6CD0" w14:textId="77777777" w:rsidR="005C5EC4" w:rsidRDefault="005C5EC4">
            <w:pPr>
              <w:jc w:val="right"/>
            </w:pPr>
            <w:r>
              <w:rPr>
                <w:rFonts w:ascii="宋体" w:hAnsi="宋体" w:hint="eastAsia"/>
                <w:szCs w:val="24"/>
                <w:lang w:eastAsia="zh-Hans"/>
              </w:rPr>
              <w:t>0.12</w:t>
            </w:r>
          </w:p>
        </w:tc>
      </w:tr>
      <w:tr w:rsidR="002B4CA3" w14:paraId="14A0462F" w14:textId="77777777">
        <w:trPr>
          <w:divId w:val="14981566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FF4CC" w14:textId="77777777" w:rsidR="005C5EC4" w:rsidRDefault="005C5EC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EFA12" w14:textId="77777777" w:rsidR="005C5EC4" w:rsidRDefault="005C5EC4">
            <w:pPr>
              <w:jc w:val="center"/>
            </w:pPr>
            <w:r>
              <w:rPr>
                <w:rFonts w:ascii="宋体" w:hAnsi="宋体" w:hint="eastAsia"/>
                <w:szCs w:val="24"/>
                <w:lang w:eastAsia="zh-Hans"/>
              </w:rPr>
              <w:t>600968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C54B6" w14:textId="77777777" w:rsidR="005C5EC4" w:rsidRDefault="005C5EC4">
            <w:pPr>
              <w:jc w:val="center"/>
            </w:pPr>
            <w:r>
              <w:rPr>
                <w:rFonts w:ascii="宋体" w:hAnsi="宋体" w:hint="eastAsia"/>
                <w:szCs w:val="24"/>
                <w:lang w:eastAsia="zh-Hans"/>
              </w:rPr>
              <w:t>海油发展</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AB198" w14:textId="77777777" w:rsidR="005C5EC4" w:rsidRDefault="005C5EC4">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BE837" w14:textId="77777777" w:rsidR="005C5EC4" w:rsidRDefault="005C5EC4">
            <w:pPr>
              <w:jc w:val="right"/>
            </w:pPr>
            <w:r>
              <w:rPr>
                <w:rFonts w:ascii="宋体" w:hAnsi="宋体" w:hint="eastAsia"/>
                <w:szCs w:val="24"/>
                <w:lang w:eastAsia="zh-Hans"/>
              </w:rPr>
              <w:t>19,200.00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85135" w14:textId="77777777" w:rsidR="005C5EC4" w:rsidRDefault="005C5EC4">
            <w:pPr>
              <w:jc w:val="right"/>
            </w:pPr>
            <w:r>
              <w:rPr>
                <w:rFonts w:ascii="宋体" w:hAnsi="宋体" w:hint="eastAsia"/>
                <w:szCs w:val="24"/>
                <w:lang w:eastAsia="zh-Hans"/>
              </w:rPr>
              <w:t>0.06</w:t>
            </w:r>
          </w:p>
        </w:tc>
      </w:tr>
      <w:tr w:rsidR="002B4CA3" w14:paraId="7AFBED12" w14:textId="77777777">
        <w:trPr>
          <w:divId w:val="14981566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12A27" w14:textId="77777777" w:rsidR="005C5EC4" w:rsidRDefault="005C5EC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AF309" w14:textId="77777777" w:rsidR="005C5EC4" w:rsidRDefault="005C5EC4">
            <w:pPr>
              <w:jc w:val="center"/>
            </w:pPr>
            <w:r>
              <w:rPr>
                <w:rFonts w:ascii="宋体" w:hAnsi="宋体" w:hint="eastAsia"/>
                <w:szCs w:val="24"/>
                <w:lang w:eastAsia="zh-Hans"/>
              </w:rPr>
              <w:t>300483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A6415" w14:textId="77777777" w:rsidR="005C5EC4" w:rsidRDefault="005C5EC4">
            <w:pPr>
              <w:jc w:val="center"/>
            </w:pPr>
            <w:r>
              <w:rPr>
                <w:rFonts w:ascii="宋体" w:hAnsi="宋体" w:hint="eastAsia"/>
                <w:szCs w:val="24"/>
                <w:lang w:eastAsia="zh-Hans"/>
              </w:rPr>
              <w:t>首华燃气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E3BDE" w14:textId="77777777" w:rsidR="005C5EC4" w:rsidRDefault="005C5EC4">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B7D02" w14:textId="77777777" w:rsidR="005C5EC4" w:rsidRDefault="005C5EC4">
            <w:pPr>
              <w:jc w:val="right"/>
            </w:pPr>
            <w:r>
              <w:rPr>
                <w:rFonts w:ascii="宋体" w:hAnsi="宋体" w:hint="eastAsia"/>
                <w:szCs w:val="24"/>
                <w:lang w:eastAsia="zh-Hans"/>
              </w:rPr>
              <w:t>12,760.00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76289" w14:textId="77777777" w:rsidR="005C5EC4" w:rsidRDefault="005C5EC4">
            <w:pPr>
              <w:jc w:val="right"/>
            </w:pPr>
            <w:r>
              <w:rPr>
                <w:rFonts w:ascii="宋体" w:hAnsi="宋体" w:hint="eastAsia"/>
                <w:szCs w:val="24"/>
                <w:lang w:eastAsia="zh-Hans"/>
              </w:rPr>
              <w:t>0.04</w:t>
            </w:r>
          </w:p>
        </w:tc>
      </w:tr>
      <w:tr w:rsidR="002B4CA3" w14:paraId="1B5FEA20" w14:textId="77777777">
        <w:trPr>
          <w:divId w:val="14981566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2BA6F" w14:textId="77777777" w:rsidR="005C5EC4" w:rsidRDefault="005C5EC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70792" w14:textId="77777777" w:rsidR="005C5EC4" w:rsidRDefault="005C5EC4">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A3E4F" w14:textId="77777777" w:rsidR="005C5EC4" w:rsidRDefault="005C5EC4">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54779" w14:textId="77777777" w:rsidR="005C5EC4" w:rsidRDefault="005C5EC4">
            <w:pPr>
              <w:jc w:val="right"/>
            </w:pPr>
            <w:r>
              <w:rPr>
                <w:rFonts w:ascii="宋体" w:hAnsi="宋体" w:hint="eastAsia"/>
                <w:szCs w:val="24"/>
                <w:lang w:eastAsia="zh-Hans"/>
              </w:rPr>
              <w:t>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3C095" w14:textId="77777777" w:rsidR="005C5EC4" w:rsidRDefault="005C5EC4">
            <w:pPr>
              <w:jc w:val="right"/>
            </w:pPr>
            <w:r>
              <w:rPr>
                <w:rFonts w:ascii="宋体" w:hAnsi="宋体" w:hint="eastAsia"/>
                <w:szCs w:val="24"/>
                <w:lang w:eastAsia="zh-Hans"/>
              </w:rPr>
              <w:t>12,700.00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FBC84" w14:textId="77777777" w:rsidR="005C5EC4" w:rsidRDefault="005C5EC4">
            <w:pPr>
              <w:jc w:val="right"/>
            </w:pPr>
            <w:r>
              <w:rPr>
                <w:rFonts w:ascii="宋体" w:hAnsi="宋体" w:hint="eastAsia"/>
                <w:szCs w:val="24"/>
                <w:lang w:eastAsia="zh-Hans"/>
              </w:rPr>
              <w:t>0.04</w:t>
            </w:r>
          </w:p>
        </w:tc>
      </w:tr>
      <w:tr w:rsidR="002B4CA3" w14:paraId="41024AD8" w14:textId="77777777">
        <w:trPr>
          <w:divId w:val="14981566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57CC1" w14:textId="77777777" w:rsidR="005C5EC4" w:rsidRDefault="005C5EC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FDB9E" w14:textId="77777777" w:rsidR="005C5EC4" w:rsidRDefault="005C5EC4">
            <w:pPr>
              <w:jc w:val="center"/>
            </w:pPr>
            <w:r>
              <w:rPr>
                <w:rFonts w:ascii="宋体" w:hAnsi="宋体" w:hint="eastAsia"/>
                <w:szCs w:val="24"/>
                <w:lang w:eastAsia="zh-Hans"/>
              </w:rPr>
              <w:t>600901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91EA1" w14:textId="77777777" w:rsidR="005C5EC4" w:rsidRDefault="005C5EC4">
            <w:pPr>
              <w:jc w:val="center"/>
            </w:pPr>
            <w:r>
              <w:rPr>
                <w:rFonts w:ascii="宋体" w:hAnsi="宋体" w:hint="eastAsia"/>
                <w:szCs w:val="24"/>
                <w:lang w:eastAsia="zh-Hans"/>
              </w:rPr>
              <w:t>江苏金租</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8E56B" w14:textId="77777777" w:rsidR="005C5EC4" w:rsidRDefault="005C5EC4">
            <w:pPr>
              <w:jc w:val="right"/>
            </w:pPr>
            <w:r>
              <w:rPr>
                <w:rFonts w:ascii="宋体" w:hAnsi="宋体" w:hint="eastAsia"/>
                <w:szCs w:val="24"/>
                <w:lang w:eastAsia="zh-Hans"/>
              </w:rPr>
              <w:t>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63F64" w14:textId="77777777" w:rsidR="005C5EC4" w:rsidRDefault="005C5EC4">
            <w:pPr>
              <w:jc w:val="right"/>
            </w:pPr>
            <w:r>
              <w:rPr>
                <w:rFonts w:ascii="宋体" w:hAnsi="宋体" w:hint="eastAsia"/>
                <w:szCs w:val="24"/>
                <w:lang w:eastAsia="zh-Hans"/>
              </w:rPr>
              <w:t>11,340.00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AD38A" w14:textId="77777777" w:rsidR="005C5EC4" w:rsidRDefault="005C5EC4">
            <w:pPr>
              <w:jc w:val="right"/>
            </w:pPr>
            <w:r>
              <w:rPr>
                <w:rFonts w:ascii="宋体" w:hAnsi="宋体" w:hint="eastAsia"/>
                <w:szCs w:val="24"/>
                <w:lang w:eastAsia="zh-Hans"/>
              </w:rPr>
              <w:t>0.04</w:t>
            </w:r>
          </w:p>
        </w:tc>
      </w:tr>
    </w:tbl>
    <w:p w14:paraId="0FFE2819" w14:textId="77777777" w:rsidR="005C5EC4" w:rsidRDefault="005C5EC4">
      <w:pPr>
        <w:pStyle w:val="XBRLTitle2"/>
        <w:spacing w:before="156" w:line="360" w:lineRule="auto"/>
        <w:ind w:left="454"/>
      </w:pPr>
      <w:bookmarkStart w:id="146" w:name="_Toc513386607"/>
      <w:proofErr w:type="spellStart"/>
      <w:r>
        <w:rPr>
          <w:rFonts w:hAnsi="宋体" w:hint="eastAsia"/>
        </w:rPr>
        <w:t>报告期末按债券品种分类的债券投资组合</w:t>
      </w:r>
      <w:bookmarkEnd w:id="146"/>
      <w:bookmarkEnd w:id="138"/>
      <w:bookmarkEnd w:id="139"/>
      <w:bookmarkEnd w:id="140"/>
      <w:bookmarkEnd w:id="141"/>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B4CA3" w14:paraId="411E6B00"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550294" w14:textId="77777777" w:rsidR="005C5EC4" w:rsidRDefault="005C5EC4">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50A3C8" w14:textId="77777777" w:rsidR="005C5EC4" w:rsidRDefault="005C5EC4">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A81C73" w14:textId="77777777" w:rsidR="005C5EC4" w:rsidRDefault="005C5EC4">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585E18" w14:textId="77777777" w:rsidR="005C5EC4" w:rsidRDefault="005C5EC4">
            <w:pPr>
              <w:jc w:val="center"/>
            </w:pPr>
            <w:r>
              <w:rPr>
                <w:rFonts w:ascii="宋体" w:hAnsi="宋体" w:hint="eastAsia"/>
                <w:color w:val="000000"/>
              </w:rPr>
              <w:t xml:space="preserve">占基金资产净值比例（%） </w:t>
            </w:r>
          </w:p>
        </w:tc>
      </w:tr>
      <w:tr w:rsidR="002B4CA3" w14:paraId="2C0B4E47"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FBC640" w14:textId="77777777" w:rsidR="005C5EC4" w:rsidRDefault="005C5EC4">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F16AA1" w14:textId="77777777" w:rsidR="005C5EC4" w:rsidRDefault="005C5EC4">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94731D" w14:textId="77777777" w:rsidR="005C5EC4" w:rsidRDefault="005C5EC4">
            <w:pPr>
              <w:jc w:val="right"/>
            </w:pPr>
            <w:r>
              <w:rPr>
                <w:rFonts w:ascii="宋体" w:hAnsi="宋体" w:hint="eastAsia"/>
                <w:szCs w:val="24"/>
                <w:lang w:eastAsia="zh-Hans"/>
              </w:rPr>
              <w:t>906,608.44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10E419" w14:textId="77777777" w:rsidR="005C5EC4" w:rsidRDefault="005C5EC4">
            <w:pPr>
              <w:jc w:val="right"/>
            </w:pPr>
            <w:r>
              <w:rPr>
                <w:rFonts w:ascii="宋体" w:hAnsi="宋体" w:hint="eastAsia"/>
                <w:szCs w:val="24"/>
                <w:lang w:eastAsia="zh-Hans"/>
              </w:rPr>
              <w:t>2.93</w:t>
            </w:r>
          </w:p>
        </w:tc>
      </w:tr>
      <w:tr w:rsidR="002B4CA3" w14:paraId="50F436C1"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C6C04D" w14:textId="77777777" w:rsidR="005C5EC4" w:rsidRDefault="005C5EC4">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CC20E5" w14:textId="77777777" w:rsidR="005C5EC4" w:rsidRDefault="005C5EC4">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169947"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031973" w14:textId="77777777" w:rsidR="005C5EC4" w:rsidRDefault="005C5EC4">
            <w:pPr>
              <w:jc w:val="right"/>
            </w:pPr>
            <w:r>
              <w:rPr>
                <w:rFonts w:ascii="宋体" w:hAnsi="宋体" w:hint="eastAsia"/>
                <w:szCs w:val="24"/>
                <w:lang w:eastAsia="zh-Hans"/>
              </w:rPr>
              <w:t>-</w:t>
            </w:r>
          </w:p>
        </w:tc>
      </w:tr>
      <w:tr w:rsidR="002B4CA3" w14:paraId="04CDC820"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E56C1F" w14:textId="77777777" w:rsidR="005C5EC4" w:rsidRDefault="005C5EC4">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71AB37" w14:textId="77777777" w:rsidR="005C5EC4" w:rsidRDefault="005C5EC4">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C24189"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58F578" w14:textId="77777777" w:rsidR="005C5EC4" w:rsidRDefault="005C5EC4">
            <w:pPr>
              <w:jc w:val="right"/>
            </w:pPr>
            <w:r>
              <w:rPr>
                <w:rFonts w:ascii="宋体" w:hAnsi="宋体" w:hint="eastAsia"/>
                <w:szCs w:val="24"/>
                <w:lang w:eastAsia="zh-Hans"/>
              </w:rPr>
              <w:t>-</w:t>
            </w:r>
          </w:p>
        </w:tc>
      </w:tr>
      <w:tr w:rsidR="002B4CA3" w14:paraId="638DF281"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832AB2" w14:textId="77777777" w:rsidR="005C5EC4" w:rsidRDefault="005C5EC4">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09DBE8" w14:textId="77777777" w:rsidR="005C5EC4" w:rsidRDefault="005C5EC4">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464D0A"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0658EA" w14:textId="77777777" w:rsidR="005C5EC4" w:rsidRDefault="005C5EC4">
            <w:pPr>
              <w:jc w:val="right"/>
            </w:pPr>
            <w:r>
              <w:rPr>
                <w:rFonts w:ascii="宋体" w:hAnsi="宋体" w:hint="eastAsia"/>
                <w:szCs w:val="24"/>
                <w:lang w:eastAsia="zh-Hans"/>
              </w:rPr>
              <w:t>-</w:t>
            </w:r>
          </w:p>
        </w:tc>
      </w:tr>
      <w:tr w:rsidR="002B4CA3" w14:paraId="1E48F359"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9D3579" w14:textId="77777777" w:rsidR="005C5EC4" w:rsidRDefault="005C5EC4">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195167" w14:textId="77777777" w:rsidR="005C5EC4" w:rsidRDefault="005C5EC4">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754AC37"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5FA4FB" w14:textId="77777777" w:rsidR="005C5EC4" w:rsidRDefault="005C5EC4">
            <w:pPr>
              <w:jc w:val="right"/>
            </w:pPr>
            <w:r>
              <w:rPr>
                <w:rFonts w:ascii="宋体" w:hAnsi="宋体" w:hint="eastAsia"/>
                <w:szCs w:val="24"/>
                <w:lang w:eastAsia="zh-Hans"/>
              </w:rPr>
              <w:t>-</w:t>
            </w:r>
          </w:p>
        </w:tc>
      </w:tr>
      <w:tr w:rsidR="002B4CA3" w14:paraId="1F336504"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AC5FB7" w14:textId="77777777" w:rsidR="005C5EC4" w:rsidRDefault="005C5EC4">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E0ED23" w14:textId="77777777" w:rsidR="005C5EC4" w:rsidRDefault="005C5EC4">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F622B8"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29EBFDE" w14:textId="77777777" w:rsidR="005C5EC4" w:rsidRDefault="005C5EC4">
            <w:pPr>
              <w:jc w:val="right"/>
            </w:pPr>
            <w:r>
              <w:rPr>
                <w:rFonts w:ascii="宋体" w:hAnsi="宋体" w:hint="eastAsia"/>
                <w:szCs w:val="24"/>
                <w:lang w:eastAsia="zh-Hans"/>
              </w:rPr>
              <w:t>-</w:t>
            </w:r>
          </w:p>
        </w:tc>
      </w:tr>
      <w:tr w:rsidR="002B4CA3" w14:paraId="4FD17F87"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B71B3B" w14:textId="77777777" w:rsidR="005C5EC4" w:rsidRDefault="005C5EC4">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89C6992" w14:textId="77777777" w:rsidR="005C5EC4" w:rsidRDefault="005C5EC4">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8AD649"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4B9CF6" w14:textId="77777777" w:rsidR="005C5EC4" w:rsidRDefault="005C5EC4">
            <w:pPr>
              <w:jc w:val="right"/>
            </w:pPr>
            <w:r>
              <w:rPr>
                <w:rFonts w:ascii="宋体" w:hAnsi="宋体" w:hint="eastAsia"/>
                <w:szCs w:val="24"/>
                <w:lang w:eastAsia="zh-Hans"/>
              </w:rPr>
              <w:t>-</w:t>
            </w:r>
          </w:p>
        </w:tc>
      </w:tr>
      <w:tr w:rsidR="002B4CA3" w14:paraId="511A4372"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16490B" w14:textId="77777777" w:rsidR="005C5EC4" w:rsidRDefault="005C5EC4">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FCED28" w14:textId="77777777" w:rsidR="005C5EC4" w:rsidRDefault="005C5EC4">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230049"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CEA199" w14:textId="77777777" w:rsidR="005C5EC4" w:rsidRDefault="005C5EC4">
            <w:pPr>
              <w:jc w:val="right"/>
            </w:pPr>
            <w:r>
              <w:rPr>
                <w:rFonts w:ascii="宋体" w:hAnsi="宋体" w:hint="eastAsia"/>
                <w:szCs w:val="24"/>
                <w:lang w:eastAsia="zh-Hans"/>
              </w:rPr>
              <w:t>-</w:t>
            </w:r>
          </w:p>
        </w:tc>
      </w:tr>
      <w:tr w:rsidR="002B4CA3" w14:paraId="7D261713"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9A5696" w14:textId="77777777" w:rsidR="005C5EC4" w:rsidRDefault="005C5EC4">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F8A117" w14:textId="77777777" w:rsidR="005C5EC4" w:rsidRDefault="005C5EC4">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48DF13"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A2AF25" w14:textId="77777777" w:rsidR="005C5EC4" w:rsidRDefault="005C5EC4">
            <w:pPr>
              <w:jc w:val="right"/>
            </w:pPr>
            <w:r>
              <w:rPr>
                <w:rFonts w:ascii="宋体" w:hAnsi="宋体" w:hint="eastAsia"/>
                <w:szCs w:val="24"/>
                <w:lang w:eastAsia="zh-Hans"/>
              </w:rPr>
              <w:t>-</w:t>
            </w:r>
          </w:p>
        </w:tc>
      </w:tr>
      <w:tr w:rsidR="002B4CA3" w14:paraId="71831925"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501ED3" w14:textId="77777777" w:rsidR="005C5EC4" w:rsidRDefault="005C5EC4">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BB6648" w14:textId="77777777" w:rsidR="005C5EC4" w:rsidRDefault="005C5EC4">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4FCBFF" w14:textId="77777777" w:rsidR="005C5EC4" w:rsidRDefault="005C5E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51C86F" w14:textId="77777777" w:rsidR="005C5EC4" w:rsidRDefault="005C5EC4">
            <w:pPr>
              <w:jc w:val="right"/>
            </w:pPr>
            <w:r>
              <w:rPr>
                <w:rFonts w:ascii="宋体" w:hAnsi="宋体" w:hint="eastAsia"/>
                <w:szCs w:val="24"/>
                <w:lang w:eastAsia="zh-Hans"/>
              </w:rPr>
              <w:t>-</w:t>
            </w:r>
          </w:p>
        </w:tc>
      </w:tr>
      <w:tr w:rsidR="002B4CA3" w14:paraId="71732CD7" w14:textId="77777777">
        <w:trPr>
          <w:divId w:val="18124825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68A3F1" w14:textId="77777777" w:rsidR="005C5EC4" w:rsidRDefault="005C5EC4">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6625FF" w14:textId="77777777" w:rsidR="005C5EC4" w:rsidRDefault="005C5EC4">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CC927C" w14:textId="77777777" w:rsidR="005C5EC4" w:rsidRDefault="005C5EC4">
            <w:pPr>
              <w:jc w:val="right"/>
            </w:pPr>
            <w:r>
              <w:rPr>
                <w:rFonts w:ascii="宋体" w:hAnsi="宋体" w:hint="eastAsia"/>
                <w:szCs w:val="24"/>
                <w:lang w:eastAsia="zh-Hans"/>
              </w:rPr>
              <w:t>906,608.44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1C79A3" w14:textId="77777777" w:rsidR="005C5EC4" w:rsidRDefault="005C5EC4">
            <w:pPr>
              <w:jc w:val="right"/>
            </w:pPr>
            <w:r>
              <w:rPr>
                <w:rFonts w:ascii="宋体" w:hAnsi="宋体" w:hint="eastAsia"/>
                <w:szCs w:val="24"/>
                <w:lang w:eastAsia="zh-Hans"/>
              </w:rPr>
              <w:t>2.93</w:t>
            </w:r>
          </w:p>
        </w:tc>
      </w:tr>
    </w:tbl>
    <w:p w14:paraId="6A8C3102" w14:textId="77777777" w:rsidR="005C5EC4" w:rsidRDefault="005C5EC4">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2"/>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B4CA3" w14:paraId="3E7AC04C" w14:textId="77777777">
        <w:trPr>
          <w:divId w:val="54841679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411223" w14:textId="77777777" w:rsidR="005C5EC4" w:rsidRDefault="005C5EC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619E96" w14:textId="77777777" w:rsidR="005C5EC4" w:rsidRDefault="005C5EC4">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0D9A1D" w14:textId="77777777" w:rsidR="005C5EC4" w:rsidRDefault="005C5EC4">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DE1828" w14:textId="77777777" w:rsidR="005C5EC4" w:rsidRDefault="005C5EC4">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51BDA1" w14:textId="77777777" w:rsidR="005C5EC4" w:rsidRDefault="005C5EC4">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E49025" w14:textId="77777777" w:rsidR="005C5EC4" w:rsidRDefault="005C5EC4">
            <w:pPr>
              <w:jc w:val="center"/>
            </w:pPr>
            <w:r>
              <w:rPr>
                <w:rFonts w:ascii="宋体" w:hAnsi="宋体" w:hint="eastAsia"/>
                <w:color w:val="000000"/>
              </w:rPr>
              <w:t xml:space="preserve">占基金资产净值比例（%） </w:t>
            </w:r>
          </w:p>
        </w:tc>
      </w:tr>
      <w:tr w:rsidR="002B4CA3" w14:paraId="213EE037" w14:textId="77777777">
        <w:trPr>
          <w:divId w:val="5484167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FE9D2" w14:textId="77777777" w:rsidR="005C5EC4" w:rsidRDefault="005C5EC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9D854" w14:textId="77777777" w:rsidR="005C5EC4" w:rsidRDefault="005C5EC4">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D13D1" w14:textId="77777777" w:rsidR="005C5EC4" w:rsidRDefault="005C5EC4">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DF1CC" w14:textId="77777777" w:rsidR="005C5EC4" w:rsidRDefault="005C5EC4">
            <w:pPr>
              <w:jc w:val="right"/>
            </w:pPr>
            <w:r>
              <w:rPr>
                <w:rFonts w:ascii="宋体" w:hAnsi="宋体" w:hint="eastAsia"/>
                <w:szCs w:val="24"/>
                <w:lang w:eastAsia="zh-Hans"/>
              </w:rPr>
              <w:t>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1F3C7" w14:textId="77777777" w:rsidR="005C5EC4" w:rsidRDefault="005C5EC4">
            <w:pPr>
              <w:jc w:val="right"/>
            </w:pPr>
            <w:r>
              <w:rPr>
                <w:rFonts w:ascii="宋体" w:hAnsi="宋体" w:hint="eastAsia"/>
                <w:szCs w:val="24"/>
                <w:lang w:eastAsia="zh-Hans"/>
              </w:rPr>
              <w:t>301,902.99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1FCE0" w14:textId="77777777" w:rsidR="005C5EC4" w:rsidRDefault="005C5EC4">
            <w:pPr>
              <w:jc w:val="right"/>
            </w:pPr>
            <w:r>
              <w:rPr>
                <w:rFonts w:ascii="宋体" w:hAnsi="宋体" w:hint="eastAsia"/>
                <w:szCs w:val="24"/>
                <w:lang w:eastAsia="zh-Hans"/>
              </w:rPr>
              <w:t>0.97</w:t>
            </w:r>
          </w:p>
        </w:tc>
      </w:tr>
      <w:tr w:rsidR="002B4CA3" w14:paraId="69180E86" w14:textId="77777777">
        <w:trPr>
          <w:divId w:val="5484167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C525C" w14:textId="77777777" w:rsidR="005C5EC4" w:rsidRDefault="005C5EC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045A0" w14:textId="77777777" w:rsidR="005C5EC4" w:rsidRDefault="005C5EC4">
            <w:pPr>
              <w:jc w:val="center"/>
            </w:pPr>
            <w:r>
              <w:rPr>
                <w:rFonts w:ascii="宋体" w:hAnsi="宋体" w:hint="eastAsia"/>
                <w:szCs w:val="24"/>
                <w:lang w:eastAsia="zh-Hans"/>
              </w:rPr>
              <w:t>019785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BD96E" w14:textId="77777777" w:rsidR="005C5EC4" w:rsidRDefault="005C5EC4">
            <w:pPr>
              <w:jc w:val="center"/>
            </w:pPr>
            <w:r>
              <w:rPr>
                <w:rFonts w:ascii="宋体" w:hAnsi="宋体" w:hint="eastAsia"/>
                <w:szCs w:val="24"/>
                <w:lang w:eastAsia="zh-Hans"/>
              </w:rPr>
              <w:t>25国债13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0FD51" w14:textId="77777777" w:rsidR="005C5EC4" w:rsidRDefault="005C5EC4">
            <w:pPr>
              <w:jc w:val="right"/>
            </w:pPr>
            <w:r>
              <w:rPr>
                <w:rFonts w:ascii="宋体" w:hAnsi="宋体" w:hint="eastAsia"/>
                <w:szCs w:val="24"/>
                <w:lang w:eastAsia="zh-Hans"/>
              </w:rPr>
              <w:t>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2FAA6" w14:textId="77777777" w:rsidR="005C5EC4" w:rsidRDefault="005C5EC4">
            <w:pPr>
              <w:jc w:val="right"/>
            </w:pPr>
            <w:r>
              <w:rPr>
                <w:rFonts w:ascii="宋体" w:hAnsi="宋体" w:hint="eastAsia"/>
                <w:szCs w:val="24"/>
                <w:lang w:eastAsia="zh-Hans"/>
              </w:rPr>
              <w:t>300,593.34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66D33" w14:textId="77777777" w:rsidR="005C5EC4" w:rsidRDefault="005C5EC4">
            <w:pPr>
              <w:jc w:val="right"/>
            </w:pPr>
            <w:r>
              <w:rPr>
                <w:rFonts w:ascii="宋体" w:hAnsi="宋体" w:hint="eastAsia"/>
                <w:szCs w:val="24"/>
                <w:lang w:eastAsia="zh-Hans"/>
              </w:rPr>
              <w:t>0.97</w:t>
            </w:r>
          </w:p>
        </w:tc>
      </w:tr>
      <w:tr w:rsidR="002B4CA3" w14:paraId="0BE66532" w14:textId="77777777">
        <w:trPr>
          <w:divId w:val="5484167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21214" w14:textId="77777777" w:rsidR="005C5EC4" w:rsidRDefault="005C5EC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C7C95" w14:textId="77777777" w:rsidR="005C5EC4" w:rsidRDefault="005C5EC4">
            <w:pPr>
              <w:jc w:val="center"/>
            </w:pPr>
            <w:r>
              <w:rPr>
                <w:rFonts w:ascii="宋体" w:hAnsi="宋体" w:hint="eastAsia"/>
                <w:szCs w:val="24"/>
                <w:lang w:eastAsia="zh-Hans"/>
              </w:rPr>
              <w:t>019691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42882" w14:textId="77777777" w:rsidR="005C5EC4" w:rsidRDefault="005C5EC4">
            <w:pPr>
              <w:jc w:val="center"/>
            </w:pPr>
            <w:r>
              <w:rPr>
                <w:rFonts w:ascii="宋体" w:hAnsi="宋体" w:hint="eastAsia"/>
                <w:szCs w:val="24"/>
                <w:lang w:eastAsia="zh-Hans"/>
              </w:rPr>
              <w:t>22国债26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2EEE5" w14:textId="77777777" w:rsidR="005C5EC4" w:rsidRDefault="005C5EC4">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3C812" w14:textId="77777777" w:rsidR="005C5EC4" w:rsidRDefault="005C5EC4">
            <w:pPr>
              <w:jc w:val="right"/>
            </w:pPr>
            <w:r>
              <w:rPr>
                <w:rFonts w:ascii="宋体" w:hAnsi="宋体" w:hint="eastAsia"/>
                <w:szCs w:val="24"/>
                <w:lang w:eastAsia="zh-Hans"/>
              </w:rPr>
              <w:t>102,096.44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F1E33" w14:textId="77777777" w:rsidR="005C5EC4" w:rsidRDefault="005C5EC4">
            <w:pPr>
              <w:jc w:val="right"/>
            </w:pPr>
            <w:r>
              <w:rPr>
                <w:rFonts w:ascii="宋体" w:hAnsi="宋体" w:hint="eastAsia"/>
                <w:szCs w:val="24"/>
                <w:lang w:eastAsia="zh-Hans"/>
              </w:rPr>
              <w:t>0.33</w:t>
            </w:r>
          </w:p>
        </w:tc>
      </w:tr>
      <w:tr w:rsidR="002B4CA3" w14:paraId="637BD945" w14:textId="77777777">
        <w:trPr>
          <w:divId w:val="5484167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4DA66" w14:textId="77777777" w:rsidR="005C5EC4" w:rsidRDefault="005C5EC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B4D7A" w14:textId="77777777" w:rsidR="005C5EC4" w:rsidRDefault="005C5EC4">
            <w:pPr>
              <w:jc w:val="center"/>
            </w:pPr>
            <w:r>
              <w:rPr>
                <w:rFonts w:ascii="宋体" w:hAnsi="宋体" w:hint="eastAsia"/>
                <w:szCs w:val="24"/>
                <w:lang w:eastAsia="zh-Hans"/>
              </w:rPr>
              <w:t>019758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813AA" w14:textId="77777777" w:rsidR="005C5EC4" w:rsidRDefault="005C5EC4">
            <w:pPr>
              <w:jc w:val="center"/>
            </w:pPr>
            <w:r>
              <w:rPr>
                <w:rFonts w:ascii="宋体" w:hAnsi="宋体" w:hint="eastAsia"/>
                <w:szCs w:val="24"/>
                <w:lang w:eastAsia="zh-Hans"/>
              </w:rPr>
              <w:t>24国债21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7527F" w14:textId="77777777" w:rsidR="005C5EC4" w:rsidRDefault="005C5EC4">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4C800" w14:textId="77777777" w:rsidR="005C5EC4" w:rsidRDefault="005C5EC4">
            <w:pPr>
              <w:jc w:val="right"/>
            </w:pPr>
            <w:r>
              <w:rPr>
                <w:rFonts w:ascii="宋体" w:hAnsi="宋体" w:hint="eastAsia"/>
                <w:szCs w:val="24"/>
                <w:lang w:eastAsia="zh-Hans"/>
              </w:rPr>
              <w:t>101,242.55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9771F" w14:textId="77777777" w:rsidR="005C5EC4" w:rsidRDefault="005C5EC4">
            <w:pPr>
              <w:jc w:val="right"/>
            </w:pPr>
            <w:r>
              <w:rPr>
                <w:rFonts w:ascii="宋体" w:hAnsi="宋体" w:hint="eastAsia"/>
                <w:szCs w:val="24"/>
                <w:lang w:eastAsia="zh-Hans"/>
              </w:rPr>
              <w:t>0.33</w:t>
            </w:r>
          </w:p>
        </w:tc>
      </w:tr>
      <w:tr w:rsidR="002B4CA3" w14:paraId="61FD778C" w14:textId="77777777">
        <w:trPr>
          <w:divId w:val="54841679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B1352" w14:textId="77777777" w:rsidR="005C5EC4" w:rsidRDefault="005C5EC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0EFCD" w14:textId="77777777" w:rsidR="005C5EC4" w:rsidRDefault="005C5EC4">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C8275" w14:textId="77777777" w:rsidR="005C5EC4" w:rsidRDefault="005C5EC4">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5AD6E" w14:textId="77777777" w:rsidR="005C5EC4" w:rsidRDefault="005C5EC4">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B1028" w14:textId="77777777" w:rsidR="005C5EC4" w:rsidRDefault="005C5EC4">
            <w:pPr>
              <w:jc w:val="right"/>
            </w:pPr>
            <w:r>
              <w:rPr>
                <w:rFonts w:ascii="宋体" w:hAnsi="宋体" w:hint="eastAsia"/>
                <w:szCs w:val="24"/>
                <w:lang w:eastAsia="zh-Hans"/>
              </w:rPr>
              <w:t>100,773.12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7950A" w14:textId="77777777" w:rsidR="005C5EC4" w:rsidRDefault="005C5EC4">
            <w:pPr>
              <w:jc w:val="right"/>
            </w:pPr>
            <w:r>
              <w:rPr>
                <w:rFonts w:ascii="宋体" w:hAnsi="宋体" w:hint="eastAsia"/>
                <w:szCs w:val="24"/>
                <w:lang w:eastAsia="zh-Hans"/>
              </w:rPr>
              <w:t>0.33</w:t>
            </w:r>
          </w:p>
        </w:tc>
      </w:tr>
    </w:tbl>
    <w:p w14:paraId="53E02AAC" w14:textId="77777777" w:rsidR="005C5EC4" w:rsidRDefault="005C5EC4">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59D1E924" w14:textId="77777777" w:rsidR="005C5EC4" w:rsidRDefault="005C5EC4">
      <w:pPr>
        <w:spacing w:line="360" w:lineRule="auto"/>
        <w:ind w:firstLineChars="200" w:firstLine="420"/>
        <w:jc w:val="left"/>
        <w:divId w:val="873931405"/>
      </w:pPr>
      <w:r>
        <w:rPr>
          <w:rFonts w:ascii="宋体" w:hAnsi="宋体" w:hint="eastAsia"/>
          <w:color w:val="000000"/>
          <w:szCs w:val="21"/>
          <w:lang w:eastAsia="zh-Hans"/>
        </w:rPr>
        <w:t>本基金本报告期末未持有资产支持证券。</w:t>
      </w:r>
    </w:p>
    <w:p w14:paraId="64E9F00E" w14:textId="77777777" w:rsidR="005C5EC4" w:rsidRDefault="005C5EC4">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7DAB2B17" w14:textId="77777777" w:rsidR="005C5EC4" w:rsidRDefault="005C5EC4">
      <w:pPr>
        <w:spacing w:line="360" w:lineRule="auto"/>
        <w:ind w:firstLineChars="200" w:firstLine="420"/>
      </w:pPr>
      <w:r>
        <w:rPr>
          <w:rFonts w:ascii="宋体" w:hAnsi="宋体" w:hint="eastAsia"/>
          <w:szCs w:val="21"/>
          <w:lang w:eastAsia="zh-Hans"/>
        </w:rPr>
        <w:t>本基金本报告期末未持有贵金属。</w:t>
      </w:r>
    </w:p>
    <w:p w14:paraId="2AA101AD" w14:textId="77777777" w:rsidR="005C5EC4" w:rsidRDefault="005C5EC4">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7DCA081C" w14:textId="77777777" w:rsidR="005C5EC4" w:rsidRDefault="005C5EC4">
      <w:pPr>
        <w:spacing w:line="360" w:lineRule="auto"/>
        <w:ind w:firstLineChars="200" w:firstLine="420"/>
      </w:pPr>
      <w:r>
        <w:rPr>
          <w:rFonts w:ascii="宋体" w:hAnsi="宋体" w:hint="eastAsia"/>
          <w:szCs w:val="21"/>
          <w:lang w:eastAsia="zh-Hans"/>
        </w:rPr>
        <w:t>本基金本报告期末未持有权证。</w:t>
      </w:r>
    </w:p>
    <w:p w14:paraId="4AA61833" w14:textId="77777777" w:rsidR="005C5EC4" w:rsidRDefault="005C5EC4">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p>
    <w:p w14:paraId="60FB4A72" w14:textId="77777777" w:rsidR="005C5EC4" w:rsidRDefault="005C5EC4">
      <w:pPr>
        <w:pStyle w:val="XBRLTitle3"/>
        <w:spacing w:before="156"/>
        <w:ind w:left="0"/>
      </w:pPr>
      <w:bookmarkStart w:id="175" w:name="_Toc513386613"/>
      <w:bookmarkStart w:id="176" w:name="_Toc512519508"/>
      <w:bookmarkStart w:id="177" w:name="_Toc490050029"/>
      <w:bookmarkStart w:id="178" w:name="_Toc481075076"/>
      <w:proofErr w:type="spellStart"/>
      <w:r>
        <w:rPr>
          <w:rFonts w:hint="eastAsia"/>
        </w:rPr>
        <w:t>报告期末本基金投资的股指期货持仓和损益明细</w:t>
      </w:r>
      <w:bookmarkEnd w:id="175"/>
      <w:bookmarkEnd w:id="176"/>
      <w:bookmarkEnd w:id="177"/>
      <w:bookmarkEnd w:id="178"/>
      <w:bookmarkEnd w:id="17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090"/>
        <w:gridCol w:w="1504"/>
        <w:gridCol w:w="1504"/>
        <w:gridCol w:w="1650"/>
        <w:gridCol w:w="2059"/>
      </w:tblGrid>
      <w:tr w:rsidR="002B4CA3" w14:paraId="25BBAC83" w14:textId="77777777">
        <w:trPr>
          <w:divId w:val="113257975"/>
          <w:trHeight w:val="315"/>
        </w:trPr>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63E32A" w14:textId="77777777" w:rsidR="005C5EC4" w:rsidRDefault="005C5EC4">
            <w:pPr>
              <w:jc w:val="center"/>
            </w:pPr>
            <w:r>
              <w:rPr>
                <w:rFonts w:ascii="宋体" w:hAnsi="宋体" w:hint="eastAsia"/>
              </w:rPr>
              <w:t xml:space="preserve">代码 </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0E7D60" w14:textId="77777777" w:rsidR="005C5EC4" w:rsidRDefault="005C5EC4">
            <w:pPr>
              <w:jc w:val="center"/>
            </w:pPr>
            <w:r>
              <w:rPr>
                <w:rFonts w:ascii="宋体" w:hAnsi="宋体" w:hint="eastAsia"/>
              </w:rPr>
              <w:t xml:space="preserve">名称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ECB1C7" w14:textId="77777777" w:rsidR="005C5EC4" w:rsidRDefault="005C5EC4">
            <w:pPr>
              <w:jc w:val="center"/>
            </w:pPr>
            <w:r>
              <w:rPr>
                <w:rFonts w:ascii="宋体" w:hAnsi="宋体" w:hint="eastAsia"/>
              </w:rPr>
              <w:t xml:space="preserve">持仓量（买/卖）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6CFA55" w14:textId="77777777" w:rsidR="005C5EC4" w:rsidRDefault="005C5EC4">
            <w:pPr>
              <w:jc w:val="center"/>
            </w:pPr>
            <w:r>
              <w:rPr>
                <w:rFonts w:ascii="宋体" w:hAnsi="宋体" w:hint="eastAsia"/>
              </w:rPr>
              <w:t xml:space="preserve">合约市值(元) </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CC5CF4" w14:textId="77777777" w:rsidR="005C5EC4" w:rsidRDefault="005C5EC4">
            <w:pPr>
              <w:jc w:val="center"/>
            </w:pPr>
            <w:r>
              <w:rPr>
                <w:rFonts w:ascii="宋体" w:hAnsi="宋体" w:hint="eastAsia"/>
              </w:rPr>
              <w:t xml:space="preserve">公允价值变动（元） </w:t>
            </w:r>
          </w:p>
        </w:tc>
        <w:tc>
          <w:tcPr>
            <w:tcW w:w="11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16E0D2" w14:textId="77777777" w:rsidR="005C5EC4" w:rsidRDefault="005C5EC4">
            <w:pPr>
              <w:jc w:val="center"/>
            </w:pPr>
            <w:r>
              <w:rPr>
                <w:rFonts w:ascii="宋体" w:hAnsi="宋体" w:hint="eastAsia"/>
              </w:rPr>
              <w:t xml:space="preserve">风险说明 </w:t>
            </w:r>
          </w:p>
        </w:tc>
      </w:tr>
      <w:tr w:rsidR="002B4CA3" w14:paraId="3A392FC0" w14:textId="77777777">
        <w:trPr>
          <w:divId w:val="113257975"/>
          <w:trHeight w:val="285"/>
        </w:trPr>
        <w:tc>
          <w:tcPr>
            <w:tcW w:w="5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D5D75C" w14:textId="77777777" w:rsidR="005C5EC4" w:rsidRDefault="005C5EC4">
            <w:pPr>
              <w:jc w:val="center"/>
            </w:pPr>
            <w:r>
              <w:rPr>
                <w:rFonts w:ascii="宋体" w:hAnsi="宋体" w:hint="eastAsia"/>
              </w:rPr>
              <w:t>IF2510</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B3BFFC" w14:textId="77777777" w:rsidR="005C5EC4" w:rsidRDefault="005C5EC4">
            <w:pPr>
              <w:jc w:val="center"/>
            </w:pPr>
            <w:r>
              <w:rPr>
                <w:rFonts w:ascii="宋体" w:hAnsi="宋体" w:hint="eastAsia"/>
              </w:rPr>
              <w:t>IF2510</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D8FF0A" w14:textId="77777777" w:rsidR="005C5EC4" w:rsidRDefault="005C5EC4">
            <w:pPr>
              <w:jc w:val="right"/>
            </w:pPr>
            <w:r>
              <w:rPr>
                <w:rFonts w:ascii="宋体" w:hAnsi="宋体" w:hint="eastAsia"/>
              </w:rPr>
              <w:t>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BCE9F6" w14:textId="77777777" w:rsidR="005C5EC4" w:rsidRDefault="005C5EC4">
            <w:pPr>
              <w:jc w:val="right"/>
            </w:pPr>
            <w:r>
              <w:rPr>
                <w:rFonts w:ascii="宋体" w:hAnsi="宋体" w:hint="eastAsia"/>
              </w:rPr>
              <w:t>1,391,160.00</w:t>
            </w:r>
          </w:p>
        </w:tc>
        <w:tc>
          <w:tcPr>
            <w:tcW w:w="9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0687F92" w14:textId="77777777" w:rsidR="005C5EC4" w:rsidRDefault="005C5EC4">
            <w:pPr>
              <w:jc w:val="right"/>
            </w:pPr>
            <w:r>
              <w:rPr>
                <w:rFonts w:ascii="宋体" w:hAnsi="宋体" w:hint="eastAsia"/>
              </w:rPr>
              <w:t>42,120.00</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3F2F1F6" w14:textId="77777777" w:rsidR="005C5EC4" w:rsidRDefault="005C5EC4">
            <w:pPr>
              <w:jc w:val="center"/>
            </w:pPr>
            <w:r>
              <w:rPr>
                <w:rFonts w:ascii="宋体" w:hAnsi="宋体" w:hint="eastAsia"/>
              </w:rPr>
              <w:t>-</w:t>
            </w:r>
          </w:p>
        </w:tc>
      </w:tr>
      <w:tr w:rsidR="002B4CA3" w14:paraId="65E27147" w14:textId="77777777">
        <w:trPr>
          <w:divId w:val="113257975"/>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E9BA3B" w14:textId="77777777" w:rsidR="005C5EC4" w:rsidRDefault="005C5EC4">
            <w:pPr>
              <w:jc w:val="left"/>
            </w:pPr>
            <w:r>
              <w:rPr>
                <w:rFonts w:ascii="宋体" w:hAnsi="宋体" w:hint="eastAsia"/>
              </w:rPr>
              <w:t xml:space="preserve">公允价值变动总额合计（元）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9A4F56" w14:textId="77777777" w:rsidR="005C5EC4" w:rsidRDefault="005C5EC4">
            <w:pPr>
              <w:snapToGrid w:val="0"/>
              <w:jc w:val="right"/>
            </w:pPr>
            <w:r>
              <w:rPr>
                <w:rFonts w:ascii="宋体" w:hAnsi="宋体" w:hint="eastAsia"/>
              </w:rPr>
              <w:t>42,120.00</w:t>
            </w:r>
          </w:p>
        </w:tc>
      </w:tr>
      <w:tr w:rsidR="002B4CA3" w14:paraId="4D3DD741" w14:textId="77777777">
        <w:trPr>
          <w:divId w:val="113257975"/>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20A53B" w14:textId="77777777" w:rsidR="005C5EC4" w:rsidRDefault="005C5EC4">
            <w:pPr>
              <w:jc w:val="left"/>
            </w:pPr>
            <w:r>
              <w:rPr>
                <w:rFonts w:ascii="宋体" w:hAnsi="宋体" w:hint="eastAsia"/>
              </w:rPr>
              <w:t xml:space="preserve">股指期货投资本期收益（元）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6FAC9C" w14:textId="77777777" w:rsidR="005C5EC4" w:rsidRDefault="005C5EC4">
            <w:pPr>
              <w:snapToGrid w:val="0"/>
              <w:jc w:val="right"/>
            </w:pPr>
            <w:r>
              <w:rPr>
                <w:rFonts w:ascii="宋体" w:hAnsi="宋体" w:hint="eastAsia"/>
              </w:rPr>
              <w:t>23,200.42</w:t>
            </w:r>
          </w:p>
        </w:tc>
      </w:tr>
      <w:tr w:rsidR="002B4CA3" w14:paraId="42360CC5" w14:textId="77777777">
        <w:trPr>
          <w:divId w:val="113257975"/>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77B8BF" w14:textId="77777777" w:rsidR="005C5EC4" w:rsidRDefault="005C5EC4">
            <w:pPr>
              <w:jc w:val="left"/>
            </w:pPr>
            <w:r>
              <w:rPr>
                <w:rFonts w:ascii="宋体" w:hAnsi="宋体" w:hint="eastAsia"/>
              </w:rPr>
              <w:t xml:space="preserve">股指期货投资本期公允价值变动（元）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3F752F4" w14:textId="77777777" w:rsidR="005C5EC4" w:rsidRDefault="005C5EC4">
            <w:pPr>
              <w:snapToGrid w:val="0"/>
              <w:jc w:val="right"/>
            </w:pPr>
            <w:r>
              <w:rPr>
                <w:rFonts w:ascii="宋体" w:hAnsi="宋体" w:hint="eastAsia"/>
              </w:rPr>
              <w:t>42,120.00</w:t>
            </w:r>
          </w:p>
        </w:tc>
      </w:tr>
    </w:tbl>
    <w:p w14:paraId="2E94A8E6" w14:textId="77777777" w:rsidR="005C5EC4" w:rsidRDefault="005C5EC4">
      <w:pPr>
        <w:pStyle w:val="XBRLTitle3"/>
        <w:spacing w:before="156"/>
        <w:ind w:left="0"/>
      </w:pPr>
      <w:bookmarkStart w:id="179" w:name="_Toc513386614"/>
      <w:bookmarkStart w:id="180" w:name="_Toc490050030"/>
      <w:bookmarkStart w:id="181" w:name="_Toc481075077"/>
      <w:bookmarkStart w:id="182" w:name="_Toc512519509"/>
      <w:bookmarkStart w:id="183" w:name="_Toc438646476"/>
      <w:proofErr w:type="spellStart"/>
      <w:r>
        <w:rPr>
          <w:rFonts w:hint="eastAsia"/>
        </w:rPr>
        <w:t>本基金投资股指期货的投资政策</w:t>
      </w:r>
      <w:bookmarkEnd w:id="179"/>
      <w:bookmarkEnd w:id="180"/>
      <w:bookmarkEnd w:id="181"/>
      <w:bookmarkEnd w:id="182"/>
      <w:proofErr w:type="spellEnd"/>
    </w:p>
    <w:p w14:paraId="18205666" w14:textId="77777777" w:rsidR="005C5EC4" w:rsidRDefault="005C5EC4">
      <w:pPr>
        <w:spacing w:line="360" w:lineRule="auto"/>
        <w:ind w:firstLineChars="200" w:firstLine="420"/>
      </w:pPr>
      <w:r>
        <w:rPr>
          <w:rFonts w:ascii="宋体" w:hAnsi="宋体" w:hint="eastAsia"/>
        </w:rPr>
        <w:t>本报告期内，基金投资股指期货的目的是为了提升基金的流动性水平，以及在期货贴水时作为现货的替代。</w:t>
      </w:r>
    </w:p>
    <w:p w14:paraId="2B9F4E8A" w14:textId="77777777" w:rsidR="005C5EC4" w:rsidRDefault="005C5EC4">
      <w:pPr>
        <w:pStyle w:val="XBRLTitle2"/>
        <w:spacing w:before="156" w:line="360" w:lineRule="auto"/>
        <w:ind w:left="454"/>
      </w:pPr>
      <w:bookmarkStart w:id="184" w:name="_Toc513386615"/>
      <w:bookmarkStart w:id="185" w:name="_Toc490050031"/>
      <w:bookmarkStart w:id="186" w:name="_Toc481075078"/>
      <w:bookmarkStart w:id="187" w:name="_Toc512519510"/>
      <w:proofErr w:type="spellStart"/>
      <w:r>
        <w:rPr>
          <w:rFonts w:hAnsi="宋体" w:hint="eastAsia"/>
        </w:rPr>
        <w:t>报告期末本基金投资的国债期货交易情况说明</w:t>
      </w:r>
      <w:bookmarkEnd w:id="184"/>
      <w:bookmarkEnd w:id="185"/>
      <w:bookmarkEnd w:id="186"/>
      <w:bookmarkEnd w:id="187"/>
      <w:bookmarkEnd w:id="183"/>
      <w:proofErr w:type="spellEnd"/>
      <w:r>
        <w:rPr>
          <w:rFonts w:hAnsi="宋体" w:hint="eastAsia"/>
        </w:rPr>
        <w:t xml:space="preserve"> </w:t>
      </w:r>
    </w:p>
    <w:p w14:paraId="1994C28D" w14:textId="77777777" w:rsidR="005C5EC4" w:rsidRDefault="005C5EC4">
      <w:pPr>
        <w:spacing w:line="360" w:lineRule="auto"/>
        <w:ind w:firstLineChars="200" w:firstLine="420"/>
      </w:pPr>
      <w:bookmarkStart w:id="188" w:name="m510_01_1597"/>
      <w:bookmarkStart w:id="189" w:name="m510_01_1598"/>
      <w:bookmarkEnd w:id="188"/>
      <w:r>
        <w:rPr>
          <w:rFonts w:ascii="宋体" w:hAnsi="宋体" w:hint="eastAsia"/>
          <w:szCs w:val="21"/>
          <w:lang w:eastAsia="zh-Hans"/>
        </w:rPr>
        <w:t>本基金本报告期末未持有国债期货。</w:t>
      </w:r>
    </w:p>
    <w:p w14:paraId="7AF85A75" w14:textId="77777777" w:rsidR="005C5EC4" w:rsidRDefault="005C5EC4">
      <w:pPr>
        <w:pStyle w:val="XBRLTitle2"/>
        <w:spacing w:before="156" w:line="360" w:lineRule="auto"/>
        <w:ind w:left="454"/>
      </w:pPr>
      <w:bookmarkStart w:id="190" w:name="_Toc513386619"/>
      <w:bookmarkStart w:id="191" w:name="_Toc490050035"/>
      <w:bookmarkStart w:id="192" w:name="_Toc481075082"/>
      <w:bookmarkStart w:id="193" w:name="_Toc512519514"/>
      <w:proofErr w:type="spellStart"/>
      <w:r>
        <w:rPr>
          <w:rFonts w:hAnsi="宋体" w:hint="eastAsia"/>
        </w:rPr>
        <w:t>投资组合报告附注</w:t>
      </w:r>
      <w:bookmarkEnd w:id="190"/>
      <w:bookmarkEnd w:id="191"/>
      <w:bookmarkEnd w:id="192"/>
      <w:bookmarkEnd w:id="193"/>
      <w:proofErr w:type="spellEnd"/>
      <w:r>
        <w:rPr>
          <w:rFonts w:hAnsi="宋体" w:hint="eastAsia"/>
        </w:rPr>
        <w:t xml:space="preserve"> </w:t>
      </w:r>
    </w:p>
    <w:p w14:paraId="24B34666" w14:textId="77777777" w:rsidR="005C5EC4" w:rsidRDefault="005C5EC4">
      <w:pPr>
        <w:pStyle w:val="XBRLTitle3"/>
        <w:spacing w:before="156"/>
        <w:ind w:left="0"/>
      </w:pPr>
      <w:bookmarkStart w:id="194" w:name="_Toc512519515"/>
      <w:bookmarkStart w:id="195" w:name="_Toc481075083"/>
      <w:bookmarkStart w:id="196" w:name="_Toc490050036"/>
      <w:bookmarkStart w:id="197" w:name="_Toc513295927"/>
      <w:r>
        <w:rPr>
          <w:rFonts w:hint="eastAsia"/>
          <w:lang w:eastAsia="zh-CN"/>
        </w:rPr>
        <w:t xml:space="preserve"> </w:t>
      </w:r>
      <w:bookmarkStart w:id="198" w:name="_Toc514507543"/>
      <w:bookmarkEnd w:id="194"/>
      <w:bookmarkEnd w:id="195"/>
      <w:bookmarkEnd w:id="196"/>
      <w:bookmarkEnd w:id="197"/>
      <w:bookmarkEnd w:id="198"/>
    </w:p>
    <w:p w14:paraId="0CA06F54" w14:textId="77777777" w:rsidR="005C5EC4" w:rsidRDefault="005C5EC4">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1DBACCE" w14:textId="77777777" w:rsidR="005C5EC4" w:rsidRDefault="005C5EC4">
      <w:pPr>
        <w:pStyle w:val="XBRLTitle3"/>
        <w:spacing w:before="156"/>
        <w:ind w:left="0"/>
      </w:pPr>
      <w:bookmarkStart w:id="199" w:name="_Toc512519516"/>
      <w:bookmarkStart w:id="200" w:name="_Toc481075084"/>
      <w:bookmarkStart w:id="201" w:name="_Toc490050037"/>
      <w:bookmarkStart w:id="202" w:name="_Toc513295928"/>
      <w:r>
        <w:rPr>
          <w:rFonts w:hint="eastAsia"/>
          <w:lang w:eastAsia="zh-CN"/>
        </w:rPr>
        <w:t xml:space="preserve"> </w:t>
      </w:r>
      <w:bookmarkStart w:id="203" w:name="_Toc514507544"/>
      <w:bookmarkEnd w:id="199"/>
      <w:bookmarkEnd w:id="200"/>
      <w:bookmarkEnd w:id="201"/>
      <w:bookmarkEnd w:id="202"/>
      <w:bookmarkEnd w:id="203"/>
    </w:p>
    <w:p w14:paraId="638112A8" w14:textId="77777777" w:rsidR="005C5EC4" w:rsidRDefault="005C5EC4">
      <w:pPr>
        <w:spacing w:line="360" w:lineRule="auto"/>
        <w:ind w:firstLineChars="200" w:firstLine="420"/>
      </w:pPr>
      <w:r>
        <w:rPr>
          <w:rFonts w:ascii="宋体" w:hAnsi="宋体" w:hint="eastAsia"/>
        </w:rPr>
        <w:t>报告期内本基金投资的前十名股票中没有在基金合同规定备选股票库之外的股票。</w:t>
      </w:r>
    </w:p>
    <w:p w14:paraId="69B59D3C" w14:textId="77777777" w:rsidR="005C5EC4" w:rsidRDefault="005C5EC4">
      <w:pPr>
        <w:pStyle w:val="XBRLTitle3"/>
        <w:spacing w:before="156"/>
        <w:ind w:left="0"/>
      </w:pPr>
      <w:bookmarkStart w:id="204" w:name="_Toc513386622"/>
      <w:bookmarkStart w:id="205" w:name="_Toc512519517"/>
      <w:bookmarkStart w:id="206" w:name="_Toc490050038"/>
      <w:bookmarkStart w:id="207" w:name="_Toc481075085"/>
      <w:bookmarkStart w:id="208" w:name="m510_02"/>
      <w:bookmarkEnd w:id="189"/>
      <w:proofErr w:type="spellStart"/>
      <w:r>
        <w:rPr>
          <w:rFonts w:hint="eastAsia"/>
        </w:rPr>
        <w:t>其他资产构成</w:t>
      </w:r>
      <w:bookmarkEnd w:id="204"/>
      <w:bookmarkEnd w:id="205"/>
      <w:bookmarkEnd w:id="206"/>
      <w:bookmarkEnd w:id="20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B4CA3" w14:paraId="286B2BC3" w14:textId="77777777">
        <w:trPr>
          <w:divId w:val="178908353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DEE58" w14:textId="77777777" w:rsidR="005C5EC4" w:rsidRDefault="005C5EC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DA738" w14:textId="77777777" w:rsidR="005C5EC4" w:rsidRDefault="005C5EC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4F5EB" w14:textId="77777777" w:rsidR="005C5EC4" w:rsidRDefault="005C5EC4">
            <w:pPr>
              <w:jc w:val="center"/>
            </w:pPr>
            <w:r>
              <w:rPr>
                <w:rFonts w:ascii="宋体" w:hAnsi="宋体" w:hint="eastAsia"/>
              </w:rPr>
              <w:t>金额（元）</w:t>
            </w:r>
            <w:r>
              <w:t xml:space="preserve"> </w:t>
            </w:r>
          </w:p>
        </w:tc>
      </w:tr>
      <w:tr w:rsidR="002B4CA3" w14:paraId="7A10C79C"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AA731" w14:textId="77777777" w:rsidR="005C5EC4" w:rsidRDefault="005C5EC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CC3FE" w14:textId="77777777" w:rsidR="005C5EC4" w:rsidRDefault="005C5EC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79BCD" w14:textId="77777777" w:rsidR="005C5EC4" w:rsidRDefault="005C5EC4">
            <w:pPr>
              <w:jc w:val="right"/>
            </w:pPr>
            <w:r>
              <w:rPr>
                <w:rFonts w:ascii="宋体" w:hAnsi="宋体" w:hint="eastAsia"/>
              </w:rPr>
              <w:t>166,939.20</w:t>
            </w:r>
          </w:p>
        </w:tc>
      </w:tr>
      <w:tr w:rsidR="002B4CA3" w14:paraId="718C2B34"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69817" w14:textId="77777777" w:rsidR="005C5EC4" w:rsidRDefault="005C5EC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5A444" w14:textId="77777777" w:rsidR="005C5EC4" w:rsidRDefault="005C5EC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B8C8E" w14:textId="77777777" w:rsidR="005C5EC4" w:rsidRDefault="005C5EC4">
            <w:pPr>
              <w:jc w:val="right"/>
            </w:pPr>
            <w:r>
              <w:rPr>
                <w:rFonts w:ascii="宋体" w:hAnsi="宋体" w:hint="eastAsia"/>
              </w:rPr>
              <w:t>-</w:t>
            </w:r>
          </w:p>
        </w:tc>
      </w:tr>
      <w:tr w:rsidR="002B4CA3" w14:paraId="09762071"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26167" w14:textId="77777777" w:rsidR="005C5EC4" w:rsidRDefault="005C5EC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F7B78" w14:textId="77777777" w:rsidR="005C5EC4" w:rsidRDefault="005C5EC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07646" w14:textId="77777777" w:rsidR="005C5EC4" w:rsidRDefault="005C5EC4">
            <w:pPr>
              <w:jc w:val="right"/>
            </w:pPr>
            <w:r>
              <w:rPr>
                <w:rFonts w:ascii="宋体" w:hAnsi="宋体" w:hint="eastAsia"/>
              </w:rPr>
              <w:t>-</w:t>
            </w:r>
          </w:p>
        </w:tc>
      </w:tr>
      <w:tr w:rsidR="002B4CA3" w14:paraId="79BAAE72"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74DB2" w14:textId="77777777" w:rsidR="005C5EC4" w:rsidRDefault="005C5EC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C5372" w14:textId="77777777" w:rsidR="005C5EC4" w:rsidRDefault="005C5EC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A1594" w14:textId="77777777" w:rsidR="005C5EC4" w:rsidRDefault="005C5EC4">
            <w:pPr>
              <w:jc w:val="right"/>
            </w:pPr>
            <w:r>
              <w:rPr>
                <w:rFonts w:ascii="宋体" w:hAnsi="宋体" w:hint="eastAsia"/>
              </w:rPr>
              <w:t>-</w:t>
            </w:r>
          </w:p>
        </w:tc>
      </w:tr>
      <w:tr w:rsidR="002B4CA3" w14:paraId="7B02AB1D"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349F9" w14:textId="77777777" w:rsidR="005C5EC4" w:rsidRDefault="005C5EC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980FE" w14:textId="77777777" w:rsidR="005C5EC4" w:rsidRDefault="005C5EC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65835" w14:textId="77777777" w:rsidR="005C5EC4" w:rsidRDefault="005C5EC4">
            <w:pPr>
              <w:jc w:val="right"/>
            </w:pPr>
            <w:r>
              <w:rPr>
                <w:rFonts w:ascii="宋体" w:hAnsi="宋体" w:hint="eastAsia"/>
              </w:rPr>
              <w:t>158,344.90</w:t>
            </w:r>
          </w:p>
        </w:tc>
      </w:tr>
      <w:tr w:rsidR="002B4CA3" w14:paraId="6C93DAFE"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B6AC7" w14:textId="77777777" w:rsidR="005C5EC4" w:rsidRDefault="005C5EC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C15DB" w14:textId="77777777" w:rsidR="005C5EC4" w:rsidRDefault="005C5EC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F49ED" w14:textId="77777777" w:rsidR="005C5EC4" w:rsidRDefault="005C5EC4">
            <w:pPr>
              <w:jc w:val="right"/>
            </w:pPr>
            <w:r>
              <w:rPr>
                <w:rFonts w:ascii="宋体" w:hAnsi="宋体" w:hint="eastAsia"/>
              </w:rPr>
              <w:t>60.88</w:t>
            </w:r>
          </w:p>
        </w:tc>
      </w:tr>
      <w:tr w:rsidR="002B4CA3" w14:paraId="5CC8D764"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53090" w14:textId="77777777" w:rsidR="005C5EC4" w:rsidRDefault="005C5EC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512E7" w14:textId="77777777" w:rsidR="005C5EC4" w:rsidRDefault="005C5EC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2F4DE" w14:textId="77777777" w:rsidR="005C5EC4" w:rsidRDefault="005C5EC4">
            <w:pPr>
              <w:jc w:val="right"/>
            </w:pPr>
            <w:r>
              <w:rPr>
                <w:rFonts w:ascii="宋体" w:hAnsi="宋体" w:hint="eastAsia"/>
              </w:rPr>
              <w:t>-</w:t>
            </w:r>
          </w:p>
        </w:tc>
      </w:tr>
      <w:tr w:rsidR="002B4CA3" w14:paraId="2C7EBA1B" w14:textId="77777777">
        <w:trPr>
          <w:divId w:val="178908353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C0327" w14:textId="77777777" w:rsidR="005C5EC4" w:rsidRDefault="005C5EC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1B142" w14:textId="77777777" w:rsidR="005C5EC4" w:rsidRDefault="005C5EC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9EC66" w14:textId="77777777" w:rsidR="005C5EC4" w:rsidRDefault="005C5EC4">
            <w:pPr>
              <w:jc w:val="right"/>
            </w:pPr>
            <w:r>
              <w:rPr>
                <w:rFonts w:ascii="宋体" w:hAnsi="宋体" w:hint="eastAsia"/>
              </w:rPr>
              <w:t>325,344.98</w:t>
            </w:r>
          </w:p>
        </w:tc>
      </w:tr>
    </w:tbl>
    <w:p w14:paraId="14B6685D" w14:textId="77777777" w:rsidR="005C5EC4" w:rsidRDefault="005C5EC4">
      <w:pPr>
        <w:pStyle w:val="XBRLTitle3"/>
        <w:spacing w:before="156"/>
        <w:ind w:left="0"/>
      </w:pPr>
      <w:bookmarkStart w:id="209" w:name="_Toc513386623"/>
      <w:bookmarkStart w:id="210" w:name="_Toc512519518"/>
      <w:bookmarkStart w:id="211" w:name="_Toc490050039"/>
      <w:bookmarkStart w:id="212" w:name="_Toc481075086"/>
      <w:bookmarkStart w:id="213" w:name="m510_03"/>
      <w:bookmarkEnd w:id="208"/>
      <w:proofErr w:type="spellStart"/>
      <w:r>
        <w:rPr>
          <w:rFonts w:hint="eastAsia"/>
        </w:rPr>
        <w:t>报告期末持有的处于转股期的可转换债券明细</w:t>
      </w:r>
      <w:bookmarkEnd w:id="209"/>
      <w:bookmarkEnd w:id="210"/>
      <w:bookmarkEnd w:id="211"/>
      <w:bookmarkEnd w:id="212"/>
      <w:proofErr w:type="spellEnd"/>
    </w:p>
    <w:p w14:paraId="34CE875C" w14:textId="77777777" w:rsidR="005C5EC4" w:rsidRDefault="005C5EC4">
      <w:pPr>
        <w:spacing w:line="360" w:lineRule="auto"/>
        <w:ind w:firstLineChars="200" w:firstLine="420"/>
        <w:jc w:val="left"/>
        <w:divId w:val="390932502"/>
      </w:pPr>
      <w:r>
        <w:rPr>
          <w:rFonts w:ascii="宋体" w:hAnsi="宋体" w:hint="eastAsia"/>
        </w:rPr>
        <w:t xml:space="preserve">本基金本报告期末未持有处于转股期的可转换债券。 </w:t>
      </w:r>
    </w:p>
    <w:p w14:paraId="722BAA83" w14:textId="77777777" w:rsidR="005C5EC4" w:rsidRDefault="005C5EC4">
      <w:pPr>
        <w:pStyle w:val="XBRLTitle3"/>
        <w:spacing w:before="156"/>
        <w:ind w:left="0"/>
      </w:pPr>
      <w:bookmarkStart w:id="214" w:name="_Toc513386624"/>
      <w:bookmarkStart w:id="215" w:name="_Toc512519519"/>
      <w:bookmarkStart w:id="216" w:name="_Toc490050040"/>
      <w:bookmarkStart w:id="217" w:name="_Toc481075087"/>
      <w:bookmarkStart w:id="218" w:name="m510_04"/>
      <w:bookmarkEnd w:id="213"/>
      <w:proofErr w:type="spellStart"/>
      <w:r>
        <w:rPr>
          <w:rFonts w:hint="eastAsia"/>
        </w:rPr>
        <w:t>报告期末前十名股票中存在流通受限情况的说明</w:t>
      </w:r>
      <w:bookmarkEnd w:id="214"/>
      <w:bookmarkEnd w:id="215"/>
      <w:bookmarkEnd w:id="216"/>
      <w:bookmarkEnd w:id="217"/>
      <w:proofErr w:type="spellEnd"/>
    </w:p>
    <w:p w14:paraId="1039587B" w14:textId="77777777" w:rsidR="005C5EC4" w:rsidRDefault="005C5EC4">
      <w:pPr>
        <w:pStyle w:val="XBRLTitle4"/>
        <w:spacing w:before="156"/>
        <w:ind w:left="794"/>
      </w:pPr>
      <w:bookmarkStart w:id="219" w:name="_Toc513386625"/>
      <w:r>
        <w:rPr>
          <w:rFonts w:eastAsia="宋体" w:hint="eastAsia"/>
          <w:lang w:eastAsia="zh-CN"/>
        </w:rPr>
        <w:t>报告期末指数投资前十名股票中存在流通受限情况的说明</w:t>
      </w:r>
      <w:bookmarkEnd w:id="219"/>
      <w:r>
        <w:rPr>
          <w:rFonts w:eastAsia="宋体" w:hint="eastAsia"/>
          <w:lang w:eastAsia="zh-CN"/>
        </w:rPr>
        <w:t xml:space="preserve"> </w:t>
      </w:r>
    </w:p>
    <w:p w14:paraId="030427F3" w14:textId="77777777" w:rsidR="005C5EC4" w:rsidRDefault="005C5EC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517D50C5" w14:textId="77777777" w:rsidR="005C5EC4" w:rsidRDefault="005C5EC4">
      <w:pPr>
        <w:pStyle w:val="XBRLTitle4"/>
        <w:spacing w:before="156"/>
        <w:ind w:left="794"/>
      </w:pPr>
      <w:bookmarkStart w:id="220" w:name="_Toc513386626"/>
      <w:r>
        <w:rPr>
          <w:rFonts w:eastAsia="宋体" w:hint="eastAsia"/>
          <w:lang w:eastAsia="zh-CN"/>
        </w:rPr>
        <w:t>报告期末积极投资前五名股票中存在流通受限情况的说明</w:t>
      </w:r>
      <w:bookmarkEnd w:id="220"/>
      <w:r>
        <w:rPr>
          <w:rFonts w:eastAsia="宋体" w:hint="eastAsia"/>
          <w:lang w:eastAsia="zh-CN"/>
        </w:rPr>
        <w:t xml:space="preserve"> </w:t>
      </w:r>
    </w:p>
    <w:p w14:paraId="4F9077F3" w14:textId="77777777" w:rsidR="005C5EC4" w:rsidRDefault="005C5EC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745682B6" w14:textId="77777777" w:rsidR="005C5EC4" w:rsidRDefault="005C5EC4">
      <w:pPr>
        <w:pStyle w:val="XBRLTitle3"/>
        <w:spacing w:before="156"/>
        <w:ind w:left="0"/>
      </w:pPr>
      <w:bookmarkStart w:id="221" w:name="_Toc513386627"/>
      <w:bookmarkStart w:id="222" w:name="_Toc490050041"/>
      <w:bookmarkStart w:id="223" w:name="_Toc481075088"/>
      <w:bookmarkStart w:id="224" w:name="_Toc512519520"/>
      <w:bookmarkStart w:id="225" w:name="m510_05_1678"/>
      <w:bookmarkEnd w:id="218"/>
      <w:proofErr w:type="spellStart"/>
      <w:r>
        <w:rPr>
          <w:rFonts w:hint="eastAsia"/>
        </w:rPr>
        <w:t>投资组合报告附注的其他文字描述部分</w:t>
      </w:r>
      <w:bookmarkEnd w:id="221"/>
      <w:bookmarkEnd w:id="222"/>
      <w:bookmarkEnd w:id="223"/>
      <w:bookmarkEnd w:id="224"/>
      <w:proofErr w:type="spellEnd"/>
      <w:r>
        <w:rPr>
          <w:rFonts w:hint="eastAsia"/>
          <w:sz w:val="21"/>
        </w:rPr>
        <w:t xml:space="preserve"> </w:t>
      </w:r>
    </w:p>
    <w:p w14:paraId="35E16D5D" w14:textId="77777777" w:rsidR="005C5EC4" w:rsidRDefault="005C5EC4">
      <w:pPr>
        <w:spacing w:line="360" w:lineRule="auto"/>
        <w:ind w:firstLineChars="200" w:firstLine="420"/>
        <w:jc w:val="left"/>
      </w:pPr>
      <w:r>
        <w:rPr>
          <w:rFonts w:ascii="宋体" w:hAnsi="宋体" w:hint="eastAsia"/>
        </w:rPr>
        <w:t>因四舍五入原因，投资组合报告中分项之和与合计可能存在尾差。</w:t>
      </w:r>
    </w:p>
    <w:p w14:paraId="242D5C55" w14:textId="77777777" w:rsidR="005C5EC4" w:rsidRDefault="005C5EC4">
      <w:pPr>
        <w:pStyle w:val="XBRLTitle1"/>
        <w:spacing w:before="156" w:line="360" w:lineRule="auto"/>
        <w:ind w:left="425"/>
      </w:pPr>
      <w:bookmarkStart w:id="226" w:name="_Toc513386628"/>
      <w:bookmarkStart w:id="227" w:name="_Toc490050042"/>
      <w:bookmarkStart w:id="228" w:name="_Toc438646477"/>
      <w:bookmarkStart w:id="229" w:name="_Toc481075089"/>
      <w:bookmarkStart w:id="230" w:name="_Toc512519521"/>
      <w:bookmarkStart w:id="231" w:name="m601"/>
      <w:bookmarkEnd w:id="225"/>
      <w:bookmarkEnd w:id="126"/>
      <w:proofErr w:type="spellStart"/>
      <w:r>
        <w:rPr>
          <w:rFonts w:hAnsi="宋体" w:hint="eastAsia"/>
        </w:rPr>
        <w:t>开放式基金份额变动</w:t>
      </w:r>
      <w:bookmarkStart w:id="232" w:name="m601_tab"/>
      <w:bookmarkEnd w:id="226"/>
      <w:bookmarkEnd w:id="227"/>
      <w:bookmarkEnd w:id="228"/>
      <w:bookmarkEnd w:id="229"/>
      <w:bookmarkEnd w:id="230"/>
      <w:bookmarkEnd w:id="12"/>
      <w:proofErr w:type="spellEnd"/>
    </w:p>
    <w:p w14:paraId="7B3BF0A8" w14:textId="77777777" w:rsidR="005C5EC4" w:rsidRDefault="005C5EC4">
      <w:pPr>
        <w:wordWrap w:val="0"/>
        <w:spacing w:line="360" w:lineRule="auto"/>
        <w:jc w:val="right"/>
      </w:pPr>
      <w:bookmarkStart w:id="23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2B4CA3" w14:paraId="054638E2"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58C5DAF" w14:textId="77777777" w:rsidR="005C5EC4" w:rsidRDefault="005C5EC4">
            <w:pPr>
              <w:pStyle w:val="xl33"/>
              <w:widowControl w:val="0"/>
              <w:pBdr>
                <w:left w:val="none" w:sz="0" w:space="0" w:color="auto"/>
                <w:bottom w:val="none" w:sz="0" w:space="0" w:color="auto"/>
                <w:right w:val="none" w:sz="0" w:space="0" w:color="auto"/>
              </w:pBdr>
              <w:spacing w:before="0" w:beforeAutospacing="0" w:after="0" w:afterAutospacing="0"/>
              <w:jc w:val="both"/>
            </w:pPr>
            <w:bookmarkStart w:id="234" w:name="m10_01" w:colFirst="1" w:colLast="2"/>
            <w:bookmarkEnd w:id="23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F2D7C5" w14:textId="77777777" w:rsidR="005C5EC4" w:rsidRDefault="005C5EC4">
            <w:pPr>
              <w:ind w:right="3"/>
              <w:jc w:val="center"/>
            </w:pPr>
            <w:r>
              <w:rPr>
                <w:rFonts w:ascii="宋体" w:hAnsi="宋体" w:hint="eastAsia"/>
                <w:lang w:eastAsia="zh-Hans"/>
              </w:rPr>
              <w:t>摩根沪深300指数增强发起式A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4C6832" w14:textId="77777777" w:rsidR="005C5EC4" w:rsidRDefault="005C5EC4">
            <w:pPr>
              <w:ind w:right="3"/>
              <w:jc w:val="center"/>
            </w:pPr>
            <w:r>
              <w:rPr>
                <w:rFonts w:ascii="宋体" w:hAnsi="宋体" w:hint="eastAsia"/>
                <w:lang w:eastAsia="zh-Hans"/>
              </w:rPr>
              <w:t>摩根沪深300指数增强发起式C</w:t>
            </w:r>
            <w:r>
              <w:rPr>
                <w:rFonts w:ascii="宋体" w:hAnsi="宋体" w:hint="eastAsia"/>
                <w:kern w:val="0"/>
                <w:szCs w:val="24"/>
                <w:lang w:eastAsia="zh-Hans"/>
              </w:rPr>
              <w:t xml:space="preserve"> </w:t>
            </w:r>
          </w:p>
        </w:tc>
      </w:tr>
      <w:tr w:rsidR="002B4CA3" w14:paraId="56AF04E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00ED19" w14:textId="77777777" w:rsidR="005C5EC4" w:rsidRDefault="005C5E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94BE5C" w14:textId="77777777" w:rsidR="005C5EC4" w:rsidRDefault="005C5EC4">
            <w:pPr>
              <w:jc w:val="right"/>
            </w:pPr>
            <w:r>
              <w:rPr>
                <w:rFonts w:ascii="宋体" w:hAnsi="宋体" w:hint="eastAsia"/>
              </w:rPr>
              <w:t>21,053,669.34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7A703" w14:textId="77777777" w:rsidR="005C5EC4" w:rsidRDefault="005C5EC4">
            <w:pPr>
              <w:jc w:val="right"/>
            </w:pPr>
            <w:r>
              <w:rPr>
                <w:rFonts w:ascii="宋体" w:hAnsi="宋体" w:hint="eastAsia"/>
              </w:rPr>
              <w:t>2,281,544.72</w:t>
            </w:r>
          </w:p>
        </w:tc>
      </w:tr>
      <w:tr w:rsidR="002B4CA3" w14:paraId="0A5F04D8"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5B80C3" w14:textId="77777777" w:rsidR="005C5EC4" w:rsidRDefault="005C5E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677BD4" w14:textId="77777777" w:rsidR="005C5EC4" w:rsidRDefault="005C5EC4">
            <w:pPr>
              <w:jc w:val="right"/>
            </w:pPr>
            <w:r>
              <w:rPr>
                <w:rFonts w:ascii="宋体" w:hAnsi="宋体" w:hint="eastAsia"/>
              </w:rPr>
              <w:t>1,855,185.69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63653" w14:textId="77777777" w:rsidR="005C5EC4" w:rsidRDefault="005C5EC4">
            <w:pPr>
              <w:jc w:val="right"/>
            </w:pPr>
            <w:r>
              <w:rPr>
                <w:rFonts w:ascii="宋体" w:hAnsi="宋体" w:hint="eastAsia"/>
              </w:rPr>
              <w:t>6,919,039.19</w:t>
            </w:r>
          </w:p>
        </w:tc>
      </w:tr>
      <w:tr w:rsidR="002B4CA3" w14:paraId="0DD08BF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497B27" w14:textId="77777777" w:rsidR="005C5EC4" w:rsidRDefault="005C5E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67935" w14:textId="77777777" w:rsidR="005C5EC4" w:rsidRDefault="005C5EC4">
            <w:pPr>
              <w:jc w:val="right"/>
            </w:pPr>
            <w:r>
              <w:rPr>
                <w:rFonts w:ascii="宋体" w:hAnsi="宋体" w:hint="eastAsia"/>
              </w:rPr>
              <w:t>3,642,678.16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64D1C7" w14:textId="77777777" w:rsidR="005C5EC4" w:rsidRDefault="005C5EC4">
            <w:pPr>
              <w:jc w:val="right"/>
            </w:pPr>
            <w:r>
              <w:rPr>
                <w:rFonts w:ascii="宋体" w:hAnsi="宋体" w:hint="eastAsia"/>
              </w:rPr>
              <w:t>2,593,558.45</w:t>
            </w:r>
          </w:p>
        </w:tc>
      </w:tr>
      <w:tr w:rsidR="002B4CA3" w14:paraId="2BE9F08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9595CA" w14:textId="77777777" w:rsidR="005C5EC4" w:rsidRDefault="005C5E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A015D0" w14:textId="77777777" w:rsidR="005C5EC4" w:rsidRDefault="005C5EC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1A594" w14:textId="77777777" w:rsidR="005C5EC4" w:rsidRDefault="005C5EC4">
            <w:pPr>
              <w:jc w:val="right"/>
            </w:pPr>
            <w:r>
              <w:rPr>
                <w:rFonts w:ascii="宋体" w:hAnsi="宋体" w:hint="eastAsia"/>
              </w:rPr>
              <w:t>-</w:t>
            </w:r>
          </w:p>
        </w:tc>
      </w:tr>
      <w:tr w:rsidR="002B4CA3" w14:paraId="3A63C66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BCB1F3" w14:textId="77777777" w:rsidR="005C5EC4" w:rsidRDefault="005C5E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038163" w14:textId="77777777" w:rsidR="005C5EC4" w:rsidRDefault="005C5EC4">
            <w:pPr>
              <w:jc w:val="right"/>
            </w:pPr>
            <w:r>
              <w:rPr>
                <w:rFonts w:ascii="宋体" w:hAnsi="宋体" w:hint="eastAsia"/>
              </w:rPr>
              <w:t>19,266,176.87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8758BB" w14:textId="77777777" w:rsidR="005C5EC4" w:rsidRDefault="005C5EC4">
            <w:pPr>
              <w:jc w:val="right"/>
            </w:pPr>
            <w:r>
              <w:rPr>
                <w:rFonts w:ascii="宋体" w:hAnsi="宋体" w:hint="eastAsia"/>
              </w:rPr>
              <w:t>6,607,025.46</w:t>
            </w:r>
          </w:p>
        </w:tc>
      </w:tr>
    </w:tbl>
    <w:p w14:paraId="20BEB69B" w14:textId="77777777" w:rsidR="005C5EC4" w:rsidRDefault="005C5EC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34"/>
      <w:r>
        <w:rPr>
          <w:rFonts w:ascii="宋体" w:hAnsi="宋体" w:hint="eastAsia"/>
        </w:rPr>
        <w:t xml:space="preserve"> </w:t>
      </w:r>
    </w:p>
    <w:p w14:paraId="4F702EB3" w14:textId="77777777" w:rsidR="005C5EC4" w:rsidRDefault="005C5EC4">
      <w:pPr>
        <w:pStyle w:val="XBRLTitle1"/>
        <w:spacing w:before="156" w:line="360" w:lineRule="auto"/>
        <w:ind w:left="425"/>
      </w:pPr>
      <w:bookmarkStart w:id="235" w:name="_Toc513386629"/>
      <w:bookmarkStart w:id="236" w:name="_Toc490050043"/>
      <w:bookmarkStart w:id="237" w:name="_Toc438646478"/>
      <w:bookmarkStart w:id="238" w:name="_Toc481075090"/>
      <w:bookmarkStart w:id="239" w:name="_Toc512519522"/>
      <w:bookmarkStart w:id="240" w:name="m7manage01"/>
      <w:bookmarkEnd w:id="231"/>
      <w:bookmarkEnd w:id="232"/>
      <w:proofErr w:type="spellStart"/>
      <w:r>
        <w:rPr>
          <w:rFonts w:hAnsi="宋体" w:hint="eastAsia"/>
        </w:rPr>
        <w:t>基金管理人运用固有资金投资本基金情况</w:t>
      </w:r>
      <w:bookmarkEnd w:id="235"/>
      <w:bookmarkEnd w:id="236"/>
      <w:bookmarkEnd w:id="237"/>
      <w:bookmarkEnd w:id="238"/>
      <w:bookmarkEnd w:id="239"/>
      <w:bookmarkEnd w:id="240"/>
      <w:proofErr w:type="spellEnd"/>
      <w:r>
        <w:rPr>
          <w:rFonts w:hAnsi="宋体" w:hint="eastAsia"/>
        </w:rPr>
        <w:t xml:space="preserve"> </w:t>
      </w:r>
    </w:p>
    <w:p w14:paraId="1DBC736E" w14:textId="77777777" w:rsidR="005C5EC4" w:rsidRDefault="005C5EC4">
      <w:pPr>
        <w:pStyle w:val="XBRLTitle2"/>
        <w:spacing w:before="156" w:line="360" w:lineRule="auto"/>
        <w:ind w:left="454"/>
      </w:pPr>
      <w:bookmarkStart w:id="241" w:name="_Toc513386630"/>
      <w:bookmarkStart w:id="242" w:name="_Toc490050044"/>
      <w:bookmarkStart w:id="243" w:name="_Toc458599606"/>
      <w:bookmarkStart w:id="244" w:name="_Toc481075091"/>
      <w:bookmarkStart w:id="245" w:name="_Toc512519523"/>
      <w:proofErr w:type="spellStart"/>
      <w:r>
        <w:rPr>
          <w:rFonts w:hAnsi="宋体" w:hint="eastAsia"/>
        </w:rPr>
        <w:t>基金管理人持有本基金份额变动情况</w:t>
      </w:r>
      <w:bookmarkEnd w:id="241"/>
      <w:bookmarkEnd w:id="242"/>
      <w:bookmarkEnd w:id="243"/>
      <w:bookmarkEnd w:id="244"/>
      <w:bookmarkEnd w:id="245"/>
      <w:proofErr w:type="spellEnd"/>
      <w:r>
        <w:rPr>
          <w:rFonts w:hAnsi="宋体" w:hint="eastAsia"/>
          <w:lang w:eastAsia="zh-CN"/>
        </w:rPr>
        <w:t xml:space="preserve"> </w:t>
      </w:r>
    </w:p>
    <w:p w14:paraId="61A4F3BD" w14:textId="77777777" w:rsidR="005C5EC4" w:rsidRDefault="005C5EC4">
      <w:pPr>
        <w:wordWrap w:val="0"/>
        <w:spacing w:line="360" w:lineRule="auto"/>
        <w:jc w:val="right"/>
        <w:divId w:val="127035714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B4CA3" w14:paraId="4E8A46DA" w14:textId="77777777">
        <w:trPr>
          <w:divId w:val="127035714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277D05" w14:textId="77777777" w:rsidR="005C5EC4" w:rsidRDefault="005C5EC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F3D6BF" w14:textId="77777777" w:rsidR="005C5EC4" w:rsidRDefault="005C5EC4">
            <w:pPr>
              <w:jc w:val="center"/>
            </w:pPr>
            <w:r>
              <w:rPr>
                <w:rFonts w:ascii="宋体" w:hAnsi="宋体" w:hint="eastAsia"/>
                <w:lang w:eastAsia="zh-Hans"/>
              </w:rPr>
              <w:t>摩根沪深300指数增强发起式A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82447E" w14:textId="77777777" w:rsidR="005C5EC4" w:rsidRDefault="005C5EC4">
            <w:pPr>
              <w:jc w:val="center"/>
            </w:pPr>
            <w:r>
              <w:rPr>
                <w:rFonts w:ascii="宋体" w:hAnsi="宋体" w:hint="eastAsia"/>
                <w:lang w:eastAsia="zh-Hans"/>
              </w:rPr>
              <w:t>摩根沪深300指数增强发起式C</w:t>
            </w:r>
            <w:r>
              <w:rPr>
                <w:rFonts w:ascii="宋体" w:hAnsi="宋体" w:hint="eastAsia"/>
                <w:color w:val="000000"/>
              </w:rPr>
              <w:t xml:space="preserve"> </w:t>
            </w:r>
          </w:p>
        </w:tc>
      </w:tr>
      <w:tr w:rsidR="002B4CA3" w14:paraId="5697F024" w14:textId="77777777">
        <w:trPr>
          <w:divId w:val="127035714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CF210" w14:textId="77777777" w:rsidR="005C5EC4" w:rsidRDefault="005C5EC4">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F13A0" w14:textId="77777777" w:rsidR="005C5EC4" w:rsidRDefault="005C5EC4">
            <w:pPr>
              <w:jc w:val="right"/>
            </w:pPr>
            <w:r>
              <w:rPr>
                <w:rFonts w:ascii="宋体" w:hAnsi="宋体" w:hint="eastAsia"/>
                <w:kern w:val="0"/>
                <w:szCs w:val="24"/>
                <w:lang w:eastAsia="zh-Hans"/>
              </w:rPr>
              <w:t>15,529,218.73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0A35C" w14:textId="77777777" w:rsidR="005C5EC4" w:rsidRDefault="005C5EC4">
            <w:pPr>
              <w:jc w:val="right"/>
            </w:pPr>
            <w:r>
              <w:rPr>
                <w:rFonts w:ascii="宋体" w:hAnsi="宋体" w:hint="eastAsia"/>
                <w:kern w:val="0"/>
                <w:szCs w:val="24"/>
                <w:lang w:eastAsia="zh-Hans"/>
              </w:rPr>
              <w:t>-</w:t>
            </w:r>
          </w:p>
        </w:tc>
      </w:tr>
      <w:tr w:rsidR="002B4CA3" w14:paraId="2C741C25" w14:textId="77777777">
        <w:trPr>
          <w:divId w:val="127035714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46840" w14:textId="77777777" w:rsidR="005C5EC4" w:rsidRDefault="005C5EC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02A8D" w14:textId="77777777" w:rsidR="005C5EC4" w:rsidRDefault="005C5EC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D521D" w14:textId="77777777" w:rsidR="005C5EC4" w:rsidRDefault="005C5EC4">
            <w:pPr>
              <w:jc w:val="right"/>
            </w:pPr>
            <w:r>
              <w:rPr>
                <w:rFonts w:ascii="宋体" w:hAnsi="宋体" w:hint="eastAsia"/>
                <w:szCs w:val="24"/>
                <w:lang w:eastAsia="zh-Hans"/>
              </w:rPr>
              <w:t>-</w:t>
            </w:r>
          </w:p>
        </w:tc>
      </w:tr>
      <w:tr w:rsidR="002B4CA3" w14:paraId="4F46BD78" w14:textId="77777777">
        <w:trPr>
          <w:divId w:val="127035714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889C9" w14:textId="77777777" w:rsidR="005C5EC4" w:rsidRDefault="005C5EC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AD5C3" w14:textId="77777777" w:rsidR="005C5EC4" w:rsidRDefault="005C5EC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7697D" w14:textId="77777777" w:rsidR="005C5EC4" w:rsidRDefault="005C5EC4">
            <w:pPr>
              <w:jc w:val="right"/>
            </w:pPr>
            <w:r>
              <w:rPr>
                <w:rFonts w:ascii="宋体" w:hAnsi="宋体" w:hint="eastAsia"/>
                <w:lang w:eastAsia="zh-Hans"/>
              </w:rPr>
              <w:t>-</w:t>
            </w:r>
          </w:p>
        </w:tc>
      </w:tr>
      <w:tr w:rsidR="002B4CA3" w14:paraId="530649D0" w14:textId="77777777">
        <w:trPr>
          <w:divId w:val="127035714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F955C" w14:textId="77777777" w:rsidR="005C5EC4" w:rsidRDefault="005C5EC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1D26D" w14:textId="77777777" w:rsidR="005C5EC4" w:rsidRDefault="005C5EC4">
            <w:pPr>
              <w:jc w:val="right"/>
            </w:pPr>
            <w:r>
              <w:rPr>
                <w:rFonts w:ascii="宋体" w:hAnsi="宋体" w:hint="eastAsia"/>
                <w:lang w:eastAsia="zh-Hans"/>
              </w:rPr>
              <w:t>15,529,218.73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25792" w14:textId="77777777" w:rsidR="005C5EC4" w:rsidRDefault="005C5EC4">
            <w:pPr>
              <w:jc w:val="right"/>
            </w:pPr>
            <w:r>
              <w:rPr>
                <w:rFonts w:ascii="宋体" w:hAnsi="宋体" w:hint="eastAsia"/>
                <w:lang w:eastAsia="zh-Hans"/>
              </w:rPr>
              <w:t>-</w:t>
            </w:r>
          </w:p>
        </w:tc>
      </w:tr>
      <w:tr w:rsidR="002B4CA3" w14:paraId="0E867FFC" w14:textId="77777777">
        <w:trPr>
          <w:divId w:val="127035714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A9F3C" w14:textId="77777777" w:rsidR="005C5EC4" w:rsidRDefault="005C5EC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B7F23" w14:textId="77777777" w:rsidR="005C5EC4" w:rsidRDefault="005C5EC4">
            <w:pPr>
              <w:jc w:val="right"/>
            </w:pPr>
            <w:r>
              <w:rPr>
                <w:rFonts w:ascii="宋体" w:hAnsi="宋体" w:hint="eastAsia"/>
                <w:lang w:eastAsia="zh-Hans"/>
              </w:rPr>
              <w:t>60.02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9405A" w14:textId="77777777" w:rsidR="005C5EC4" w:rsidRDefault="005C5EC4">
            <w:pPr>
              <w:jc w:val="right"/>
            </w:pPr>
            <w:r>
              <w:rPr>
                <w:rFonts w:ascii="宋体" w:hAnsi="宋体" w:hint="eastAsia"/>
                <w:lang w:eastAsia="zh-Hans"/>
              </w:rPr>
              <w:t>-</w:t>
            </w:r>
          </w:p>
        </w:tc>
      </w:tr>
    </w:tbl>
    <w:p w14:paraId="58E89E5E" w14:textId="77777777" w:rsidR="005C5EC4" w:rsidRDefault="005C5EC4">
      <w:pPr>
        <w:pStyle w:val="XBRLTitle2"/>
        <w:spacing w:before="156" w:line="360" w:lineRule="auto"/>
        <w:ind w:left="454"/>
      </w:pPr>
      <w:bookmarkStart w:id="246" w:name="_Toc513386631"/>
      <w:bookmarkStart w:id="247" w:name="_Toc490050045"/>
      <w:bookmarkStart w:id="248" w:name="_Toc458599607"/>
      <w:bookmarkStart w:id="249" w:name="_Toc481075092"/>
      <w:bookmarkStart w:id="250" w:name="_Toc512519524"/>
      <w:proofErr w:type="spellStart"/>
      <w:r>
        <w:rPr>
          <w:rFonts w:hAnsi="宋体" w:hint="eastAsia"/>
        </w:rPr>
        <w:t>基金管理人运用固有资金投资本基金交易明细</w:t>
      </w:r>
      <w:bookmarkEnd w:id="246"/>
      <w:bookmarkEnd w:id="247"/>
      <w:bookmarkEnd w:id="248"/>
      <w:bookmarkEnd w:id="249"/>
      <w:bookmarkEnd w:id="250"/>
      <w:proofErr w:type="spellEnd"/>
      <w:r>
        <w:rPr>
          <w:rFonts w:hAnsi="宋体" w:hint="eastAsia"/>
          <w:lang w:eastAsia="zh-CN"/>
        </w:rPr>
        <w:t xml:space="preserve"> </w:t>
      </w:r>
    </w:p>
    <w:p w14:paraId="6F106259" w14:textId="77777777" w:rsidR="005C5EC4" w:rsidRDefault="005C5EC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299E73E" w14:textId="77777777" w:rsidR="005C5EC4" w:rsidRDefault="005C5EC4">
      <w:pPr>
        <w:pStyle w:val="XBRLTitle1"/>
        <w:spacing w:before="156" w:line="360" w:lineRule="auto"/>
        <w:ind w:left="425"/>
      </w:pPr>
      <w:bookmarkStart w:id="251" w:name="_Toc513744910"/>
      <w:bookmarkStart w:id="252" w:name="_Toc513295937"/>
      <w:bookmarkStart w:id="253" w:name="_Toc513295874"/>
      <w:bookmarkStart w:id="254" w:name="_Toc490050053"/>
      <w:bookmarkStart w:id="255" w:name="_Toc481074873"/>
      <w:bookmarkStart w:id="256" w:name="_Toc512519525"/>
      <w:proofErr w:type="spellStart"/>
      <w:r>
        <w:rPr>
          <w:rFonts w:hint="eastAsia"/>
        </w:rPr>
        <w:t>报告期末发起式基金发起资金持有份额情况</w:t>
      </w:r>
      <w:bookmarkEnd w:id="251"/>
      <w:bookmarkEnd w:id="252"/>
      <w:bookmarkEnd w:id="253"/>
      <w:bookmarkEnd w:id="254"/>
      <w:bookmarkEnd w:id="255"/>
      <w:bookmarkEnd w:id="25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1395"/>
        <w:gridCol w:w="1750"/>
        <w:gridCol w:w="1395"/>
        <w:gridCol w:w="1750"/>
        <w:gridCol w:w="1218"/>
      </w:tblGrid>
      <w:tr w:rsidR="002B4CA3" w14:paraId="46C82D7C" w14:textId="77777777">
        <w:trPr>
          <w:divId w:val="318928840"/>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49198D" w14:textId="77777777" w:rsidR="005C5EC4" w:rsidRDefault="005C5EC4">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6622DF" w14:textId="77777777" w:rsidR="005C5EC4" w:rsidRDefault="005C5EC4">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548707" w14:textId="77777777" w:rsidR="005C5EC4" w:rsidRDefault="005C5EC4">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CCCBFF" w14:textId="77777777" w:rsidR="005C5EC4" w:rsidRDefault="005C5EC4">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BAAECE" w14:textId="77777777" w:rsidR="005C5EC4" w:rsidRDefault="005C5EC4">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D10561" w14:textId="77777777" w:rsidR="005C5EC4" w:rsidRDefault="005C5EC4">
            <w:pPr>
              <w:jc w:val="center"/>
            </w:pPr>
            <w:r>
              <w:rPr>
                <w:rFonts w:hint="eastAsia"/>
                <w:color w:val="000000"/>
                <w:szCs w:val="21"/>
              </w:rPr>
              <w:t>发起份额承诺持有期限</w:t>
            </w:r>
            <w:r>
              <w:rPr>
                <w:rFonts w:ascii="宋体" w:hAnsi="宋体" w:hint="eastAsia"/>
                <w:color w:val="000000"/>
              </w:rPr>
              <w:t xml:space="preserve"> </w:t>
            </w:r>
          </w:p>
        </w:tc>
      </w:tr>
      <w:tr w:rsidR="002B4CA3" w14:paraId="610B2DD0" w14:textId="77777777">
        <w:trPr>
          <w:divId w:val="31892884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85C052" w14:textId="77777777" w:rsidR="005C5EC4" w:rsidRDefault="005C5EC4">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2FCE34" w14:textId="77777777" w:rsidR="005C5EC4" w:rsidRDefault="005C5EC4">
            <w:pPr>
              <w:widowControl/>
              <w:jc w:val="right"/>
            </w:pPr>
            <w:r>
              <w:rPr>
                <w:rFonts w:ascii="宋体" w:hAnsi="宋体" w:hint="eastAsia"/>
                <w:color w:val="000000"/>
                <w:szCs w:val="21"/>
              </w:rPr>
              <w:t>15,529,218.73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064E25" w14:textId="77777777" w:rsidR="005C5EC4" w:rsidRDefault="005C5EC4">
            <w:pPr>
              <w:widowControl/>
              <w:jc w:val="right"/>
            </w:pPr>
            <w:r>
              <w:rPr>
                <w:rFonts w:ascii="宋体" w:hAnsi="宋体" w:hint="eastAsia"/>
                <w:color w:val="000000"/>
                <w:szCs w:val="21"/>
              </w:rPr>
              <w:t>60.02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F0D68F" w14:textId="77777777" w:rsidR="005C5EC4" w:rsidRDefault="005C5EC4">
            <w:pPr>
              <w:widowControl/>
              <w:jc w:val="right"/>
            </w:pPr>
            <w:r>
              <w:rPr>
                <w:rFonts w:ascii="宋体" w:hAnsi="宋体" w:hint="eastAsia"/>
                <w:color w:val="000000"/>
                <w:szCs w:val="21"/>
              </w:rPr>
              <w:t>10,000,783.32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163DBC2" w14:textId="77777777" w:rsidR="005C5EC4" w:rsidRDefault="005C5EC4">
            <w:pPr>
              <w:widowControl/>
              <w:jc w:val="right"/>
            </w:pPr>
            <w:r>
              <w:rPr>
                <w:rFonts w:ascii="宋体" w:hAnsi="宋体" w:hint="eastAsia"/>
                <w:color w:val="000000"/>
                <w:szCs w:val="21"/>
              </w:rPr>
              <w:t>38.65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F2509B" w14:textId="77777777" w:rsidR="005C5EC4" w:rsidRDefault="005C5EC4">
            <w:pPr>
              <w:widowControl/>
              <w:jc w:val="right"/>
            </w:pPr>
            <w:r>
              <w:rPr>
                <w:rFonts w:ascii="宋体" w:hAnsi="宋体" w:hint="eastAsia"/>
                <w:color w:val="000000"/>
                <w:szCs w:val="21"/>
              </w:rPr>
              <w:t>3年</w:t>
            </w:r>
          </w:p>
        </w:tc>
      </w:tr>
      <w:tr w:rsidR="002B4CA3" w14:paraId="49D611B0" w14:textId="77777777">
        <w:trPr>
          <w:divId w:val="31892884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E97256" w14:textId="77777777" w:rsidR="005C5EC4" w:rsidRDefault="005C5EC4">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D404B1"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2C4BDAA"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ACE18C"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5599F2"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FF9A7A" w14:textId="77777777" w:rsidR="005C5EC4" w:rsidRDefault="005C5EC4">
            <w:pPr>
              <w:widowControl/>
              <w:jc w:val="right"/>
            </w:pPr>
            <w:r>
              <w:rPr>
                <w:rFonts w:ascii="宋体" w:hAnsi="宋体" w:hint="eastAsia"/>
                <w:color w:val="000000"/>
                <w:szCs w:val="21"/>
              </w:rPr>
              <w:t>-</w:t>
            </w:r>
          </w:p>
        </w:tc>
      </w:tr>
      <w:tr w:rsidR="002B4CA3" w14:paraId="747F8182" w14:textId="77777777">
        <w:trPr>
          <w:divId w:val="31892884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715ED6" w14:textId="77777777" w:rsidR="005C5EC4" w:rsidRDefault="005C5EC4">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4FFFAC"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1051B6"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1B8012"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0CFAEC"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02F50C" w14:textId="77777777" w:rsidR="005C5EC4" w:rsidRDefault="005C5EC4">
            <w:pPr>
              <w:widowControl/>
              <w:jc w:val="right"/>
            </w:pPr>
            <w:r>
              <w:rPr>
                <w:rFonts w:ascii="宋体" w:hAnsi="宋体" w:hint="eastAsia"/>
                <w:color w:val="000000"/>
                <w:szCs w:val="21"/>
              </w:rPr>
              <w:t>-</w:t>
            </w:r>
          </w:p>
        </w:tc>
      </w:tr>
      <w:tr w:rsidR="002B4CA3" w14:paraId="5E1B202C" w14:textId="77777777">
        <w:trPr>
          <w:divId w:val="31892884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984240" w14:textId="77777777" w:rsidR="005C5EC4" w:rsidRDefault="005C5EC4">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326BFE"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65A17B"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F0939F"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5C0D7B"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7E15E6" w14:textId="77777777" w:rsidR="005C5EC4" w:rsidRDefault="005C5EC4">
            <w:pPr>
              <w:widowControl/>
              <w:jc w:val="right"/>
            </w:pPr>
            <w:r>
              <w:rPr>
                <w:rFonts w:ascii="宋体" w:hAnsi="宋体" w:hint="eastAsia"/>
                <w:color w:val="000000"/>
                <w:szCs w:val="21"/>
              </w:rPr>
              <w:t>-</w:t>
            </w:r>
          </w:p>
        </w:tc>
      </w:tr>
      <w:tr w:rsidR="002B4CA3" w14:paraId="5F067304" w14:textId="77777777">
        <w:trPr>
          <w:divId w:val="31892884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AE2F7F" w14:textId="77777777" w:rsidR="005C5EC4" w:rsidRDefault="005C5EC4">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60EA1D"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021F3E"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757D05"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49E716" w14:textId="77777777" w:rsidR="005C5EC4" w:rsidRDefault="005C5EC4">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32E84B" w14:textId="77777777" w:rsidR="005C5EC4" w:rsidRDefault="005C5EC4">
            <w:pPr>
              <w:widowControl/>
              <w:jc w:val="right"/>
            </w:pPr>
            <w:r>
              <w:rPr>
                <w:rFonts w:ascii="宋体" w:hAnsi="宋体" w:hint="eastAsia"/>
                <w:color w:val="000000"/>
                <w:szCs w:val="21"/>
              </w:rPr>
              <w:t>-</w:t>
            </w:r>
          </w:p>
        </w:tc>
      </w:tr>
      <w:tr w:rsidR="002B4CA3" w14:paraId="03B905D8" w14:textId="77777777">
        <w:trPr>
          <w:divId w:val="318928840"/>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773E57" w14:textId="77777777" w:rsidR="005C5EC4" w:rsidRDefault="005C5EC4">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9F59F0" w14:textId="77777777" w:rsidR="005C5EC4" w:rsidRDefault="005C5EC4">
            <w:pPr>
              <w:widowControl/>
              <w:jc w:val="right"/>
            </w:pPr>
            <w:r>
              <w:rPr>
                <w:rFonts w:ascii="宋体" w:hAnsi="宋体" w:hint="eastAsia"/>
                <w:color w:val="000000"/>
                <w:szCs w:val="21"/>
              </w:rPr>
              <w:t>15,529,218.73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4A06DB" w14:textId="77777777" w:rsidR="005C5EC4" w:rsidRDefault="005C5EC4">
            <w:pPr>
              <w:widowControl/>
              <w:jc w:val="right"/>
            </w:pPr>
            <w:r>
              <w:rPr>
                <w:rFonts w:ascii="宋体" w:hAnsi="宋体" w:hint="eastAsia"/>
                <w:color w:val="000000"/>
                <w:szCs w:val="21"/>
              </w:rPr>
              <w:t>60.02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F5E204" w14:textId="77777777" w:rsidR="005C5EC4" w:rsidRDefault="005C5EC4">
            <w:pPr>
              <w:widowControl/>
              <w:jc w:val="right"/>
            </w:pPr>
            <w:r>
              <w:rPr>
                <w:rFonts w:ascii="宋体" w:hAnsi="宋体" w:hint="eastAsia"/>
                <w:color w:val="000000"/>
                <w:szCs w:val="21"/>
              </w:rPr>
              <w:t>10,000,783.32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EC8100" w14:textId="77777777" w:rsidR="005C5EC4" w:rsidRDefault="005C5EC4">
            <w:pPr>
              <w:widowControl/>
              <w:jc w:val="right"/>
            </w:pPr>
            <w:r>
              <w:rPr>
                <w:rFonts w:ascii="宋体" w:hAnsi="宋体" w:hint="eastAsia"/>
                <w:color w:val="000000"/>
                <w:szCs w:val="21"/>
              </w:rPr>
              <w:t>38.65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1DDD21" w14:textId="77777777" w:rsidR="005C5EC4" w:rsidRDefault="005C5EC4">
            <w:pPr>
              <w:widowControl/>
              <w:jc w:val="right"/>
            </w:pPr>
            <w:r>
              <w:rPr>
                <w:rFonts w:ascii="宋体" w:hAnsi="宋体" w:hint="eastAsia"/>
                <w:color w:val="000000"/>
                <w:szCs w:val="21"/>
              </w:rPr>
              <w:t>3年</w:t>
            </w:r>
          </w:p>
        </w:tc>
      </w:tr>
    </w:tbl>
    <w:p w14:paraId="6C21F48D" w14:textId="77777777" w:rsidR="005C5EC4" w:rsidRDefault="005C5EC4">
      <w:pPr>
        <w:pStyle w:val="XBRLTitle1"/>
        <w:spacing w:before="156" w:line="360" w:lineRule="auto"/>
        <w:ind w:left="425"/>
      </w:pPr>
      <w:bookmarkStart w:id="257" w:name="_Toc513386632"/>
      <w:bookmarkStart w:id="258" w:name="_Toc479856294"/>
      <w:bookmarkStart w:id="259" w:name="_Toc481075094"/>
      <w:bookmarkStart w:id="260" w:name="_Toc490050046"/>
      <w:bookmarkStart w:id="261" w:name="_Toc512519526"/>
      <w:bookmarkStart w:id="262" w:name="m701"/>
      <w:proofErr w:type="spellStart"/>
      <w:r>
        <w:rPr>
          <w:rFonts w:hAnsi="宋体" w:hint="eastAsia"/>
        </w:rPr>
        <w:t>影响投资者决策的其他重要信息</w:t>
      </w:r>
      <w:bookmarkEnd w:id="257"/>
      <w:bookmarkEnd w:id="258"/>
      <w:bookmarkEnd w:id="259"/>
      <w:bookmarkEnd w:id="260"/>
      <w:bookmarkEnd w:id="261"/>
      <w:proofErr w:type="spellEnd"/>
      <w:r>
        <w:rPr>
          <w:rFonts w:hAnsi="宋体" w:hint="eastAsia"/>
          <w:lang w:eastAsia="zh-CN"/>
        </w:rPr>
        <w:t xml:space="preserve"> </w:t>
      </w:r>
    </w:p>
    <w:p w14:paraId="6DAFB131" w14:textId="77777777" w:rsidR="005C5EC4" w:rsidRDefault="005C5EC4">
      <w:pPr>
        <w:pStyle w:val="XBRLTitle2"/>
        <w:spacing w:before="156" w:line="360" w:lineRule="auto"/>
        <w:ind w:left="454"/>
      </w:pPr>
      <w:bookmarkStart w:id="263" w:name="_Toc513386633"/>
      <w:bookmarkStart w:id="264" w:name="_Toc490050047"/>
      <w:bookmarkStart w:id="265" w:name="_Toc481075095"/>
      <w:bookmarkStart w:id="266" w:name="_Toc512519527"/>
      <w:r>
        <w:rPr>
          <w:rFonts w:hAnsi="宋体" w:hint="eastAsia"/>
          <w:kern w:val="0"/>
        </w:rPr>
        <w:t>报告期内单一投资者持有基金份额比例达到或超过20%的情况</w:t>
      </w:r>
      <w:bookmarkEnd w:id="263"/>
      <w:bookmarkEnd w:id="264"/>
      <w:bookmarkEnd w:id="265"/>
      <w:bookmarkEnd w:id="26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2B4CA3" w14:paraId="7552EC26" w14:textId="77777777">
        <w:trPr>
          <w:divId w:val="13830435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D9B44" w14:textId="77777777" w:rsidR="005C5EC4" w:rsidRDefault="005C5EC4">
            <w:pPr>
              <w:jc w:val="center"/>
            </w:pPr>
            <w:bookmarkStart w:id="267" w:name="OLE_LINK42"/>
            <w:bookmarkStart w:id="268" w:name="OLE_LINK41"/>
            <w:bookmarkStart w:id="269" w:name="m13_01"/>
            <w:bookmarkStart w:id="270" w:name="m13_01_01"/>
            <w:bookmarkStart w:id="271" w:name="_Toc433036733"/>
            <w:bookmarkStart w:id="272" w:name="m12_01"/>
            <w:bookmarkEnd w:id="32"/>
            <w:bookmarkEnd w:id="33"/>
            <w:bookmarkEnd w:id="267"/>
            <w:bookmarkEnd w:id="268"/>
            <w:bookmarkEnd w:id="269"/>
            <w:bookmarkEnd w:id="270"/>
            <w:bookmarkEnd w:id="271"/>
            <w:bookmarkEnd w:id="272"/>
            <w:bookmarkEnd w:id="18"/>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A39EC" w14:textId="77777777" w:rsidR="005C5EC4" w:rsidRDefault="005C5EC4">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CF1BF" w14:textId="77777777" w:rsidR="005C5EC4" w:rsidRDefault="005C5EC4">
            <w:pPr>
              <w:widowControl/>
              <w:jc w:val="center"/>
            </w:pPr>
            <w:r>
              <w:rPr>
                <w:rFonts w:ascii="宋体" w:hAnsi="宋体" w:hint="eastAsia"/>
                <w:color w:val="000000"/>
                <w:kern w:val="0"/>
              </w:rPr>
              <w:t xml:space="preserve">报告期末持有基金情况 </w:t>
            </w:r>
          </w:p>
        </w:tc>
      </w:tr>
      <w:tr w:rsidR="002B4CA3" w14:paraId="643423AC" w14:textId="77777777">
        <w:trPr>
          <w:divId w:val="13830435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A5DC0" w14:textId="77777777" w:rsidR="005C5EC4" w:rsidRDefault="005C5EC4">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B509D" w14:textId="77777777" w:rsidR="005C5EC4" w:rsidRDefault="005C5EC4">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063E9" w14:textId="77777777" w:rsidR="005C5EC4" w:rsidRDefault="005C5EC4">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5C96B" w14:textId="77777777" w:rsidR="005C5EC4" w:rsidRDefault="005C5EC4">
            <w:pPr>
              <w:widowControl/>
              <w:jc w:val="center"/>
            </w:pPr>
            <w:r>
              <w:rPr>
                <w:rFonts w:ascii="宋体" w:hAnsi="宋体" w:hint="eastAsia"/>
                <w:color w:val="000000"/>
                <w:kern w:val="0"/>
              </w:rPr>
              <w:t xml:space="preserve">期初 </w:t>
            </w:r>
          </w:p>
          <w:p w14:paraId="04CCFDAB" w14:textId="77777777" w:rsidR="005C5EC4" w:rsidRDefault="005C5EC4">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C3CE5" w14:textId="77777777" w:rsidR="005C5EC4" w:rsidRDefault="005C5EC4">
            <w:pPr>
              <w:widowControl/>
              <w:jc w:val="center"/>
            </w:pPr>
            <w:r>
              <w:rPr>
                <w:rFonts w:ascii="宋体" w:hAnsi="宋体" w:hint="eastAsia"/>
                <w:color w:val="000000"/>
                <w:kern w:val="0"/>
              </w:rPr>
              <w:t xml:space="preserve">申购 </w:t>
            </w:r>
          </w:p>
          <w:p w14:paraId="07290ABE" w14:textId="77777777" w:rsidR="005C5EC4" w:rsidRDefault="005C5EC4">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DBD91" w14:textId="77777777" w:rsidR="005C5EC4" w:rsidRDefault="005C5EC4">
            <w:pPr>
              <w:widowControl/>
              <w:jc w:val="center"/>
            </w:pPr>
            <w:r>
              <w:rPr>
                <w:rFonts w:ascii="宋体" w:hAnsi="宋体" w:hint="eastAsia"/>
                <w:color w:val="000000"/>
                <w:kern w:val="0"/>
              </w:rPr>
              <w:t xml:space="preserve">赎回 </w:t>
            </w:r>
          </w:p>
          <w:p w14:paraId="74AE3366" w14:textId="77777777" w:rsidR="005C5EC4" w:rsidRDefault="005C5EC4">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6B415" w14:textId="77777777" w:rsidR="005C5EC4" w:rsidRDefault="005C5EC4">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77659" w14:textId="77777777" w:rsidR="005C5EC4" w:rsidRDefault="005C5EC4">
            <w:pPr>
              <w:widowControl/>
              <w:jc w:val="center"/>
            </w:pPr>
            <w:r>
              <w:rPr>
                <w:rFonts w:ascii="宋体" w:hAnsi="宋体" w:hint="eastAsia"/>
                <w:color w:val="000000"/>
                <w:kern w:val="0"/>
              </w:rPr>
              <w:t xml:space="preserve">份额占比 </w:t>
            </w:r>
          </w:p>
        </w:tc>
      </w:tr>
      <w:tr w:rsidR="002B4CA3" w14:paraId="3662540F" w14:textId="77777777">
        <w:trPr>
          <w:divId w:val="138304357"/>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97A8A" w14:textId="77777777" w:rsidR="005C5EC4" w:rsidRDefault="005C5EC4">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EE00C" w14:textId="77777777" w:rsidR="005C5EC4" w:rsidRDefault="005C5EC4">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5CCA7" w14:textId="77777777" w:rsidR="005C5EC4" w:rsidRDefault="005C5EC4">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90786" w14:textId="77777777" w:rsidR="005C5EC4" w:rsidRDefault="005C5EC4">
            <w:pPr>
              <w:widowControl/>
              <w:jc w:val="right"/>
            </w:pPr>
            <w:r>
              <w:rPr>
                <w:rFonts w:ascii="宋体" w:hAnsi="宋体" w:hint="eastAsia"/>
                <w:color w:val="000000"/>
                <w:szCs w:val="21"/>
              </w:rPr>
              <w:t>14,999,675.00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2715A" w14:textId="77777777" w:rsidR="005C5EC4" w:rsidRDefault="005C5EC4">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36316" w14:textId="77777777" w:rsidR="005C5EC4" w:rsidRDefault="005C5EC4">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D1137" w14:textId="77777777" w:rsidR="005C5EC4" w:rsidRDefault="005C5EC4">
            <w:pPr>
              <w:widowControl/>
              <w:jc w:val="right"/>
            </w:pPr>
            <w:r>
              <w:rPr>
                <w:rFonts w:ascii="宋体" w:hAnsi="宋体" w:hint="eastAsia"/>
                <w:color w:val="000000"/>
                <w:szCs w:val="21"/>
              </w:rPr>
              <w:t>14,999,675.00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A5D18" w14:textId="77777777" w:rsidR="005C5EC4" w:rsidRDefault="005C5EC4">
            <w:pPr>
              <w:widowControl/>
              <w:jc w:val="right"/>
            </w:pPr>
            <w:r>
              <w:rPr>
                <w:rFonts w:ascii="宋体" w:hAnsi="宋体" w:hint="eastAsia"/>
                <w:color w:val="000000"/>
                <w:szCs w:val="21"/>
              </w:rPr>
              <w:t>57.97</w:t>
            </w:r>
            <w:r>
              <w:rPr>
                <w:szCs w:val="21"/>
              </w:rPr>
              <w:t>%</w:t>
            </w:r>
            <w:r>
              <w:t xml:space="preserve"> </w:t>
            </w:r>
          </w:p>
        </w:tc>
      </w:tr>
      <w:tr w:rsidR="002B4CA3" w14:paraId="25902566" w14:textId="77777777">
        <w:trPr>
          <w:divId w:val="13830435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FA454" w14:textId="77777777" w:rsidR="005C5EC4" w:rsidRDefault="005C5EC4">
            <w:pPr>
              <w:widowControl/>
              <w:jc w:val="center"/>
            </w:pPr>
            <w:r>
              <w:rPr>
                <w:rFonts w:ascii="宋体" w:hAnsi="宋体" w:hint="eastAsia"/>
                <w:color w:val="000000"/>
                <w:kern w:val="0"/>
              </w:rPr>
              <w:t xml:space="preserve">产品特有风险 </w:t>
            </w:r>
          </w:p>
        </w:tc>
      </w:tr>
      <w:tr w:rsidR="002B4CA3" w14:paraId="2550911C" w14:textId="77777777">
        <w:trPr>
          <w:divId w:val="13830435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78FB3" w14:textId="77777777" w:rsidR="005C5EC4" w:rsidRDefault="005C5EC4">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EDB92CD" w14:textId="77777777" w:rsidR="005C5EC4" w:rsidRDefault="005C5EC4">
      <w:pPr>
        <w:pStyle w:val="XBRLTitle1"/>
        <w:spacing w:before="156" w:line="360" w:lineRule="auto"/>
        <w:ind w:left="425"/>
      </w:pPr>
      <w:bookmarkStart w:id="273" w:name="_Toc513386635"/>
      <w:bookmarkStart w:id="274" w:name="_Toc438646481"/>
      <w:bookmarkStart w:id="275" w:name="_Toc481075097"/>
      <w:bookmarkStart w:id="276" w:name="_Toc490050049"/>
      <w:bookmarkStart w:id="277" w:name="_Toc512519529"/>
      <w:bookmarkEnd w:id="262"/>
      <w:proofErr w:type="spellStart"/>
      <w:r>
        <w:rPr>
          <w:rFonts w:hAnsi="宋体" w:hint="eastAsia"/>
        </w:rPr>
        <w:t>备查文件目录</w:t>
      </w:r>
      <w:bookmarkEnd w:id="273"/>
      <w:bookmarkEnd w:id="274"/>
      <w:bookmarkEnd w:id="275"/>
      <w:bookmarkEnd w:id="276"/>
      <w:bookmarkEnd w:id="277"/>
      <w:proofErr w:type="spellEnd"/>
      <w:r>
        <w:rPr>
          <w:rFonts w:hAnsi="宋体" w:hint="eastAsia"/>
        </w:rPr>
        <w:t xml:space="preserve"> </w:t>
      </w:r>
    </w:p>
    <w:p w14:paraId="689B7BB7" w14:textId="77777777" w:rsidR="005C5EC4" w:rsidRDefault="005C5EC4">
      <w:pPr>
        <w:pStyle w:val="XBRLTitle2"/>
        <w:spacing w:before="156" w:line="360" w:lineRule="auto"/>
        <w:ind w:left="454"/>
      </w:pPr>
      <w:bookmarkStart w:id="278" w:name="_Toc438646482"/>
      <w:bookmarkStart w:id="279" w:name="_Toc513386636"/>
      <w:bookmarkStart w:id="280" w:name="_Toc490050050"/>
      <w:bookmarkStart w:id="281" w:name="_Toc481075098"/>
      <w:bookmarkStart w:id="282" w:name="_Toc512519530"/>
      <w:bookmarkStart w:id="283" w:name="m801_01_1733"/>
      <w:proofErr w:type="spellStart"/>
      <w:r>
        <w:rPr>
          <w:rFonts w:hAnsi="宋体" w:hint="eastAsia"/>
        </w:rPr>
        <w:t>备查文件目录</w:t>
      </w:r>
      <w:bookmarkEnd w:id="278"/>
      <w:bookmarkEnd w:id="279"/>
      <w:bookmarkEnd w:id="280"/>
      <w:bookmarkEnd w:id="281"/>
      <w:bookmarkEnd w:id="282"/>
      <w:proofErr w:type="spellEnd"/>
      <w:r>
        <w:rPr>
          <w:rFonts w:hAnsi="宋体" w:hint="eastAsia"/>
        </w:rPr>
        <w:t xml:space="preserve"> </w:t>
      </w:r>
    </w:p>
    <w:p w14:paraId="2FE612FE" w14:textId="77777777" w:rsidR="005C5EC4" w:rsidRDefault="005C5EC4">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深300指数增强型发起式证券投资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深300指数增强型发起式证券投资基金托管协议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8736940" w14:textId="77777777" w:rsidR="005C5EC4" w:rsidRDefault="005C5EC4">
      <w:pPr>
        <w:pStyle w:val="XBRLTitle2"/>
        <w:spacing w:before="156" w:line="360" w:lineRule="auto"/>
        <w:ind w:left="454"/>
      </w:pPr>
      <w:bookmarkStart w:id="284" w:name="_Toc438646483"/>
      <w:bookmarkStart w:id="285" w:name="_Toc513386637"/>
      <w:bookmarkStart w:id="286" w:name="_Toc490050051"/>
      <w:bookmarkStart w:id="287" w:name="_Toc481075099"/>
      <w:bookmarkStart w:id="288" w:name="_Toc512519531"/>
      <w:bookmarkStart w:id="289" w:name="m801_01_1734"/>
      <w:bookmarkEnd w:id="283"/>
      <w:proofErr w:type="spellStart"/>
      <w:r>
        <w:rPr>
          <w:rFonts w:hAnsi="宋体" w:hint="eastAsia"/>
        </w:rPr>
        <w:t>存放地点</w:t>
      </w:r>
      <w:bookmarkEnd w:id="284"/>
      <w:bookmarkEnd w:id="285"/>
      <w:bookmarkEnd w:id="286"/>
      <w:bookmarkEnd w:id="287"/>
      <w:bookmarkEnd w:id="288"/>
      <w:proofErr w:type="spellEnd"/>
      <w:r>
        <w:rPr>
          <w:rFonts w:hAnsi="宋体" w:hint="eastAsia"/>
        </w:rPr>
        <w:t xml:space="preserve"> </w:t>
      </w:r>
    </w:p>
    <w:p w14:paraId="6E9980F5" w14:textId="77777777" w:rsidR="005C5EC4" w:rsidRDefault="005C5EC4">
      <w:pPr>
        <w:spacing w:line="360" w:lineRule="auto"/>
        <w:ind w:firstLineChars="200" w:firstLine="420"/>
        <w:jc w:val="left"/>
      </w:pPr>
      <w:r>
        <w:rPr>
          <w:rFonts w:ascii="宋体" w:hAnsi="宋体" w:cs="宋体" w:hint="eastAsia"/>
          <w:color w:val="000000"/>
          <w:kern w:val="0"/>
        </w:rPr>
        <w:t>基金管理人或基金托管人住所。</w:t>
      </w:r>
    </w:p>
    <w:p w14:paraId="11F52680" w14:textId="77777777" w:rsidR="005C5EC4" w:rsidRDefault="005C5EC4">
      <w:pPr>
        <w:pStyle w:val="XBRLTitle2"/>
        <w:spacing w:before="156" w:line="360" w:lineRule="auto"/>
        <w:ind w:left="454"/>
      </w:pPr>
      <w:bookmarkStart w:id="290" w:name="_Toc438646484"/>
      <w:bookmarkStart w:id="291" w:name="_Toc513386638"/>
      <w:bookmarkStart w:id="292" w:name="_Toc490050052"/>
      <w:bookmarkStart w:id="293" w:name="_Toc481075100"/>
      <w:bookmarkStart w:id="294" w:name="_Toc512519532"/>
      <w:bookmarkStart w:id="295" w:name="m801_01_1735"/>
      <w:bookmarkEnd w:id="289"/>
      <w:proofErr w:type="spellStart"/>
      <w:r>
        <w:rPr>
          <w:rFonts w:hAnsi="宋体" w:hint="eastAsia"/>
        </w:rPr>
        <w:t>查阅方式</w:t>
      </w:r>
      <w:bookmarkEnd w:id="290"/>
      <w:bookmarkEnd w:id="291"/>
      <w:bookmarkEnd w:id="292"/>
      <w:bookmarkEnd w:id="293"/>
      <w:bookmarkEnd w:id="294"/>
      <w:proofErr w:type="spellEnd"/>
      <w:r>
        <w:rPr>
          <w:rFonts w:hAnsi="宋体" w:hint="eastAsia"/>
        </w:rPr>
        <w:t xml:space="preserve"> </w:t>
      </w:r>
    </w:p>
    <w:p w14:paraId="04D2BAC5" w14:textId="77777777" w:rsidR="005C5EC4" w:rsidRDefault="005C5EC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95"/>
    <w:p w14:paraId="2353C8DF" w14:textId="77777777" w:rsidR="005C5EC4" w:rsidRDefault="005C5EC4">
      <w:pPr>
        <w:spacing w:line="360" w:lineRule="auto"/>
        <w:ind w:firstLineChars="600" w:firstLine="1687"/>
        <w:jc w:val="left"/>
      </w:pPr>
      <w:r>
        <w:rPr>
          <w:rFonts w:ascii="宋体" w:hAnsi="宋体" w:hint="eastAsia"/>
          <w:b/>
          <w:bCs/>
          <w:sz w:val="28"/>
          <w:szCs w:val="30"/>
        </w:rPr>
        <w:t xml:space="preserve">　 </w:t>
      </w:r>
    </w:p>
    <w:p w14:paraId="604DDA6B" w14:textId="77777777" w:rsidR="005C5EC4" w:rsidRDefault="005C5EC4">
      <w:pPr>
        <w:spacing w:line="360" w:lineRule="auto"/>
        <w:ind w:firstLineChars="600" w:firstLine="1687"/>
        <w:jc w:val="left"/>
      </w:pPr>
      <w:r>
        <w:rPr>
          <w:rFonts w:ascii="宋体" w:hAnsi="宋体" w:hint="eastAsia"/>
          <w:b/>
          <w:bCs/>
          <w:sz w:val="28"/>
          <w:szCs w:val="30"/>
        </w:rPr>
        <w:t xml:space="preserve">　 </w:t>
      </w:r>
    </w:p>
    <w:p w14:paraId="25C118AF" w14:textId="77777777" w:rsidR="005C5EC4" w:rsidRDefault="005C5EC4">
      <w:pPr>
        <w:spacing w:line="360" w:lineRule="auto"/>
        <w:ind w:firstLineChars="600" w:firstLine="1446"/>
        <w:jc w:val="right"/>
      </w:pPr>
      <w:r>
        <w:rPr>
          <w:rFonts w:ascii="宋体" w:hAnsi="宋体" w:hint="eastAsia"/>
          <w:b/>
          <w:bCs/>
          <w:sz w:val="24"/>
          <w:szCs w:val="24"/>
        </w:rPr>
        <w:t>摩根基金管理（中国）有限公司</w:t>
      </w:r>
    </w:p>
    <w:p w14:paraId="7BDCB4EE" w14:textId="77777777" w:rsidR="005C5EC4" w:rsidRDefault="005C5EC4">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19"/>
    </w:p>
    <w:p w14:paraId="70B6E000" w14:textId="77777777" w:rsidR="00695A86" w:rsidRDefault="00695A86">
      <w:pPr>
        <w:spacing w:line="360" w:lineRule="auto"/>
        <w:ind w:firstLineChars="600" w:firstLine="1260"/>
        <w:jc w:val="right"/>
        <w:rPr>
          <w:rFonts w:hint="eastAsia"/>
        </w:rPr>
      </w:pPr>
    </w:p>
    <w:sectPr w:rsidR="00695A8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B4F1" w14:textId="77777777" w:rsidR="005C5EC4" w:rsidRDefault="005C5EC4">
      <w:pPr>
        <w:rPr>
          <w:szCs w:val="21"/>
        </w:rPr>
      </w:pPr>
      <w:r>
        <w:rPr>
          <w:szCs w:val="21"/>
        </w:rPr>
        <w:separator/>
      </w:r>
      <w:r>
        <w:rPr>
          <w:szCs w:val="21"/>
        </w:rPr>
        <w:t xml:space="preserve"> </w:t>
      </w:r>
    </w:p>
  </w:endnote>
  <w:endnote w:type="continuationSeparator" w:id="0">
    <w:p w14:paraId="3C6EA90B" w14:textId="77777777" w:rsidR="005C5EC4" w:rsidRDefault="005C5EC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5399" w14:textId="77777777" w:rsidR="005C5EC4" w:rsidRDefault="005C5EC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8600" w14:textId="77777777" w:rsidR="005C5EC4" w:rsidRDefault="005C5EC4">
      <w:pPr>
        <w:rPr>
          <w:szCs w:val="21"/>
        </w:rPr>
      </w:pPr>
      <w:r>
        <w:rPr>
          <w:szCs w:val="21"/>
        </w:rPr>
        <w:separator/>
      </w:r>
      <w:r>
        <w:rPr>
          <w:szCs w:val="21"/>
        </w:rPr>
        <w:t xml:space="preserve"> </w:t>
      </w:r>
    </w:p>
  </w:footnote>
  <w:footnote w:type="continuationSeparator" w:id="0">
    <w:p w14:paraId="16AE570D" w14:textId="77777777" w:rsidR="005C5EC4" w:rsidRDefault="005C5EC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ED53" w14:textId="77777777" w:rsidR="005C5EC4" w:rsidRDefault="005C5EC4">
    <w:pPr>
      <w:pStyle w:val="a8"/>
      <w:jc w:val="right"/>
    </w:pPr>
    <w:proofErr w:type="gramStart"/>
    <w:r>
      <w:rPr>
        <w:rFonts w:ascii="宋体" w:hAnsi="宋体" w:hint="eastAsia"/>
      </w:rPr>
      <w:t>摩根沪</w:t>
    </w:r>
    <w:proofErr w:type="gramEnd"/>
    <w:r>
      <w:rPr>
        <w:rFonts w:ascii="宋体" w:hAnsi="宋体" w:hint="eastAsia"/>
      </w:rPr>
      <w:t>深300指数增强型发起式证券投资基金2025年第3季度报告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90137457">
    <w:abstractNumId w:val="0"/>
  </w:num>
  <w:num w:numId="2" w16cid:durableId="116410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C4"/>
    <w:rsid w:val="002B4CA3"/>
    <w:rsid w:val="005C5EC4"/>
    <w:rsid w:val="00695A86"/>
    <w:rsid w:val="009418DC"/>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C8AAD0A"/>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9198">
      <w:marLeft w:val="0"/>
      <w:marRight w:val="0"/>
      <w:marTop w:val="0"/>
      <w:marBottom w:val="0"/>
      <w:divBdr>
        <w:top w:val="none" w:sz="0" w:space="0" w:color="auto"/>
        <w:left w:val="none" w:sz="0" w:space="0" w:color="auto"/>
        <w:bottom w:val="none" w:sz="0" w:space="0" w:color="auto"/>
        <w:right w:val="none" w:sz="0" w:space="0" w:color="auto"/>
      </w:divBdr>
    </w:div>
    <w:div w:id="90928913">
      <w:marLeft w:val="0"/>
      <w:marRight w:val="0"/>
      <w:marTop w:val="0"/>
      <w:marBottom w:val="0"/>
      <w:divBdr>
        <w:top w:val="none" w:sz="0" w:space="0" w:color="auto"/>
        <w:left w:val="none" w:sz="0" w:space="0" w:color="auto"/>
        <w:bottom w:val="none" w:sz="0" w:space="0" w:color="auto"/>
        <w:right w:val="none" w:sz="0" w:space="0" w:color="auto"/>
      </w:divBdr>
      <w:divsChild>
        <w:div w:id="1140655591">
          <w:marLeft w:val="0"/>
          <w:marRight w:val="0"/>
          <w:marTop w:val="0"/>
          <w:marBottom w:val="0"/>
          <w:divBdr>
            <w:top w:val="none" w:sz="0" w:space="0" w:color="auto"/>
            <w:left w:val="none" w:sz="0" w:space="0" w:color="auto"/>
            <w:bottom w:val="none" w:sz="0" w:space="0" w:color="auto"/>
            <w:right w:val="none" w:sz="0" w:space="0" w:color="auto"/>
          </w:divBdr>
        </w:div>
      </w:divsChild>
    </w:div>
    <w:div w:id="113257975">
      <w:marLeft w:val="0"/>
      <w:marRight w:val="0"/>
      <w:marTop w:val="0"/>
      <w:marBottom w:val="0"/>
      <w:divBdr>
        <w:top w:val="none" w:sz="0" w:space="0" w:color="auto"/>
        <w:left w:val="none" w:sz="0" w:space="0" w:color="auto"/>
        <w:bottom w:val="none" w:sz="0" w:space="0" w:color="auto"/>
        <w:right w:val="none" w:sz="0" w:space="0" w:color="auto"/>
      </w:divBdr>
    </w:div>
    <w:div w:id="138304357">
      <w:marLeft w:val="0"/>
      <w:marRight w:val="0"/>
      <w:marTop w:val="0"/>
      <w:marBottom w:val="0"/>
      <w:divBdr>
        <w:top w:val="none" w:sz="0" w:space="0" w:color="auto"/>
        <w:left w:val="none" w:sz="0" w:space="0" w:color="auto"/>
        <w:bottom w:val="none" w:sz="0" w:space="0" w:color="auto"/>
        <w:right w:val="none" w:sz="0" w:space="0" w:color="auto"/>
      </w:divBdr>
    </w:div>
    <w:div w:id="318928840">
      <w:marLeft w:val="0"/>
      <w:marRight w:val="0"/>
      <w:marTop w:val="0"/>
      <w:marBottom w:val="0"/>
      <w:divBdr>
        <w:top w:val="none" w:sz="0" w:space="0" w:color="auto"/>
        <w:left w:val="none" w:sz="0" w:space="0" w:color="auto"/>
        <w:bottom w:val="none" w:sz="0" w:space="0" w:color="auto"/>
        <w:right w:val="none" w:sz="0" w:space="0" w:color="auto"/>
      </w:divBdr>
    </w:div>
    <w:div w:id="390932502">
      <w:marLeft w:val="0"/>
      <w:marRight w:val="0"/>
      <w:marTop w:val="0"/>
      <w:marBottom w:val="0"/>
      <w:divBdr>
        <w:top w:val="none" w:sz="0" w:space="0" w:color="auto"/>
        <w:left w:val="none" w:sz="0" w:space="0" w:color="auto"/>
        <w:bottom w:val="none" w:sz="0" w:space="0" w:color="auto"/>
        <w:right w:val="none" w:sz="0" w:space="0" w:color="auto"/>
      </w:divBdr>
    </w:div>
    <w:div w:id="439641450">
      <w:marLeft w:val="0"/>
      <w:marRight w:val="0"/>
      <w:marTop w:val="0"/>
      <w:marBottom w:val="0"/>
      <w:divBdr>
        <w:top w:val="none" w:sz="0" w:space="0" w:color="auto"/>
        <w:left w:val="none" w:sz="0" w:space="0" w:color="auto"/>
        <w:bottom w:val="none" w:sz="0" w:space="0" w:color="auto"/>
        <w:right w:val="none" w:sz="0" w:space="0" w:color="auto"/>
      </w:divBdr>
      <w:divsChild>
        <w:div w:id="548416796">
          <w:marLeft w:val="0"/>
          <w:marRight w:val="0"/>
          <w:marTop w:val="0"/>
          <w:marBottom w:val="0"/>
          <w:divBdr>
            <w:top w:val="none" w:sz="0" w:space="0" w:color="auto"/>
            <w:left w:val="none" w:sz="0" w:space="0" w:color="auto"/>
            <w:bottom w:val="none" w:sz="0" w:space="0" w:color="auto"/>
            <w:right w:val="none" w:sz="0" w:space="0" w:color="auto"/>
          </w:divBdr>
        </w:div>
      </w:divsChild>
    </w:div>
    <w:div w:id="512182953">
      <w:marLeft w:val="0"/>
      <w:marRight w:val="0"/>
      <w:marTop w:val="0"/>
      <w:marBottom w:val="0"/>
      <w:divBdr>
        <w:top w:val="none" w:sz="0" w:space="0" w:color="auto"/>
        <w:left w:val="none" w:sz="0" w:space="0" w:color="auto"/>
        <w:bottom w:val="none" w:sz="0" w:space="0" w:color="auto"/>
        <w:right w:val="none" w:sz="0" w:space="0" w:color="auto"/>
      </w:divBdr>
      <w:divsChild>
        <w:div w:id="1498156667">
          <w:marLeft w:val="0"/>
          <w:marRight w:val="0"/>
          <w:marTop w:val="0"/>
          <w:marBottom w:val="0"/>
          <w:divBdr>
            <w:top w:val="none" w:sz="0" w:space="0" w:color="auto"/>
            <w:left w:val="none" w:sz="0" w:space="0" w:color="auto"/>
            <w:bottom w:val="none" w:sz="0" w:space="0" w:color="auto"/>
            <w:right w:val="none" w:sz="0" w:space="0" w:color="auto"/>
          </w:divBdr>
        </w:div>
      </w:divsChild>
    </w:div>
    <w:div w:id="873931405">
      <w:marLeft w:val="0"/>
      <w:marRight w:val="0"/>
      <w:marTop w:val="0"/>
      <w:marBottom w:val="0"/>
      <w:divBdr>
        <w:top w:val="none" w:sz="0" w:space="0" w:color="auto"/>
        <w:left w:val="none" w:sz="0" w:space="0" w:color="auto"/>
        <w:bottom w:val="none" w:sz="0" w:space="0" w:color="auto"/>
        <w:right w:val="none" w:sz="0" w:space="0" w:color="auto"/>
      </w:divBdr>
    </w:div>
    <w:div w:id="1154639725">
      <w:marLeft w:val="0"/>
      <w:marRight w:val="0"/>
      <w:marTop w:val="0"/>
      <w:marBottom w:val="0"/>
      <w:divBdr>
        <w:top w:val="none" w:sz="0" w:space="0" w:color="auto"/>
        <w:left w:val="none" w:sz="0" w:space="0" w:color="auto"/>
        <w:bottom w:val="none" w:sz="0" w:space="0" w:color="auto"/>
        <w:right w:val="none" w:sz="0" w:space="0" w:color="auto"/>
      </w:divBdr>
    </w:div>
    <w:div w:id="1270357141">
      <w:marLeft w:val="0"/>
      <w:marRight w:val="0"/>
      <w:marTop w:val="0"/>
      <w:marBottom w:val="0"/>
      <w:divBdr>
        <w:top w:val="none" w:sz="0" w:space="0" w:color="auto"/>
        <w:left w:val="none" w:sz="0" w:space="0" w:color="auto"/>
        <w:bottom w:val="none" w:sz="0" w:space="0" w:color="auto"/>
        <w:right w:val="none" w:sz="0" w:space="0" w:color="auto"/>
      </w:divBdr>
    </w:div>
    <w:div w:id="1481993980">
      <w:marLeft w:val="0"/>
      <w:marRight w:val="0"/>
      <w:marTop w:val="0"/>
      <w:marBottom w:val="0"/>
      <w:divBdr>
        <w:top w:val="none" w:sz="0" w:space="0" w:color="auto"/>
        <w:left w:val="none" w:sz="0" w:space="0" w:color="auto"/>
        <w:bottom w:val="none" w:sz="0" w:space="0" w:color="auto"/>
        <w:right w:val="none" w:sz="0" w:space="0" w:color="auto"/>
      </w:divBdr>
    </w:div>
    <w:div w:id="1604222184">
      <w:marLeft w:val="0"/>
      <w:marRight w:val="0"/>
      <w:marTop w:val="0"/>
      <w:marBottom w:val="0"/>
      <w:divBdr>
        <w:top w:val="none" w:sz="0" w:space="0" w:color="auto"/>
        <w:left w:val="none" w:sz="0" w:space="0" w:color="auto"/>
        <w:bottom w:val="none" w:sz="0" w:space="0" w:color="auto"/>
        <w:right w:val="none" w:sz="0" w:space="0" w:color="auto"/>
      </w:divBdr>
    </w:div>
    <w:div w:id="1765304358">
      <w:marLeft w:val="0"/>
      <w:marRight w:val="0"/>
      <w:marTop w:val="0"/>
      <w:marBottom w:val="0"/>
      <w:divBdr>
        <w:top w:val="none" w:sz="0" w:space="0" w:color="auto"/>
        <w:left w:val="none" w:sz="0" w:space="0" w:color="auto"/>
        <w:bottom w:val="none" w:sz="0" w:space="0" w:color="auto"/>
        <w:right w:val="none" w:sz="0" w:space="0" w:color="auto"/>
      </w:divBdr>
    </w:div>
    <w:div w:id="1789083533">
      <w:marLeft w:val="0"/>
      <w:marRight w:val="0"/>
      <w:marTop w:val="0"/>
      <w:marBottom w:val="0"/>
      <w:divBdr>
        <w:top w:val="none" w:sz="0" w:space="0" w:color="auto"/>
        <w:left w:val="none" w:sz="0" w:space="0" w:color="auto"/>
        <w:bottom w:val="none" w:sz="0" w:space="0" w:color="auto"/>
        <w:right w:val="none" w:sz="0" w:space="0" w:color="auto"/>
      </w:divBdr>
    </w:div>
    <w:div w:id="1804694747">
      <w:marLeft w:val="0"/>
      <w:marRight w:val="0"/>
      <w:marTop w:val="0"/>
      <w:marBottom w:val="0"/>
      <w:divBdr>
        <w:top w:val="none" w:sz="0" w:space="0" w:color="auto"/>
        <w:left w:val="none" w:sz="0" w:space="0" w:color="auto"/>
        <w:bottom w:val="none" w:sz="0" w:space="0" w:color="auto"/>
        <w:right w:val="none" w:sz="0" w:space="0" w:color="auto"/>
      </w:divBdr>
      <w:divsChild>
        <w:div w:id="2065910879">
          <w:marLeft w:val="0"/>
          <w:marRight w:val="0"/>
          <w:marTop w:val="0"/>
          <w:marBottom w:val="0"/>
          <w:divBdr>
            <w:top w:val="none" w:sz="0" w:space="0" w:color="auto"/>
            <w:left w:val="none" w:sz="0" w:space="0" w:color="auto"/>
            <w:bottom w:val="none" w:sz="0" w:space="0" w:color="auto"/>
            <w:right w:val="none" w:sz="0" w:space="0" w:color="auto"/>
          </w:divBdr>
        </w:div>
      </w:divsChild>
    </w:div>
    <w:div w:id="1809006647">
      <w:marLeft w:val="0"/>
      <w:marRight w:val="0"/>
      <w:marTop w:val="0"/>
      <w:marBottom w:val="0"/>
      <w:divBdr>
        <w:top w:val="none" w:sz="0" w:space="0" w:color="auto"/>
        <w:left w:val="none" w:sz="0" w:space="0" w:color="auto"/>
        <w:bottom w:val="none" w:sz="0" w:space="0" w:color="auto"/>
        <w:right w:val="none" w:sz="0" w:space="0" w:color="auto"/>
      </w:divBdr>
    </w:div>
    <w:div w:id="1845784260">
      <w:marLeft w:val="0"/>
      <w:marRight w:val="0"/>
      <w:marTop w:val="0"/>
      <w:marBottom w:val="0"/>
      <w:divBdr>
        <w:top w:val="none" w:sz="0" w:space="0" w:color="auto"/>
        <w:left w:val="none" w:sz="0" w:space="0" w:color="auto"/>
        <w:bottom w:val="none" w:sz="0" w:space="0" w:color="auto"/>
        <w:right w:val="none" w:sz="0" w:space="0" w:color="auto"/>
      </w:divBdr>
    </w:div>
    <w:div w:id="1902472404">
      <w:marLeft w:val="0"/>
      <w:marRight w:val="0"/>
      <w:marTop w:val="0"/>
      <w:marBottom w:val="0"/>
      <w:divBdr>
        <w:top w:val="none" w:sz="0" w:space="0" w:color="auto"/>
        <w:left w:val="none" w:sz="0" w:space="0" w:color="auto"/>
        <w:bottom w:val="none" w:sz="0" w:space="0" w:color="auto"/>
        <w:right w:val="none" w:sz="0" w:space="0" w:color="auto"/>
      </w:divBdr>
    </w:div>
    <w:div w:id="1933588736">
      <w:marLeft w:val="0"/>
      <w:marRight w:val="0"/>
      <w:marTop w:val="0"/>
      <w:marBottom w:val="0"/>
      <w:divBdr>
        <w:top w:val="none" w:sz="0" w:space="0" w:color="auto"/>
        <w:left w:val="none" w:sz="0" w:space="0" w:color="auto"/>
        <w:bottom w:val="none" w:sz="0" w:space="0" w:color="auto"/>
        <w:right w:val="none" w:sz="0" w:space="0" w:color="auto"/>
      </w:divBdr>
    </w:div>
    <w:div w:id="2030597900">
      <w:marLeft w:val="0"/>
      <w:marRight w:val="0"/>
      <w:marTop w:val="0"/>
      <w:marBottom w:val="0"/>
      <w:divBdr>
        <w:top w:val="none" w:sz="0" w:space="0" w:color="auto"/>
        <w:left w:val="none" w:sz="0" w:space="0" w:color="auto"/>
        <w:bottom w:val="none" w:sz="0" w:space="0" w:color="auto"/>
        <w:right w:val="none" w:sz="0" w:space="0" w:color="auto"/>
      </w:divBdr>
    </w:div>
    <w:div w:id="2053798386">
      <w:marLeft w:val="0"/>
      <w:marRight w:val="0"/>
      <w:marTop w:val="0"/>
      <w:marBottom w:val="0"/>
      <w:divBdr>
        <w:top w:val="none" w:sz="0" w:space="0" w:color="auto"/>
        <w:left w:val="none" w:sz="0" w:space="0" w:color="auto"/>
        <w:bottom w:val="none" w:sz="0" w:space="0" w:color="auto"/>
        <w:right w:val="none" w:sz="0" w:space="0" w:color="auto"/>
      </w:divBdr>
    </w:div>
    <w:div w:id="2053994987">
      <w:marLeft w:val="0"/>
      <w:marRight w:val="0"/>
      <w:marTop w:val="0"/>
      <w:marBottom w:val="0"/>
      <w:divBdr>
        <w:top w:val="none" w:sz="0" w:space="0" w:color="auto"/>
        <w:left w:val="none" w:sz="0" w:space="0" w:color="auto"/>
        <w:bottom w:val="none" w:sz="0" w:space="0" w:color="auto"/>
        <w:right w:val="none" w:sz="0" w:space="0" w:color="auto"/>
      </w:divBdr>
      <w:divsChild>
        <w:div w:id="18124825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7390</Words>
  <Characters>3026</Characters>
  <Application>Microsoft Office Word</Application>
  <DocSecurity>0</DocSecurity>
  <Lines>25</Lines>
  <Paragraphs>20</Paragraphs>
  <ScaleCrop>false</ScaleCrop>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2025-10-21T02:23:00Z</dcterms:created>
  <dcterms:modified xsi:type="dcterms:W3CDTF">2025-10-27T06:47:00Z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