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摩根标普</w:t>
      </w:r>
      <w:r w:rsidRPr="00253A89">
        <w:rPr>
          <w:rFonts w:eastAsiaTheme="minorEastAsia"/>
          <w:b/>
          <w:color w:val="000000" w:themeColor="text1"/>
          <w:sz w:val="36"/>
          <w:szCs w:val="36"/>
        </w:rPr>
        <w:t>500</w:t>
      </w:r>
      <w:r w:rsidRPr="00253A89">
        <w:rPr>
          <w:rFonts w:eastAsiaTheme="minorEastAsia"/>
          <w:b/>
          <w:color w:val="000000" w:themeColor="text1"/>
          <w:sz w:val="36"/>
          <w:szCs w:val="36"/>
        </w:rPr>
        <w:t>指数型发起式证券投资基金</w:t>
      </w:r>
      <w:r w:rsidRPr="00253A89">
        <w:rPr>
          <w:rFonts w:eastAsiaTheme="minorEastAsia"/>
          <w:b/>
          <w:color w:val="000000" w:themeColor="text1"/>
          <w:sz w:val="36"/>
          <w:szCs w:val="36"/>
        </w:rPr>
        <w:t>(QDII)</w:t>
      </w:r>
    </w:p>
    <w:p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2023</w:t>
      </w:r>
      <w:r w:rsidRPr="00253A89">
        <w:rPr>
          <w:rFonts w:eastAsiaTheme="minorEastAsia"/>
          <w:b/>
          <w:color w:val="000000" w:themeColor="text1"/>
          <w:sz w:val="36"/>
          <w:szCs w:val="36"/>
        </w:rPr>
        <w:t>年第</w:t>
      </w:r>
      <w:r w:rsidRPr="00253A89">
        <w:rPr>
          <w:rFonts w:eastAsiaTheme="minorEastAsia"/>
          <w:b/>
          <w:color w:val="000000" w:themeColor="text1"/>
          <w:sz w:val="36"/>
          <w:szCs w:val="36"/>
        </w:rPr>
        <w:t>3</w:t>
      </w:r>
      <w:r w:rsidRPr="00253A89">
        <w:rPr>
          <w:rFonts w:eastAsiaTheme="minorEastAsia"/>
          <w:b/>
          <w:color w:val="000000" w:themeColor="text1"/>
          <w:sz w:val="36"/>
          <w:szCs w:val="36"/>
        </w:rPr>
        <w:t>季度报告</w:t>
      </w:r>
    </w:p>
    <w:p w:rsidR="00397616" w:rsidRPr="009B0629" w:rsidRDefault="00623556" w:rsidP="00506D57">
      <w:pPr>
        <w:spacing w:line="360" w:lineRule="auto"/>
        <w:jc w:val="center"/>
        <w:rPr>
          <w:rFonts w:eastAsiaTheme="minorEastAsia"/>
          <w:b/>
          <w:color w:val="000000" w:themeColor="text1"/>
          <w:sz w:val="24"/>
        </w:rPr>
      </w:pPr>
      <w:r w:rsidRPr="009B0629">
        <w:rPr>
          <w:rFonts w:eastAsiaTheme="minorEastAsia"/>
          <w:b/>
          <w:color w:val="000000" w:themeColor="text1"/>
          <w:sz w:val="24"/>
        </w:rPr>
        <w:t>2023</w:t>
      </w:r>
      <w:r w:rsidRPr="009B0629">
        <w:rPr>
          <w:rFonts w:eastAsiaTheme="minorEastAsia"/>
          <w:b/>
          <w:color w:val="000000" w:themeColor="text1"/>
          <w:sz w:val="24"/>
        </w:rPr>
        <w:t>年</w:t>
      </w:r>
      <w:r w:rsidRPr="009B0629">
        <w:rPr>
          <w:rFonts w:eastAsiaTheme="minorEastAsia"/>
          <w:b/>
          <w:color w:val="000000" w:themeColor="text1"/>
          <w:sz w:val="24"/>
        </w:rPr>
        <w:t>9</w:t>
      </w:r>
      <w:r w:rsidRPr="009B0629">
        <w:rPr>
          <w:rFonts w:eastAsiaTheme="minorEastAsia"/>
          <w:b/>
          <w:color w:val="000000" w:themeColor="text1"/>
          <w:sz w:val="24"/>
        </w:rPr>
        <w:t>月</w:t>
      </w:r>
      <w:r w:rsidRPr="009B0629">
        <w:rPr>
          <w:rFonts w:eastAsiaTheme="minorEastAsia"/>
          <w:b/>
          <w:color w:val="000000" w:themeColor="text1"/>
          <w:sz w:val="24"/>
        </w:rPr>
        <w:t>30</w:t>
      </w:r>
      <w:r w:rsidRPr="009B0629">
        <w:rPr>
          <w:rFonts w:eastAsiaTheme="minorEastAsia"/>
          <w:b/>
          <w:color w:val="000000" w:themeColor="text1"/>
          <w:sz w:val="24"/>
        </w:rPr>
        <w:t>日</w:t>
      </w: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826B12">
      <w:pPr>
        <w:spacing w:line="288" w:lineRule="auto"/>
        <w:ind w:firstLineChars="900" w:firstLine="2168"/>
        <w:rPr>
          <w:rFonts w:eastAsiaTheme="minorEastAsia"/>
          <w:b/>
          <w:color w:val="000000" w:themeColor="text1"/>
          <w:sz w:val="24"/>
        </w:rPr>
      </w:pPr>
    </w:p>
    <w:p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基金管理人：摩根基金管理（中国）有限公司</w:t>
      </w:r>
    </w:p>
    <w:p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基金托管人：招商银行股份有限公司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9B0629">
        <w:rPr>
          <w:rFonts w:eastAsiaTheme="minorEastAsia"/>
          <w:b/>
          <w:color w:val="000000" w:themeColor="text1"/>
          <w:sz w:val="24"/>
        </w:rPr>
        <w:t>报告送出日期：</w:t>
      </w:r>
      <w:r w:rsidR="00CB44DE" w:rsidRPr="009B0629">
        <w:rPr>
          <w:rFonts w:eastAsiaTheme="minorEastAsia"/>
          <w:b/>
          <w:color w:val="000000" w:themeColor="text1"/>
          <w:sz w:val="24"/>
        </w:rPr>
        <w:t>二〇二三年十月二十五日</w:t>
      </w:r>
    </w:p>
    <w:p w:rsidR="0076518F" w:rsidRPr="009B0629" w:rsidRDefault="0076518F" w:rsidP="008911D2">
      <w:pPr>
        <w:pStyle w:val="1"/>
        <w:spacing w:beforeLines="100" w:before="312" w:afterLines="100" w:after="312" w:line="360" w:lineRule="auto"/>
        <w:jc w:val="center"/>
        <w:rPr>
          <w:rFonts w:eastAsiaTheme="minorEastAsia"/>
          <w:b w:val="0"/>
          <w:color w:val="000000" w:themeColor="text1"/>
          <w:kern w:val="0"/>
          <w:sz w:val="24"/>
          <w:szCs w:val="24"/>
        </w:rPr>
      </w:pPr>
      <w:r w:rsidRPr="009B0629">
        <w:rPr>
          <w:rFonts w:eastAsiaTheme="minorEastAsia"/>
          <w:color w:val="000000" w:themeColor="text1"/>
          <w:kern w:val="0"/>
          <w:sz w:val="24"/>
          <w:szCs w:val="24"/>
        </w:rPr>
        <w:lastRenderedPageBreak/>
        <w:t xml:space="preserve">§1  </w:t>
      </w:r>
      <w:r w:rsidRPr="009B0629">
        <w:rPr>
          <w:rFonts w:eastAsiaTheme="minorEastAsia"/>
          <w:color w:val="000000" w:themeColor="text1"/>
          <w:kern w:val="0"/>
          <w:sz w:val="24"/>
          <w:szCs w:val="24"/>
        </w:rPr>
        <w:t>重要提示</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基金托管人招商银行股份有限公司根据本基金合同规定，于</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w:t>
      </w:r>
      <w:r>
        <w:rPr>
          <w:rFonts w:eastAsiaTheme="minorEastAsia"/>
          <w:color w:val="000000" w:themeColor="text1"/>
          <w:sz w:val="24"/>
        </w:rPr>
        <w:t>24</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923F81" w:rsidRPr="00923F81" w:rsidRDefault="00923F81" w:rsidP="00F65466">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本报告期自</w:t>
      </w:r>
      <w:r w:rsidRPr="009B0629">
        <w:rPr>
          <w:rFonts w:eastAsiaTheme="minorEastAsia"/>
          <w:color w:val="000000" w:themeColor="text1"/>
          <w:sz w:val="24"/>
        </w:rPr>
        <w:t>2023</w:t>
      </w:r>
      <w:r w:rsidRPr="009B0629">
        <w:rPr>
          <w:rFonts w:eastAsiaTheme="minorEastAsia"/>
          <w:color w:val="000000" w:themeColor="text1"/>
          <w:sz w:val="24"/>
        </w:rPr>
        <w:t>年</w:t>
      </w:r>
      <w:r w:rsidRPr="009B0629">
        <w:rPr>
          <w:rFonts w:eastAsiaTheme="minorEastAsia"/>
          <w:color w:val="000000" w:themeColor="text1"/>
          <w:sz w:val="24"/>
        </w:rPr>
        <w:t>7</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日起至</w:t>
      </w:r>
      <w:r w:rsidRPr="009B0629">
        <w:rPr>
          <w:rFonts w:eastAsiaTheme="minorEastAsia"/>
          <w:color w:val="000000" w:themeColor="text1"/>
          <w:sz w:val="24"/>
        </w:rPr>
        <w:t>9</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日止。</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§2  </w:t>
      </w:r>
      <w:r w:rsidRPr="009B0629">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9B0629" w:rsidTr="003376D5">
        <w:tc>
          <w:tcPr>
            <w:tcW w:w="2980" w:type="dxa"/>
            <w:vAlign w:val="center"/>
          </w:tcPr>
          <w:p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基金简称</w:t>
            </w:r>
          </w:p>
        </w:tc>
        <w:tc>
          <w:tcPr>
            <w:tcW w:w="5443" w:type="dxa"/>
            <w:gridSpan w:val="2"/>
            <w:vAlign w:val="center"/>
          </w:tcPr>
          <w:p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摩根标普</w:t>
            </w:r>
            <w:r w:rsidRPr="009B0629">
              <w:rPr>
                <w:rFonts w:eastAsiaTheme="minorEastAsia"/>
                <w:color w:val="000000" w:themeColor="text1"/>
                <w:kern w:val="0"/>
                <w:sz w:val="24"/>
              </w:rPr>
              <w:t>500</w:t>
            </w:r>
            <w:r w:rsidRPr="009B0629">
              <w:rPr>
                <w:rFonts w:eastAsiaTheme="minorEastAsia"/>
                <w:color w:val="000000" w:themeColor="text1"/>
                <w:kern w:val="0"/>
                <w:sz w:val="24"/>
              </w:rPr>
              <w:t>指数</w:t>
            </w:r>
            <w:r w:rsidRPr="009B0629">
              <w:rPr>
                <w:rFonts w:eastAsiaTheme="minorEastAsia"/>
                <w:color w:val="000000" w:themeColor="text1"/>
                <w:kern w:val="0"/>
                <w:sz w:val="24"/>
              </w:rPr>
              <w:t>(QDII)</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基金主代码</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017641</w:t>
            </w:r>
          </w:p>
        </w:tc>
      </w:tr>
      <w:tr w:rsidR="008277FF" w:rsidRPr="009B0629" w:rsidTr="003376D5">
        <w:tc>
          <w:tcPr>
            <w:tcW w:w="2980" w:type="dxa"/>
            <w:vAlign w:val="center"/>
          </w:tcPr>
          <w:p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交易代码</w:t>
            </w:r>
          </w:p>
        </w:tc>
        <w:tc>
          <w:tcPr>
            <w:tcW w:w="5443" w:type="dxa"/>
            <w:gridSpan w:val="2"/>
            <w:vAlign w:val="center"/>
          </w:tcPr>
          <w:p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017641</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基金运作方式</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契约型开放式</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基金合同生效日</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2023</w:t>
            </w:r>
            <w:r w:rsidRPr="009B0629">
              <w:rPr>
                <w:rFonts w:eastAsiaTheme="minorEastAsia"/>
                <w:color w:val="000000" w:themeColor="text1"/>
                <w:kern w:val="0"/>
                <w:sz w:val="24"/>
              </w:rPr>
              <w:t>年</w:t>
            </w:r>
            <w:r w:rsidRPr="009B0629">
              <w:rPr>
                <w:rFonts w:eastAsiaTheme="minorEastAsia"/>
                <w:color w:val="000000" w:themeColor="text1"/>
                <w:kern w:val="0"/>
                <w:sz w:val="24"/>
              </w:rPr>
              <w:t>4</w:t>
            </w:r>
            <w:r w:rsidRPr="009B0629">
              <w:rPr>
                <w:rFonts w:eastAsiaTheme="minorEastAsia"/>
                <w:color w:val="000000" w:themeColor="text1"/>
                <w:kern w:val="0"/>
                <w:sz w:val="24"/>
              </w:rPr>
              <w:t>月</w:t>
            </w:r>
            <w:r w:rsidRPr="009B0629">
              <w:rPr>
                <w:rFonts w:eastAsiaTheme="minorEastAsia"/>
                <w:color w:val="000000" w:themeColor="text1"/>
                <w:kern w:val="0"/>
                <w:sz w:val="24"/>
              </w:rPr>
              <w:t>6</w:t>
            </w:r>
            <w:r w:rsidRPr="009B0629">
              <w:rPr>
                <w:rFonts w:eastAsiaTheme="minorEastAsia"/>
                <w:color w:val="000000" w:themeColor="text1"/>
                <w:kern w:val="0"/>
                <w:sz w:val="24"/>
              </w:rPr>
              <w:t>日</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报告期末基金份额总额</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182,307,966.52</w:t>
            </w:r>
            <w:r w:rsidRPr="009B0629">
              <w:rPr>
                <w:rFonts w:eastAsiaTheme="minorEastAsia"/>
                <w:color w:val="000000" w:themeColor="text1"/>
                <w:kern w:val="0"/>
                <w:sz w:val="24"/>
              </w:rPr>
              <w:t>份</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投资目标</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本基金进行被动指数化投资，紧密跟踪标的指数，追求跟踪偏离度和跟踪误差最小化。</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投资策略</w:t>
            </w:r>
          </w:p>
        </w:tc>
        <w:tc>
          <w:tcPr>
            <w:tcW w:w="5443" w:type="dxa"/>
            <w:gridSpan w:val="2"/>
            <w:vAlign w:val="center"/>
          </w:tcPr>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w:t>
            </w:r>
            <w:r>
              <w:rPr>
                <w:rFonts w:eastAsiaTheme="minorEastAsia"/>
                <w:color w:val="000000" w:themeColor="text1"/>
                <w:kern w:val="0"/>
                <w:sz w:val="24"/>
              </w:rPr>
              <w:lastRenderedPageBreak/>
              <w:t>相对业绩比较基准的跟踪误差最小化。</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为了实现追踪误差最小化，本基金投资于标的指数成份股及其备选成份股的比例不低于基金资产净值的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在正常市场情况下，本基金力争控制基金净值增长率与业绩比较基准之间的日均跟踪偏离度小于</w:t>
            </w:r>
            <w:r>
              <w:rPr>
                <w:rFonts w:eastAsiaTheme="minorEastAsia"/>
                <w:color w:val="000000" w:themeColor="text1"/>
                <w:kern w:val="0"/>
                <w:sz w:val="24"/>
              </w:rPr>
              <w:t>0.35%</w:t>
            </w:r>
            <w:r>
              <w:rPr>
                <w:rFonts w:eastAsiaTheme="minorEastAsia"/>
                <w:color w:val="000000" w:themeColor="text1"/>
                <w:kern w:val="0"/>
                <w:sz w:val="24"/>
              </w:rPr>
              <w:t>，基金净值增长率与业绩比较基准之间的年跟踪误差不超过</w:t>
            </w:r>
            <w:r>
              <w:rPr>
                <w:rFonts w:eastAsiaTheme="minorEastAsia"/>
                <w:color w:val="000000" w:themeColor="text1"/>
                <w:kern w:val="0"/>
                <w:sz w:val="24"/>
              </w:rPr>
              <w:t>4%</w:t>
            </w:r>
            <w:r>
              <w:rPr>
                <w:rFonts w:eastAsiaTheme="minorEastAsia"/>
                <w:color w:val="000000" w:themeColor="text1"/>
                <w:kern w:val="0"/>
                <w:sz w:val="24"/>
              </w:rPr>
              <w:t>。</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本基金通过完全复制策略进行被动式指数化投资，根据标普</w:t>
            </w:r>
            <w:r>
              <w:rPr>
                <w:rFonts w:eastAsiaTheme="minorEastAsia"/>
                <w:color w:val="000000" w:themeColor="text1"/>
                <w:kern w:val="0"/>
                <w:sz w:val="24"/>
              </w:rPr>
              <w:t>500</w:t>
            </w:r>
            <w:r>
              <w:rPr>
                <w:rFonts w:eastAsiaTheme="minorEastAsia"/>
                <w:color w:val="000000" w:themeColor="text1"/>
                <w:kern w:val="0"/>
                <w:sz w:val="24"/>
              </w:rPr>
              <w:t>指数成份股的基准权重构建股票资产组合，对于因法规限制、流动性限制而无法交易的成份股，将采用与被限制股预期收益率相近的股票或股票组合进行相应的替代。在初始建仓期或者为申购资金建仓时，本基金按照标普</w:t>
            </w:r>
            <w:r>
              <w:rPr>
                <w:rFonts w:eastAsiaTheme="minorEastAsia"/>
                <w:color w:val="000000" w:themeColor="text1"/>
                <w:kern w:val="0"/>
                <w:sz w:val="24"/>
              </w:rPr>
              <w:t>500</w:t>
            </w:r>
            <w:r>
              <w:rPr>
                <w:rFonts w:eastAsiaTheme="minorEastAsia"/>
                <w:color w:val="000000" w:themeColor="text1"/>
                <w:kern w:val="0"/>
                <w:sz w:val="24"/>
              </w:rPr>
              <w:t>指数各成份股所占权重逐步买入。在投资运作过程中，本基金以标的指数权重为标准配置个股，并根据成份股构成及其权重的变动进行动态调整。</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w:t>
            </w:r>
            <w:r>
              <w:rPr>
                <w:rFonts w:eastAsiaTheme="minorEastAsia"/>
                <w:color w:val="000000" w:themeColor="text1"/>
                <w:kern w:val="0"/>
                <w:sz w:val="24"/>
              </w:rPr>
              <w:lastRenderedPageBreak/>
              <w:t>送配等股权变动而需进行成份股权重调整时，本基金将根据标的指数权重比例的变化，进行相应调整。</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当标的指数成份股因停牌、流动性不足等因素导致基金无法按照指数权重进行配置，基金管理人将综合考虑跟踪误差和投资者利益，选择相关股票进行适当的替代。</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r>
              <w:rPr>
                <w:rFonts w:eastAsiaTheme="minorEastAsia"/>
                <w:color w:val="000000" w:themeColor="text1"/>
                <w:kern w:val="0"/>
                <w:sz w:val="24"/>
              </w:rPr>
              <w:t xml:space="preserve"> </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、其他投资策略：包括基金投资策略、金融衍生品投资策略、债券投资策略、资产支持证券投资策略。</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业绩比较基准</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标普</w:t>
            </w:r>
            <w:r w:rsidRPr="009B0629">
              <w:rPr>
                <w:rFonts w:eastAsiaTheme="minorEastAsia"/>
                <w:color w:val="000000" w:themeColor="text1"/>
                <w:kern w:val="0"/>
                <w:sz w:val="24"/>
              </w:rPr>
              <w:t>500</w:t>
            </w:r>
            <w:r w:rsidRPr="009B0629">
              <w:rPr>
                <w:rFonts w:eastAsiaTheme="minorEastAsia"/>
                <w:color w:val="000000" w:themeColor="text1"/>
                <w:kern w:val="0"/>
                <w:sz w:val="24"/>
              </w:rPr>
              <w:t>指数收益率</w:t>
            </w:r>
            <w:r w:rsidRPr="009B0629">
              <w:rPr>
                <w:rFonts w:eastAsiaTheme="minorEastAsia"/>
                <w:color w:val="000000" w:themeColor="text1"/>
                <w:kern w:val="0"/>
                <w:sz w:val="24"/>
              </w:rPr>
              <w:t>(</w:t>
            </w:r>
            <w:r w:rsidRPr="009B0629">
              <w:rPr>
                <w:rFonts w:eastAsiaTheme="minorEastAsia"/>
                <w:color w:val="000000" w:themeColor="text1"/>
                <w:kern w:val="0"/>
                <w:sz w:val="24"/>
              </w:rPr>
              <w:t>经汇率调整后</w:t>
            </w:r>
            <w:r w:rsidRPr="009B0629">
              <w:rPr>
                <w:rFonts w:eastAsiaTheme="minorEastAsia"/>
                <w:color w:val="000000" w:themeColor="text1"/>
                <w:kern w:val="0"/>
                <w:sz w:val="24"/>
              </w:rPr>
              <w:t>) ×95%+</w:t>
            </w:r>
            <w:r w:rsidRPr="009B0629">
              <w:rPr>
                <w:rFonts w:eastAsiaTheme="minorEastAsia"/>
                <w:color w:val="000000" w:themeColor="text1"/>
                <w:kern w:val="0"/>
                <w:sz w:val="24"/>
              </w:rPr>
              <w:t>银行活期存款利率</w:t>
            </w:r>
            <w:r w:rsidRPr="009B0629">
              <w:rPr>
                <w:rFonts w:eastAsiaTheme="minorEastAsia"/>
                <w:color w:val="000000" w:themeColor="text1"/>
                <w:kern w:val="0"/>
                <w:sz w:val="24"/>
              </w:rPr>
              <w:t>(</w:t>
            </w:r>
            <w:r w:rsidRPr="009B0629">
              <w:rPr>
                <w:rFonts w:eastAsiaTheme="minorEastAsia"/>
                <w:color w:val="000000" w:themeColor="text1"/>
                <w:kern w:val="0"/>
                <w:sz w:val="24"/>
              </w:rPr>
              <w:t>税后</w:t>
            </w:r>
            <w:r w:rsidRPr="009B0629">
              <w:rPr>
                <w:rFonts w:eastAsiaTheme="minorEastAsia"/>
                <w:color w:val="000000" w:themeColor="text1"/>
                <w:kern w:val="0"/>
                <w:sz w:val="24"/>
              </w:rPr>
              <w:t>) ×5%</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风险收益特征</w:t>
            </w:r>
          </w:p>
        </w:tc>
        <w:tc>
          <w:tcPr>
            <w:tcW w:w="5443" w:type="dxa"/>
            <w:gridSpan w:val="2"/>
            <w:vAlign w:val="center"/>
          </w:tcPr>
          <w:p w:rsidR="008E4DB1" w:rsidRDefault="00B526A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本基金属于股票型基金产品，预期风险和收益水平高于混合型基金、债券型基金和货币市场基金。本基金为被动管理的指数型基金，具有与标的指数、以及标的指数所代表的股票市场相似的风险收益特征。</w:t>
            </w:r>
          </w:p>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本基金投资于境外证券市场，因此还面临汇率风险等境外证券市场投资所面临的特别投资风险。</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基金管理人</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摩根基金管理（中国）有限公司</w:t>
            </w:r>
          </w:p>
        </w:tc>
      </w:tr>
      <w:tr w:rsidR="008277FF" w:rsidRPr="009B0629" w:rsidTr="003376D5">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基金托管人</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招商银行股份有限公司</w:t>
            </w:r>
          </w:p>
        </w:tc>
      </w:tr>
      <w:tr w:rsidR="008277FF" w:rsidRPr="009B0629" w:rsidTr="0031104D">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境外资产托管人英文名称</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The Hong Kong and Shanghai Banking Corporation Limited</w:t>
            </w:r>
          </w:p>
        </w:tc>
      </w:tr>
      <w:tr w:rsidR="008277FF" w:rsidRPr="009B0629" w:rsidTr="0031104D">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境外资产托管人中文名称</w:t>
            </w:r>
          </w:p>
        </w:tc>
        <w:tc>
          <w:tcPr>
            <w:tcW w:w="5443" w:type="dxa"/>
            <w:gridSpan w:val="2"/>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香港上海汇丰银行有限公司</w:t>
            </w:r>
          </w:p>
        </w:tc>
      </w:tr>
      <w:tr w:rsidR="00070DD6" w:rsidRPr="009B0629" w:rsidTr="00845292">
        <w:tblPrEx>
          <w:tblLook w:val="0000" w:firstRow="0" w:lastRow="0" w:firstColumn="0" w:lastColumn="0" w:noHBand="0" w:noVBand="0"/>
        </w:tblPrEx>
        <w:trPr>
          <w:trHeight w:val="866"/>
        </w:trPr>
        <w:tc>
          <w:tcPr>
            <w:tcW w:w="2980" w:type="dxa"/>
          </w:tcPr>
          <w:p w:rsidR="00070DD6" w:rsidRPr="009B0629" w:rsidRDefault="00070DD6" w:rsidP="00845292">
            <w:pPr>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sz w:val="24"/>
              </w:rPr>
              <w:t>下属分级基金的基金简称</w:t>
            </w:r>
          </w:p>
        </w:tc>
        <w:tc>
          <w:tcPr>
            <w:tcW w:w="2780" w:type="dxa"/>
            <w:vAlign w:val="center"/>
          </w:tcPr>
          <w:p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663" w:type="dxa"/>
            <w:vAlign w:val="center"/>
          </w:tcPr>
          <w:p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070DD6" w:rsidRPr="009B0629" w:rsidTr="00845292">
        <w:tblPrEx>
          <w:tblLook w:val="0000" w:firstRow="0" w:lastRow="0" w:firstColumn="0" w:lastColumn="0" w:noHBand="0" w:noVBand="0"/>
        </w:tblPrEx>
        <w:trPr>
          <w:trHeight w:val="628"/>
        </w:trPr>
        <w:tc>
          <w:tcPr>
            <w:tcW w:w="2980" w:type="dxa"/>
          </w:tcPr>
          <w:p w:rsidR="00070DD6" w:rsidRPr="009B0629" w:rsidRDefault="00070DD6" w:rsidP="00845292">
            <w:pPr>
              <w:adjustRightInd w:val="0"/>
              <w:spacing w:before="29" w:line="360" w:lineRule="auto"/>
              <w:ind w:left="17"/>
              <w:jc w:val="left"/>
              <w:rPr>
                <w:rFonts w:eastAsiaTheme="minorEastAsia"/>
                <w:color w:val="000000" w:themeColor="text1"/>
                <w:sz w:val="24"/>
              </w:rPr>
            </w:pPr>
            <w:r w:rsidRPr="009B0629">
              <w:rPr>
                <w:rFonts w:eastAsiaTheme="minorEastAsia"/>
                <w:color w:val="000000" w:themeColor="text1"/>
                <w:sz w:val="24"/>
              </w:rPr>
              <w:t>下属分级基金的交易代码</w:t>
            </w:r>
          </w:p>
        </w:tc>
        <w:tc>
          <w:tcPr>
            <w:tcW w:w="2780" w:type="dxa"/>
            <w:vAlign w:val="center"/>
          </w:tcPr>
          <w:p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017641</w:t>
            </w:r>
          </w:p>
        </w:tc>
        <w:tc>
          <w:tcPr>
            <w:tcW w:w="2663" w:type="dxa"/>
            <w:vAlign w:val="center"/>
          </w:tcPr>
          <w:p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019305</w:t>
            </w:r>
          </w:p>
        </w:tc>
      </w:tr>
      <w:tr w:rsidR="00322A5E" w:rsidRPr="009B0629" w:rsidTr="0031104D">
        <w:tblPrEx>
          <w:tblLook w:val="0000" w:firstRow="0" w:lastRow="0" w:firstColumn="0" w:lastColumn="0" w:noHBand="0" w:noVBand="0"/>
        </w:tblPrEx>
        <w:trPr>
          <w:trHeight w:val="555"/>
        </w:trPr>
        <w:tc>
          <w:tcPr>
            <w:tcW w:w="2980" w:type="dxa"/>
            <w:vAlign w:val="center"/>
          </w:tcPr>
          <w:p w:rsidR="00322A5E" w:rsidRPr="009B0629" w:rsidRDefault="00322A5E" w:rsidP="00845292">
            <w:pPr>
              <w:adjustRightInd w:val="0"/>
              <w:spacing w:before="29" w:line="360" w:lineRule="auto"/>
              <w:ind w:left="17"/>
              <w:rPr>
                <w:rFonts w:eastAsiaTheme="minorEastAsia"/>
                <w:color w:val="000000" w:themeColor="text1"/>
                <w:sz w:val="24"/>
              </w:rPr>
            </w:pPr>
            <w:r w:rsidRPr="009B0629">
              <w:rPr>
                <w:rFonts w:eastAsiaTheme="minorEastAsia"/>
                <w:color w:val="000000" w:themeColor="text1"/>
                <w:sz w:val="24"/>
              </w:rPr>
              <w:t>报告期末下属分级基金的份额总额</w:t>
            </w:r>
          </w:p>
        </w:tc>
        <w:tc>
          <w:tcPr>
            <w:tcW w:w="2780" w:type="dxa"/>
            <w:vAlign w:val="center"/>
          </w:tcPr>
          <w:p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178,531,271.99</w:t>
            </w:r>
            <w:r w:rsidRPr="009B0629">
              <w:rPr>
                <w:rFonts w:eastAsiaTheme="minorEastAsia"/>
                <w:color w:val="000000" w:themeColor="text1"/>
                <w:kern w:val="0"/>
                <w:sz w:val="24"/>
              </w:rPr>
              <w:t>份</w:t>
            </w:r>
          </w:p>
        </w:tc>
        <w:tc>
          <w:tcPr>
            <w:tcW w:w="2663" w:type="dxa"/>
            <w:vAlign w:val="center"/>
          </w:tcPr>
          <w:p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3,776,694.53</w:t>
            </w:r>
            <w:r w:rsidRPr="009B0629">
              <w:rPr>
                <w:rFonts w:eastAsiaTheme="minorEastAsia"/>
                <w:color w:val="000000" w:themeColor="text1"/>
                <w:kern w:val="0"/>
                <w:sz w:val="24"/>
              </w:rPr>
              <w:t>份</w:t>
            </w:r>
          </w:p>
        </w:tc>
      </w:tr>
    </w:tbl>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§3  </w:t>
      </w:r>
      <w:r w:rsidRPr="009B0629">
        <w:rPr>
          <w:rFonts w:eastAsiaTheme="minorEastAsia"/>
          <w:color w:val="000000" w:themeColor="text1"/>
          <w:kern w:val="0"/>
          <w:sz w:val="24"/>
          <w:szCs w:val="24"/>
        </w:rPr>
        <w:t>主要财务指标和基金净值表现</w:t>
      </w:r>
    </w:p>
    <w:p w:rsidR="0076518F" w:rsidRPr="009B0629" w:rsidRDefault="0076518F" w:rsidP="00506D57">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3.1 </w:t>
      </w:r>
      <w:r w:rsidRPr="009B0629">
        <w:rPr>
          <w:rFonts w:eastAsiaTheme="minorEastAsia"/>
          <w:b/>
          <w:color w:val="000000" w:themeColor="text1"/>
          <w:kern w:val="0"/>
          <w:sz w:val="24"/>
        </w:rPr>
        <w:t>主要财务指标</w:t>
      </w:r>
    </w:p>
    <w:p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9B0629" w:rsidTr="00845292">
        <w:tc>
          <w:tcPr>
            <w:tcW w:w="3402" w:type="dxa"/>
            <w:vMerge w:val="restart"/>
            <w:vAlign w:val="center"/>
          </w:tcPr>
          <w:p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主要财务指标</w:t>
            </w:r>
          </w:p>
        </w:tc>
        <w:tc>
          <w:tcPr>
            <w:tcW w:w="4962" w:type="dxa"/>
            <w:gridSpan w:val="2"/>
            <w:vAlign w:val="center"/>
          </w:tcPr>
          <w:p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报告期</w:t>
            </w:r>
          </w:p>
          <w:p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(2023</w:t>
            </w:r>
            <w:r w:rsidRPr="009B0629">
              <w:rPr>
                <w:rFonts w:eastAsiaTheme="minorEastAsia"/>
                <w:color w:val="000000" w:themeColor="text1"/>
                <w:sz w:val="24"/>
              </w:rPr>
              <w:t>年</w:t>
            </w:r>
            <w:r w:rsidRPr="009B0629">
              <w:rPr>
                <w:rFonts w:eastAsiaTheme="minorEastAsia"/>
                <w:color w:val="000000" w:themeColor="text1"/>
                <w:sz w:val="24"/>
              </w:rPr>
              <w:t>7</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w:t>
            </w:r>
            <w:r w:rsidRPr="009B0629">
              <w:rPr>
                <w:rFonts w:eastAsiaTheme="minorEastAsia"/>
                <w:color w:val="000000" w:themeColor="text1"/>
                <w:sz w:val="24"/>
              </w:rPr>
              <w:t>-2023</w:t>
            </w:r>
            <w:r w:rsidRPr="009B0629">
              <w:rPr>
                <w:rFonts w:eastAsiaTheme="minorEastAsia"/>
                <w:color w:val="000000" w:themeColor="text1"/>
                <w:sz w:val="24"/>
              </w:rPr>
              <w:t>年</w:t>
            </w:r>
            <w:r w:rsidRPr="009B0629">
              <w:rPr>
                <w:rFonts w:eastAsiaTheme="minorEastAsia"/>
                <w:color w:val="000000" w:themeColor="text1"/>
                <w:sz w:val="24"/>
              </w:rPr>
              <w:t>9</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w:t>
            </w:r>
            <w:r w:rsidRPr="009B0629">
              <w:rPr>
                <w:rFonts w:eastAsiaTheme="minorEastAsia"/>
                <w:color w:val="000000" w:themeColor="text1"/>
                <w:sz w:val="24"/>
              </w:rPr>
              <w:t>)</w:t>
            </w:r>
          </w:p>
        </w:tc>
      </w:tr>
      <w:tr w:rsidR="00225051" w:rsidRPr="009B0629" w:rsidTr="00845292">
        <w:tc>
          <w:tcPr>
            <w:tcW w:w="3402" w:type="dxa"/>
            <w:vMerge/>
            <w:vAlign w:val="center"/>
          </w:tcPr>
          <w:p w:rsidR="00225051" w:rsidRPr="009B0629" w:rsidRDefault="00225051" w:rsidP="00845292">
            <w:pPr>
              <w:adjustRightInd w:val="0"/>
              <w:spacing w:before="29" w:line="360" w:lineRule="auto"/>
              <w:ind w:left="17"/>
              <w:rPr>
                <w:rFonts w:eastAsiaTheme="minorEastAsia"/>
                <w:color w:val="000000" w:themeColor="text1"/>
                <w:kern w:val="0"/>
                <w:sz w:val="24"/>
              </w:rPr>
            </w:pPr>
          </w:p>
        </w:tc>
        <w:tc>
          <w:tcPr>
            <w:tcW w:w="2481" w:type="dxa"/>
            <w:vAlign w:val="center"/>
          </w:tcPr>
          <w:p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481" w:type="dxa"/>
            <w:vAlign w:val="center"/>
          </w:tcPr>
          <w:p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rsidTr="00845292">
        <w:tc>
          <w:tcPr>
            <w:tcW w:w="3402" w:type="dxa"/>
            <w:vAlign w:val="center"/>
          </w:tcPr>
          <w:p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1.</w:t>
            </w:r>
            <w:r w:rsidRPr="009B0629">
              <w:rPr>
                <w:rFonts w:eastAsiaTheme="minorEastAsia"/>
                <w:color w:val="000000" w:themeColor="text1"/>
                <w:kern w:val="0"/>
                <w:sz w:val="24"/>
              </w:rPr>
              <w:t>本期已实现收益</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-791,020.22</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283.25</w:t>
            </w:r>
          </w:p>
        </w:tc>
      </w:tr>
      <w:tr w:rsidR="00225051" w:rsidRPr="009B0629" w:rsidTr="00845292">
        <w:tc>
          <w:tcPr>
            <w:tcW w:w="3402" w:type="dxa"/>
            <w:vAlign w:val="center"/>
          </w:tcPr>
          <w:p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w:t>
            </w:r>
            <w:r w:rsidRPr="009B0629">
              <w:rPr>
                <w:rFonts w:eastAsiaTheme="minorEastAsia"/>
                <w:color w:val="000000" w:themeColor="text1"/>
                <w:kern w:val="0"/>
                <w:sz w:val="24"/>
              </w:rPr>
              <w:t>本期利润</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-8,534,397.67</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-51,273.16</w:t>
            </w:r>
          </w:p>
        </w:tc>
      </w:tr>
      <w:tr w:rsidR="00225051" w:rsidRPr="009B0629" w:rsidTr="00845292">
        <w:tc>
          <w:tcPr>
            <w:tcW w:w="3402" w:type="dxa"/>
            <w:vAlign w:val="center"/>
          </w:tcPr>
          <w:p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加权平均基金份额本期利润</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-0.0594</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-0.0663</w:t>
            </w:r>
          </w:p>
        </w:tc>
      </w:tr>
      <w:tr w:rsidR="00225051" w:rsidRPr="009B0629" w:rsidTr="00845292">
        <w:tc>
          <w:tcPr>
            <w:tcW w:w="3402" w:type="dxa"/>
            <w:vAlign w:val="center"/>
          </w:tcPr>
          <w:p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4.</w:t>
            </w:r>
            <w:r w:rsidRPr="009B0629">
              <w:rPr>
                <w:rFonts w:eastAsiaTheme="minorEastAsia"/>
                <w:color w:val="000000" w:themeColor="text1"/>
                <w:kern w:val="0"/>
                <w:sz w:val="24"/>
              </w:rPr>
              <w:t>期末基金资产净值</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188,575,359.76</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3,988,022.31</w:t>
            </w:r>
          </w:p>
        </w:tc>
      </w:tr>
      <w:tr w:rsidR="00225051" w:rsidRPr="009B0629" w:rsidTr="00845292">
        <w:trPr>
          <w:trHeight w:val="158"/>
        </w:trPr>
        <w:tc>
          <w:tcPr>
            <w:tcW w:w="3402" w:type="dxa"/>
            <w:vAlign w:val="center"/>
          </w:tcPr>
          <w:p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5.</w:t>
            </w:r>
            <w:r w:rsidRPr="009B0629">
              <w:rPr>
                <w:rFonts w:eastAsiaTheme="minorEastAsia"/>
                <w:color w:val="000000" w:themeColor="text1"/>
                <w:kern w:val="0"/>
                <w:sz w:val="24"/>
              </w:rPr>
              <w:t>期末基金份额净值</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1.0563</w:t>
            </w:r>
          </w:p>
        </w:tc>
        <w:tc>
          <w:tcPr>
            <w:tcW w:w="2481" w:type="dxa"/>
            <w:vAlign w:val="center"/>
          </w:tcPr>
          <w:p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1.0560</w:t>
            </w:r>
          </w:p>
        </w:tc>
      </w:tr>
    </w:tbl>
    <w:p w:rsidR="008E4DB1" w:rsidRDefault="00B526A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8E4DB1" w:rsidRDefault="00B526A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上述基金业绩指标不包括持有人认购或交易基金的各项费用，计入费用后实际收益水平要低于所列数字。</w:t>
      </w:r>
    </w:p>
    <w:p w:rsidR="008E4DB1" w:rsidRDefault="00B526A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lastRenderedPageBreak/>
        <w:t>2.</w:t>
      </w:r>
      <w:r>
        <w:rPr>
          <w:rFonts w:eastAsiaTheme="minorEastAsia"/>
          <w:color w:val="000000" w:themeColor="text1"/>
          <w:sz w:val="24"/>
        </w:rPr>
        <w:t>本基金自</w:t>
      </w:r>
      <w:r>
        <w:rPr>
          <w:rFonts w:eastAsiaTheme="minorEastAsia"/>
          <w:color w:val="000000" w:themeColor="text1"/>
          <w:sz w:val="24"/>
        </w:rPr>
        <w:t xml:space="preserve"> 2023 </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1</w:t>
      </w:r>
      <w:r>
        <w:rPr>
          <w:rFonts w:eastAsiaTheme="minorEastAsia"/>
          <w:color w:val="000000" w:themeColor="text1"/>
          <w:sz w:val="24"/>
        </w:rPr>
        <w:t>日起，增设</w:t>
      </w:r>
      <w:r>
        <w:rPr>
          <w:rFonts w:eastAsiaTheme="minorEastAsia"/>
          <w:color w:val="000000" w:themeColor="text1"/>
          <w:sz w:val="24"/>
        </w:rPr>
        <w:t xml:space="preserve"> C </w:t>
      </w:r>
      <w:r>
        <w:rPr>
          <w:rFonts w:eastAsiaTheme="minorEastAsia"/>
          <w:color w:val="000000" w:themeColor="text1"/>
          <w:sz w:val="24"/>
        </w:rPr>
        <w:t>类基金份额。</w:t>
      </w:r>
    </w:p>
    <w:p w:rsidR="007D1292" w:rsidRPr="009B0629" w:rsidRDefault="007D1292"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 xml:space="preserve"> </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3.2 </w:t>
      </w:r>
      <w:r w:rsidRPr="009B0629">
        <w:rPr>
          <w:rFonts w:eastAsiaTheme="minorEastAsia"/>
          <w:b/>
          <w:color w:val="000000" w:themeColor="text1"/>
          <w:kern w:val="0"/>
          <w:sz w:val="24"/>
        </w:rPr>
        <w:t>基金净值表现</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9B0629">
          <w:rPr>
            <w:rFonts w:eastAsiaTheme="minorEastAsia"/>
            <w:b/>
            <w:color w:val="000000" w:themeColor="text1"/>
            <w:kern w:val="0"/>
            <w:sz w:val="24"/>
          </w:rPr>
          <w:t>3.2.1</w:t>
        </w:r>
      </w:smartTag>
      <w:r w:rsidRPr="009B0629">
        <w:rPr>
          <w:rFonts w:eastAsiaTheme="minorEastAsia"/>
          <w:b/>
          <w:color w:val="000000" w:themeColor="text1"/>
          <w:kern w:val="0"/>
          <w:sz w:val="24"/>
        </w:rPr>
        <w:t>本报告期基金份额净值增长率及其与同期业绩比较基准收益率的比较</w:t>
      </w:r>
    </w:p>
    <w:p w:rsidR="0065601A" w:rsidRPr="009B0629" w:rsidRDefault="0065601A" w:rsidP="0065601A">
      <w:pPr>
        <w:spacing w:line="360" w:lineRule="auto"/>
        <w:rPr>
          <w:rFonts w:eastAsiaTheme="minorEastAsia"/>
          <w:b/>
          <w:color w:val="000000" w:themeColor="text1"/>
          <w:sz w:val="24"/>
        </w:rPr>
      </w:pPr>
      <w:r w:rsidRPr="009B0629">
        <w:rPr>
          <w:rFonts w:eastAsiaTheme="minorEastAsia"/>
          <w:b/>
          <w:color w:val="000000" w:themeColor="text1"/>
          <w:sz w:val="24"/>
        </w:rPr>
        <w:t>1</w:t>
      </w:r>
      <w:r w:rsidRPr="009B0629">
        <w:rPr>
          <w:rFonts w:eastAsiaTheme="minorEastAsia"/>
          <w:b/>
          <w:color w:val="000000" w:themeColor="text1"/>
          <w:sz w:val="24"/>
        </w:rPr>
        <w:t>、</w:t>
      </w:r>
      <w:r w:rsidRPr="009B0629">
        <w:rPr>
          <w:rFonts w:eastAsiaTheme="minorEastAsia"/>
          <w:b/>
          <w:color w:val="000000" w:themeColor="text1"/>
          <w:kern w:val="0"/>
          <w:sz w:val="24"/>
        </w:rPr>
        <w:t>摩根标普</w:t>
      </w:r>
      <w:r w:rsidRPr="009B0629">
        <w:rPr>
          <w:rFonts w:eastAsiaTheme="minorEastAsia"/>
          <w:b/>
          <w:color w:val="000000" w:themeColor="text1"/>
          <w:kern w:val="0"/>
          <w:sz w:val="24"/>
        </w:rPr>
        <w:t>500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A</w:t>
      </w:r>
      <w:r w:rsidRPr="009B0629">
        <w:rPr>
          <w:rFonts w:eastAsiaTheme="minorEastAsia"/>
          <w:b/>
          <w:color w:val="000000" w:themeColor="text1"/>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rsidTr="00845292">
        <w:tc>
          <w:tcPr>
            <w:tcW w:w="1290"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8E4DB1">
        <w:tc>
          <w:tcPr>
            <w:tcW w:w="1290" w:type="dxa"/>
            <w:vAlign w:val="center"/>
          </w:tcPr>
          <w:p w:rsidR="008E4DB1" w:rsidRDefault="00B526A4">
            <w:pPr>
              <w:jc w:val="left"/>
            </w:pPr>
            <w:r>
              <w:rPr>
                <w:rFonts w:eastAsiaTheme="minorEastAsia"/>
                <w:color w:val="000000" w:themeColor="text1"/>
                <w:sz w:val="24"/>
              </w:rPr>
              <w:t>过去三个月</w:t>
            </w:r>
          </w:p>
        </w:tc>
        <w:tc>
          <w:tcPr>
            <w:tcW w:w="1291" w:type="dxa"/>
            <w:vAlign w:val="center"/>
          </w:tcPr>
          <w:p w:rsidR="008E4DB1" w:rsidRDefault="00B526A4">
            <w:pPr>
              <w:jc w:val="right"/>
            </w:pPr>
            <w:r>
              <w:rPr>
                <w:rFonts w:eastAsiaTheme="minorEastAsia"/>
                <w:color w:val="000000" w:themeColor="text1"/>
                <w:sz w:val="24"/>
              </w:rPr>
              <w:t>-4.36%</w:t>
            </w:r>
          </w:p>
        </w:tc>
        <w:tc>
          <w:tcPr>
            <w:tcW w:w="1291" w:type="dxa"/>
            <w:vAlign w:val="center"/>
          </w:tcPr>
          <w:p w:rsidR="008E4DB1" w:rsidRDefault="00B526A4">
            <w:pPr>
              <w:jc w:val="right"/>
            </w:pPr>
            <w:r>
              <w:rPr>
                <w:rFonts w:eastAsiaTheme="minorEastAsia"/>
                <w:color w:val="000000" w:themeColor="text1"/>
                <w:sz w:val="24"/>
              </w:rPr>
              <w:t>0.62%</w:t>
            </w:r>
          </w:p>
        </w:tc>
        <w:tc>
          <w:tcPr>
            <w:tcW w:w="1291" w:type="dxa"/>
            <w:vAlign w:val="center"/>
          </w:tcPr>
          <w:p w:rsidR="008E4DB1" w:rsidRDefault="00B526A4">
            <w:pPr>
              <w:jc w:val="right"/>
            </w:pPr>
            <w:r>
              <w:rPr>
                <w:rFonts w:eastAsiaTheme="minorEastAsia"/>
                <w:color w:val="000000" w:themeColor="text1"/>
                <w:sz w:val="24"/>
              </w:rPr>
              <w:t>-4.04%</w:t>
            </w:r>
          </w:p>
        </w:tc>
        <w:tc>
          <w:tcPr>
            <w:tcW w:w="1291" w:type="dxa"/>
            <w:vAlign w:val="center"/>
          </w:tcPr>
          <w:p w:rsidR="008E4DB1" w:rsidRDefault="00B526A4">
            <w:pPr>
              <w:jc w:val="right"/>
            </w:pPr>
            <w:r>
              <w:rPr>
                <w:rFonts w:eastAsiaTheme="minorEastAsia"/>
                <w:color w:val="000000" w:themeColor="text1"/>
                <w:sz w:val="24"/>
              </w:rPr>
              <w:t>0.64%</w:t>
            </w:r>
          </w:p>
        </w:tc>
        <w:tc>
          <w:tcPr>
            <w:tcW w:w="1291" w:type="dxa"/>
            <w:vAlign w:val="center"/>
          </w:tcPr>
          <w:p w:rsidR="008E4DB1" w:rsidRDefault="00B526A4">
            <w:pPr>
              <w:jc w:val="right"/>
            </w:pPr>
            <w:r>
              <w:rPr>
                <w:rFonts w:eastAsiaTheme="minorEastAsia"/>
                <w:color w:val="000000" w:themeColor="text1"/>
                <w:sz w:val="24"/>
              </w:rPr>
              <w:t>-0.32%</w:t>
            </w:r>
          </w:p>
        </w:tc>
        <w:tc>
          <w:tcPr>
            <w:tcW w:w="1291" w:type="dxa"/>
            <w:vAlign w:val="center"/>
          </w:tcPr>
          <w:p w:rsidR="008E4DB1" w:rsidRDefault="00B526A4">
            <w:pPr>
              <w:jc w:val="right"/>
            </w:pPr>
            <w:r>
              <w:rPr>
                <w:rFonts w:eastAsiaTheme="minorEastAsia"/>
                <w:color w:val="000000" w:themeColor="text1"/>
                <w:sz w:val="24"/>
              </w:rPr>
              <w:t>-0.02%</w:t>
            </w:r>
          </w:p>
        </w:tc>
      </w:tr>
      <w:tr w:rsidR="008E4DB1">
        <w:tc>
          <w:tcPr>
            <w:tcW w:w="1290" w:type="dxa"/>
            <w:vAlign w:val="center"/>
          </w:tcPr>
          <w:p w:rsidR="008E4DB1" w:rsidRDefault="00B526A4">
            <w:pPr>
              <w:jc w:val="left"/>
            </w:pPr>
            <w:r>
              <w:rPr>
                <w:rFonts w:eastAsiaTheme="minorEastAsia"/>
                <w:color w:val="000000" w:themeColor="text1"/>
                <w:sz w:val="24"/>
              </w:rPr>
              <w:t>过去六个月</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r>
      <w:tr w:rsidR="008E4DB1">
        <w:tc>
          <w:tcPr>
            <w:tcW w:w="1290" w:type="dxa"/>
            <w:vAlign w:val="center"/>
          </w:tcPr>
          <w:p w:rsidR="008E4DB1" w:rsidRDefault="00B526A4">
            <w:pPr>
              <w:jc w:val="left"/>
            </w:pPr>
            <w:r>
              <w:rPr>
                <w:rFonts w:eastAsiaTheme="minorEastAsia"/>
                <w:color w:val="000000" w:themeColor="text1"/>
                <w:sz w:val="24"/>
              </w:rPr>
              <w:t>过去一年</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r>
      <w:tr w:rsidR="008E4DB1">
        <w:tc>
          <w:tcPr>
            <w:tcW w:w="1290" w:type="dxa"/>
            <w:vAlign w:val="center"/>
          </w:tcPr>
          <w:p w:rsidR="008E4DB1" w:rsidRDefault="00B526A4">
            <w:pPr>
              <w:jc w:val="left"/>
            </w:pPr>
            <w:r>
              <w:rPr>
                <w:rFonts w:eastAsiaTheme="minorEastAsia"/>
                <w:color w:val="000000" w:themeColor="text1"/>
                <w:sz w:val="24"/>
              </w:rPr>
              <w:t>过去三年</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r>
      <w:tr w:rsidR="008E4DB1">
        <w:tc>
          <w:tcPr>
            <w:tcW w:w="1290" w:type="dxa"/>
            <w:vAlign w:val="center"/>
          </w:tcPr>
          <w:p w:rsidR="008E4DB1" w:rsidRDefault="00B526A4">
            <w:pPr>
              <w:jc w:val="left"/>
            </w:pPr>
            <w:r>
              <w:rPr>
                <w:rFonts w:eastAsiaTheme="minorEastAsia"/>
                <w:color w:val="000000" w:themeColor="text1"/>
                <w:sz w:val="24"/>
              </w:rPr>
              <w:t>过去五年</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r>
      <w:tr w:rsidR="008E4DB1">
        <w:tc>
          <w:tcPr>
            <w:tcW w:w="1290" w:type="dxa"/>
            <w:vAlign w:val="center"/>
          </w:tcPr>
          <w:p w:rsidR="008E4DB1" w:rsidRDefault="00B526A4">
            <w:pPr>
              <w:jc w:val="left"/>
            </w:pPr>
            <w:r>
              <w:rPr>
                <w:rFonts w:eastAsiaTheme="minorEastAsia"/>
                <w:color w:val="000000" w:themeColor="text1"/>
                <w:sz w:val="24"/>
              </w:rPr>
              <w:t>自基金合同生效起至今</w:t>
            </w:r>
          </w:p>
        </w:tc>
        <w:tc>
          <w:tcPr>
            <w:tcW w:w="1291" w:type="dxa"/>
            <w:vAlign w:val="center"/>
          </w:tcPr>
          <w:p w:rsidR="008E4DB1" w:rsidRDefault="00B526A4">
            <w:pPr>
              <w:jc w:val="right"/>
            </w:pPr>
            <w:r>
              <w:rPr>
                <w:rFonts w:eastAsiaTheme="minorEastAsia"/>
                <w:color w:val="000000" w:themeColor="text1"/>
                <w:sz w:val="24"/>
              </w:rPr>
              <w:t>5.63%</w:t>
            </w:r>
          </w:p>
        </w:tc>
        <w:tc>
          <w:tcPr>
            <w:tcW w:w="1291" w:type="dxa"/>
            <w:vAlign w:val="center"/>
          </w:tcPr>
          <w:p w:rsidR="008E4DB1" w:rsidRDefault="00B526A4">
            <w:pPr>
              <w:jc w:val="right"/>
            </w:pPr>
            <w:r>
              <w:rPr>
                <w:rFonts w:eastAsiaTheme="minorEastAsia"/>
                <w:color w:val="000000" w:themeColor="text1"/>
                <w:sz w:val="24"/>
              </w:rPr>
              <w:t>0.64%</w:t>
            </w:r>
          </w:p>
        </w:tc>
        <w:tc>
          <w:tcPr>
            <w:tcW w:w="1291" w:type="dxa"/>
            <w:vAlign w:val="center"/>
          </w:tcPr>
          <w:p w:rsidR="008E4DB1" w:rsidRDefault="00B526A4">
            <w:pPr>
              <w:jc w:val="right"/>
            </w:pPr>
            <w:r>
              <w:rPr>
                <w:rFonts w:eastAsiaTheme="minorEastAsia"/>
                <w:color w:val="000000" w:themeColor="text1"/>
                <w:sz w:val="24"/>
              </w:rPr>
              <w:t>8.83%</w:t>
            </w:r>
          </w:p>
        </w:tc>
        <w:tc>
          <w:tcPr>
            <w:tcW w:w="1291" w:type="dxa"/>
            <w:vAlign w:val="center"/>
          </w:tcPr>
          <w:p w:rsidR="008E4DB1" w:rsidRDefault="00B526A4">
            <w:pPr>
              <w:jc w:val="right"/>
            </w:pPr>
            <w:r>
              <w:rPr>
                <w:rFonts w:eastAsiaTheme="minorEastAsia"/>
                <w:color w:val="000000" w:themeColor="text1"/>
                <w:sz w:val="24"/>
              </w:rPr>
              <w:t>0.74%</w:t>
            </w:r>
          </w:p>
        </w:tc>
        <w:tc>
          <w:tcPr>
            <w:tcW w:w="1291" w:type="dxa"/>
            <w:vAlign w:val="center"/>
          </w:tcPr>
          <w:p w:rsidR="008E4DB1" w:rsidRDefault="00B526A4">
            <w:pPr>
              <w:jc w:val="right"/>
            </w:pPr>
            <w:r>
              <w:rPr>
                <w:rFonts w:eastAsiaTheme="minorEastAsia"/>
                <w:color w:val="000000" w:themeColor="text1"/>
                <w:sz w:val="24"/>
              </w:rPr>
              <w:t>-3.20%</w:t>
            </w:r>
          </w:p>
        </w:tc>
        <w:tc>
          <w:tcPr>
            <w:tcW w:w="1291" w:type="dxa"/>
            <w:vAlign w:val="center"/>
          </w:tcPr>
          <w:p w:rsidR="008E4DB1" w:rsidRDefault="00B526A4">
            <w:pPr>
              <w:jc w:val="right"/>
            </w:pPr>
            <w:r>
              <w:rPr>
                <w:rFonts w:eastAsiaTheme="minorEastAsia"/>
                <w:color w:val="000000" w:themeColor="text1"/>
                <w:sz w:val="24"/>
              </w:rPr>
              <w:t>-0.10%</w:t>
            </w:r>
          </w:p>
        </w:tc>
      </w:tr>
    </w:tbl>
    <w:p w:rsidR="0065601A" w:rsidRPr="009B0629" w:rsidRDefault="0065601A" w:rsidP="0065601A">
      <w:pPr>
        <w:adjustRightInd w:val="0"/>
        <w:spacing w:beforeLines="50" w:before="156" w:line="360" w:lineRule="auto"/>
        <w:rPr>
          <w:rFonts w:eastAsiaTheme="minorEastAsia"/>
          <w:b/>
          <w:color w:val="000000" w:themeColor="text1"/>
          <w:kern w:val="0"/>
          <w:sz w:val="24"/>
        </w:rPr>
      </w:pPr>
      <w:r w:rsidRPr="009B0629">
        <w:rPr>
          <w:rFonts w:eastAsiaTheme="minorEastAsia"/>
          <w:b/>
          <w:color w:val="000000" w:themeColor="text1"/>
          <w:sz w:val="24"/>
        </w:rPr>
        <w:t>2</w:t>
      </w:r>
      <w:r w:rsidRPr="009B0629">
        <w:rPr>
          <w:rFonts w:eastAsiaTheme="minorEastAsia"/>
          <w:b/>
          <w:color w:val="000000" w:themeColor="text1"/>
          <w:sz w:val="24"/>
        </w:rPr>
        <w:t>、</w:t>
      </w:r>
      <w:r w:rsidRPr="009B0629">
        <w:rPr>
          <w:rFonts w:eastAsiaTheme="minorEastAsia"/>
          <w:b/>
          <w:color w:val="000000" w:themeColor="text1"/>
          <w:kern w:val="0"/>
          <w:sz w:val="24"/>
        </w:rPr>
        <w:t>摩根标普</w:t>
      </w:r>
      <w:r w:rsidRPr="009B0629">
        <w:rPr>
          <w:rFonts w:eastAsiaTheme="minorEastAsia"/>
          <w:b/>
          <w:color w:val="000000" w:themeColor="text1"/>
          <w:kern w:val="0"/>
          <w:sz w:val="24"/>
        </w:rPr>
        <w:t>500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rsidTr="00845292">
        <w:tc>
          <w:tcPr>
            <w:tcW w:w="1290"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8E4DB1">
        <w:tc>
          <w:tcPr>
            <w:tcW w:w="1290" w:type="dxa"/>
            <w:vAlign w:val="center"/>
          </w:tcPr>
          <w:p w:rsidR="008E4DB1" w:rsidRDefault="00B526A4">
            <w:pPr>
              <w:jc w:val="left"/>
            </w:pPr>
            <w:r>
              <w:rPr>
                <w:rFonts w:eastAsiaTheme="minorEastAsia"/>
                <w:color w:val="000000" w:themeColor="text1"/>
                <w:sz w:val="24"/>
              </w:rPr>
              <w:t>过去三个月</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r>
      <w:tr w:rsidR="008E4DB1">
        <w:tc>
          <w:tcPr>
            <w:tcW w:w="1290" w:type="dxa"/>
            <w:vAlign w:val="center"/>
          </w:tcPr>
          <w:p w:rsidR="008E4DB1" w:rsidRDefault="00B526A4">
            <w:pPr>
              <w:jc w:val="left"/>
            </w:pPr>
            <w:r>
              <w:rPr>
                <w:rFonts w:eastAsiaTheme="minorEastAsia"/>
                <w:color w:val="000000" w:themeColor="text1"/>
                <w:sz w:val="24"/>
              </w:rPr>
              <w:t>过去六个月</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r>
      <w:tr w:rsidR="008E4DB1">
        <w:tc>
          <w:tcPr>
            <w:tcW w:w="1290" w:type="dxa"/>
            <w:vAlign w:val="center"/>
          </w:tcPr>
          <w:p w:rsidR="008E4DB1" w:rsidRDefault="00B526A4">
            <w:pPr>
              <w:jc w:val="left"/>
            </w:pPr>
            <w:r>
              <w:rPr>
                <w:rFonts w:eastAsiaTheme="minorEastAsia"/>
                <w:color w:val="000000" w:themeColor="text1"/>
                <w:sz w:val="24"/>
              </w:rPr>
              <w:t>过去一年</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r>
      <w:tr w:rsidR="008E4DB1">
        <w:tc>
          <w:tcPr>
            <w:tcW w:w="1290" w:type="dxa"/>
            <w:vAlign w:val="center"/>
          </w:tcPr>
          <w:p w:rsidR="008E4DB1" w:rsidRDefault="00B526A4">
            <w:pPr>
              <w:jc w:val="left"/>
            </w:pPr>
            <w:r>
              <w:rPr>
                <w:rFonts w:eastAsiaTheme="minorEastAsia"/>
                <w:color w:val="000000" w:themeColor="text1"/>
                <w:sz w:val="24"/>
              </w:rPr>
              <w:t>过去三年</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r>
      <w:tr w:rsidR="008E4DB1">
        <w:tc>
          <w:tcPr>
            <w:tcW w:w="1290" w:type="dxa"/>
            <w:vAlign w:val="center"/>
          </w:tcPr>
          <w:p w:rsidR="008E4DB1" w:rsidRDefault="00B526A4">
            <w:pPr>
              <w:jc w:val="left"/>
            </w:pPr>
            <w:r>
              <w:rPr>
                <w:rFonts w:eastAsiaTheme="minorEastAsia"/>
                <w:color w:val="000000" w:themeColor="text1"/>
                <w:sz w:val="24"/>
              </w:rPr>
              <w:t>过去五年</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c>
          <w:tcPr>
            <w:tcW w:w="1291" w:type="dxa"/>
            <w:vAlign w:val="center"/>
          </w:tcPr>
          <w:p w:rsidR="008E4DB1" w:rsidRDefault="00B526A4">
            <w:pPr>
              <w:jc w:val="right"/>
            </w:pPr>
            <w:r>
              <w:rPr>
                <w:rFonts w:eastAsiaTheme="minorEastAsia"/>
                <w:color w:val="000000" w:themeColor="text1"/>
                <w:sz w:val="24"/>
              </w:rPr>
              <w:t>-</w:t>
            </w:r>
          </w:p>
        </w:tc>
      </w:tr>
      <w:tr w:rsidR="008E4DB1">
        <w:tc>
          <w:tcPr>
            <w:tcW w:w="1290" w:type="dxa"/>
            <w:vAlign w:val="center"/>
          </w:tcPr>
          <w:p w:rsidR="008E4DB1" w:rsidRDefault="00B526A4">
            <w:pPr>
              <w:jc w:val="left"/>
            </w:pPr>
            <w:r>
              <w:rPr>
                <w:rFonts w:eastAsiaTheme="minorEastAsia"/>
                <w:color w:val="000000" w:themeColor="text1"/>
                <w:sz w:val="24"/>
              </w:rPr>
              <w:t>自基金合同生效起至今</w:t>
            </w:r>
          </w:p>
        </w:tc>
        <w:tc>
          <w:tcPr>
            <w:tcW w:w="1291" w:type="dxa"/>
            <w:vAlign w:val="center"/>
          </w:tcPr>
          <w:p w:rsidR="008E4DB1" w:rsidRDefault="00B526A4">
            <w:pPr>
              <w:jc w:val="right"/>
            </w:pPr>
            <w:r>
              <w:rPr>
                <w:rFonts w:eastAsiaTheme="minorEastAsia"/>
                <w:color w:val="000000" w:themeColor="text1"/>
                <w:sz w:val="24"/>
              </w:rPr>
              <w:t>-4.85%</w:t>
            </w:r>
          </w:p>
        </w:tc>
        <w:tc>
          <w:tcPr>
            <w:tcW w:w="1291" w:type="dxa"/>
            <w:vAlign w:val="center"/>
          </w:tcPr>
          <w:p w:rsidR="008E4DB1" w:rsidRDefault="00B526A4">
            <w:pPr>
              <w:jc w:val="right"/>
            </w:pPr>
            <w:r>
              <w:rPr>
                <w:rFonts w:eastAsiaTheme="minorEastAsia"/>
                <w:color w:val="000000" w:themeColor="text1"/>
                <w:sz w:val="24"/>
              </w:rPr>
              <w:t>0.69%</w:t>
            </w:r>
          </w:p>
        </w:tc>
        <w:tc>
          <w:tcPr>
            <w:tcW w:w="1291" w:type="dxa"/>
            <w:vAlign w:val="center"/>
          </w:tcPr>
          <w:p w:rsidR="008E4DB1" w:rsidRDefault="00B526A4">
            <w:pPr>
              <w:jc w:val="right"/>
            </w:pPr>
            <w:r>
              <w:rPr>
                <w:rFonts w:eastAsiaTheme="minorEastAsia"/>
                <w:color w:val="000000" w:themeColor="text1"/>
                <w:sz w:val="24"/>
              </w:rPr>
              <w:t>-4.78%</w:t>
            </w:r>
          </w:p>
        </w:tc>
        <w:tc>
          <w:tcPr>
            <w:tcW w:w="1291" w:type="dxa"/>
            <w:vAlign w:val="center"/>
          </w:tcPr>
          <w:p w:rsidR="008E4DB1" w:rsidRDefault="00B526A4">
            <w:pPr>
              <w:jc w:val="right"/>
            </w:pPr>
            <w:r>
              <w:rPr>
                <w:rFonts w:eastAsiaTheme="minorEastAsia"/>
                <w:color w:val="000000" w:themeColor="text1"/>
                <w:sz w:val="24"/>
              </w:rPr>
              <w:t>0.68%</w:t>
            </w:r>
          </w:p>
        </w:tc>
        <w:tc>
          <w:tcPr>
            <w:tcW w:w="1291" w:type="dxa"/>
            <w:vAlign w:val="center"/>
          </w:tcPr>
          <w:p w:rsidR="008E4DB1" w:rsidRDefault="00B526A4">
            <w:pPr>
              <w:jc w:val="right"/>
            </w:pPr>
            <w:r>
              <w:rPr>
                <w:rFonts w:eastAsiaTheme="minorEastAsia"/>
                <w:color w:val="000000" w:themeColor="text1"/>
                <w:sz w:val="24"/>
              </w:rPr>
              <w:t>-0.07%</w:t>
            </w:r>
          </w:p>
        </w:tc>
        <w:tc>
          <w:tcPr>
            <w:tcW w:w="1291" w:type="dxa"/>
            <w:vAlign w:val="center"/>
          </w:tcPr>
          <w:p w:rsidR="008E4DB1" w:rsidRDefault="00B526A4">
            <w:pPr>
              <w:jc w:val="right"/>
            </w:pPr>
            <w:r>
              <w:rPr>
                <w:rFonts w:eastAsiaTheme="minorEastAsia"/>
                <w:color w:val="000000" w:themeColor="text1"/>
                <w:sz w:val="24"/>
              </w:rPr>
              <w:t>0.01%</w:t>
            </w:r>
          </w:p>
        </w:tc>
      </w:tr>
    </w:tbl>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3.2.2</w:t>
      </w:r>
      <w:r w:rsidRPr="009B0629">
        <w:rPr>
          <w:rFonts w:eastAsiaTheme="minorEastAsia"/>
          <w:b/>
          <w:color w:val="000000" w:themeColor="text1"/>
          <w:kern w:val="0"/>
          <w:sz w:val="24"/>
        </w:rPr>
        <w:t xml:space="preserve">　</w:t>
      </w:r>
      <w:r w:rsidR="009779FD" w:rsidRPr="009B0629">
        <w:rPr>
          <w:rStyle w:val="afb"/>
          <w:rFonts w:eastAsiaTheme="minorEastAsia"/>
          <w:color w:val="000000" w:themeColor="text1"/>
          <w:sz w:val="24"/>
          <w:shd w:val="clear" w:color="auto" w:fill="FFFFFF"/>
        </w:rPr>
        <w:t>自基金合同生效以来</w:t>
      </w:r>
      <w:r w:rsidRPr="009B0629">
        <w:rPr>
          <w:rFonts w:eastAsiaTheme="minorEastAsia"/>
          <w:b/>
          <w:color w:val="000000" w:themeColor="text1"/>
          <w:kern w:val="0"/>
          <w:sz w:val="24"/>
        </w:rPr>
        <w:t>基金累计</w:t>
      </w:r>
      <w:r w:rsidR="004339D9" w:rsidRPr="009B0629">
        <w:rPr>
          <w:rFonts w:eastAsiaTheme="minorEastAsia"/>
          <w:b/>
          <w:color w:val="000000" w:themeColor="text1"/>
          <w:kern w:val="0"/>
          <w:sz w:val="24"/>
        </w:rPr>
        <w:t>份额</w:t>
      </w:r>
      <w:r w:rsidRPr="009B0629">
        <w:rPr>
          <w:rFonts w:eastAsiaTheme="minorEastAsia"/>
          <w:b/>
          <w:color w:val="000000" w:themeColor="text1"/>
          <w:kern w:val="0"/>
          <w:sz w:val="24"/>
        </w:rPr>
        <w:t>净值增长率变动及其与同期业绩比较</w:t>
      </w:r>
      <w:r w:rsidRPr="009B0629">
        <w:rPr>
          <w:rFonts w:eastAsiaTheme="minorEastAsia"/>
          <w:b/>
          <w:color w:val="000000" w:themeColor="text1"/>
          <w:kern w:val="0"/>
          <w:sz w:val="24"/>
        </w:rPr>
        <w:lastRenderedPageBreak/>
        <w:t>基准收益率变动的比较</w:t>
      </w:r>
    </w:p>
    <w:p w:rsidR="00A96FD9" w:rsidRPr="009B0629" w:rsidRDefault="00A96FD9" w:rsidP="00EC4BA3">
      <w:pPr>
        <w:spacing w:line="360" w:lineRule="auto"/>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指数型发起式证券投资基金</w:t>
      </w:r>
      <w:r w:rsidRPr="009B0629">
        <w:rPr>
          <w:rFonts w:eastAsiaTheme="minorEastAsia"/>
          <w:color w:val="000000" w:themeColor="text1"/>
          <w:sz w:val="24"/>
        </w:rPr>
        <w:t>(QDII)</w:t>
      </w:r>
    </w:p>
    <w:p w:rsidR="00FB39F7" w:rsidRPr="009B0629" w:rsidRDefault="00FB39F7" w:rsidP="00EC4BA3">
      <w:pPr>
        <w:pStyle w:val="a5"/>
        <w:snapToGrid w:val="0"/>
        <w:spacing w:line="360" w:lineRule="auto"/>
        <w:ind w:firstLine="480"/>
        <w:jc w:val="center"/>
        <w:rPr>
          <w:rFonts w:ascii="Times New Roman" w:eastAsiaTheme="minorEastAsia" w:hAnsi="Times New Roman"/>
          <w:color w:val="000000" w:themeColor="text1"/>
          <w:sz w:val="24"/>
          <w:szCs w:val="24"/>
        </w:rPr>
      </w:pPr>
      <w:r w:rsidRPr="009B0629">
        <w:rPr>
          <w:rFonts w:ascii="Times New Roman" w:eastAsiaTheme="minorEastAsia" w:hAnsi="Times New Roman"/>
          <w:color w:val="000000" w:themeColor="text1"/>
          <w:sz w:val="24"/>
          <w:szCs w:val="24"/>
        </w:rPr>
        <w:t>累计</w:t>
      </w:r>
      <w:r w:rsidR="00C67DCB" w:rsidRPr="009B0629">
        <w:rPr>
          <w:rFonts w:ascii="Times New Roman" w:eastAsiaTheme="minorEastAsia" w:hAnsi="Times New Roman"/>
          <w:color w:val="000000" w:themeColor="text1"/>
          <w:sz w:val="24"/>
          <w:szCs w:val="24"/>
        </w:rPr>
        <w:t>份额</w:t>
      </w:r>
      <w:r w:rsidRPr="009B0629">
        <w:rPr>
          <w:rFonts w:ascii="Times New Roman" w:eastAsiaTheme="minorEastAsia" w:hAnsi="Times New Roman"/>
          <w:color w:val="000000" w:themeColor="text1"/>
          <w:sz w:val="24"/>
          <w:szCs w:val="24"/>
        </w:rPr>
        <w:t>净值增长率与业绩比较基准收益率历史走势对比图</w:t>
      </w:r>
    </w:p>
    <w:p w:rsidR="005908C0" w:rsidRPr="009B0629" w:rsidRDefault="005908C0" w:rsidP="00EC4BA3">
      <w:pPr>
        <w:spacing w:line="360" w:lineRule="auto"/>
        <w:jc w:val="center"/>
        <w:rPr>
          <w:rFonts w:eastAsiaTheme="minorEastAsia"/>
          <w:color w:val="000000" w:themeColor="text1"/>
          <w:sz w:val="24"/>
        </w:rPr>
      </w:pPr>
      <w:r w:rsidRPr="009B0629">
        <w:rPr>
          <w:rFonts w:eastAsiaTheme="minorEastAsia"/>
          <w:color w:val="000000" w:themeColor="text1"/>
          <w:kern w:val="0"/>
          <w:sz w:val="24"/>
        </w:rPr>
        <w:t>（</w:t>
      </w:r>
      <w:r w:rsidR="00623556" w:rsidRPr="009B0629">
        <w:rPr>
          <w:rFonts w:eastAsiaTheme="minorEastAsia"/>
          <w:color w:val="000000" w:themeColor="text1"/>
          <w:kern w:val="0"/>
          <w:sz w:val="24"/>
        </w:rPr>
        <w:t>2023</w:t>
      </w:r>
      <w:r w:rsidR="00623556" w:rsidRPr="009B0629">
        <w:rPr>
          <w:rFonts w:eastAsiaTheme="minorEastAsia"/>
          <w:color w:val="000000" w:themeColor="text1"/>
          <w:kern w:val="0"/>
          <w:sz w:val="24"/>
        </w:rPr>
        <w:t>年</w:t>
      </w:r>
      <w:r w:rsidR="00623556" w:rsidRPr="009B0629">
        <w:rPr>
          <w:rFonts w:eastAsiaTheme="minorEastAsia"/>
          <w:color w:val="000000" w:themeColor="text1"/>
          <w:kern w:val="0"/>
          <w:sz w:val="24"/>
        </w:rPr>
        <w:t>4</w:t>
      </w:r>
      <w:r w:rsidR="00623556" w:rsidRPr="009B0629">
        <w:rPr>
          <w:rFonts w:eastAsiaTheme="minorEastAsia"/>
          <w:color w:val="000000" w:themeColor="text1"/>
          <w:kern w:val="0"/>
          <w:sz w:val="24"/>
        </w:rPr>
        <w:t>月</w:t>
      </w:r>
      <w:r w:rsidR="00623556" w:rsidRPr="009B0629">
        <w:rPr>
          <w:rFonts w:eastAsiaTheme="minorEastAsia"/>
          <w:color w:val="000000" w:themeColor="text1"/>
          <w:kern w:val="0"/>
          <w:sz w:val="24"/>
        </w:rPr>
        <w:t>6</w:t>
      </w:r>
      <w:r w:rsidR="00623556" w:rsidRPr="009B0629">
        <w:rPr>
          <w:rFonts w:eastAsiaTheme="minorEastAsia"/>
          <w:color w:val="000000" w:themeColor="text1"/>
          <w:kern w:val="0"/>
          <w:sz w:val="24"/>
        </w:rPr>
        <w:t>日</w:t>
      </w:r>
      <w:r w:rsidRPr="009B0629">
        <w:rPr>
          <w:rFonts w:eastAsiaTheme="minorEastAsia"/>
          <w:color w:val="000000" w:themeColor="text1"/>
          <w:kern w:val="0"/>
          <w:sz w:val="24"/>
        </w:rPr>
        <w:t>至</w:t>
      </w:r>
      <w:r w:rsidRPr="009B0629">
        <w:rPr>
          <w:rFonts w:eastAsiaTheme="minorEastAsia"/>
          <w:color w:val="000000" w:themeColor="text1"/>
          <w:kern w:val="0"/>
          <w:sz w:val="24"/>
        </w:rPr>
        <w:t>2023</w:t>
      </w:r>
      <w:r w:rsidRPr="009B0629">
        <w:rPr>
          <w:rFonts w:eastAsiaTheme="minorEastAsia"/>
          <w:color w:val="000000" w:themeColor="text1"/>
          <w:kern w:val="0"/>
          <w:sz w:val="24"/>
        </w:rPr>
        <w:t>年</w:t>
      </w:r>
      <w:r w:rsidRPr="009B0629">
        <w:rPr>
          <w:rFonts w:eastAsiaTheme="minorEastAsia"/>
          <w:color w:val="000000" w:themeColor="text1"/>
          <w:kern w:val="0"/>
          <w:sz w:val="24"/>
        </w:rPr>
        <w:t>9</w:t>
      </w:r>
      <w:r w:rsidRPr="009B0629">
        <w:rPr>
          <w:rFonts w:eastAsiaTheme="minorEastAsia"/>
          <w:color w:val="000000" w:themeColor="text1"/>
          <w:kern w:val="0"/>
          <w:sz w:val="24"/>
        </w:rPr>
        <w:t>月</w:t>
      </w:r>
      <w:r w:rsidRPr="009B0629">
        <w:rPr>
          <w:rFonts w:eastAsiaTheme="minorEastAsia"/>
          <w:color w:val="000000" w:themeColor="text1"/>
          <w:kern w:val="0"/>
          <w:sz w:val="24"/>
        </w:rPr>
        <w:t>30</w:t>
      </w:r>
      <w:r w:rsidRPr="009B0629">
        <w:rPr>
          <w:rFonts w:eastAsiaTheme="minorEastAsia"/>
          <w:color w:val="000000" w:themeColor="text1"/>
          <w:kern w:val="0"/>
          <w:sz w:val="24"/>
        </w:rPr>
        <w:t>日）</w:t>
      </w:r>
    </w:p>
    <w:p w:rsidR="0065601A" w:rsidRPr="009B0629" w:rsidRDefault="0065601A" w:rsidP="0065601A">
      <w:pPr>
        <w:snapToGrid w:val="0"/>
        <w:spacing w:line="360" w:lineRule="auto"/>
        <w:rPr>
          <w:rFonts w:eastAsiaTheme="minorEastAsia"/>
          <w:color w:val="000000" w:themeColor="text1"/>
          <w:sz w:val="24"/>
        </w:rPr>
      </w:pPr>
      <w:r w:rsidRPr="009B0629">
        <w:rPr>
          <w:rFonts w:eastAsiaTheme="minorEastAsia"/>
          <w:color w:val="000000" w:themeColor="text1"/>
          <w:sz w:val="24"/>
        </w:rPr>
        <w:t>1</w:t>
      </w: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r w:rsidRPr="009B0629">
        <w:rPr>
          <w:rFonts w:eastAsiaTheme="minorEastAsia"/>
          <w:color w:val="000000" w:themeColor="text1"/>
          <w:sz w:val="24"/>
        </w:rPr>
        <w:t>：</w:t>
      </w:r>
    </w:p>
    <w:p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532ADAAD" wp14:editId="2E13F1A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6</w:t>
      </w:r>
      <w:r>
        <w:rPr>
          <w:rFonts w:eastAsiaTheme="minorEastAsia"/>
          <w:color w:val="000000" w:themeColor="text1"/>
          <w:sz w:val="24"/>
        </w:rPr>
        <w:t>日，截至本报告期末本基金合同生效未满一年。</w:t>
      </w:r>
    </w:p>
    <w:p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 xml:space="preserve"> 6 </w:t>
      </w:r>
      <w:r w:rsidRPr="009B0629">
        <w:rPr>
          <w:rFonts w:eastAsiaTheme="minorEastAsia"/>
          <w:color w:val="000000" w:themeColor="text1"/>
          <w:sz w:val="24"/>
        </w:rPr>
        <w:t>个月，截至本报告期末本基金仍处于建仓期。</w:t>
      </w:r>
      <w:r w:rsidRPr="009B0629">
        <w:rPr>
          <w:rFonts w:eastAsiaTheme="minorEastAsia"/>
          <w:color w:val="000000" w:themeColor="text1"/>
          <w:sz w:val="24"/>
        </w:rPr>
        <w:t xml:space="preserve"> </w:t>
      </w:r>
    </w:p>
    <w:p w:rsidR="0065601A" w:rsidRPr="009B0629" w:rsidRDefault="0065601A" w:rsidP="0065601A">
      <w:pPr>
        <w:snapToGrid w:val="0"/>
        <w:spacing w:beforeLines="100" w:before="312" w:line="360" w:lineRule="auto"/>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r w:rsidRPr="009B0629">
        <w:rPr>
          <w:rFonts w:eastAsiaTheme="minorEastAsia"/>
          <w:color w:val="000000" w:themeColor="text1"/>
          <w:sz w:val="24"/>
        </w:rPr>
        <w:t>：</w:t>
      </w:r>
    </w:p>
    <w:p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lastRenderedPageBreak/>
        <w:drawing>
          <wp:inline distT="0" distB="0" distL="0" distR="0" wp14:anchorId="4E2A15C4" wp14:editId="3F91DD5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845292" w:rsidRPr="009B0629" w:rsidRDefault="00B526A4" w:rsidP="009B0629">
      <w:pPr>
        <w:spacing w:line="360" w:lineRule="auto"/>
        <w:ind w:firstLineChars="200" w:firstLine="480"/>
        <w:rPr>
          <w:rFonts w:eastAsiaTheme="minorEastAsia"/>
          <w:color w:val="000000" w:themeColor="text1"/>
          <w:sz w:val="24"/>
        </w:rPr>
      </w:pPr>
      <w:r>
        <w:rPr>
          <w:rFonts w:eastAsiaTheme="minorEastAsia"/>
          <w:color w:val="000000" w:themeColor="text1"/>
          <w:sz w:val="24"/>
        </w:rPr>
        <w:t>注：</w:t>
      </w:r>
      <w:r w:rsidR="00896264" w:rsidRPr="00896264">
        <w:rPr>
          <w:rFonts w:eastAsiaTheme="minorEastAsia" w:hint="eastAsia"/>
          <w:color w:val="000000" w:themeColor="text1"/>
          <w:sz w:val="24"/>
        </w:rPr>
        <w:t>本基金自</w:t>
      </w:r>
      <w:r w:rsidR="00896264" w:rsidRPr="00896264">
        <w:rPr>
          <w:rFonts w:eastAsiaTheme="minorEastAsia" w:hint="eastAsia"/>
          <w:color w:val="000000" w:themeColor="text1"/>
          <w:sz w:val="24"/>
        </w:rPr>
        <w:t xml:space="preserve"> 2023</w:t>
      </w:r>
      <w:r w:rsidR="00896264" w:rsidRPr="00896264">
        <w:rPr>
          <w:rFonts w:eastAsiaTheme="minorEastAsia" w:hint="eastAsia"/>
          <w:color w:val="000000" w:themeColor="text1"/>
          <w:sz w:val="24"/>
        </w:rPr>
        <w:t>年</w:t>
      </w:r>
      <w:r w:rsidR="00896264" w:rsidRPr="00896264">
        <w:rPr>
          <w:rFonts w:eastAsiaTheme="minorEastAsia" w:hint="eastAsia"/>
          <w:color w:val="000000" w:themeColor="text1"/>
          <w:sz w:val="24"/>
        </w:rPr>
        <w:t>9</w:t>
      </w:r>
      <w:r w:rsidR="00896264" w:rsidRPr="00896264">
        <w:rPr>
          <w:rFonts w:eastAsiaTheme="minorEastAsia" w:hint="eastAsia"/>
          <w:color w:val="000000" w:themeColor="text1"/>
          <w:sz w:val="24"/>
        </w:rPr>
        <w:t>月</w:t>
      </w:r>
      <w:r w:rsidR="00896264" w:rsidRPr="00896264">
        <w:rPr>
          <w:rFonts w:eastAsiaTheme="minorEastAsia" w:hint="eastAsia"/>
          <w:color w:val="000000" w:themeColor="text1"/>
          <w:sz w:val="24"/>
        </w:rPr>
        <w:t>1</w:t>
      </w:r>
      <w:r w:rsidR="00896264" w:rsidRPr="00896264">
        <w:rPr>
          <w:rFonts w:eastAsiaTheme="minorEastAsia" w:hint="eastAsia"/>
          <w:color w:val="000000" w:themeColor="text1"/>
          <w:sz w:val="24"/>
        </w:rPr>
        <w:t>日起增加</w:t>
      </w:r>
      <w:r w:rsidR="00896264" w:rsidRPr="00896264">
        <w:rPr>
          <w:rFonts w:eastAsiaTheme="minorEastAsia" w:hint="eastAsia"/>
          <w:color w:val="000000" w:themeColor="text1"/>
          <w:sz w:val="24"/>
        </w:rPr>
        <w:t>C</w:t>
      </w:r>
      <w:r w:rsidR="00896264" w:rsidRPr="00896264">
        <w:rPr>
          <w:rFonts w:eastAsiaTheme="minorEastAsia" w:hint="eastAsia"/>
          <w:color w:val="000000" w:themeColor="text1"/>
          <w:sz w:val="24"/>
        </w:rPr>
        <w:t>类份额，相关数据按实际存续期计算，截至本报告期末本基金合同生效未满一年。本基金建仓期为本基金合同生效日起</w:t>
      </w:r>
      <w:r w:rsidR="00896264" w:rsidRPr="00896264">
        <w:rPr>
          <w:rFonts w:eastAsiaTheme="minorEastAsia" w:hint="eastAsia"/>
          <w:color w:val="000000" w:themeColor="text1"/>
          <w:sz w:val="24"/>
        </w:rPr>
        <w:t xml:space="preserve"> 6 </w:t>
      </w:r>
      <w:r w:rsidR="00896264" w:rsidRPr="00896264">
        <w:rPr>
          <w:rFonts w:eastAsiaTheme="minorEastAsia" w:hint="eastAsia"/>
          <w:color w:val="000000" w:themeColor="text1"/>
          <w:sz w:val="24"/>
        </w:rPr>
        <w:t>个月，截至本报告期末本基金仍处于建仓期。</w:t>
      </w:r>
      <w:r w:rsidR="00896264" w:rsidRPr="00896264">
        <w:rPr>
          <w:rFonts w:eastAsiaTheme="minorEastAsia" w:hint="eastAsia"/>
          <w:color w:val="000000" w:themeColor="text1"/>
          <w:sz w:val="24"/>
        </w:rPr>
        <w:t xml:space="preserve"> </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§4  </w:t>
      </w:r>
      <w:r w:rsidRPr="009B0629">
        <w:rPr>
          <w:rFonts w:eastAsiaTheme="minorEastAsia"/>
          <w:color w:val="000000" w:themeColor="text1"/>
          <w:kern w:val="0"/>
          <w:sz w:val="24"/>
          <w:szCs w:val="24"/>
        </w:rPr>
        <w:t>管理人报告</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4.1 </w:t>
      </w:r>
      <w:r w:rsidRPr="009B0629">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1134"/>
        <w:gridCol w:w="1417"/>
        <w:gridCol w:w="2694"/>
      </w:tblGrid>
      <w:tr w:rsidR="008277FF" w:rsidRPr="009B0629" w:rsidTr="00D6542C">
        <w:trPr>
          <w:cantSplit/>
          <w:trHeight w:val="292"/>
        </w:trPr>
        <w:tc>
          <w:tcPr>
            <w:tcW w:w="851" w:type="dxa"/>
            <w:vMerge w:val="restart"/>
            <w:vAlign w:val="center"/>
          </w:tcPr>
          <w:p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姓名</w:t>
            </w:r>
          </w:p>
        </w:tc>
        <w:tc>
          <w:tcPr>
            <w:tcW w:w="1701" w:type="dxa"/>
            <w:vMerge w:val="restart"/>
            <w:vAlign w:val="center"/>
          </w:tcPr>
          <w:p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职务</w:t>
            </w:r>
          </w:p>
        </w:tc>
        <w:tc>
          <w:tcPr>
            <w:tcW w:w="2268" w:type="dxa"/>
            <w:gridSpan w:val="2"/>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任本基金的基金经理期限</w:t>
            </w:r>
          </w:p>
        </w:tc>
        <w:tc>
          <w:tcPr>
            <w:tcW w:w="1417" w:type="dxa"/>
            <w:vMerge w:val="restart"/>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证券从业年限</w:t>
            </w:r>
          </w:p>
        </w:tc>
        <w:tc>
          <w:tcPr>
            <w:tcW w:w="2694" w:type="dxa"/>
            <w:vMerge w:val="restart"/>
            <w:vAlign w:val="center"/>
          </w:tcPr>
          <w:p w:rsidR="007D1292" w:rsidRPr="009B0629" w:rsidRDefault="007D1292" w:rsidP="00797DD2">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说明</w:t>
            </w:r>
          </w:p>
        </w:tc>
      </w:tr>
      <w:tr w:rsidR="008277FF" w:rsidRPr="009B0629" w:rsidTr="00D6542C">
        <w:trPr>
          <w:cantSplit/>
        </w:trPr>
        <w:tc>
          <w:tcPr>
            <w:tcW w:w="851" w:type="dxa"/>
            <w:vMerge/>
            <w:vAlign w:val="center"/>
          </w:tcPr>
          <w:p w:rsidR="007D1292" w:rsidRPr="009B0629" w:rsidRDefault="007D1292" w:rsidP="00B918B8">
            <w:pPr>
              <w:widowControl/>
              <w:spacing w:line="360" w:lineRule="auto"/>
              <w:jc w:val="left"/>
              <w:rPr>
                <w:rFonts w:eastAsiaTheme="minorEastAsia"/>
                <w:color w:val="000000" w:themeColor="text1"/>
                <w:kern w:val="0"/>
                <w:sz w:val="24"/>
              </w:rPr>
            </w:pPr>
          </w:p>
        </w:tc>
        <w:tc>
          <w:tcPr>
            <w:tcW w:w="1701" w:type="dxa"/>
            <w:vMerge/>
            <w:vAlign w:val="center"/>
          </w:tcPr>
          <w:p w:rsidR="007D1292" w:rsidRPr="009B0629" w:rsidRDefault="007D1292" w:rsidP="00B918B8">
            <w:pPr>
              <w:widowControl/>
              <w:spacing w:line="360" w:lineRule="auto"/>
              <w:jc w:val="left"/>
              <w:rPr>
                <w:rFonts w:eastAsiaTheme="minorEastAsia"/>
                <w:color w:val="000000" w:themeColor="text1"/>
                <w:kern w:val="0"/>
                <w:sz w:val="24"/>
              </w:rPr>
            </w:pPr>
          </w:p>
        </w:tc>
        <w:tc>
          <w:tcPr>
            <w:tcW w:w="1134" w:type="dxa"/>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任职日期</w:t>
            </w:r>
          </w:p>
        </w:tc>
        <w:tc>
          <w:tcPr>
            <w:tcW w:w="1134" w:type="dxa"/>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离任日期</w:t>
            </w:r>
          </w:p>
        </w:tc>
        <w:tc>
          <w:tcPr>
            <w:tcW w:w="1417" w:type="dxa"/>
            <w:vMerge/>
            <w:vAlign w:val="center"/>
          </w:tcPr>
          <w:p w:rsidR="007D1292" w:rsidRPr="009B0629" w:rsidRDefault="007D1292" w:rsidP="00797DD2">
            <w:pPr>
              <w:widowControl/>
              <w:spacing w:line="360" w:lineRule="auto"/>
              <w:jc w:val="center"/>
              <w:rPr>
                <w:rFonts w:eastAsiaTheme="minorEastAsia"/>
                <w:color w:val="000000" w:themeColor="text1"/>
                <w:kern w:val="0"/>
                <w:sz w:val="24"/>
              </w:rPr>
            </w:pPr>
          </w:p>
        </w:tc>
        <w:tc>
          <w:tcPr>
            <w:tcW w:w="2694" w:type="dxa"/>
            <w:vMerge/>
            <w:vAlign w:val="center"/>
          </w:tcPr>
          <w:p w:rsidR="007D1292" w:rsidRPr="009B0629" w:rsidRDefault="007D1292" w:rsidP="00797DD2">
            <w:pPr>
              <w:widowControl/>
              <w:spacing w:line="360" w:lineRule="auto"/>
              <w:jc w:val="center"/>
              <w:rPr>
                <w:rFonts w:eastAsiaTheme="minorEastAsia"/>
                <w:color w:val="000000" w:themeColor="text1"/>
                <w:kern w:val="0"/>
                <w:sz w:val="24"/>
              </w:rPr>
            </w:pPr>
          </w:p>
        </w:tc>
      </w:tr>
      <w:tr w:rsidR="008E4DB1">
        <w:tc>
          <w:tcPr>
            <w:tcW w:w="851" w:type="dxa"/>
            <w:vAlign w:val="center"/>
          </w:tcPr>
          <w:p w:rsidR="008E4DB1" w:rsidRDefault="00B526A4">
            <w:pPr>
              <w:jc w:val="center"/>
            </w:pPr>
            <w:r>
              <w:rPr>
                <w:rFonts w:eastAsiaTheme="minorEastAsia"/>
                <w:color w:val="000000" w:themeColor="text1"/>
                <w:sz w:val="24"/>
              </w:rPr>
              <w:t>张军</w:t>
            </w:r>
          </w:p>
        </w:tc>
        <w:tc>
          <w:tcPr>
            <w:tcW w:w="1701" w:type="dxa"/>
            <w:vAlign w:val="center"/>
          </w:tcPr>
          <w:p w:rsidR="008E4DB1" w:rsidRDefault="00B526A4">
            <w:pPr>
              <w:jc w:val="center"/>
            </w:pPr>
            <w:r>
              <w:rPr>
                <w:rFonts w:eastAsiaTheme="minorEastAsia"/>
                <w:color w:val="000000" w:themeColor="text1"/>
                <w:sz w:val="24"/>
              </w:rPr>
              <w:t>本基金基金经理</w:t>
            </w:r>
          </w:p>
        </w:tc>
        <w:tc>
          <w:tcPr>
            <w:tcW w:w="1134" w:type="dxa"/>
            <w:vAlign w:val="center"/>
          </w:tcPr>
          <w:p w:rsidR="008E4DB1" w:rsidRDefault="00B526A4">
            <w:pPr>
              <w:jc w:val="center"/>
            </w:pPr>
            <w:r>
              <w:rPr>
                <w:rFonts w:eastAsiaTheme="minorEastAsia"/>
                <w:color w:val="000000" w:themeColor="text1"/>
                <w:sz w:val="24"/>
              </w:rPr>
              <w:t>2023-04-06</w:t>
            </w:r>
          </w:p>
        </w:tc>
        <w:tc>
          <w:tcPr>
            <w:tcW w:w="1134" w:type="dxa"/>
            <w:vAlign w:val="center"/>
          </w:tcPr>
          <w:p w:rsidR="008E4DB1" w:rsidRDefault="00B526A4">
            <w:pPr>
              <w:jc w:val="center"/>
            </w:pPr>
            <w:r>
              <w:rPr>
                <w:rFonts w:eastAsiaTheme="minorEastAsia"/>
                <w:color w:val="000000" w:themeColor="text1"/>
                <w:sz w:val="24"/>
              </w:rPr>
              <w:t>-</w:t>
            </w:r>
          </w:p>
        </w:tc>
        <w:tc>
          <w:tcPr>
            <w:tcW w:w="1417" w:type="dxa"/>
            <w:vAlign w:val="center"/>
          </w:tcPr>
          <w:p w:rsidR="008E4DB1" w:rsidRDefault="00B526A4">
            <w:pPr>
              <w:jc w:val="center"/>
            </w:pPr>
            <w:r>
              <w:rPr>
                <w:rFonts w:eastAsiaTheme="minorEastAsia"/>
                <w:color w:val="000000" w:themeColor="text1"/>
                <w:sz w:val="24"/>
              </w:rPr>
              <w:t>19</w:t>
            </w:r>
            <w:r>
              <w:rPr>
                <w:rFonts w:eastAsiaTheme="minorEastAsia"/>
                <w:color w:val="000000" w:themeColor="text1"/>
                <w:sz w:val="24"/>
              </w:rPr>
              <w:t>年（金融领域从业经验</w:t>
            </w:r>
            <w:r>
              <w:rPr>
                <w:rFonts w:eastAsiaTheme="minorEastAsia"/>
                <w:color w:val="000000" w:themeColor="text1"/>
                <w:sz w:val="24"/>
              </w:rPr>
              <w:t>30</w:t>
            </w:r>
            <w:r>
              <w:rPr>
                <w:rFonts w:eastAsiaTheme="minorEastAsia"/>
                <w:color w:val="000000" w:themeColor="text1"/>
                <w:sz w:val="24"/>
              </w:rPr>
              <w:t>年）</w:t>
            </w:r>
          </w:p>
        </w:tc>
        <w:tc>
          <w:tcPr>
            <w:tcW w:w="2694" w:type="dxa"/>
            <w:vAlign w:val="center"/>
          </w:tcPr>
          <w:p w:rsidR="008E4DB1" w:rsidRDefault="00B526A4">
            <w:pPr>
              <w:jc w:val="left"/>
            </w:pPr>
            <w:r>
              <w:rPr>
                <w:rFonts w:eastAsiaTheme="minorEastAsia"/>
                <w:color w:val="000000" w:themeColor="text1"/>
                <w:sz w:val="24"/>
              </w:rPr>
              <w:t>张军先生曾任上海国际信托有限公司国际业务部经理、交易部经理。</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月起加入摩根基金管理（中国）有限公司（原上投摩根基金管理有限公司），先后担任交易部总监、基金经理、投资绩效评估总监、国际投资部总监、组合基金投资部总监，现任</w:t>
            </w:r>
            <w:r>
              <w:rPr>
                <w:rFonts w:eastAsiaTheme="minorEastAsia"/>
                <w:color w:val="000000" w:themeColor="text1"/>
                <w:sz w:val="24"/>
              </w:rPr>
              <w:lastRenderedPageBreak/>
              <w:t>高级基金经理。</w:t>
            </w:r>
          </w:p>
        </w:tc>
      </w:tr>
    </w:tbl>
    <w:p w:rsidR="008E4DB1" w:rsidRDefault="00B526A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lastRenderedPageBreak/>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8E4DB1" w:rsidRDefault="00B526A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张军先生为本基金首任基金经理，其任职日期为本基金基金合同生效之日。</w:t>
      </w:r>
    </w:p>
    <w:p w:rsidR="00A47E47" w:rsidRPr="009B0629" w:rsidRDefault="00A47E47"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3.</w:t>
      </w:r>
      <w:r w:rsidRPr="009B0629">
        <w:rPr>
          <w:rFonts w:eastAsiaTheme="minorEastAsia"/>
          <w:color w:val="000000" w:themeColor="text1"/>
          <w:sz w:val="24"/>
        </w:rPr>
        <w:t>证券从业的含义遵从行业协会《证券业从业人员资格管理办法》的相关规定。</w:t>
      </w:r>
    </w:p>
    <w:p w:rsidR="00513DB2" w:rsidRDefault="00513DB2" w:rsidP="00513DB2">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bookmarkStart w:id="1" w:name="_Hlk44921484"/>
      <w:r>
        <w:rPr>
          <w:rFonts w:asciiTheme="minorEastAsia" w:eastAsiaTheme="minorEastAsia" w:hAnsiTheme="minorEastAsia" w:cs="Arial" w:hint="eastAsia"/>
          <w:b/>
          <w:color w:val="000000" w:themeColor="text1"/>
          <w:kern w:val="0"/>
          <w:sz w:val="24"/>
        </w:rPr>
        <w:t>4.1.1 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2038"/>
        <w:gridCol w:w="2358"/>
        <w:gridCol w:w="1896"/>
        <w:gridCol w:w="1372"/>
      </w:tblGrid>
      <w:tr w:rsidR="00513DB2" w:rsidRPr="00513DB2" w:rsidTr="00513DB2">
        <w:tc>
          <w:tcPr>
            <w:tcW w:w="959"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资产净值</w:t>
            </w:r>
            <w:r w:rsidRPr="00513DB2">
              <w:rPr>
                <w:rFonts w:eastAsiaTheme="minorEastAsia"/>
                <w:color w:val="000000" w:themeColor="text1"/>
                <w:sz w:val="24"/>
              </w:rPr>
              <w:t>(</w:t>
            </w:r>
            <w:r w:rsidRPr="00513DB2">
              <w:rPr>
                <w:rFonts w:eastAsiaTheme="minorEastAsia" w:hint="eastAsia"/>
                <w:color w:val="000000" w:themeColor="text1"/>
                <w:sz w:val="24"/>
              </w:rPr>
              <w:t>元</w:t>
            </w: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sz w:val="24"/>
              </w:rPr>
            </w:pPr>
            <w:r w:rsidRPr="00513DB2">
              <w:rPr>
                <w:rFonts w:eastAsiaTheme="minorEastAsia" w:hint="eastAsia"/>
                <w:color w:val="000000" w:themeColor="text1"/>
                <w:sz w:val="24"/>
              </w:rPr>
              <w:t>任职时间</w:t>
            </w:r>
          </w:p>
        </w:tc>
      </w:tr>
      <w:tr w:rsidR="00513DB2" w:rsidRPr="00513DB2" w:rsidTr="00513DB2">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张军</w:t>
            </w:r>
          </w:p>
        </w:tc>
        <w:tc>
          <w:tcPr>
            <w:tcW w:w="2410" w:type="dxa"/>
            <w:tcBorders>
              <w:top w:val="single" w:sz="4" w:space="0" w:color="000000"/>
              <w:left w:val="single" w:sz="4" w:space="0" w:color="000000"/>
              <w:bottom w:val="single" w:sz="4" w:space="0" w:color="000000"/>
              <w:right w:val="single" w:sz="4" w:space="0" w:color="000000"/>
            </w:tcBorders>
            <w:hideMark/>
          </w:tcPr>
          <w:p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4,936,387,157.89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2008-03-08</w:t>
            </w:r>
          </w:p>
        </w:tc>
      </w:tr>
      <w:tr w:rsidR="00513DB2" w:rsidRPr="00513DB2"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38,150,271.61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2021-07-09</w:t>
            </w:r>
          </w:p>
        </w:tc>
      </w:tr>
      <w:tr w:rsidR="00513DB2" w:rsidRPr="00513DB2"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r w:rsidR="00513DB2" w:rsidRPr="00513DB2"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4,974,537,429.50</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bl>
    <w:p w:rsidR="0076518F" w:rsidRPr="00513DB2"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9B0629"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2</w:t>
      </w:r>
      <w:r w:rsidR="000E2629" w:rsidRPr="000E2629">
        <w:rPr>
          <w:rFonts w:eastAsiaTheme="minorEastAsia" w:hint="eastAsia"/>
          <w:b/>
          <w:color w:val="000000"/>
          <w:sz w:val="24"/>
          <w:shd w:val="clear" w:color="auto" w:fill="FFFFFF"/>
        </w:rPr>
        <w:t>报告期内本基金运作遵规守信情况说明</w:t>
      </w:r>
    </w:p>
    <w:p w:rsidR="00363E15" w:rsidRPr="009B0629" w:rsidRDefault="00363E15"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9B0629"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3</w:t>
      </w:r>
      <w:r w:rsidRPr="009B0629">
        <w:rPr>
          <w:rFonts w:eastAsiaTheme="minorEastAsia"/>
          <w:b/>
          <w:color w:val="000000" w:themeColor="text1"/>
          <w:kern w:val="0"/>
          <w:sz w:val="24"/>
        </w:rPr>
        <w:t xml:space="preserve"> </w:t>
      </w:r>
      <w:r w:rsidRPr="009B0629">
        <w:rPr>
          <w:rFonts w:eastAsiaTheme="minorEastAsia"/>
          <w:b/>
          <w:color w:val="000000" w:themeColor="text1"/>
          <w:kern w:val="0"/>
          <w:sz w:val="24"/>
        </w:rPr>
        <w:t>公平交易专项说明</w:t>
      </w:r>
    </w:p>
    <w:p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3.1</w:t>
      </w:r>
      <w:r w:rsidRPr="00460FAA">
        <w:rPr>
          <w:rFonts w:eastAsiaTheme="minorEastAsia"/>
          <w:b/>
          <w:color w:val="000000" w:themeColor="text1"/>
          <w:sz w:val="24"/>
        </w:rPr>
        <w:t>公平交易制度的执行情况</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lastRenderedPageBreak/>
        <w:t>报告期内，通过对不同投资组合之间的收益率差异比较、对同向交易和反向交易的交易时机和交易价差监控分析，未发现整体公平交易执行出现异常的情况。</w:t>
      </w:r>
    </w:p>
    <w:p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w:t>
      </w:r>
      <w:r w:rsidRPr="00460FAA">
        <w:rPr>
          <w:rFonts w:eastAsiaTheme="minorEastAsia"/>
          <w:b/>
          <w:color w:val="000000" w:themeColor="text1"/>
          <w:sz w:val="24"/>
        </w:rPr>
        <w:t>.</w:t>
      </w:r>
      <w:r w:rsidR="00A32FDA" w:rsidRPr="00460FAA">
        <w:rPr>
          <w:rFonts w:eastAsiaTheme="minorEastAsia"/>
          <w:b/>
          <w:color w:val="000000" w:themeColor="text1"/>
          <w:sz w:val="24"/>
        </w:rPr>
        <w:t>2</w:t>
      </w:r>
      <w:r w:rsidRPr="00460FAA">
        <w:rPr>
          <w:rFonts w:eastAsiaTheme="minorEastAsia"/>
          <w:b/>
          <w:color w:val="000000" w:themeColor="text1"/>
          <w:sz w:val="24"/>
        </w:rPr>
        <w:t>异常交易行为的专项说明</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rsidR="001F3C28"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所有投资组合参与的交易所公开竞价同日反向交易成交较少的单边交易量超过该证券当日成交量的</w:t>
      </w:r>
      <w:r w:rsidRPr="009B0629">
        <w:rPr>
          <w:rFonts w:eastAsiaTheme="minorEastAsia"/>
          <w:color w:val="000000" w:themeColor="text1"/>
          <w:sz w:val="24"/>
        </w:rPr>
        <w:t>5%</w:t>
      </w:r>
      <w:r w:rsidRPr="009B0629">
        <w:rPr>
          <w:rFonts w:eastAsiaTheme="minorEastAsia"/>
          <w:color w:val="000000" w:themeColor="text1"/>
          <w:sz w:val="24"/>
        </w:rPr>
        <w:t>的情形：无。</w:t>
      </w:r>
    </w:p>
    <w:p w:rsidR="00022821" w:rsidRDefault="00022821" w:rsidP="009B0629">
      <w:pPr>
        <w:spacing w:line="360" w:lineRule="auto"/>
        <w:ind w:firstLineChars="200" w:firstLine="480"/>
        <w:rPr>
          <w:rFonts w:eastAsiaTheme="minorEastAsia"/>
          <w:color w:val="000000" w:themeColor="text1"/>
          <w:sz w:val="24"/>
        </w:rPr>
      </w:pPr>
    </w:p>
    <w:p w:rsidR="00864134" w:rsidRDefault="00022821" w:rsidP="00864134">
      <w:pPr>
        <w:autoSpaceDE w:val="0"/>
        <w:autoSpaceDN w:val="0"/>
        <w:adjustRightInd w:val="0"/>
        <w:spacing w:line="360" w:lineRule="auto"/>
        <w:jc w:val="left"/>
        <w:rPr>
          <w:rFonts w:asciiTheme="minorEastAsia" w:eastAsiaTheme="minorEastAsia" w:hAnsiTheme="minorEastAsia"/>
          <w:b/>
          <w:bCs/>
          <w:color w:val="000000" w:themeColor="text1"/>
          <w:kern w:val="0"/>
          <w:sz w:val="24"/>
        </w:rPr>
      </w:pPr>
      <w:bookmarkStart w:id="2" w:name="_Hlk52387227"/>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bookmarkEnd w:id="2"/>
      <w:r w:rsidR="00864134">
        <w:rPr>
          <w:rFonts w:asciiTheme="minorEastAsia" w:eastAsiaTheme="minorEastAsia" w:hAnsiTheme="minorEastAsia" w:hint="eastAsia"/>
          <w:b/>
          <w:bCs/>
          <w:color w:val="000000" w:themeColor="text1"/>
          <w:kern w:val="0"/>
          <w:sz w:val="24"/>
        </w:rPr>
        <w:t>报告期内基金的投资策略和业绩表现说明</w:t>
      </w:r>
    </w:p>
    <w:p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1</w:t>
      </w:r>
      <w:r>
        <w:rPr>
          <w:rFonts w:asciiTheme="minorEastAsia" w:eastAsiaTheme="minorEastAsia" w:hAnsiTheme="minorEastAsia" w:cs="宋体" w:hint="eastAsia"/>
          <w:color w:val="000000" w:themeColor="text1"/>
          <w:sz w:val="24"/>
        </w:rPr>
        <w:t>报告期内基金投资策略和运作分析</w:t>
      </w:r>
    </w:p>
    <w:p w:rsidR="008E4DB1" w:rsidRDefault="00B526A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报告期内标普500指数下跌约3%，食品、零售和半导体板块跌幅领先，能源板块上涨。年初至今指数上涨约13%。</w:t>
      </w:r>
    </w:p>
    <w:p w:rsidR="008E4DB1" w:rsidRDefault="00B526A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经济数据显示，美国增长前景出现放缓信号，上半年强劲的服务业活动“终于”开始显示出疲软迹象，与早就疲软的制造业靠拢。通胀压力还处于放缓的通道中，投资者越来越相信我们正在接近全球加息周期的顶峰。因此，关注焦点已从利率峰值水平转移到央行将利率维持在峰值水平多长时间，“更长时间内更高”越来越被视为抑制顽固价格压力的必要情景。9月美联储议息会议上维持利率不变但坚持相机抉择，保留11月加息的可能性。对2024年降息可能的表述极为模糊。10年期美债收益率上行是受到基本面驱动所致，美国财政阶段性闯关成功未牺牲支出规模，“宽财政+紧货币”组合支撑经济保持韧性，即经济可能在高利率环境下延续更长时间的强韧性，长期经济增长预期上修，驱动利率上行，推高10年期美债收益率。财政可持续性是债券投资者关注的另一个领域，美国国债市场尤其如此，国债价格受到超预期发行量的担忧的打击。尽管本次财政拨款过关，但麦卡锡被罢免将增加下一轮谈判难度。</w:t>
      </w:r>
    </w:p>
    <w:p w:rsidR="008E4DB1" w:rsidRDefault="00B526A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展望后市，我们依然认为美国的经济软着陆会发生，只不过较去年底时的判断的不同之处在于，经济衰退的时间可能来得比预料晚一些，且衰退幅度比较轻。通胀率在今年仍将保持在美联储的目标值2%以上，这也意味着高利率水平会维持。我们预计，在5%以上的无风险利率水平下，强劲的就业市场终将难以维持。信贷收缩大概率会引导到企业经营活动的收缩，从而影响未来的盈利情况。地缘政治风险、估值偏高、高利率的后续负面影响还未完全显现等因素提醒我们短期内不宜过分乐观。</w:t>
      </w:r>
    </w:p>
    <w:p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本基金采用完全复制的策略跟踪业绩基准，并根据基金申购赎回的情况，及时进行组合</w:t>
      </w:r>
      <w:r>
        <w:rPr>
          <w:rFonts w:asciiTheme="minorEastAsia" w:eastAsiaTheme="minorEastAsia" w:hAnsiTheme="minorEastAsia" w:hint="eastAsia"/>
          <w:color w:val="000000" w:themeColor="text1"/>
        </w:rPr>
        <w:lastRenderedPageBreak/>
        <w:t>调整。</w:t>
      </w:r>
    </w:p>
    <w:p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2</w:t>
      </w:r>
      <w:r>
        <w:rPr>
          <w:rFonts w:asciiTheme="minorEastAsia" w:eastAsiaTheme="minorEastAsia" w:hAnsiTheme="minorEastAsia" w:cs="宋体" w:hint="eastAsia"/>
          <w:color w:val="000000" w:themeColor="text1"/>
          <w:sz w:val="24"/>
        </w:rPr>
        <w:t>报告期内基金的业绩表现</w:t>
      </w:r>
    </w:p>
    <w:p w:rsidR="008E4DB1" w:rsidRDefault="00B526A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本报告期摩根标普500指数(QDII)人民币A份额净值增长率为:-4.36%，同期业绩比较基准收益率为:-4.04%,</w:t>
      </w:r>
    </w:p>
    <w:p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摩根标普500指数(QDII)人民币C份额净值增长率为:-4.85%，同期业绩比较基准收益率为:-4.78%。</w:t>
      </w:r>
    </w:p>
    <w:p w:rsidR="00377AB2" w:rsidRPr="00864134" w:rsidRDefault="00377AB2" w:rsidP="00864134">
      <w:pPr>
        <w:autoSpaceDE w:val="0"/>
        <w:autoSpaceDN w:val="0"/>
        <w:adjustRightInd w:val="0"/>
        <w:spacing w:line="360" w:lineRule="auto"/>
        <w:jc w:val="left"/>
        <w:rPr>
          <w:rFonts w:eastAsiaTheme="minorEastAsia"/>
          <w:color w:val="000000" w:themeColor="text1"/>
          <w:sz w:val="24"/>
        </w:rPr>
      </w:pPr>
    </w:p>
    <w:p w:rsidR="00D9766F" w:rsidRPr="009B0629" w:rsidRDefault="00D9766F" w:rsidP="00D9766F">
      <w:pPr>
        <w:spacing w:line="360" w:lineRule="auto"/>
        <w:rPr>
          <w:rFonts w:eastAsiaTheme="minorEastAsia"/>
          <w:color w:val="000000" w:themeColor="text1"/>
          <w:sz w:val="24"/>
        </w:rPr>
      </w:pPr>
      <w:r w:rsidRPr="009B0629">
        <w:rPr>
          <w:rFonts w:eastAsiaTheme="minorEastAsia"/>
          <w:b/>
          <w:color w:val="000000" w:themeColor="text1"/>
          <w:kern w:val="0"/>
          <w:sz w:val="24"/>
        </w:rPr>
        <w:t>4.5</w:t>
      </w:r>
      <w:r w:rsidRPr="009B0629">
        <w:rPr>
          <w:rFonts w:eastAsiaTheme="minorEastAsia"/>
          <w:b/>
          <w:color w:val="000000" w:themeColor="text1"/>
          <w:kern w:val="0"/>
          <w:sz w:val="24"/>
        </w:rPr>
        <w:t>报告期内基金持有人数或基金资产净值预警说明</w:t>
      </w:r>
    </w:p>
    <w:p w:rsidR="00D9766F" w:rsidRPr="009B0629" w:rsidRDefault="00D9766F"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kern w:val="0"/>
          <w:sz w:val="24"/>
        </w:rPr>
        <w:t>无。</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§5  </w:t>
      </w:r>
      <w:r w:rsidRPr="009B0629">
        <w:rPr>
          <w:rFonts w:eastAsiaTheme="minorEastAsia"/>
          <w:color w:val="000000" w:themeColor="text1"/>
          <w:kern w:val="0"/>
          <w:sz w:val="24"/>
          <w:szCs w:val="24"/>
        </w:rPr>
        <w:t>投资组合报告</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5.1 </w:t>
      </w:r>
      <w:r w:rsidRPr="009B0629">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9B0629" w:rsidTr="00592EFF">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序号</w:t>
            </w:r>
          </w:p>
        </w:tc>
        <w:tc>
          <w:tcPr>
            <w:tcW w:w="4253"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项目</w:t>
            </w:r>
          </w:p>
        </w:tc>
        <w:tc>
          <w:tcPr>
            <w:tcW w:w="2835"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金额</w:t>
            </w:r>
            <w:r w:rsidRPr="009B0629">
              <w:rPr>
                <w:rFonts w:eastAsiaTheme="minorEastAsia"/>
                <w:color w:val="000000" w:themeColor="text1"/>
                <w:sz w:val="24"/>
              </w:rPr>
              <w:t>(</w:t>
            </w:r>
            <w:r w:rsidR="002655D4" w:rsidRPr="009B0629">
              <w:rPr>
                <w:rFonts w:eastAsiaTheme="minorEastAsia"/>
                <w:color w:val="000000" w:themeColor="text1"/>
                <w:sz w:val="24"/>
              </w:rPr>
              <w:t>人民币</w:t>
            </w:r>
            <w:r w:rsidRPr="009B0629">
              <w:rPr>
                <w:rFonts w:eastAsiaTheme="minorEastAsia"/>
                <w:color w:val="000000" w:themeColor="text1"/>
                <w:sz w:val="24"/>
              </w:rPr>
              <w:t>元</w:t>
            </w:r>
            <w:r w:rsidRPr="009B0629">
              <w:rPr>
                <w:rFonts w:eastAsiaTheme="minorEastAsia"/>
                <w:color w:val="000000" w:themeColor="text1"/>
                <w:sz w:val="24"/>
              </w:rPr>
              <w:t>)</w:t>
            </w:r>
          </w:p>
        </w:tc>
        <w:tc>
          <w:tcPr>
            <w:tcW w:w="1559"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占基金总资产的比例</w:t>
            </w: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1</w:t>
            </w:r>
          </w:p>
        </w:tc>
        <w:tc>
          <w:tcPr>
            <w:tcW w:w="4253" w:type="dxa"/>
            <w:shd w:val="clear" w:color="auto" w:fill="auto"/>
            <w:vAlign w:val="center"/>
          </w:tcPr>
          <w:p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权益投资</w:t>
            </w:r>
          </w:p>
        </w:tc>
        <w:tc>
          <w:tcPr>
            <w:tcW w:w="2835"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179,702,401.71</w:t>
            </w:r>
          </w:p>
        </w:tc>
        <w:tc>
          <w:tcPr>
            <w:tcW w:w="1559"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87.31</w:t>
            </w:r>
          </w:p>
        </w:tc>
      </w:tr>
      <w:tr w:rsidR="008277FF" w:rsidRPr="009B0629" w:rsidTr="00877D98">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w:t>
            </w:r>
            <w:r w:rsidR="00E462F4" w:rsidRPr="009B0629">
              <w:rPr>
                <w:rFonts w:eastAsiaTheme="minorEastAsia"/>
                <w:color w:val="000000" w:themeColor="text1"/>
                <w:sz w:val="24"/>
              </w:rPr>
              <w:t>普通股</w:t>
            </w:r>
          </w:p>
        </w:tc>
        <w:tc>
          <w:tcPr>
            <w:tcW w:w="2835"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179,702,401.71</w:t>
            </w:r>
          </w:p>
        </w:tc>
        <w:tc>
          <w:tcPr>
            <w:tcW w:w="1559"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87.31</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存托凭证</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优先股</w:t>
            </w:r>
          </w:p>
        </w:tc>
        <w:tc>
          <w:tcPr>
            <w:tcW w:w="2835"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房地产信托</w:t>
            </w:r>
          </w:p>
        </w:tc>
        <w:tc>
          <w:tcPr>
            <w:tcW w:w="2835"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2</w:t>
            </w: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基金投资</w:t>
            </w:r>
          </w:p>
        </w:tc>
        <w:tc>
          <w:tcPr>
            <w:tcW w:w="2835" w:type="dxa"/>
            <w:shd w:val="clear" w:color="auto" w:fill="auto"/>
            <w:vAlign w:val="center"/>
          </w:tcPr>
          <w:p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3</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固定收益投资</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其中：债券</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utoSpaceDE w:val="0"/>
              <w:autoSpaceDN w:val="0"/>
              <w:adjustRightInd w:val="0"/>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资产支持证券</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4</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金融衍生品投资</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其中：远期</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Del="00455464"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期货</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期权</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djustRightInd w:val="0"/>
              <w:snapToGrid w:val="0"/>
              <w:spacing w:line="400" w:lineRule="exact"/>
              <w:ind w:firstLineChars="298" w:firstLine="715"/>
              <w:rPr>
                <w:rFonts w:eastAsiaTheme="minorEastAsia"/>
                <w:color w:val="000000" w:themeColor="text1"/>
                <w:sz w:val="24"/>
              </w:rPr>
            </w:pPr>
            <w:r w:rsidRPr="009B0629">
              <w:rPr>
                <w:rFonts w:eastAsiaTheme="minorEastAsia"/>
                <w:color w:val="000000" w:themeColor="text1"/>
                <w:sz w:val="24"/>
              </w:rPr>
              <w:t>权证</w:t>
            </w:r>
          </w:p>
        </w:tc>
        <w:tc>
          <w:tcPr>
            <w:tcW w:w="2835" w:type="dxa"/>
            <w:shd w:val="clear" w:color="auto" w:fill="auto"/>
            <w:vAlign w:val="center"/>
          </w:tcPr>
          <w:p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lastRenderedPageBreak/>
              <w:t>5</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买入返售金融资产</w:t>
            </w:r>
          </w:p>
        </w:tc>
        <w:tc>
          <w:tcPr>
            <w:tcW w:w="2835" w:type="dxa"/>
            <w:shd w:val="clear" w:color="auto" w:fill="auto"/>
            <w:vAlign w:val="center"/>
          </w:tcPr>
          <w:p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其中：买断式回购的买入返售金融资产</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6</w:t>
            </w: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货币市场工具</w:t>
            </w:r>
          </w:p>
        </w:tc>
        <w:tc>
          <w:tcPr>
            <w:tcW w:w="2835" w:type="dxa"/>
            <w:shd w:val="clear" w:color="auto" w:fill="auto"/>
            <w:vAlign w:val="center"/>
          </w:tcPr>
          <w:p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7</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银行存款和结算备付金合计</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19,675,159.78</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9.56</w:t>
            </w:r>
          </w:p>
        </w:tc>
      </w:tr>
      <w:tr w:rsidR="008277FF" w:rsidRPr="009B0629" w:rsidTr="00797DD2">
        <w:tc>
          <w:tcPr>
            <w:tcW w:w="851" w:type="dxa"/>
            <w:shd w:val="clear" w:color="auto" w:fill="auto"/>
            <w:vAlign w:val="center"/>
          </w:tcPr>
          <w:p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8</w:t>
            </w:r>
          </w:p>
        </w:tc>
        <w:tc>
          <w:tcPr>
            <w:tcW w:w="4253" w:type="dxa"/>
            <w:shd w:val="clear" w:color="auto" w:fill="auto"/>
            <w:vAlign w:val="center"/>
          </w:tcPr>
          <w:p w:rsidR="00E462F4" w:rsidRPr="009B0629" w:rsidRDefault="00B073F4" w:rsidP="00797DD2">
            <w:pPr>
              <w:rPr>
                <w:rFonts w:eastAsiaTheme="minorEastAsia"/>
                <w:color w:val="000000" w:themeColor="text1"/>
                <w:sz w:val="24"/>
              </w:rPr>
            </w:pPr>
            <w:r>
              <w:rPr>
                <w:rFonts w:eastAsiaTheme="minorEastAsia"/>
                <w:color w:val="000000" w:themeColor="text1"/>
                <w:sz w:val="24"/>
              </w:rPr>
              <w:t>其他</w:t>
            </w:r>
            <w:r w:rsidR="00E462F4" w:rsidRPr="009B0629">
              <w:rPr>
                <w:rFonts w:eastAsiaTheme="minorEastAsia"/>
                <w:color w:val="000000" w:themeColor="text1"/>
                <w:sz w:val="24"/>
              </w:rPr>
              <w:t>资产</w:t>
            </w:r>
          </w:p>
        </w:tc>
        <w:tc>
          <w:tcPr>
            <w:tcW w:w="2835"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6,448,550.77</w:t>
            </w:r>
          </w:p>
        </w:tc>
        <w:tc>
          <w:tcPr>
            <w:tcW w:w="1559"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3.13</w:t>
            </w:r>
          </w:p>
        </w:tc>
      </w:tr>
      <w:tr w:rsidR="008277FF" w:rsidRPr="009B0629" w:rsidTr="00797DD2">
        <w:tc>
          <w:tcPr>
            <w:tcW w:w="851" w:type="dxa"/>
            <w:shd w:val="clear" w:color="auto" w:fill="auto"/>
            <w:vAlign w:val="center"/>
          </w:tcPr>
          <w:p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9</w:t>
            </w:r>
          </w:p>
        </w:tc>
        <w:tc>
          <w:tcPr>
            <w:tcW w:w="4253" w:type="dxa"/>
            <w:shd w:val="clear" w:color="auto" w:fill="auto"/>
            <w:vAlign w:val="center"/>
          </w:tcPr>
          <w:p w:rsidR="00E462F4" w:rsidRPr="009B0629" w:rsidRDefault="00E462F4" w:rsidP="00797DD2">
            <w:pPr>
              <w:rPr>
                <w:rFonts w:eastAsiaTheme="minorEastAsia"/>
                <w:color w:val="000000" w:themeColor="text1"/>
                <w:sz w:val="24"/>
              </w:rPr>
            </w:pPr>
            <w:r w:rsidRPr="009B0629">
              <w:rPr>
                <w:rFonts w:eastAsiaTheme="minorEastAsia"/>
                <w:color w:val="000000" w:themeColor="text1"/>
                <w:sz w:val="24"/>
              </w:rPr>
              <w:t>合计</w:t>
            </w:r>
          </w:p>
        </w:tc>
        <w:tc>
          <w:tcPr>
            <w:tcW w:w="2835"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205,826,112.26</w:t>
            </w:r>
          </w:p>
        </w:tc>
        <w:tc>
          <w:tcPr>
            <w:tcW w:w="1559"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100.00</w:t>
            </w:r>
          </w:p>
        </w:tc>
      </w:tr>
    </w:tbl>
    <w:p w:rsidR="00F512C0" w:rsidRPr="009B0629" w:rsidRDefault="00F512C0" w:rsidP="00363E15">
      <w:pPr>
        <w:autoSpaceDE w:val="0"/>
        <w:autoSpaceDN w:val="0"/>
        <w:adjustRightInd w:val="0"/>
        <w:spacing w:line="360" w:lineRule="auto"/>
        <w:jc w:val="left"/>
        <w:rPr>
          <w:rFonts w:eastAsiaTheme="minorEastAsia"/>
          <w:color w:val="000000" w:themeColor="text1"/>
          <w:sz w:val="24"/>
        </w:rPr>
      </w:pPr>
    </w:p>
    <w:p w:rsidR="0076518F" w:rsidRPr="009B0629" w:rsidRDefault="00A82C02"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2</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9B0629" w:rsidTr="002C042C">
        <w:trPr>
          <w:jc w:val="center"/>
        </w:trPr>
        <w:tc>
          <w:tcPr>
            <w:tcW w:w="2410"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国家（地区）</w:t>
            </w:r>
          </w:p>
        </w:tc>
        <w:tc>
          <w:tcPr>
            <w:tcW w:w="3118"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公允价值</w:t>
            </w:r>
            <w:r w:rsidRPr="009B0629">
              <w:rPr>
                <w:rFonts w:eastAsiaTheme="minorEastAsia"/>
                <w:color w:val="000000" w:themeColor="text1"/>
                <w:kern w:val="0"/>
                <w:sz w:val="24"/>
              </w:rPr>
              <w:t>(</w:t>
            </w:r>
            <w:r w:rsidRPr="009B0629">
              <w:rPr>
                <w:rFonts w:eastAsiaTheme="minorEastAsia"/>
                <w:color w:val="000000" w:themeColor="text1"/>
                <w:kern w:val="0"/>
                <w:sz w:val="24"/>
              </w:rPr>
              <w:t>人民币元</w:t>
            </w:r>
            <w:r w:rsidRPr="009B0629">
              <w:rPr>
                <w:rFonts w:eastAsiaTheme="minorEastAsia"/>
                <w:color w:val="000000" w:themeColor="text1"/>
                <w:kern w:val="0"/>
                <w:sz w:val="24"/>
              </w:rPr>
              <w:t>)</w:t>
            </w:r>
          </w:p>
        </w:tc>
        <w:tc>
          <w:tcPr>
            <w:tcW w:w="3076"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占基金资产净值比例（％）</w:t>
            </w:r>
          </w:p>
        </w:tc>
      </w:tr>
      <w:tr w:rsidR="008E4DB1">
        <w:trPr>
          <w:jc w:val="center"/>
        </w:trPr>
        <w:tc>
          <w:tcPr>
            <w:tcW w:w="2410" w:type="dxa"/>
            <w:vAlign w:val="center"/>
          </w:tcPr>
          <w:p w:rsidR="008E4DB1" w:rsidRDefault="00B526A4">
            <w:pPr>
              <w:jc w:val="left"/>
            </w:pPr>
            <w:r>
              <w:rPr>
                <w:rFonts w:eastAsiaTheme="minorEastAsia"/>
                <w:color w:val="000000" w:themeColor="text1"/>
                <w:sz w:val="24"/>
              </w:rPr>
              <w:t>美国</w:t>
            </w:r>
          </w:p>
        </w:tc>
        <w:tc>
          <w:tcPr>
            <w:tcW w:w="3118" w:type="dxa"/>
            <w:vAlign w:val="center"/>
          </w:tcPr>
          <w:p w:rsidR="008E4DB1" w:rsidRDefault="00B526A4">
            <w:pPr>
              <w:jc w:val="right"/>
            </w:pPr>
            <w:r>
              <w:rPr>
                <w:rFonts w:eastAsiaTheme="minorEastAsia"/>
                <w:color w:val="000000" w:themeColor="text1"/>
                <w:sz w:val="24"/>
              </w:rPr>
              <w:t>179,702,401.71</w:t>
            </w:r>
          </w:p>
        </w:tc>
        <w:tc>
          <w:tcPr>
            <w:tcW w:w="3076" w:type="dxa"/>
            <w:vAlign w:val="center"/>
          </w:tcPr>
          <w:p w:rsidR="008E4DB1" w:rsidRDefault="00B526A4">
            <w:pPr>
              <w:jc w:val="right"/>
            </w:pPr>
            <w:r>
              <w:rPr>
                <w:rFonts w:eastAsiaTheme="minorEastAsia"/>
                <w:color w:val="000000" w:themeColor="text1"/>
                <w:sz w:val="24"/>
              </w:rPr>
              <w:t>93.32</w:t>
            </w:r>
          </w:p>
        </w:tc>
      </w:tr>
      <w:tr w:rsidR="008277FF" w:rsidRPr="009B0629" w:rsidTr="00877D98">
        <w:trPr>
          <w:jc w:val="center"/>
        </w:trPr>
        <w:tc>
          <w:tcPr>
            <w:tcW w:w="2410" w:type="dxa"/>
            <w:vAlign w:val="center"/>
          </w:tcPr>
          <w:p w:rsidR="002C042C" w:rsidRPr="009B0629" w:rsidRDefault="002C042C" w:rsidP="00877D98">
            <w:pPr>
              <w:autoSpaceDE w:val="0"/>
              <w:autoSpaceDN w:val="0"/>
              <w:adjustRightInd w:val="0"/>
              <w:spacing w:before="29" w:line="360" w:lineRule="auto"/>
              <w:rPr>
                <w:rFonts w:eastAsiaTheme="minorEastAsia"/>
                <w:color w:val="000000" w:themeColor="text1"/>
                <w:sz w:val="24"/>
              </w:rPr>
            </w:pPr>
            <w:r w:rsidRPr="009B0629">
              <w:rPr>
                <w:rFonts w:eastAsiaTheme="minorEastAsia"/>
                <w:color w:val="000000" w:themeColor="text1"/>
                <w:sz w:val="24"/>
              </w:rPr>
              <w:t>合计</w:t>
            </w:r>
          </w:p>
        </w:tc>
        <w:tc>
          <w:tcPr>
            <w:tcW w:w="3118" w:type="dxa"/>
            <w:vAlign w:val="center"/>
          </w:tcPr>
          <w:p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179,702,401.71</w:t>
            </w:r>
          </w:p>
        </w:tc>
        <w:tc>
          <w:tcPr>
            <w:tcW w:w="3076" w:type="dxa"/>
            <w:vAlign w:val="center"/>
          </w:tcPr>
          <w:p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93.32</w:t>
            </w:r>
          </w:p>
        </w:tc>
      </w:tr>
    </w:tbl>
    <w:p w:rsidR="00C37E98" w:rsidRDefault="00C37E98" w:rsidP="00EC4BA3">
      <w:pPr>
        <w:autoSpaceDE w:val="0"/>
        <w:autoSpaceDN w:val="0"/>
        <w:adjustRightInd w:val="0"/>
        <w:spacing w:line="360" w:lineRule="auto"/>
        <w:jc w:val="left"/>
        <w:rPr>
          <w:rFonts w:eastAsiaTheme="minorEastAsia"/>
          <w:color w:val="000000" w:themeColor="text1"/>
          <w:kern w:val="0"/>
          <w:sz w:val="24"/>
        </w:rPr>
      </w:pPr>
    </w:p>
    <w:p w:rsidR="00CE3801" w:rsidRPr="008277FF"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3</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报告期末按行业分类的股票及存托凭证投资组合</w:t>
      </w:r>
    </w:p>
    <w:p w:rsidR="00B34251" w:rsidRPr="00335FCF" w:rsidRDefault="00B34251" w:rsidP="00B34251">
      <w:pPr>
        <w:autoSpaceDE w:val="0"/>
        <w:autoSpaceDN w:val="0"/>
        <w:adjustRightInd w:val="0"/>
        <w:spacing w:line="360" w:lineRule="auto"/>
        <w:jc w:val="left"/>
        <w:rPr>
          <w:rFonts w:eastAsiaTheme="minorEastAsia"/>
          <w:b/>
          <w:color w:val="000000" w:themeColor="text1"/>
          <w:kern w:val="0"/>
          <w:szCs w:val="21"/>
        </w:rPr>
      </w:pPr>
      <w:r w:rsidRPr="00335FCF">
        <w:rPr>
          <w:rFonts w:eastAsiaTheme="minorEastAsia"/>
          <w:b/>
          <w:color w:val="000000" w:themeColor="text1"/>
          <w:kern w:val="0"/>
          <w:szCs w:val="21"/>
        </w:rPr>
        <w:t>5.3.1</w:t>
      </w:r>
      <w:r w:rsidRPr="00335FCF">
        <w:rPr>
          <w:rFonts w:eastAsiaTheme="minorEastAsia"/>
          <w:b/>
          <w:color w:val="000000" w:themeColor="text1"/>
          <w:kern w:val="0"/>
          <w:szCs w:val="21"/>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B34251" w:rsidRPr="00C74EFF" w:rsidTr="00882B94">
        <w:tc>
          <w:tcPr>
            <w:tcW w:w="2787" w:type="dxa"/>
            <w:vAlign w:val="center"/>
          </w:tcPr>
          <w:p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行业类别</w:t>
            </w:r>
          </w:p>
        </w:tc>
        <w:tc>
          <w:tcPr>
            <w:tcW w:w="2551" w:type="dxa"/>
            <w:vAlign w:val="center"/>
          </w:tcPr>
          <w:p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公允价值（人民币元）</w:t>
            </w:r>
          </w:p>
        </w:tc>
        <w:tc>
          <w:tcPr>
            <w:tcW w:w="3175" w:type="dxa"/>
            <w:vAlign w:val="center"/>
          </w:tcPr>
          <w:p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占基金资产净值比例（％）</w:t>
            </w:r>
          </w:p>
        </w:tc>
      </w:tr>
      <w:tr w:rsidR="008E4DB1">
        <w:tc>
          <w:tcPr>
            <w:tcW w:w="2787" w:type="dxa"/>
            <w:vAlign w:val="center"/>
          </w:tcPr>
          <w:p w:rsidR="008E4DB1" w:rsidRDefault="00B526A4">
            <w:pPr>
              <w:jc w:val="left"/>
            </w:pPr>
            <w:r>
              <w:rPr>
                <w:rFonts w:asciiTheme="minorEastAsia" w:eastAsiaTheme="minorEastAsia" w:hAnsiTheme="minorEastAsia" w:cs="宋体"/>
                <w:color w:val="000000" w:themeColor="text1"/>
                <w:szCs w:val="21"/>
              </w:rPr>
              <w:t>信息技术</w:t>
            </w:r>
          </w:p>
        </w:tc>
        <w:tc>
          <w:tcPr>
            <w:tcW w:w="2551" w:type="dxa"/>
            <w:vAlign w:val="center"/>
          </w:tcPr>
          <w:p w:rsidR="008E4DB1" w:rsidRDefault="00B526A4">
            <w:pPr>
              <w:jc w:val="right"/>
            </w:pPr>
            <w:r>
              <w:rPr>
                <w:rFonts w:asciiTheme="minorEastAsia" w:eastAsiaTheme="minorEastAsia" w:hAnsiTheme="minorEastAsia" w:cs="宋体"/>
                <w:color w:val="000000" w:themeColor="text1"/>
                <w:szCs w:val="21"/>
              </w:rPr>
              <w:t>52,523,886.74</w:t>
            </w:r>
          </w:p>
        </w:tc>
        <w:tc>
          <w:tcPr>
            <w:tcW w:w="3175" w:type="dxa"/>
            <w:vAlign w:val="center"/>
          </w:tcPr>
          <w:p w:rsidR="008E4DB1" w:rsidRDefault="00B526A4">
            <w:pPr>
              <w:jc w:val="right"/>
            </w:pPr>
            <w:r>
              <w:rPr>
                <w:rFonts w:asciiTheme="minorEastAsia" w:eastAsiaTheme="minorEastAsia" w:hAnsiTheme="minorEastAsia" w:cs="宋体"/>
                <w:color w:val="000000" w:themeColor="text1"/>
                <w:szCs w:val="21"/>
              </w:rPr>
              <w:t>27.28</w:t>
            </w:r>
          </w:p>
        </w:tc>
      </w:tr>
      <w:tr w:rsidR="008E4DB1">
        <w:tc>
          <w:tcPr>
            <w:tcW w:w="2787" w:type="dxa"/>
            <w:vAlign w:val="center"/>
          </w:tcPr>
          <w:p w:rsidR="008E4DB1" w:rsidRDefault="00B526A4">
            <w:pPr>
              <w:jc w:val="left"/>
            </w:pPr>
            <w:r>
              <w:rPr>
                <w:rFonts w:asciiTheme="minorEastAsia" w:eastAsiaTheme="minorEastAsia" w:hAnsiTheme="minorEastAsia" w:cs="宋体"/>
                <w:color w:val="000000" w:themeColor="text1"/>
                <w:szCs w:val="21"/>
              </w:rPr>
              <w:t>医疗保健</w:t>
            </w:r>
          </w:p>
        </w:tc>
        <w:tc>
          <w:tcPr>
            <w:tcW w:w="2551" w:type="dxa"/>
            <w:vAlign w:val="center"/>
          </w:tcPr>
          <w:p w:rsidR="008E4DB1" w:rsidRDefault="00B526A4">
            <w:pPr>
              <w:jc w:val="right"/>
            </w:pPr>
            <w:r>
              <w:rPr>
                <w:rFonts w:asciiTheme="minorEastAsia" w:eastAsiaTheme="minorEastAsia" w:hAnsiTheme="minorEastAsia" w:cs="宋体"/>
                <w:color w:val="000000" w:themeColor="text1"/>
                <w:szCs w:val="21"/>
              </w:rPr>
              <w:t>24,067,554.78</w:t>
            </w:r>
          </w:p>
        </w:tc>
        <w:tc>
          <w:tcPr>
            <w:tcW w:w="3175" w:type="dxa"/>
            <w:vAlign w:val="center"/>
          </w:tcPr>
          <w:p w:rsidR="008E4DB1" w:rsidRDefault="00B526A4">
            <w:pPr>
              <w:jc w:val="right"/>
            </w:pPr>
            <w:r>
              <w:rPr>
                <w:rFonts w:asciiTheme="minorEastAsia" w:eastAsiaTheme="minorEastAsia" w:hAnsiTheme="minorEastAsia" w:cs="宋体"/>
                <w:color w:val="000000" w:themeColor="text1"/>
                <w:szCs w:val="21"/>
              </w:rPr>
              <w:t>12.50</w:t>
            </w:r>
          </w:p>
        </w:tc>
      </w:tr>
      <w:tr w:rsidR="008E4DB1">
        <w:tc>
          <w:tcPr>
            <w:tcW w:w="2787" w:type="dxa"/>
            <w:vAlign w:val="center"/>
          </w:tcPr>
          <w:p w:rsidR="008E4DB1" w:rsidRDefault="00B526A4">
            <w:pPr>
              <w:jc w:val="left"/>
            </w:pPr>
            <w:r>
              <w:rPr>
                <w:rFonts w:asciiTheme="minorEastAsia" w:eastAsiaTheme="minorEastAsia" w:hAnsiTheme="minorEastAsia" w:cs="宋体"/>
                <w:color w:val="000000" w:themeColor="text1"/>
                <w:szCs w:val="21"/>
              </w:rPr>
              <w:t>金融</w:t>
            </w:r>
          </w:p>
        </w:tc>
        <w:tc>
          <w:tcPr>
            <w:tcW w:w="2551" w:type="dxa"/>
            <w:vAlign w:val="center"/>
          </w:tcPr>
          <w:p w:rsidR="008E4DB1" w:rsidRDefault="00B526A4">
            <w:pPr>
              <w:jc w:val="right"/>
            </w:pPr>
            <w:r>
              <w:rPr>
                <w:rFonts w:asciiTheme="minorEastAsia" w:eastAsiaTheme="minorEastAsia" w:hAnsiTheme="minorEastAsia" w:cs="宋体"/>
                <w:color w:val="000000" w:themeColor="text1"/>
                <w:szCs w:val="21"/>
              </w:rPr>
              <w:t>22,589,547.57</w:t>
            </w:r>
          </w:p>
        </w:tc>
        <w:tc>
          <w:tcPr>
            <w:tcW w:w="3175" w:type="dxa"/>
            <w:vAlign w:val="center"/>
          </w:tcPr>
          <w:p w:rsidR="008E4DB1" w:rsidRDefault="00B526A4">
            <w:pPr>
              <w:jc w:val="right"/>
            </w:pPr>
            <w:r>
              <w:rPr>
                <w:rFonts w:asciiTheme="minorEastAsia" w:eastAsiaTheme="minorEastAsia" w:hAnsiTheme="minorEastAsia" w:cs="宋体"/>
                <w:color w:val="000000" w:themeColor="text1"/>
                <w:szCs w:val="21"/>
              </w:rPr>
              <w:t>11.73</w:t>
            </w:r>
          </w:p>
        </w:tc>
      </w:tr>
      <w:tr w:rsidR="008E4DB1">
        <w:tc>
          <w:tcPr>
            <w:tcW w:w="2787" w:type="dxa"/>
            <w:vAlign w:val="center"/>
          </w:tcPr>
          <w:p w:rsidR="008E4DB1" w:rsidRDefault="00B526A4">
            <w:pPr>
              <w:jc w:val="left"/>
            </w:pPr>
            <w:r>
              <w:rPr>
                <w:rFonts w:asciiTheme="minorEastAsia" w:eastAsiaTheme="minorEastAsia" w:hAnsiTheme="minorEastAsia" w:cs="宋体"/>
                <w:color w:val="000000" w:themeColor="text1"/>
                <w:szCs w:val="21"/>
              </w:rPr>
              <w:t>消费者非必需品</w:t>
            </w:r>
          </w:p>
        </w:tc>
        <w:tc>
          <w:tcPr>
            <w:tcW w:w="2551" w:type="dxa"/>
            <w:vAlign w:val="center"/>
          </w:tcPr>
          <w:p w:rsidR="008E4DB1" w:rsidRDefault="00B526A4">
            <w:pPr>
              <w:jc w:val="right"/>
            </w:pPr>
            <w:r>
              <w:rPr>
                <w:rFonts w:asciiTheme="minorEastAsia" w:eastAsiaTheme="minorEastAsia" w:hAnsiTheme="minorEastAsia" w:cs="宋体"/>
                <w:color w:val="000000" w:themeColor="text1"/>
                <w:szCs w:val="21"/>
              </w:rPr>
              <w:t>19,619,132.97</w:t>
            </w:r>
          </w:p>
        </w:tc>
        <w:tc>
          <w:tcPr>
            <w:tcW w:w="3175" w:type="dxa"/>
            <w:vAlign w:val="center"/>
          </w:tcPr>
          <w:p w:rsidR="008E4DB1" w:rsidRDefault="00B526A4">
            <w:pPr>
              <w:jc w:val="right"/>
            </w:pPr>
            <w:r>
              <w:rPr>
                <w:rFonts w:asciiTheme="minorEastAsia" w:eastAsiaTheme="minorEastAsia" w:hAnsiTheme="minorEastAsia" w:cs="宋体"/>
                <w:color w:val="000000" w:themeColor="text1"/>
                <w:szCs w:val="21"/>
              </w:rPr>
              <w:t>10.19</w:t>
            </w:r>
          </w:p>
        </w:tc>
      </w:tr>
      <w:tr w:rsidR="008E4DB1">
        <w:tc>
          <w:tcPr>
            <w:tcW w:w="2787" w:type="dxa"/>
            <w:vAlign w:val="center"/>
          </w:tcPr>
          <w:p w:rsidR="008E4DB1" w:rsidRDefault="00B526A4">
            <w:pPr>
              <w:jc w:val="left"/>
            </w:pPr>
            <w:r>
              <w:rPr>
                <w:rFonts w:asciiTheme="minorEastAsia" w:eastAsiaTheme="minorEastAsia" w:hAnsiTheme="minorEastAsia" w:cs="宋体"/>
                <w:color w:val="000000" w:themeColor="text1"/>
                <w:szCs w:val="21"/>
              </w:rPr>
              <w:t>电信服务</w:t>
            </w:r>
          </w:p>
        </w:tc>
        <w:tc>
          <w:tcPr>
            <w:tcW w:w="2551" w:type="dxa"/>
            <w:vAlign w:val="center"/>
          </w:tcPr>
          <w:p w:rsidR="008E4DB1" w:rsidRDefault="00B526A4">
            <w:pPr>
              <w:jc w:val="right"/>
            </w:pPr>
            <w:r>
              <w:rPr>
                <w:rFonts w:asciiTheme="minorEastAsia" w:eastAsiaTheme="minorEastAsia" w:hAnsiTheme="minorEastAsia" w:cs="宋体"/>
                <w:color w:val="000000" w:themeColor="text1"/>
                <w:szCs w:val="21"/>
              </w:rPr>
              <w:t>17,214,930.94</w:t>
            </w:r>
          </w:p>
        </w:tc>
        <w:tc>
          <w:tcPr>
            <w:tcW w:w="3175" w:type="dxa"/>
            <w:vAlign w:val="center"/>
          </w:tcPr>
          <w:p w:rsidR="008E4DB1" w:rsidRDefault="00B526A4">
            <w:pPr>
              <w:jc w:val="right"/>
            </w:pPr>
            <w:r>
              <w:rPr>
                <w:rFonts w:asciiTheme="minorEastAsia" w:eastAsiaTheme="minorEastAsia" w:hAnsiTheme="minorEastAsia" w:cs="宋体"/>
                <w:color w:val="000000" w:themeColor="text1"/>
                <w:szCs w:val="21"/>
              </w:rPr>
              <w:t>8.94</w:t>
            </w:r>
          </w:p>
        </w:tc>
      </w:tr>
      <w:tr w:rsidR="008E4DB1">
        <w:tc>
          <w:tcPr>
            <w:tcW w:w="2787" w:type="dxa"/>
            <w:vAlign w:val="center"/>
          </w:tcPr>
          <w:p w:rsidR="008E4DB1" w:rsidRDefault="00B526A4">
            <w:pPr>
              <w:jc w:val="left"/>
            </w:pPr>
            <w:r>
              <w:rPr>
                <w:rFonts w:asciiTheme="minorEastAsia" w:eastAsiaTheme="minorEastAsia" w:hAnsiTheme="minorEastAsia" w:cs="宋体"/>
                <w:color w:val="000000" w:themeColor="text1"/>
                <w:szCs w:val="21"/>
              </w:rPr>
              <w:t>工业</w:t>
            </w:r>
          </w:p>
        </w:tc>
        <w:tc>
          <w:tcPr>
            <w:tcW w:w="2551" w:type="dxa"/>
            <w:vAlign w:val="center"/>
          </w:tcPr>
          <w:p w:rsidR="008E4DB1" w:rsidRDefault="00B526A4">
            <w:pPr>
              <w:jc w:val="right"/>
            </w:pPr>
            <w:r>
              <w:rPr>
                <w:rFonts w:asciiTheme="minorEastAsia" w:eastAsiaTheme="minorEastAsia" w:hAnsiTheme="minorEastAsia" w:cs="宋体"/>
                <w:color w:val="000000" w:themeColor="text1"/>
                <w:szCs w:val="21"/>
              </w:rPr>
              <w:t>11,783,118.22</w:t>
            </w:r>
          </w:p>
        </w:tc>
        <w:tc>
          <w:tcPr>
            <w:tcW w:w="3175" w:type="dxa"/>
            <w:vAlign w:val="center"/>
          </w:tcPr>
          <w:p w:rsidR="008E4DB1" w:rsidRDefault="00B526A4">
            <w:pPr>
              <w:jc w:val="right"/>
            </w:pPr>
            <w:r>
              <w:rPr>
                <w:rFonts w:asciiTheme="minorEastAsia" w:eastAsiaTheme="minorEastAsia" w:hAnsiTheme="minorEastAsia" w:cs="宋体"/>
                <w:color w:val="000000" w:themeColor="text1"/>
                <w:szCs w:val="21"/>
              </w:rPr>
              <w:t>6.12</w:t>
            </w:r>
          </w:p>
        </w:tc>
      </w:tr>
      <w:tr w:rsidR="008E4DB1">
        <w:tc>
          <w:tcPr>
            <w:tcW w:w="2787" w:type="dxa"/>
            <w:vAlign w:val="center"/>
          </w:tcPr>
          <w:p w:rsidR="008E4DB1" w:rsidRDefault="00B526A4">
            <w:pPr>
              <w:jc w:val="left"/>
            </w:pPr>
            <w:r>
              <w:rPr>
                <w:rFonts w:asciiTheme="minorEastAsia" w:eastAsiaTheme="minorEastAsia" w:hAnsiTheme="minorEastAsia" w:cs="宋体"/>
                <w:color w:val="000000" w:themeColor="text1"/>
                <w:szCs w:val="21"/>
              </w:rPr>
              <w:t>消费者常用品</w:t>
            </w:r>
          </w:p>
        </w:tc>
        <w:tc>
          <w:tcPr>
            <w:tcW w:w="2551" w:type="dxa"/>
            <w:vAlign w:val="center"/>
          </w:tcPr>
          <w:p w:rsidR="008E4DB1" w:rsidRDefault="00B526A4">
            <w:pPr>
              <w:jc w:val="right"/>
            </w:pPr>
            <w:r>
              <w:rPr>
                <w:rFonts w:asciiTheme="minorEastAsia" w:eastAsiaTheme="minorEastAsia" w:hAnsiTheme="minorEastAsia" w:cs="宋体"/>
                <w:color w:val="000000" w:themeColor="text1"/>
                <w:szCs w:val="21"/>
              </w:rPr>
              <w:t>11,681,588.34</w:t>
            </w:r>
          </w:p>
        </w:tc>
        <w:tc>
          <w:tcPr>
            <w:tcW w:w="3175" w:type="dxa"/>
            <w:vAlign w:val="center"/>
          </w:tcPr>
          <w:p w:rsidR="008E4DB1" w:rsidRDefault="00B526A4">
            <w:pPr>
              <w:jc w:val="right"/>
            </w:pPr>
            <w:r>
              <w:rPr>
                <w:rFonts w:asciiTheme="minorEastAsia" w:eastAsiaTheme="minorEastAsia" w:hAnsiTheme="minorEastAsia" w:cs="宋体"/>
                <w:color w:val="000000" w:themeColor="text1"/>
                <w:szCs w:val="21"/>
              </w:rPr>
              <w:t>6.07</w:t>
            </w:r>
          </w:p>
        </w:tc>
      </w:tr>
      <w:tr w:rsidR="008E4DB1">
        <w:tc>
          <w:tcPr>
            <w:tcW w:w="2787" w:type="dxa"/>
            <w:vAlign w:val="center"/>
          </w:tcPr>
          <w:p w:rsidR="008E4DB1" w:rsidRDefault="00B526A4">
            <w:pPr>
              <w:jc w:val="left"/>
            </w:pPr>
            <w:r>
              <w:rPr>
                <w:rFonts w:asciiTheme="minorEastAsia" w:eastAsiaTheme="minorEastAsia" w:hAnsiTheme="minorEastAsia" w:cs="宋体"/>
                <w:color w:val="000000" w:themeColor="text1"/>
                <w:szCs w:val="21"/>
              </w:rPr>
              <w:t>能源</w:t>
            </w:r>
          </w:p>
        </w:tc>
        <w:tc>
          <w:tcPr>
            <w:tcW w:w="2551" w:type="dxa"/>
            <w:vAlign w:val="center"/>
          </w:tcPr>
          <w:p w:rsidR="008E4DB1" w:rsidRDefault="00B526A4">
            <w:pPr>
              <w:jc w:val="right"/>
            </w:pPr>
            <w:r>
              <w:rPr>
                <w:rFonts w:asciiTheme="minorEastAsia" w:eastAsiaTheme="minorEastAsia" w:hAnsiTheme="minorEastAsia" w:cs="宋体"/>
                <w:color w:val="000000" w:themeColor="text1"/>
                <w:szCs w:val="21"/>
              </w:rPr>
              <w:t>8,520,615.74</w:t>
            </w:r>
          </w:p>
        </w:tc>
        <w:tc>
          <w:tcPr>
            <w:tcW w:w="3175" w:type="dxa"/>
            <w:vAlign w:val="center"/>
          </w:tcPr>
          <w:p w:rsidR="008E4DB1" w:rsidRDefault="00B526A4">
            <w:pPr>
              <w:jc w:val="right"/>
            </w:pPr>
            <w:r>
              <w:rPr>
                <w:rFonts w:asciiTheme="minorEastAsia" w:eastAsiaTheme="minorEastAsia" w:hAnsiTheme="minorEastAsia" w:cs="宋体"/>
                <w:color w:val="000000" w:themeColor="text1"/>
                <w:szCs w:val="21"/>
              </w:rPr>
              <w:t>4.42</w:t>
            </w:r>
          </w:p>
        </w:tc>
      </w:tr>
      <w:tr w:rsidR="008E4DB1">
        <w:tc>
          <w:tcPr>
            <w:tcW w:w="2787" w:type="dxa"/>
            <w:vAlign w:val="center"/>
          </w:tcPr>
          <w:p w:rsidR="008E4DB1" w:rsidRDefault="00B526A4">
            <w:pPr>
              <w:jc w:val="left"/>
            </w:pPr>
            <w:r>
              <w:rPr>
                <w:rFonts w:asciiTheme="minorEastAsia" w:eastAsiaTheme="minorEastAsia" w:hAnsiTheme="minorEastAsia" w:cs="宋体"/>
                <w:color w:val="000000" w:themeColor="text1"/>
                <w:szCs w:val="21"/>
              </w:rPr>
              <w:t>基础材料</w:t>
            </w:r>
          </w:p>
        </w:tc>
        <w:tc>
          <w:tcPr>
            <w:tcW w:w="2551" w:type="dxa"/>
            <w:vAlign w:val="center"/>
          </w:tcPr>
          <w:p w:rsidR="008E4DB1" w:rsidRDefault="00B526A4">
            <w:pPr>
              <w:jc w:val="right"/>
            </w:pPr>
            <w:r>
              <w:rPr>
                <w:rFonts w:asciiTheme="minorEastAsia" w:eastAsiaTheme="minorEastAsia" w:hAnsiTheme="minorEastAsia" w:cs="宋体"/>
                <w:color w:val="000000" w:themeColor="text1"/>
                <w:szCs w:val="21"/>
              </w:rPr>
              <w:t>4,066,118.77</w:t>
            </w:r>
          </w:p>
        </w:tc>
        <w:tc>
          <w:tcPr>
            <w:tcW w:w="3175" w:type="dxa"/>
            <w:vAlign w:val="center"/>
          </w:tcPr>
          <w:p w:rsidR="008E4DB1" w:rsidRDefault="00B526A4">
            <w:pPr>
              <w:jc w:val="right"/>
            </w:pPr>
            <w:r>
              <w:rPr>
                <w:rFonts w:asciiTheme="minorEastAsia" w:eastAsiaTheme="minorEastAsia" w:hAnsiTheme="minorEastAsia" w:cs="宋体"/>
                <w:color w:val="000000" w:themeColor="text1"/>
                <w:szCs w:val="21"/>
              </w:rPr>
              <w:t>2.11</w:t>
            </w:r>
          </w:p>
        </w:tc>
      </w:tr>
      <w:tr w:rsidR="008E4DB1">
        <w:tc>
          <w:tcPr>
            <w:tcW w:w="2787" w:type="dxa"/>
            <w:vAlign w:val="center"/>
          </w:tcPr>
          <w:p w:rsidR="008E4DB1" w:rsidRDefault="00B526A4">
            <w:pPr>
              <w:jc w:val="left"/>
            </w:pPr>
            <w:r>
              <w:rPr>
                <w:rFonts w:asciiTheme="minorEastAsia" w:eastAsiaTheme="minorEastAsia" w:hAnsiTheme="minorEastAsia" w:cs="宋体"/>
                <w:color w:val="000000" w:themeColor="text1"/>
                <w:szCs w:val="21"/>
              </w:rPr>
              <w:t>公用事业</w:t>
            </w:r>
          </w:p>
        </w:tc>
        <w:tc>
          <w:tcPr>
            <w:tcW w:w="2551" w:type="dxa"/>
            <w:vAlign w:val="center"/>
          </w:tcPr>
          <w:p w:rsidR="008E4DB1" w:rsidRDefault="00B526A4">
            <w:pPr>
              <w:jc w:val="right"/>
            </w:pPr>
            <w:r>
              <w:rPr>
                <w:rFonts w:asciiTheme="minorEastAsia" w:eastAsiaTheme="minorEastAsia" w:hAnsiTheme="minorEastAsia" w:cs="宋体"/>
                <w:color w:val="000000" w:themeColor="text1"/>
                <w:szCs w:val="21"/>
              </w:rPr>
              <w:t>3,838,362.51</w:t>
            </w:r>
          </w:p>
        </w:tc>
        <w:tc>
          <w:tcPr>
            <w:tcW w:w="3175" w:type="dxa"/>
            <w:vAlign w:val="center"/>
          </w:tcPr>
          <w:p w:rsidR="008E4DB1" w:rsidRDefault="00B526A4">
            <w:pPr>
              <w:jc w:val="right"/>
            </w:pPr>
            <w:r>
              <w:rPr>
                <w:rFonts w:asciiTheme="minorEastAsia" w:eastAsiaTheme="minorEastAsia" w:hAnsiTheme="minorEastAsia" w:cs="宋体"/>
                <w:color w:val="000000" w:themeColor="text1"/>
                <w:szCs w:val="21"/>
              </w:rPr>
              <w:t>1.99</w:t>
            </w:r>
          </w:p>
        </w:tc>
      </w:tr>
      <w:tr w:rsidR="008E4DB1">
        <w:tc>
          <w:tcPr>
            <w:tcW w:w="2787" w:type="dxa"/>
            <w:vAlign w:val="center"/>
          </w:tcPr>
          <w:p w:rsidR="008E4DB1" w:rsidRDefault="00B526A4">
            <w:pPr>
              <w:jc w:val="left"/>
            </w:pPr>
            <w:r>
              <w:rPr>
                <w:rFonts w:asciiTheme="minorEastAsia" w:eastAsiaTheme="minorEastAsia" w:hAnsiTheme="minorEastAsia" w:cs="宋体"/>
                <w:color w:val="000000" w:themeColor="text1"/>
                <w:szCs w:val="21"/>
              </w:rPr>
              <w:t>房地产</w:t>
            </w:r>
          </w:p>
        </w:tc>
        <w:tc>
          <w:tcPr>
            <w:tcW w:w="2551" w:type="dxa"/>
            <w:vAlign w:val="center"/>
          </w:tcPr>
          <w:p w:rsidR="008E4DB1" w:rsidRDefault="00B526A4">
            <w:pPr>
              <w:jc w:val="right"/>
            </w:pPr>
            <w:r>
              <w:rPr>
                <w:rFonts w:asciiTheme="minorEastAsia" w:eastAsiaTheme="minorEastAsia" w:hAnsiTheme="minorEastAsia" w:cs="宋体"/>
                <w:color w:val="000000" w:themeColor="text1"/>
                <w:szCs w:val="21"/>
              </w:rPr>
              <w:t>3,797,545.13</w:t>
            </w:r>
          </w:p>
        </w:tc>
        <w:tc>
          <w:tcPr>
            <w:tcW w:w="3175" w:type="dxa"/>
            <w:vAlign w:val="center"/>
          </w:tcPr>
          <w:p w:rsidR="008E4DB1" w:rsidRDefault="00B526A4">
            <w:pPr>
              <w:jc w:val="right"/>
            </w:pPr>
            <w:r>
              <w:rPr>
                <w:rFonts w:asciiTheme="minorEastAsia" w:eastAsiaTheme="minorEastAsia" w:hAnsiTheme="minorEastAsia" w:cs="宋体"/>
                <w:color w:val="000000" w:themeColor="text1"/>
                <w:szCs w:val="21"/>
              </w:rPr>
              <w:t>1.97</w:t>
            </w:r>
          </w:p>
        </w:tc>
      </w:tr>
      <w:tr w:rsidR="00B34251" w:rsidRPr="00C74EFF" w:rsidTr="00882B94">
        <w:tc>
          <w:tcPr>
            <w:tcW w:w="2787" w:type="dxa"/>
            <w:vAlign w:val="center"/>
          </w:tcPr>
          <w:p w:rsidR="00B34251" w:rsidRPr="00C74EFF" w:rsidRDefault="00B34251" w:rsidP="00335FCF">
            <w:pPr>
              <w:autoSpaceDE w:val="0"/>
              <w:autoSpaceDN w:val="0"/>
              <w:adjustRightInd w:val="0"/>
              <w:spacing w:before="29" w:line="360" w:lineRule="auto"/>
              <w:ind w:left="15"/>
              <w:jc w:val="center"/>
              <w:rPr>
                <w:color w:val="000000" w:themeColor="text1"/>
                <w:sz w:val="24"/>
              </w:rPr>
            </w:pPr>
            <w:r w:rsidRPr="00335FCF">
              <w:rPr>
                <w:rFonts w:asciiTheme="minorEastAsia" w:eastAsiaTheme="minorEastAsia" w:hAnsiTheme="minorEastAsia" w:cs="宋体"/>
                <w:color w:val="000000" w:themeColor="text1"/>
                <w:szCs w:val="21"/>
              </w:rPr>
              <w:t>合计</w:t>
            </w:r>
          </w:p>
        </w:tc>
        <w:tc>
          <w:tcPr>
            <w:tcW w:w="2551" w:type="dxa"/>
            <w:vAlign w:val="center"/>
          </w:tcPr>
          <w:p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179,702,401.71</w:t>
            </w:r>
          </w:p>
        </w:tc>
        <w:tc>
          <w:tcPr>
            <w:tcW w:w="3175" w:type="dxa"/>
            <w:vAlign w:val="center"/>
          </w:tcPr>
          <w:p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93.32</w:t>
            </w:r>
          </w:p>
        </w:tc>
      </w:tr>
    </w:tbl>
    <w:p w:rsidR="00B34251" w:rsidRPr="00C74EFF" w:rsidRDefault="00B34251" w:rsidP="00B34251">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p>
    <w:p w:rsidR="00CE3801" w:rsidRDefault="00CE3801" w:rsidP="008B6A4A">
      <w:pPr>
        <w:autoSpaceDE w:val="0"/>
        <w:autoSpaceDN w:val="0"/>
        <w:adjustRightInd w:val="0"/>
        <w:spacing w:line="360" w:lineRule="auto"/>
        <w:jc w:val="left"/>
        <w:rPr>
          <w:rFonts w:eastAsiaTheme="minorEastAsia"/>
          <w:b/>
          <w:color w:val="000000" w:themeColor="text1"/>
          <w:kern w:val="0"/>
          <w:szCs w:val="21"/>
        </w:rPr>
      </w:pPr>
      <w:r>
        <w:rPr>
          <w:rFonts w:eastAsiaTheme="minorEastAsia" w:hint="eastAsia"/>
          <w:b/>
          <w:color w:val="000000" w:themeColor="text1"/>
          <w:kern w:val="0"/>
          <w:szCs w:val="21"/>
        </w:rPr>
        <w:t xml:space="preserve">5.3.2 </w:t>
      </w:r>
      <w:r w:rsidRPr="00E60957">
        <w:rPr>
          <w:rFonts w:eastAsiaTheme="minorEastAsia"/>
          <w:b/>
          <w:color w:val="000000" w:themeColor="text1"/>
          <w:kern w:val="0"/>
          <w:szCs w:val="21"/>
        </w:rPr>
        <w:t>期末积极投资按行业分类的股票及存托凭证投资组合</w:t>
      </w:r>
    </w:p>
    <w:p w:rsidR="00CE3801" w:rsidRPr="00CE3801" w:rsidRDefault="00CE3801" w:rsidP="00CE3801">
      <w:pPr>
        <w:autoSpaceDE w:val="0"/>
        <w:autoSpaceDN w:val="0"/>
        <w:adjustRightInd w:val="0"/>
        <w:spacing w:line="360" w:lineRule="auto"/>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rsidR="00CE3801" w:rsidRPr="00CE3801" w:rsidRDefault="00CE3801" w:rsidP="008B6A4A">
      <w:pPr>
        <w:autoSpaceDE w:val="0"/>
        <w:autoSpaceDN w:val="0"/>
        <w:adjustRightInd w:val="0"/>
        <w:spacing w:line="360" w:lineRule="auto"/>
        <w:jc w:val="left"/>
        <w:rPr>
          <w:rFonts w:eastAsiaTheme="minorEastAsia"/>
          <w:color w:val="000000" w:themeColor="text1"/>
          <w:sz w:val="24"/>
        </w:rPr>
      </w:pPr>
    </w:p>
    <w:p w:rsidR="00CE3801" w:rsidRPr="008277FF" w:rsidRDefault="00CE3801" w:rsidP="006612CB">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w:t>
      </w:r>
      <w:r w:rsidRPr="008277FF">
        <w:rPr>
          <w:rFonts w:asciiTheme="minorEastAsia" w:eastAsiaTheme="minorEastAsia" w:hAnsiTheme="minorEastAsia" w:cs="Arial" w:hint="eastAsia"/>
          <w:b/>
          <w:color w:val="000000" w:themeColor="text1"/>
          <w:kern w:val="0"/>
          <w:sz w:val="24"/>
        </w:rPr>
        <w:lastRenderedPageBreak/>
        <w:t>证投资明细</w:t>
      </w:r>
    </w:p>
    <w:p w:rsidR="00CE3801"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sidRPr="00787637">
        <w:rPr>
          <w:rFonts w:asciiTheme="minorEastAsia" w:eastAsiaTheme="minorEastAsia" w:hAnsiTheme="minorEastAsia" w:cs="Arial" w:hint="eastAsia"/>
          <w:b/>
          <w:color w:val="000000" w:themeColor="text1"/>
          <w:kern w:val="0"/>
          <w:szCs w:val="21"/>
        </w:rPr>
        <w:t xml:space="preserve">5.4.1 </w:t>
      </w:r>
      <w:r w:rsidRPr="00787637">
        <w:rPr>
          <w:rFonts w:asciiTheme="minorEastAsia" w:eastAsiaTheme="minorEastAsia" w:hAnsiTheme="minorEastAsia" w:cs="Arial"/>
          <w:color w:val="000000" w:themeColor="text1"/>
          <w:kern w:val="0"/>
          <w:szCs w:val="21"/>
        </w:rPr>
        <w:t> </w:t>
      </w:r>
      <w:r w:rsidRPr="00787637">
        <w:rPr>
          <w:rFonts w:asciiTheme="minorEastAsia" w:eastAsiaTheme="minorEastAsia" w:hAnsiTheme="minorEastAsia" w:cs="Arial" w:hint="eastAsia"/>
          <w:b/>
          <w:color w:val="000000" w:themeColor="text1"/>
          <w:kern w:val="0"/>
          <w:szCs w:val="21"/>
        </w:rPr>
        <w:t>指数投资期末按公允价值占基金资产净值比例大小排序的前十名权益投资明细 </w:t>
      </w:r>
    </w:p>
    <w:p w:rsidR="00CE3801" w:rsidRPr="00CE3801" w:rsidRDefault="00CE3801" w:rsidP="00CE3801">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864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1109"/>
        <w:gridCol w:w="876"/>
        <w:gridCol w:w="850"/>
        <w:gridCol w:w="993"/>
        <w:gridCol w:w="1134"/>
        <w:gridCol w:w="850"/>
        <w:gridCol w:w="851"/>
        <w:gridCol w:w="1275"/>
      </w:tblGrid>
      <w:tr w:rsidR="00CE3801" w:rsidRPr="00A313FF" w:rsidTr="006612CB">
        <w:trPr>
          <w:trHeight w:val="315"/>
        </w:trPr>
        <w:tc>
          <w:tcPr>
            <w:tcW w:w="709" w:type="dxa"/>
            <w:tcMar>
              <w:top w:w="15" w:type="dxa"/>
              <w:left w:w="15" w:type="dxa"/>
              <w:bottom w:w="0" w:type="dxa"/>
              <w:right w:w="15" w:type="dxa"/>
            </w:tcMar>
            <w:vAlign w:val="center"/>
          </w:tcPr>
          <w:p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序号</w:t>
            </w:r>
          </w:p>
        </w:tc>
        <w:tc>
          <w:tcPr>
            <w:tcW w:w="1109" w:type="dxa"/>
            <w:tcMar>
              <w:top w:w="15" w:type="dxa"/>
              <w:left w:w="15" w:type="dxa"/>
              <w:bottom w:w="0" w:type="dxa"/>
              <w:right w:w="15" w:type="dxa"/>
            </w:tcMar>
            <w:vAlign w:val="center"/>
          </w:tcPr>
          <w:p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 (英文)</w:t>
            </w:r>
          </w:p>
        </w:tc>
        <w:tc>
          <w:tcPr>
            <w:tcW w:w="876" w:type="dxa"/>
            <w:tcMar>
              <w:top w:w="15" w:type="dxa"/>
              <w:left w:w="15" w:type="dxa"/>
              <w:bottom w:w="0" w:type="dxa"/>
              <w:right w:w="15" w:type="dxa"/>
            </w:tcMar>
            <w:vAlign w:val="center"/>
          </w:tcPr>
          <w:p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公司名称(中文)</w:t>
            </w:r>
          </w:p>
        </w:tc>
        <w:tc>
          <w:tcPr>
            <w:tcW w:w="850" w:type="dxa"/>
            <w:tcMar>
              <w:top w:w="15" w:type="dxa"/>
              <w:left w:w="15" w:type="dxa"/>
              <w:bottom w:w="0" w:type="dxa"/>
              <w:right w:w="15" w:type="dxa"/>
            </w:tcMar>
            <w:vAlign w:val="center"/>
          </w:tcPr>
          <w:p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证券代码</w:t>
            </w:r>
          </w:p>
        </w:tc>
        <w:tc>
          <w:tcPr>
            <w:tcW w:w="993" w:type="dxa"/>
            <w:tcMar>
              <w:top w:w="15" w:type="dxa"/>
              <w:left w:w="15" w:type="dxa"/>
              <w:bottom w:w="0" w:type="dxa"/>
              <w:right w:w="15" w:type="dxa"/>
            </w:tcMar>
            <w:vAlign w:val="center"/>
          </w:tcPr>
          <w:p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所在证券市场</w:t>
            </w:r>
          </w:p>
        </w:tc>
        <w:tc>
          <w:tcPr>
            <w:tcW w:w="1134" w:type="dxa"/>
            <w:tcMar>
              <w:top w:w="15" w:type="dxa"/>
              <w:left w:w="15" w:type="dxa"/>
              <w:bottom w:w="0" w:type="dxa"/>
              <w:right w:w="15" w:type="dxa"/>
            </w:tcMar>
            <w:vAlign w:val="center"/>
          </w:tcPr>
          <w:p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所属国家(地区)</w:t>
            </w:r>
          </w:p>
        </w:tc>
        <w:tc>
          <w:tcPr>
            <w:tcW w:w="850" w:type="dxa"/>
            <w:tcMar>
              <w:top w:w="15" w:type="dxa"/>
              <w:left w:w="15" w:type="dxa"/>
              <w:bottom w:w="0" w:type="dxa"/>
              <w:right w:w="15" w:type="dxa"/>
            </w:tcMar>
            <w:vAlign w:val="center"/>
          </w:tcPr>
          <w:p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数量（股）</w:t>
            </w:r>
          </w:p>
        </w:tc>
        <w:tc>
          <w:tcPr>
            <w:tcW w:w="851" w:type="dxa"/>
            <w:tcMar>
              <w:top w:w="15" w:type="dxa"/>
              <w:left w:w="15" w:type="dxa"/>
              <w:bottom w:w="0" w:type="dxa"/>
              <w:right w:w="15" w:type="dxa"/>
            </w:tcMar>
            <w:vAlign w:val="center"/>
          </w:tcPr>
          <w:p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公允价值</w:t>
            </w:r>
          </w:p>
        </w:tc>
        <w:tc>
          <w:tcPr>
            <w:tcW w:w="1275" w:type="dxa"/>
            <w:tcMar>
              <w:top w:w="15" w:type="dxa"/>
              <w:left w:w="15" w:type="dxa"/>
              <w:bottom w:w="0" w:type="dxa"/>
              <w:right w:w="15" w:type="dxa"/>
            </w:tcMar>
            <w:vAlign w:val="center"/>
          </w:tcPr>
          <w:p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占基金资产净值比例（％）</w:t>
            </w:r>
          </w:p>
        </w:tc>
      </w:tr>
      <w:tr w:rsidR="008E4DB1">
        <w:tc>
          <w:tcPr>
            <w:tcW w:w="709" w:type="dxa"/>
            <w:vAlign w:val="center"/>
          </w:tcPr>
          <w:p w:rsidR="008E4DB1" w:rsidRDefault="00B526A4">
            <w:pPr>
              <w:jc w:val="center"/>
            </w:pPr>
            <w:r>
              <w:rPr>
                <w:rFonts w:asciiTheme="minorEastAsia" w:eastAsiaTheme="minorEastAsia" w:hAnsiTheme="minorEastAsia" w:cs="宋体"/>
                <w:color w:val="000000" w:themeColor="text1"/>
                <w:szCs w:val="21"/>
              </w:rPr>
              <w:t>1</w:t>
            </w:r>
          </w:p>
        </w:tc>
        <w:tc>
          <w:tcPr>
            <w:tcW w:w="1109" w:type="dxa"/>
            <w:vAlign w:val="center"/>
          </w:tcPr>
          <w:p w:rsidR="008E4DB1" w:rsidRDefault="00B526A4">
            <w:pPr>
              <w:jc w:val="center"/>
            </w:pPr>
            <w:r>
              <w:rPr>
                <w:rFonts w:asciiTheme="minorEastAsia" w:eastAsiaTheme="minorEastAsia" w:hAnsiTheme="minorEastAsia" w:cs="宋体"/>
                <w:color w:val="000000" w:themeColor="text1"/>
                <w:szCs w:val="21"/>
              </w:rPr>
              <w:t>Apple Inc</w:t>
            </w:r>
          </w:p>
        </w:tc>
        <w:tc>
          <w:tcPr>
            <w:tcW w:w="876" w:type="dxa"/>
            <w:vAlign w:val="center"/>
          </w:tcPr>
          <w:p w:rsidR="008E4DB1" w:rsidRDefault="00B526A4">
            <w:pPr>
              <w:jc w:val="center"/>
            </w:pPr>
            <w:r>
              <w:rPr>
                <w:rFonts w:asciiTheme="minorEastAsia" w:eastAsiaTheme="minorEastAsia" w:hAnsiTheme="minorEastAsia" w:cs="宋体"/>
                <w:color w:val="000000" w:themeColor="text1"/>
                <w:szCs w:val="21"/>
              </w:rPr>
              <w:t>苹果公司</w:t>
            </w:r>
          </w:p>
        </w:tc>
        <w:tc>
          <w:tcPr>
            <w:tcW w:w="850" w:type="dxa"/>
            <w:vAlign w:val="center"/>
          </w:tcPr>
          <w:p w:rsidR="008E4DB1" w:rsidRDefault="00B526A4">
            <w:pPr>
              <w:jc w:val="center"/>
            </w:pPr>
            <w:r>
              <w:rPr>
                <w:rFonts w:asciiTheme="minorEastAsia" w:eastAsiaTheme="minorEastAsia" w:hAnsiTheme="minorEastAsia" w:cs="宋体"/>
                <w:color w:val="000000" w:themeColor="text1"/>
                <w:szCs w:val="21"/>
              </w:rPr>
              <w:t>AAPL</w:t>
            </w:r>
          </w:p>
        </w:tc>
        <w:tc>
          <w:tcPr>
            <w:tcW w:w="993" w:type="dxa"/>
            <w:vAlign w:val="center"/>
          </w:tcPr>
          <w:p w:rsidR="008E4DB1" w:rsidRDefault="00B526A4">
            <w:pPr>
              <w:jc w:val="center"/>
            </w:pPr>
            <w:r>
              <w:rPr>
                <w:rFonts w:asciiTheme="minorEastAsia" w:eastAsiaTheme="minorEastAsia" w:hAnsiTheme="minorEastAsia" w:cs="宋体"/>
                <w:color w:val="000000" w:themeColor="text1"/>
                <w:szCs w:val="21"/>
              </w:rPr>
              <w:t>纳斯达克证券交易所</w:t>
            </w:r>
          </w:p>
        </w:tc>
        <w:tc>
          <w:tcPr>
            <w:tcW w:w="1134" w:type="dxa"/>
            <w:vAlign w:val="center"/>
          </w:tcPr>
          <w:p w:rsidR="008E4DB1" w:rsidRDefault="00B526A4">
            <w:pPr>
              <w:jc w:val="center"/>
            </w:pPr>
            <w:r>
              <w:rPr>
                <w:rFonts w:asciiTheme="minorEastAsia" w:eastAsiaTheme="minorEastAsia" w:hAnsiTheme="minorEastAsia" w:cs="宋体"/>
                <w:color w:val="000000" w:themeColor="text1"/>
                <w:szCs w:val="21"/>
              </w:rPr>
              <w:t>美国</w:t>
            </w:r>
          </w:p>
        </w:tc>
        <w:tc>
          <w:tcPr>
            <w:tcW w:w="850" w:type="dxa"/>
            <w:vAlign w:val="center"/>
          </w:tcPr>
          <w:p w:rsidR="008E4DB1" w:rsidRDefault="00B526A4">
            <w:pPr>
              <w:jc w:val="right"/>
            </w:pPr>
            <w:r>
              <w:rPr>
                <w:rFonts w:asciiTheme="minorEastAsia" w:eastAsiaTheme="minorEastAsia" w:hAnsiTheme="minorEastAsia" w:cs="宋体"/>
                <w:color w:val="000000" w:themeColor="text1"/>
                <w:szCs w:val="21"/>
              </w:rPr>
              <w:t>11,559</w:t>
            </w:r>
          </w:p>
        </w:tc>
        <w:tc>
          <w:tcPr>
            <w:tcW w:w="851" w:type="dxa"/>
            <w:vAlign w:val="center"/>
          </w:tcPr>
          <w:p w:rsidR="008E4DB1" w:rsidRDefault="00B526A4">
            <w:pPr>
              <w:jc w:val="right"/>
            </w:pPr>
            <w:r>
              <w:rPr>
                <w:rFonts w:asciiTheme="minorEastAsia" w:eastAsiaTheme="minorEastAsia" w:hAnsiTheme="minorEastAsia" w:cs="宋体"/>
                <w:color w:val="000000" w:themeColor="text1"/>
                <w:szCs w:val="21"/>
              </w:rPr>
              <w:t>14,208,941.88</w:t>
            </w:r>
          </w:p>
        </w:tc>
        <w:tc>
          <w:tcPr>
            <w:tcW w:w="1275" w:type="dxa"/>
            <w:vAlign w:val="center"/>
          </w:tcPr>
          <w:p w:rsidR="008E4DB1" w:rsidRDefault="00B526A4">
            <w:pPr>
              <w:jc w:val="right"/>
            </w:pPr>
            <w:r>
              <w:rPr>
                <w:rFonts w:asciiTheme="minorEastAsia" w:eastAsiaTheme="minorEastAsia" w:hAnsiTheme="minorEastAsia" w:cs="宋体"/>
                <w:color w:val="000000" w:themeColor="text1"/>
                <w:szCs w:val="21"/>
              </w:rPr>
              <w:t>7.38</w:t>
            </w:r>
          </w:p>
        </w:tc>
      </w:tr>
      <w:tr w:rsidR="008E4DB1">
        <w:tc>
          <w:tcPr>
            <w:tcW w:w="709" w:type="dxa"/>
            <w:vAlign w:val="center"/>
          </w:tcPr>
          <w:p w:rsidR="008E4DB1" w:rsidRDefault="00B526A4">
            <w:pPr>
              <w:jc w:val="center"/>
            </w:pPr>
            <w:r>
              <w:rPr>
                <w:rFonts w:asciiTheme="minorEastAsia" w:eastAsiaTheme="minorEastAsia" w:hAnsiTheme="minorEastAsia" w:cs="宋体"/>
                <w:color w:val="000000" w:themeColor="text1"/>
                <w:szCs w:val="21"/>
              </w:rPr>
              <w:t>2</w:t>
            </w:r>
          </w:p>
        </w:tc>
        <w:tc>
          <w:tcPr>
            <w:tcW w:w="1109" w:type="dxa"/>
            <w:vAlign w:val="center"/>
          </w:tcPr>
          <w:p w:rsidR="008E4DB1" w:rsidRDefault="00B526A4">
            <w:pPr>
              <w:jc w:val="center"/>
            </w:pPr>
            <w:r>
              <w:rPr>
                <w:rFonts w:asciiTheme="minorEastAsia" w:eastAsiaTheme="minorEastAsia" w:hAnsiTheme="minorEastAsia" w:cs="宋体"/>
                <w:color w:val="000000" w:themeColor="text1"/>
                <w:szCs w:val="21"/>
              </w:rPr>
              <w:t>Microsoft Corp</w:t>
            </w:r>
          </w:p>
        </w:tc>
        <w:tc>
          <w:tcPr>
            <w:tcW w:w="876" w:type="dxa"/>
            <w:vAlign w:val="center"/>
          </w:tcPr>
          <w:p w:rsidR="008E4DB1" w:rsidRDefault="00B526A4">
            <w:pPr>
              <w:jc w:val="center"/>
            </w:pPr>
            <w:r>
              <w:rPr>
                <w:rFonts w:asciiTheme="minorEastAsia" w:eastAsiaTheme="minorEastAsia" w:hAnsiTheme="minorEastAsia" w:cs="宋体"/>
                <w:color w:val="000000" w:themeColor="text1"/>
                <w:szCs w:val="21"/>
              </w:rPr>
              <w:t>微软公司</w:t>
            </w:r>
          </w:p>
        </w:tc>
        <w:tc>
          <w:tcPr>
            <w:tcW w:w="850" w:type="dxa"/>
            <w:vAlign w:val="center"/>
          </w:tcPr>
          <w:p w:rsidR="008E4DB1" w:rsidRDefault="00B526A4">
            <w:pPr>
              <w:jc w:val="center"/>
            </w:pPr>
            <w:r>
              <w:rPr>
                <w:rFonts w:asciiTheme="minorEastAsia" w:eastAsiaTheme="minorEastAsia" w:hAnsiTheme="minorEastAsia" w:cs="宋体"/>
                <w:color w:val="000000" w:themeColor="text1"/>
                <w:szCs w:val="21"/>
              </w:rPr>
              <w:t>MSFT</w:t>
            </w:r>
          </w:p>
        </w:tc>
        <w:tc>
          <w:tcPr>
            <w:tcW w:w="993" w:type="dxa"/>
            <w:vAlign w:val="center"/>
          </w:tcPr>
          <w:p w:rsidR="008E4DB1" w:rsidRDefault="00B526A4">
            <w:pPr>
              <w:jc w:val="center"/>
            </w:pPr>
            <w:r>
              <w:rPr>
                <w:rFonts w:asciiTheme="minorEastAsia" w:eastAsiaTheme="minorEastAsia" w:hAnsiTheme="minorEastAsia" w:cs="宋体"/>
                <w:color w:val="000000" w:themeColor="text1"/>
                <w:szCs w:val="21"/>
              </w:rPr>
              <w:t>纳斯达克证券交易所</w:t>
            </w:r>
          </w:p>
        </w:tc>
        <w:tc>
          <w:tcPr>
            <w:tcW w:w="1134" w:type="dxa"/>
            <w:vAlign w:val="center"/>
          </w:tcPr>
          <w:p w:rsidR="008E4DB1" w:rsidRDefault="00B526A4">
            <w:pPr>
              <w:jc w:val="center"/>
            </w:pPr>
            <w:r>
              <w:rPr>
                <w:rFonts w:asciiTheme="minorEastAsia" w:eastAsiaTheme="minorEastAsia" w:hAnsiTheme="minorEastAsia" w:cs="宋体"/>
                <w:color w:val="000000" w:themeColor="text1"/>
                <w:szCs w:val="21"/>
              </w:rPr>
              <w:t>美国</w:t>
            </w:r>
          </w:p>
        </w:tc>
        <w:tc>
          <w:tcPr>
            <w:tcW w:w="850" w:type="dxa"/>
            <w:vAlign w:val="center"/>
          </w:tcPr>
          <w:p w:rsidR="008E4DB1" w:rsidRDefault="00B526A4">
            <w:pPr>
              <w:jc w:val="right"/>
            </w:pPr>
            <w:r>
              <w:rPr>
                <w:rFonts w:asciiTheme="minorEastAsia" w:eastAsiaTheme="minorEastAsia" w:hAnsiTheme="minorEastAsia" w:cs="宋体"/>
                <w:color w:val="000000" w:themeColor="text1"/>
                <w:szCs w:val="21"/>
              </w:rPr>
              <w:t>5,812</w:t>
            </w:r>
          </w:p>
        </w:tc>
        <w:tc>
          <w:tcPr>
            <w:tcW w:w="851" w:type="dxa"/>
            <w:vAlign w:val="center"/>
          </w:tcPr>
          <w:p w:rsidR="008E4DB1" w:rsidRDefault="00B526A4">
            <w:pPr>
              <w:jc w:val="right"/>
            </w:pPr>
            <w:r>
              <w:rPr>
                <w:rFonts w:asciiTheme="minorEastAsia" w:eastAsiaTheme="minorEastAsia" w:hAnsiTheme="minorEastAsia" w:cs="宋体"/>
                <w:color w:val="000000" w:themeColor="text1"/>
                <w:szCs w:val="21"/>
              </w:rPr>
              <w:t>13,175,930.99</w:t>
            </w:r>
          </w:p>
        </w:tc>
        <w:tc>
          <w:tcPr>
            <w:tcW w:w="1275" w:type="dxa"/>
            <w:vAlign w:val="center"/>
          </w:tcPr>
          <w:p w:rsidR="008E4DB1" w:rsidRDefault="00B526A4">
            <w:pPr>
              <w:jc w:val="right"/>
            </w:pPr>
            <w:r>
              <w:rPr>
                <w:rFonts w:asciiTheme="minorEastAsia" w:eastAsiaTheme="minorEastAsia" w:hAnsiTheme="minorEastAsia" w:cs="宋体"/>
                <w:color w:val="000000" w:themeColor="text1"/>
                <w:szCs w:val="21"/>
              </w:rPr>
              <w:t>6.84</w:t>
            </w:r>
          </w:p>
        </w:tc>
      </w:tr>
      <w:tr w:rsidR="008E4DB1">
        <w:tc>
          <w:tcPr>
            <w:tcW w:w="709" w:type="dxa"/>
            <w:vAlign w:val="center"/>
          </w:tcPr>
          <w:p w:rsidR="008E4DB1" w:rsidRDefault="00B526A4">
            <w:pPr>
              <w:jc w:val="center"/>
            </w:pPr>
            <w:r>
              <w:rPr>
                <w:rFonts w:asciiTheme="minorEastAsia" w:eastAsiaTheme="minorEastAsia" w:hAnsiTheme="minorEastAsia" w:cs="宋体"/>
                <w:color w:val="000000" w:themeColor="text1"/>
                <w:szCs w:val="21"/>
              </w:rPr>
              <w:t>3</w:t>
            </w:r>
          </w:p>
        </w:tc>
        <w:tc>
          <w:tcPr>
            <w:tcW w:w="1109" w:type="dxa"/>
            <w:vAlign w:val="center"/>
          </w:tcPr>
          <w:p w:rsidR="008E4DB1" w:rsidRDefault="00B526A4">
            <w:pPr>
              <w:jc w:val="center"/>
            </w:pPr>
            <w:r>
              <w:rPr>
                <w:rFonts w:asciiTheme="minorEastAsia" w:eastAsiaTheme="minorEastAsia" w:hAnsiTheme="minorEastAsia" w:cs="宋体"/>
                <w:color w:val="000000" w:themeColor="text1"/>
                <w:szCs w:val="21"/>
              </w:rPr>
              <w:t>Amazon.com Inc</w:t>
            </w:r>
          </w:p>
        </w:tc>
        <w:tc>
          <w:tcPr>
            <w:tcW w:w="876" w:type="dxa"/>
            <w:vAlign w:val="center"/>
          </w:tcPr>
          <w:p w:rsidR="008E4DB1" w:rsidRDefault="00B526A4">
            <w:pPr>
              <w:jc w:val="center"/>
            </w:pPr>
            <w:r>
              <w:rPr>
                <w:rFonts w:asciiTheme="minorEastAsia" w:eastAsiaTheme="minorEastAsia" w:hAnsiTheme="minorEastAsia" w:cs="宋体"/>
                <w:color w:val="000000" w:themeColor="text1"/>
                <w:szCs w:val="21"/>
              </w:rPr>
              <w:t>亚马逊公司</w:t>
            </w:r>
          </w:p>
        </w:tc>
        <w:tc>
          <w:tcPr>
            <w:tcW w:w="850" w:type="dxa"/>
            <w:vAlign w:val="center"/>
          </w:tcPr>
          <w:p w:rsidR="008E4DB1" w:rsidRDefault="00B526A4">
            <w:pPr>
              <w:jc w:val="center"/>
            </w:pPr>
            <w:r>
              <w:rPr>
                <w:rFonts w:asciiTheme="minorEastAsia" w:eastAsiaTheme="minorEastAsia" w:hAnsiTheme="minorEastAsia" w:cs="宋体"/>
                <w:color w:val="000000" w:themeColor="text1"/>
                <w:szCs w:val="21"/>
              </w:rPr>
              <w:t>AMZN</w:t>
            </w:r>
          </w:p>
        </w:tc>
        <w:tc>
          <w:tcPr>
            <w:tcW w:w="993" w:type="dxa"/>
            <w:vAlign w:val="center"/>
          </w:tcPr>
          <w:p w:rsidR="008E4DB1" w:rsidRDefault="00B526A4">
            <w:pPr>
              <w:jc w:val="center"/>
            </w:pPr>
            <w:r>
              <w:rPr>
                <w:rFonts w:asciiTheme="minorEastAsia" w:eastAsiaTheme="minorEastAsia" w:hAnsiTheme="minorEastAsia" w:cs="宋体"/>
                <w:color w:val="000000" w:themeColor="text1"/>
                <w:szCs w:val="21"/>
              </w:rPr>
              <w:t>纳斯达克证券交易所</w:t>
            </w:r>
          </w:p>
        </w:tc>
        <w:tc>
          <w:tcPr>
            <w:tcW w:w="1134" w:type="dxa"/>
            <w:vAlign w:val="center"/>
          </w:tcPr>
          <w:p w:rsidR="008E4DB1" w:rsidRDefault="00B526A4">
            <w:pPr>
              <w:jc w:val="center"/>
            </w:pPr>
            <w:r>
              <w:rPr>
                <w:rFonts w:asciiTheme="minorEastAsia" w:eastAsiaTheme="minorEastAsia" w:hAnsiTheme="minorEastAsia" w:cs="宋体"/>
                <w:color w:val="000000" w:themeColor="text1"/>
                <w:szCs w:val="21"/>
              </w:rPr>
              <w:t>美国</w:t>
            </w:r>
          </w:p>
        </w:tc>
        <w:tc>
          <w:tcPr>
            <w:tcW w:w="850" w:type="dxa"/>
            <w:vAlign w:val="center"/>
          </w:tcPr>
          <w:p w:rsidR="008E4DB1" w:rsidRDefault="00B526A4">
            <w:pPr>
              <w:jc w:val="right"/>
            </w:pPr>
            <w:r>
              <w:rPr>
                <w:rFonts w:asciiTheme="minorEastAsia" w:eastAsiaTheme="minorEastAsia" w:hAnsiTheme="minorEastAsia" w:cs="宋体"/>
                <w:color w:val="000000" w:themeColor="text1"/>
                <w:szCs w:val="21"/>
              </w:rPr>
              <w:t>6,979</w:t>
            </w:r>
          </w:p>
        </w:tc>
        <w:tc>
          <w:tcPr>
            <w:tcW w:w="851" w:type="dxa"/>
            <w:vAlign w:val="center"/>
          </w:tcPr>
          <w:p w:rsidR="008E4DB1" w:rsidRDefault="00B526A4">
            <w:pPr>
              <w:jc w:val="right"/>
            </w:pPr>
            <w:r>
              <w:rPr>
                <w:rFonts w:asciiTheme="minorEastAsia" w:eastAsiaTheme="minorEastAsia" w:hAnsiTheme="minorEastAsia" w:cs="宋体"/>
                <w:color w:val="000000" w:themeColor="text1"/>
                <w:szCs w:val="21"/>
              </w:rPr>
              <w:t>6,369,706.61</w:t>
            </w:r>
          </w:p>
        </w:tc>
        <w:tc>
          <w:tcPr>
            <w:tcW w:w="1275" w:type="dxa"/>
            <w:vAlign w:val="center"/>
          </w:tcPr>
          <w:p w:rsidR="008E4DB1" w:rsidRDefault="00B526A4">
            <w:pPr>
              <w:jc w:val="right"/>
            </w:pPr>
            <w:r>
              <w:rPr>
                <w:rFonts w:asciiTheme="minorEastAsia" w:eastAsiaTheme="minorEastAsia" w:hAnsiTheme="minorEastAsia" w:cs="宋体"/>
                <w:color w:val="000000" w:themeColor="text1"/>
                <w:szCs w:val="21"/>
              </w:rPr>
              <w:t>3.31</w:t>
            </w:r>
          </w:p>
        </w:tc>
      </w:tr>
      <w:tr w:rsidR="008E4DB1">
        <w:tc>
          <w:tcPr>
            <w:tcW w:w="709" w:type="dxa"/>
            <w:vAlign w:val="center"/>
          </w:tcPr>
          <w:p w:rsidR="008E4DB1" w:rsidRDefault="00B526A4">
            <w:pPr>
              <w:jc w:val="center"/>
            </w:pPr>
            <w:r>
              <w:rPr>
                <w:rFonts w:asciiTheme="minorEastAsia" w:eastAsiaTheme="minorEastAsia" w:hAnsiTheme="minorEastAsia" w:cs="宋体"/>
                <w:color w:val="000000" w:themeColor="text1"/>
                <w:szCs w:val="21"/>
              </w:rPr>
              <w:t>4</w:t>
            </w:r>
          </w:p>
        </w:tc>
        <w:tc>
          <w:tcPr>
            <w:tcW w:w="1109" w:type="dxa"/>
            <w:vAlign w:val="center"/>
          </w:tcPr>
          <w:p w:rsidR="008E4DB1" w:rsidRDefault="00B526A4">
            <w:pPr>
              <w:jc w:val="center"/>
            </w:pPr>
            <w:r>
              <w:rPr>
                <w:rFonts w:asciiTheme="minorEastAsia" w:eastAsiaTheme="minorEastAsia" w:hAnsiTheme="minorEastAsia" w:cs="宋体"/>
                <w:color w:val="000000" w:themeColor="text1"/>
                <w:szCs w:val="21"/>
              </w:rPr>
              <w:t>NVIDIA Corp</w:t>
            </w:r>
          </w:p>
        </w:tc>
        <w:tc>
          <w:tcPr>
            <w:tcW w:w="876" w:type="dxa"/>
            <w:vAlign w:val="center"/>
          </w:tcPr>
          <w:p w:rsidR="008E4DB1" w:rsidRDefault="00B526A4">
            <w:pPr>
              <w:jc w:val="center"/>
            </w:pPr>
            <w:r>
              <w:rPr>
                <w:rFonts w:asciiTheme="minorEastAsia" w:eastAsiaTheme="minorEastAsia" w:hAnsiTheme="minorEastAsia" w:cs="宋体"/>
                <w:color w:val="000000" w:themeColor="text1"/>
                <w:szCs w:val="21"/>
              </w:rPr>
              <w:t>英伟达</w:t>
            </w:r>
          </w:p>
        </w:tc>
        <w:tc>
          <w:tcPr>
            <w:tcW w:w="850" w:type="dxa"/>
            <w:vAlign w:val="center"/>
          </w:tcPr>
          <w:p w:rsidR="008E4DB1" w:rsidRDefault="00B526A4">
            <w:pPr>
              <w:jc w:val="center"/>
            </w:pPr>
            <w:r>
              <w:rPr>
                <w:rFonts w:asciiTheme="minorEastAsia" w:eastAsiaTheme="minorEastAsia" w:hAnsiTheme="minorEastAsia" w:cs="宋体"/>
                <w:color w:val="000000" w:themeColor="text1"/>
                <w:szCs w:val="21"/>
              </w:rPr>
              <w:t>NVDA</w:t>
            </w:r>
          </w:p>
        </w:tc>
        <w:tc>
          <w:tcPr>
            <w:tcW w:w="993" w:type="dxa"/>
            <w:vAlign w:val="center"/>
          </w:tcPr>
          <w:p w:rsidR="008E4DB1" w:rsidRDefault="00B526A4">
            <w:pPr>
              <w:jc w:val="center"/>
            </w:pPr>
            <w:r>
              <w:rPr>
                <w:rFonts w:asciiTheme="minorEastAsia" w:eastAsiaTheme="minorEastAsia" w:hAnsiTheme="minorEastAsia" w:cs="宋体"/>
                <w:color w:val="000000" w:themeColor="text1"/>
                <w:szCs w:val="21"/>
              </w:rPr>
              <w:t>纳斯达克证券交易所</w:t>
            </w:r>
          </w:p>
        </w:tc>
        <w:tc>
          <w:tcPr>
            <w:tcW w:w="1134" w:type="dxa"/>
            <w:vAlign w:val="center"/>
          </w:tcPr>
          <w:p w:rsidR="008E4DB1" w:rsidRDefault="00B526A4">
            <w:pPr>
              <w:jc w:val="center"/>
            </w:pPr>
            <w:r>
              <w:rPr>
                <w:rFonts w:asciiTheme="minorEastAsia" w:eastAsiaTheme="minorEastAsia" w:hAnsiTheme="minorEastAsia" w:cs="宋体"/>
                <w:color w:val="000000" w:themeColor="text1"/>
                <w:szCs w:val="21"/>
              </w:rPr>
              <w:t>美国</w:t>
            </w:r>
          </w:p>
        </w:tc>
        <w:tc>
          <w:tcPr>
            <w:tcW w:w="850" w:type="dxa"/>
            <w:vAlign w:val="center"/>
          </w:tcPr>
          <w:p w:rsidR="008E4DB1" w:rsidRDefault="00B526A4">
            <w:pPr>
              <w:jc w:val="right"/>
            </w:pPr>
            <w:r>
              <w:rPr>
                <w:rFonts w:asciiTheme="minorEastAsia" w:eastAsiaTheme="minorEastAsia" w:hAnsiTheme="minorEastAsia" w:cs="宋体"/>
                <w:color w:val="000000" w:themeColor="text1"/>
                <w:szCs w:val="21"/>
              </w:rPr>
              <w:t>1,932</w:t>
            </w:r>
          </w:p>
        </w:tc>
        <w:tc>
          <w:tcPr>
            <w:tcW w:w="851" w:type="dxa"/>
            <w:vAlign w:val="center"/>
          </w:tcPr>
          <w:p w:rsidR="008E4DB1" w:rsidRDefault="00B526A4">
            <w:pPr>
              <w:jc w:val="right"/>
            </w:pPr>
            <w:r>
              <w:rPr>
                <w:rFonts w:asciiTheme="minorEastAsia" w:eastAsiaTheme="minorEastAsia" w:hAnsiTheme="minorEastAsia" w:cs="宋体"/>
                <w:color w:val="000000" w:themeColor="text1"/>
                <w:szCs w:val="21"/>
              </w:rPr>
              <w:t>6,033,908.80</w:t>
            </w:r>
          </w:p>
        </w:tc>
        <w:tc>
          <w:tcPr>
            <w:tcW w:w="1275" w:type="dxa"/>
            <w:vAlign w:val="center"/>
          </w:tcPr>
          <w:p w:rsidR="008E4DB1" w:rsidRDefault="00B526A4">
            <w:pPr>
              <w:jc w:val="right"/>
            </w:pPr>
            <w:r>
              <w:rPr>
                <w:rFonts w:asciiTheme="minorEastAsia" w:eastAsiaTheme="minorEastAsia" w:hAnsiTheme="minorEastAsia" w:cs="宋体"/>
                <w:color w:val="000000" w:themeColor="text1"/>
                <w:szCs w:val="21"/>
              </w:rPr>
              <w:t>3.13</w:t>
            </w:r>
          </w:p>
        </w:tc>
      </w:tr>
      <w:tr w:rsidR="008E4DB1">
        <w:tc>
          <w:tcPr>
            <w:tcW w:w="709" w:type="dxa"/>
            <w:vAlign w:val="center"/>
          </w:tcPr>
          <w:p w:rsidR="008E4DB1" w:rsidRDefault="00B526A4">
            <w:pPr>
              <w:jc w:val="center"/>
            </w:pPr>
            <w:r>
              <w:rPr>
                <w:rFonts w:asciiTheme="minorEastAsia" w:eastAsiaTheme="minorEastAsia" w:hAnsiTheme="minorEastAsia" w:cs="宋体"/>
                <w:color w:val="000000" w:themeColor="text1"/>
                <w:szCs w:val="21"/>
              </w:rPr>
              <w:t>5</w:t>
            </w:r>
          </w:p>
        </w:tc>
        <w:tc>
          <w:tcPr>
            <w:tcW w:w="1109" w:type="dxa"/>
            <w:vAlign w:val="center"/>
          </w:tcPr>
          <w:p w:rsidR="008E4DB1" w:rsidRDefault="00B526A4">
            <w:pPr>
              <w:jc w:val="center"/>
            </w:pPr>
            <w:r>
              <w:rPr>
                <w:rFonts w:asciiTheme="minorEastAsia" w:eastAsiaTheme="minorEastAsia" w:hAnsiTheme="minorEastAsia" w:cs="宋体"/>
                <w:color w:val="000000" w:themeColor="text1"/>
                <w:szCs w:val="21"/>
              </w:rPr>
              <w:t>Alphabet Inc</w:t>
            </w:r>
          </w:p>
        </w:tc>
        <w:tc>
          <w:tcPr>
            <w:tcW w:w="876" w:type="dxa"/>
            <w:vAlign w:val="center"/>
          </w:tcPr>
          <w:p w:rsidR="008E4DB1" w:rsidRDefault="00B526A4">
            <w:pPr>
              <w:jc w:val="center"/>
            </w:pPr>
            <w:r>
              <w:rPr>
                <w:rFonts w:asciiTheme="minorEastAsia" w:eastAsiaTheme="minorEastAsia" w:hAnsiTheme="minorEastAsia" w:cs="宋体"/>
                <w:color w:val="000000" w:themeColor="text1"/>
                <w:szCs w:val="21"/>
              </w:rPr>
              <w:t>Alphabet公司</w:t>
            </w:r>
          </w:p>
        </w:tc>
        <w:tc>
          <w:tcPr>
            <w:tcW w:w="850" w:type="dxa"/>
            <w:vAlign w:val="center"/>
          </w:tcPr>
          <w:p w:rsidR="008E4DB1" w:rsidRDefault="00B526A4">
            <w:pPr>
              <w:jc w:val="center"/>
            </w:pPr>
            <w:r>
              <w:rPr>
                <w:rFonts w:asciiTheme="minorEastAsia" w:eastAsiaTheme="minorEastAsia" w:hAnsiTheme="minorEastAsia" w:cs="宋体"/>
                <w:color w:val="000000" w:themeColor="text1"/>
                <w:szCs w:val="21"/>
              </w:rPr>
              <w:t>GOOGL</w:t>
            </w:r>
          </w:p>
        </w:tc>
        <w:tc>
          <w:tcPr>
            <w:tcW w:w="993" w:type="dxa"/>
            <w:vAlign w:val="center"/>
          </w:tcPr>
          <w:p w:rsidR="008E4DB1" w:rsidRDefault="00B526A4">
            <w:pPr>
              <w:jc w:val="center"/>
            </w:pPr>
            <w:r>
              <w:rPr>
                <w:rFonts w:asciiTheme="minorEastAsia" w:eastAsiaTheme="minorEastAsia" w:hAnsiTheme="minorEastAsia" w:cs="宋体"/>
                <w:color w:val="000000" w:themeColor="text1"/>
                <w:szCs w:val="21"/>
              </w:rPr>
              <w:t>纳斯达克证券交易所</w:t>
            </w:r>
          </w:p>
        </w:tc>
        <w:tc>
          <w:tcPr>
            <w:tcW w:w="1134" w:type="dxa"/>
            <w:vAlign w:val="center"/>
          </w:tcPr>
          <w:p w:rsidR="008E4DB1" w:rsidRDefault="00B526A4">
            <w:pPr>
              <w:jc w:val="center"/>
            </w:pPr>
            <w:r>
              <w:rPr>
                <w:rFonts w:asciiTheme="minorEastAsia" w:eastAsiaTheme="minorEastAsia" w:hAnsiTheme="minorEastAsia" w:cs="宋体"/>
                <w:color w:val="000000" w:themeColor="text1"/>
                <w:szCs w:val="21"/>
              </w:rPr>
              <w:t>美国</w:t>
            </w:r>
          </w:p>
        </w:tc>
        <w:tc>
          <w:tcPr>
            <w:tcW w:w="850" w:type="dxa"/>
            <w:vAlign w:val="center"/>
          </w:tcPr>
          <w:p w:rsidR="008E4DB1" w:rsidRDefault="00B526A4">
            <w:pPr>
              <w:jc w:val="right"/>
            </w:pPr>
            <w:r>
              <w:rPr>
                <w:rFonts w:asciiTheme="minorEastAsia" w:eastAsiaTheme="minorEastAsia" w:hAnsiTheme="minorEastAsia" w:cs="宋体"/>
                <w:color w:val="000000" w:themeColor="text1"/>
                <w:szCs w:val="21"/>
              </w:rPr>
              <w:t>4,643</w:t>
            </w:r>
          </w:p>
        </w:tc>
        <w:tc>
          <w:tcPr>
            <w:tcW w:w="851" w:type="dxa"/>
            <w:vAlign w:val="center"/>
          </w:tcPr>
          <w:p w:rsidR="008E4DB1" w:rsidRDefault="00B526A4">
            <w:pPr>
              <w:jc w:val="right"/>
            </w:pPr>
            <w:r>
              <w:rPr>
                <w:rFonts w:asciiTheme="minorEastAsia" w:eastAsiaTheme="minorEastAsia" w:hAnsiTheme="minorEastAsia" w:cs="宋体"/>
                <w:color w:val="000000" w:themeColor="text1"/>
                <w:szCs w:val="21"/>
              </w:rPr>
              <w:t>4,362,324.28</w:t>
            </w:r>
          </w:p>
        </w:tc>
        <w:tc>
          <w:tcPr>
            <w:tcW w:w="1275" w:type="dxa"/>
            <w:vAlign w:val="center"/>
          </w:tcPr>
          <w:p w:rsidR="008E4DB1" w:rsidRDefault="00B526A4">
            <w:pPr>
              <w:jc w:val="right"/>
            </w:pPr>
            <w:r>
              <w:rPr>
                <w:rFonts w:asciiTheme="minorEastAsia" w:eastAsiaTheme="minorEastAsia" w:hAnsiTheme="minorEastAsia" w:cs="宋体"/>
                <w:color w:val="000000" w:themeColor="text1"/>
                <w:szCs w:val="21"/>
              </w:rPr>
              <w:t>2.27</w:t>
            </w:r>
          </w:p>
        </w:tc>
      </w:tr>
      <w:tr w:rsidR="008E4DB1">
        <w:tc>
          <w:tcPr>
            <w:tcW w:w="709" w:type="dxa"/>
            <w:vAlign w:val="center"/>
          </w:tcPr>
          <w:p w:rsidR="008E4DB1" w:rsidRDefault="00B526A4">
            <w:pPr>
              <w:jc w:val="center"/>
            </w:pPr>
            <w:r>
              <w:rPr>
                <w:rFonts w:asciiTheme="minorEastAsia" w:eastAsiaTheme="minorEastAsia" w:hAnsiTheme="minorEastAsia" w:cs="宋体"/>
                <w:color w:val="000000" w:themeColor="text1"/>
                <w:szCs w:val="21"/>
              </w:rPr>
              <w:t>6</w:t>
            </w:r>
          </w:p>
        </w:tc>
        <w:tc>
          <w:tcPr>
            <w:tcW w:w="1109" w:type="dxa"/>
            <w:vAlign w:val="center"/>
          </w:tcPr>
          <w:p w:rsidR="008E4DB1" w:rsidRDefault="00B526A4">
            <w:pPr>
              <w:jc w:val="center"/>
            </w:pPr>
            <w:r>
              <w:rPr>
                <w:rFonts w:asciiTheme="minorEastAsia" w:eastAsiaTheme="minorEastAsia" w:hAnsiTheme="minorEastAsia" w:cs="宋体"/>
                <w:color w:val="000000" w:themeColor="text1"/>
                <w:szCs w:val="21"/>
              </w:rPr>
              <w:t>Tesla Inc</w:t>
            </w:r>
          </w:p>
        </w:tc>
        <w:tc>
          <w:tcPr>
            <w:tcW w:w="876" w:type="dxa"/>
            <w:vAlign w:val="center"/>
          </w:tcPr>
          <w:p w:rsidR="008E4DB1" w:rsidRDefault="00B526A4">
            <w:pPr>
              <w:jc w:val="center"/>
            </w:pPr>
            <w:r>
              <w:rPr>
                <w:rFonts w:asciiTheme="minorEastAsia" w:eastAsiaTheme="minorEastAsia" w:hAnsiTheme="minorEastAsia" w:cs="宋体"/>
                <w:color w:val="000000" w:themeColor="text1"/>
                <w:szCs w:val="21"/>
              </w:rPr>
              <w:t>特斯拉公司</w:t>
            </w:r>
          </w:p>
        </w:tc>
        <w:tc>
          <w:tcPr>
            <w:tcW w:w="850" w:type="dxa"/>
            <w:vAlign w:val="center"/>
          </w:tcPr>
          <w:p w:rsidR="008E4DB1" w:rsidRDefault="00B526A4">
            <w:pPr>
              <w:jc w:val="center"/>
            </w:pPr>
            <w:r>
              <w:rPr>
                <w:rFonts w:asciiTheme="minorEastAsia" w:eastAsiaTheme="minorEastAsia" w:hAnsiTheme="minorEastAsia" w:cs="宋体"/>
                <w:color w:val="000000" w:themeColor="text1"/>
                <w:szCs w:val="21"/>
              </w:rPr>
              <w:t>TSLA</w:t>
            </w:r>
          </w:p>
        </w:tc>
        <w:tc>
          <w:tcPr>
            <w:tcW w:w="993" w:type="dxa"/>
            <w:vAlign w:val="center"/>
          </w:tcPr>
          <w:p w:rsidR="008E4DB1" w:rsidRDefault="00B526A4">
            <w:pPr>
              <w:jc w:val="center"/>
            </w:pPr>
            <w:r>
              <w:rPr>
                <w:rFonts w:asciiTheme="minorEastAsia" w:eastAsiaTheme="minorEastAsia" w:hAnsiTheme="minorEastAsia" w:cs="宋体"/>
                <w:color w:val="000000" w:themeColor="text1"/>
                <w:szCs w:val="21"/>
              </w:rPr>
              <w:t>纳斯达克证券交易所</w:t>
            </w:r>
          </w:p>
        </w:tc>
        <w:tc>
          <w:tcPr>
            <w:tcW w:w="1134" w:type="dxa"/>
            <w:vAlign w:val="center"/>
          </w:tcPr>
          <w:p w:rsidR="008E4DB1" w:rsidRDefault="00B526A4">
            <w:pPr>
              <w:jc w:val="center"/>
            </w:pPr>
            <w:r>
              <w:rPr>
                <w:rFonts w:asciiTheme="minorEastAsia" w:eastAsiaTheme="minorEastAsia" w:hAnsiTheme="minorEastAsia" w:cs="宋体"/>
                <w:color w:val="000000" w:themeColor="text1"/>
                <w:szCs w:val="21"/>
              </w:rPr>
              <w:t>美国</w:t>
            </w:r>
          </w:p>
        </w:tc>
        <w:tc>
          <w:tcPr>
            <w:tcW w:w="850" w:type="dxa"/>
            <w:vAlign w:val="center"/>
          </w:tcPr>
          <w:p w:rsidR="008E4DB1" w:rsidRDefault="00B526A4">
            <w:pPr>
              <w:jc w:val="right"/>
            </w:pPr>
            <w:r>
              <w:rPr>
                <w:rFonts w:asciiTheme="minorEastAsia" w:eastAsiaTheme="minorEastAsia" w:hAnsiTheme="minorEastAsia" w:cs="宋体"/>
                <w:color w:val="000000" w:themeColor="text1"/>
                <w:szCs w:val="21"/>
              </w:rPr>
              <w:t>2,107</w:t>
            </w:r>
          </w:p>
        </w:tc>
        <w:tc>
          <w:tcPr>
            <w:tcW w:w="851" w:type="dxa"/>
            <w:vAlign w:val="center"/>
          </w:tcPr>
          <w:p w:rsidR="008E4DB1" w:rsidRDefault="00B526A4">
            <w:pPr>
              <w:jc w:val="right"/>
            </w:pPr>
            <w:r>
              <w:rPr>
                <w:rFonts w:asciiTheme="minorEastAsia" w:eastAsiaTheme="minorEastAsia" w:hAnsiTheme="minorEastAsia" w:cs="宋体"/>
                <w:color w:val="000000" w:themeColor="text1"/>
                <w:szCs w:val="21"/>
              </w:rPr>
              <w:t>3,785,287.77</w:t>
            </w:r>
          </w:p>
        </w:tc>
        <w:tc>
          <w:tcPr>
            <w:tcW w:w="1275" w:type="dxa"/>
            <w:vAlign w:val="center"/>
          </w:tcPr>
          <w:p w:rsidR="008E4DB1" w:rsidRDefault="00B526A4">
            <w:pPr>
              <w:jc w:val="right"/>
            </w:pPr>
            <w:r>
              <w:rPr>
                <w:rFonts w:asciiTheme="minorEastAsia" w:eastAsiaTheme="minorEastAsia" w:hAnsiTheme="minorEastAsia" w:cs="宋体"/>
                <w:color w:val="000000" w:themeColor="text1"/>
                <w:szCs w:val="21"/>
              </w:rPr>
              <w:t>1.97</w:t>
            </w:r>
          </w:p>
        </w:tc>
      </w:tr>
      <w:tr w:rsidR="008E4DB1">
        <w:tc>
          <w:tcPr>
            <w:tcW w:w="709" w:type="dxa"/>
            <w:vAlign w:val="center"/>
          </w:tcPr>
          <w:p w:rsidR="008E4DB1" w:rsidRDefault="00B526A4">
            <w:pPr>
              <w:jc w:val="center"/>
            </w:pPr>
            <w:r>
              <w:rPr>
                <w:rFonts w:asciiTheme="minorEastAsia" w:eastAsiaTheme="minorEastAsia" w:hAnsiTheme="minorEastAsia" w:cs="宋体"/>
                <w:color w:val="000000" w:themeColor="text1"/>
                <w:szCs w:val="21"/>
              </w:rPr>
              <w:t>7</w:t>
            </w:r>
          </w:p>
        </w:tc>
        <w:tc>
          <w:tcPr>
            <w:tcW w:w="1109" w:type="dxa"/>
            <w:vAlign w:val="center"/>
          </w:tcPr>
          <w:p w:rsidR="008E4DB1" w:rsidRDefault="00B526A4">
            <w:pPr>
              <w:jc w:val="center"/>
            </w:pPr>
            <w:r>
              <w:rPr>
                <w:rFonts w:asciiTheme="minorEastAsia" w:eastAsiaTheme="minorEastAsia" w:hAnsiTheme="minorEastAsia" w:cs="宋体"/>
                <w:color w:val="000000" w:themeColor="text1"/>
                <w:szCs w:val="21"/>
              </w:rPr>
              <w:t>Alphabet Inc</w:t>
            </w:r>
          </w:p>
        </w:tc>
        <w:tc>
          <w:tcPr>
            <w:tcW w:w="876" w:type="dxa"/>
            <w:vAlign w:val="center"/>
          </w:tcPr>
          <w:p w:rsidR="008E4DB1" w:rsidRDefault="00B526A4">
            <w:pPr>
              <w:jc w:val="center"/>
            </w:pPr>
            <w:r>
              <w:rPr>
                <w:rFonts w:asciiTheme="minorEastAsia" w:eastAsiaTheme="minorEastAsia" w:hAnsiTheme="minorEastAsia" w:cs="宋体"/>
                <w:color w:val="000000" w:themeColor="text1"/>
                <w:szCs w:val="21"/>
              </w:rPr>
              <w:t>Alphabet公司</w:t>
            </w:r>
          </w:p>
        </w:tc>
        <w:tc>
          <w:tcPr>
            <w:tcW w:w="850" w:type="dxa"/>
            <w:vAlign w:val="center"/>
          </w:tcPr>
          <w:p w:rsidR="008E4DB1" w:rsidRDefault="00B526A4">
            <w:pPr>
              <w:jc w:val="center"/>
            </w:pPr>
            <w:r>
              <w:rPr>
                <w:rFonts w:asciiTheme="minorEastAsia" w:eastAsiaTheme="minorEastAsia" w:hAnsiTheme="minorEastAsia" w:cs="宋体"/>
                <w:color w:val="000000" w:themeColor="text1"/>
                <w:szCs w:val="21"/>
              </w:rPr>
              <w:t>GOOG</w:t>
            </w:r>
          </w:p>
        </w:tc>
        <w:tc>
          <w:tcPr>
            <w:tcW w:w="993" w:type="dxa"/>
            <w:vAlign w:val="center"/>
          </w:tcPr>
          <w:p w:rsidR="008E4DB1" w:rsidRDefault="00B526A4">
            <w:pPr>
              <w:jc w:val="center"/>
            </w:pPr>
            <w:r>
              <w:rPr>
                <w:rFonts w:asciiTheme="minorEastAsia" w:eastAsiaTheme="minorEastAsia" w:hAnsiTheme="minorEastAsia" w:cs="宋体"/>
                <w:color w:val="000000" w:themeColor="text1"/>
                <w:szCs w:val="21"/>
              </w:rPr>
              <w:t>纳斯达克证券交易所</w:t>
            </w:r>
          </w:p>
        </w:tc>
        <w:tc>
          <w:tcPr>
            <w:tcW w:w="1134" w:type="dxa"/>
            <w:vAlign w:val="center"/>
          </w:tcPr>
          <w:p w:rsidR="008E4DB1" w:rsidRDefault="00B526A4">
            <w:pPr>
              <w:jc w:val="center"/>
            </w:pPr>
            <w:r>
              <w:rPr>
                <w:rFonts w:asciiTheme="minorEastAsia" w:eastAsiaTheme="minorEastAsia" w:hAnsiTheme="minorEastAsia" w:cs="宋体"/>
                <w:color w:val="000000" w:themeColor="text1"/>
                <w:szCs w:val="21"/>
              </w:rPr>
              <w:t>美国</w:t>
            </w:r>
          </w:p>
        </w:tc>
        <w:tc>
          <w:tcPr>
            <w:tcW w:w="850" w:type="dxa"/>
            <w:vAlign w:val="center"/>
          </w:tcPr>
          <w:p w:rsidR="008E4DB1" w:rsidRDefault="00B526A4">
            <w:pPr>
              <w:jc w:val="right"/>
            </w:pPr>
            <w:r>
              <w:rPr>
                <w:rFonts w:asciiTheme="minorEastAsia" w:eastAsiaTheme="minorEastAsia" w:hAnsiTheme="minorEastAsia" w:cs="宋体"/>
                <w:color w:val="000000" w:themeColor="text1"/>
                <w:szCs w:val="21"/>
              </w:rPr>
              <w:t>3,995</w:t>
            </w:r>
          </w:p>
        </w:tc>
        <w:tc>
          <w:tcPr>
            <w:tcW w:w="851" w:type="dxa"/>
            <w:vAlign w:val="center"/>
          </w:tcPr>
          <w:p w:rsidR="008E4DB1" w:rsidRDefault="00B526A4">
            <w:pPr>
              <w:jc w:val="right"/>
            </w:pPr>
            <w:r>
              <w:rPr>
                <w:rFonts w:asciiTheme="minorEastAsia" w:eastAsiaTheme="minorEastAsia" w:hAnsiTheme="minorEastAsia" w:cs="宋体"/>
                <w:color w:val="000000" w:themeColor="text1"/>
                <w:szCs w:val="21"/>
              </w:rPr>
              <w:t>3,781,893.24</w:t>
            </w:r>
          </w:p>
        </w:tc>
        <w:tc>
          <w:tcPr>
            <w:tcW w:w="1275" w:type="dxa"/>
            <w:vAlign w:val="center"/>
          </w:tcPr>
          <w:p w:rsidR="008E4DB1" w:rsidRDefault="00B526A4">
            <w:pPr>
              <w:jc w:val="right"/>
            </w:pPr>
            <w:r>
              <w:rPr>
                <w:rFonts w:asciiTheme="minorEastAsia" w:eastAsiaTheme="minorEastAsia" w:hAnsiTheme="minorEastAsia" w:cs="宋体"/>
                <w:color w:val="000000" w:themeColor="text1"/>
                <w:szCs w:val="21"/>
              </w:rPr>
              <w:t>1.96</w:t>
            </w:r>
          </w:p>
        </w:tc>
      </w:tr>
      <w:tr w:rsidR="008E4DB1">
        <w:tc>
          <w:tcPr>
            <w:tcW w:w="709" w:type="dxa"/>
            <w:vAlign w:val="center"/>
          </w:tcPr>
          <w:p w:rsidR="008E4DB1" w:rsidRDefault="00B526A4">
            <w:pPr>
              <w:jc w:val="center"/>
            </w:pPr>
            <w:r>
              <w:rPr>
                <w:rFonts w:asciiTheme="minorEastAsia" w:eastAsiaTheme="minorEastAsia" w:hAnsiTheme="minorEastAsia" w:cs="宋体"/>
                <w:color w:val="000000" w:themeColor="text1"/>
                <w:szCs w:val="21"/>
              </w:rPr>
              <w:t>8</w:t>
            </w:r>
          </w:p>
        </w:tc>
        <w:tc>
          <w:tcPr>
            <w:tcW w:w="1109" w:type="dxa"/>
            <w:vAlign w:val="center"/>
          </w:tcPr>
          <w:p w:rsidR="008E4DB1" w:rsidRDefault="00B526A4">
            <w:pPr>
              <w:jc w:val="center"/>
            </w:pPr>
            <w:r>
              <w:rPr>
                <w:rFonts w:asciiTheme="minorEastAsia" w:eastAsiaTheme="minorEastAsia" w:hAnsiTheme="minorEastAsia" w:cs="宋体"/>
                <w:color w:val="000000" w:themeColor="text1"/>
                <w:szCs w:val="21"/>
              </w:rPr>
              <w:t>Meta Platforms Inc</w:t>
            </w:r>
          </w:p>
        </w:tc>
        <w:tc>
          <w:tcPr>
            <w:tcW w:w="876" w:type="dxa"/>
            <w:vAlign w:val="center"/>
          </w:tcPr>
          <w:p w:rsidR="008E4DB1" w:rsidRDefault="00B526A4">
            <w:pPr>
              <w:jc w:val="center"/>
            </w:pPr>
            <w:r>
              <w:rPr>
                <w:rFonts w:asciiTheme="minorEastAsia" w:eastAsiaTheme="minorEastAsia" w:hAnsiTheme="minorEastAsia" w:cs="宋体"/>
                <w:color w:val="000000" w:themeColor="text1"/>
                <w:szCs w:val="21"/>
              </w:rPr>
              <w:t>Meta平台股份有限公司</w:t>
            </w:r>
          </w:p>
        </w:tc>
        <w:tc>
          <w:tcPr>
            <w:tcW w:w="850" w:type="dxa"/>
            <w:vAlign w:val="center"/>
          </w:tcPr>
          <w:p w:rsidR="008E4DB1" w:rsidRDefault="00B526A4">
            <w:pPr>
              <w:jc w:val="center"/>
            </w:pPr>
            <w:r>
              <w:rPr>
                <w:rFonts w:asciiTheme="minorEastAsia" w:eastAsiaTheme="minorEastAsia" w:hAnsiTheme="minorEastAsia" w:cs="宋体"/>
                <w:color w:val="000000" w:themeColor="text1"/>
                <w:szCs w:val="21"/>
              </w:rPr>
              <w:t>META</w:t>
            </w:r>
          </w:p>
        </w:tc>
        <w:tc>
          <w:tcPr>
            <w:tcW w:w="993" w:type="dxa"/>
            <w:vAlign w:val="center"/>
          </w:tcPr>
          <w:p w:rsidR="008E4DB1" w:rsidRDefault="00B526A4">
            <w:pPr>
              <w:jc w:val="center"/>
            </w:pPr>
            <w:r>
              <w:rPr>
                <w:rFonts w:asciiTheme="minorEastAsia" w:eastAsiaTheme="minorEastAsia" w:hAnsiTheme="minorEastAsia" w:cs="宋体"/>
                <w:color w:val="000000" w:themeColor="text1"/>
                <w:szCs w:val="21"/>
              </w:rPr>
              <w:t>纳斯达克证券交易所</w:t>
            </w:r>
          </w:p>
        </w:tc>
        <w:tc>
          <w:tcPr>
            <w:tcW w:w="1134" w:type="dxa"/>
            <w:vAlign w:val="center"/>
          </w:tcPr>
          <w:p w:rsidR="008E4DB1" w:rsidRDefault="00B526A4">
            <w:pPr>
              <w:jc w:val="center"/>
            </w:pPr>
            <w:r>
              <w:rPr>
                <w:rFonts w:asciiTheme="minorEastAsia" w:eastAsiaTheme="minorEastAsia" w:hAnsiTheme="minorEastAsia" w:cs="宋体"/>
                <w:color w:val="000000" w:themeColor="text1"/>
                <w:szCs w:val="21"/>
              </w:rPr>
              <w:t>美国</w:t>
            </w:r>
          </w:p>
        </w:tc>
        <w:tc>
          <w:tcPr>
            <w:tcW w:w="850" w:type="dxa"/>
            <w:vAlign w:val="center"/>
          </w:tcPr>
          <w:p w:rsidR="008E4DB1" w:rsidRDefault="00B526A4">
            <w:pPr>
              <w:jc w:val="right"/>
            </w:pPr>
            <w:r>
              <w:rPr>
                <w:rFonts w:asciiTheme="minorEastAsia" w:eastAsiaTheme="minorEastAsia" w:hAnsiTheme="minorEastAsia" w:cs="宋体"/>
                <w:color w:val="000000" w:themeColor="text1"/>
                <w:szCs w:val="21"/>
              </w:rPr>
              <w:t>1,730</w:t>
            </w:r>
          </w:p>
        </w:tc>
        <w:tc>
          <w:tcPr>
            <w:tcW w:w="851" w:type="dxa"/>
            <w:vAlign w:val="center"/>
          </w:tcPr>
          <w:p w:rsidR="008E4DB1" w:rsidRDefault="00B526A4">
            <w:pPr>
              <w:jc w:val="right"/>
            </w:pPr>
            <w:r>
              <w:rPr>
                <w:rFonts w:asciiTheme="minorEastAsia" w:eastAsiaTheme="minorEastAsia" w:hAnsiTheme="minorEastAsia" w:cs="宋体"/>
                <w:color w:val="000000" w:themeColor="text1"/>
                <w:szCs w:val="21"/>
              </w:rPr>
              <w:t>3,728,924.62</w:t>
            </w:r>
          </w:p>
        </w:tc>
        <w:tc>
          <w:tcPr>
            <w:tcW w:w="1275" w:type="dxa"/>
            <w:vAlign w:val="center"/>
          </w:tcPr>
          <w:p w:rsidR="008E4DB1" w:rsidRDefault="00B526A4">
            <w:pPr>
              <w:jc w:val="right"/>
            </w:pPr>
            <w:r>
              <w:rPr>
                <w:rFonts w:asciiTheme="minorEastAsia" w:eastAsiaTheme="minorEastAsia" w:hAnsiTheme="minorEastAsia" w:cs="宋体"/>
                <w:color w:val="000000" w:themeColor="text1"/>
                <w:szCs w:val="21"/>
              </w:rPr>
              <w:t>1.94</w:t>
            </w:r>
          </w:p>
        </w:tc>
      </w:tr>
      <w:tr w:rsidR="008E4DB1">
        <w:tc>
          <w:tcPr>
            <w:tcW w:w="709" w:type="dxa"/>
            <w:vAlign w:val="center"/>
          </w:tcPr>
          <w:p w:rsidR="008E4DB1" w:rsidRDefault="00B526A4">
            <w:pPr>
              <w:jc w:val="center"/>
            </w:pPr>
            <w:r>
              <w:rPr>
                <w:rFonts w:asciiTheme="minorEastAsia" w:eastAsiaTheme="minorEastAsia" w:hAnsiTheme="minorEastAsia" w:cs="宋体"/>
                <w:color w:val="000000" w:themeColor="text1"/>
                <w:szCs w:val="21"/>
              </w:rPr>
              <w:t>9</w:t>
            </w:r>
          </w:p>
        </w:tc>
        <w:tc>
          <w:tcPr>
            <w:tcW w:w="1109" w:type="dxa"/>
            <w:vAlign w:val="center"/>
          </w:tcPr>
          <w:p w:rsidR="008E4DB1" w:rsidRDefault="00B526A4">
            <w:pPr>
              <w:jc w:val="center"/>
            </w:pPr>
            <w:r>
              <w:rPr>
                <w:rFonts w:asciiTheme="minorEastAsia" w:eastAsiaTheme="minorEastAsia" w:hAnsiTheme="minorEastAsia" w:cs="宋体"/>
                <w:color w:val="000000" w:themeColor="text1"/>
                <w:szCs w:val="21"/>
              </w:rPr>
              <w:t>Berkshire Hathaway Inc</w:t>
            </w:r>
          </w:p>
        </w:tc>
        <w:tc>
          <w:tcPr>
            <w:tcW w:w="876" w:type="dxa"/>
            <w:vAlign w:val="center"/>
          </w:tcPr>
          <w:p w:rsidR="008E4DB1" w:rsidRDefault="00B526A4">
            <w:pPr>
              <w:jc w:val="center"/>
            </w:pPr>
            <w:r>
              <w:rPr>
                <w:rFonts w:asciiTheme="minorEastAsia" w:eastAsiaTheme="minorEastAsia" w:hAnsiTheme="minorEastAsia" w:cs="宋体"/>
                <w:color w:val="000000" w:themeColor="text1"/>
                <w:szCs w:val="21"/>
              </w:rPr>
              <w:t>伯克希尔哈撒韦公司</w:t>
            </w:r>
          </w:p>
        </w:tc>
        <w:tc>
          <w:tcPr>
            <w:tcW w:w="850" w:type="dxa"/>
            <w:vAlign w:val="center"/>
          </w:tcPr>
          <w:p w:rsidR="008E4DB1" w:rsidRDefault="00B526A4">
            <w:pPr>
              <w:jc w:val="center"/>
            </w:pPr>
            <w:r>
              <w:rPr>
                <w:rFonts w:asciiTheme="minorEastAsia" w:eastAsiaTheme="minorEastAsia" w:hAnsiTheme="minorEastAsia" w:cs="宋体"/>
                <w:color w:val="000000" w:themeColor="text1"/>
                <w:szCs w:val="21"/>
              </w:rPr>
              <w:t>BRK/B</w:t>
            </w:r>
          </w:p>
        </w:tc>
        <w:tc>
          <w:tcPr>
            <w:tcW w:w="993" w:type="dxa"/>
            <w:vAlign w:val="center"/>
          </w:tcPr>
          <w:p w:rsidR="008E4DB1" w:rsidRDefault="00B526A4">
            <w:pPr>
              <w:jc w:val="center"/>
            </w:pPr>
            <w:r>
              <w:rPr>
                <w:rFonts w:asciiTheme="minorEastAsia" w:eastAsiaTheme="minorEastAsia" w:hAnsiTheme="minorEastAsia" w:cs="宋体"/>
                <w:color w:val="000000" w:themeColor="text1"/>
                <w:szCs w:val="21"/>
              </w:rPr>
              <w:t>纽约证券交易所</w:t>
            </w:r>
          </w:p>
        </w:tc>
        <w:tc>
          <w:tcPr>
            <w:tcW w:w="1134" w:type="dxa"/>
            <w:vAlign w:val="center"/>
          </w:tcPr>
          <w:p w:rsidR="008E4DB1" w:rsidRDefault="00B526A4">
            <w:pPr>
              <w:jc w:val="center"/>
            </w:pPr>
            <w:r>
              <w:rPr>
                <w:rFonts w:asciiTheme="minorEastAsia" w:eastAsiaTheme="minorEastAsia" w:hAnsiTheme="minorEastAsia" w:cs="宋体"/>
                <w:color w:val="000000" w:themeColor="text1"/>
                <w:szCs w:val="21"/>
              </w:rPr>
              <w:t>美国</w:t>
            </w:r>
          </w:p>
        </w:tc>
        <w:tc>
          <w:tcPr>
            <w:tcW w:w="850" w:type="dxa"/>
            <w:vAlign w:val="center"/>
          </w:tcPr>
          <w:p w:rsidR="008E4DB1" w:rsidRDefault="00B526A4">
            <w:pPr>
              <w:jc w:val="right"/>
            </w:pPr>
            <w:r>
              <w:rPr>
                <w:rFonts w:asciiTheme="minorEastAsia" w:eastAsiaTheme="minorEastAsia" w:hAnsiTheme="minorEastAsia" w:cs="宋体"/>
                <w:color w:val="000000" w:themeColor="text1"/>
                <w:szCs w:val="21"/>
              </w:rPr>
              <w:t>1,395</w:t>
            </w:r>
          </w:p>
        </w:tc>
        <w:tc>
          <w:tcPr>
            <w:tcW w:w="851" w:type="dxa"/>
            <w:vAlign w:val="center"/>
          </w:tcPr>
          <w:p w:rsidR="008E4DB1" w:rsidRDefault="00B526A4">
            <w:pPr>
              <w:jc w:val="right"/>
            </w:pPr>
            <w:r>
              <w:rPr>
                <w:rFonts w:asciiTheme="minorEastAsia" w:eastAsiaTheme="minorEastAsia" w:hAnsiTheme="minorEastAsia" w:cs="宋体"/>
                <w:color w:val="000000" w:themeColor="text1"/>
                <w:szCs w:val="21"/>
              </w:rPr>
              <w:t>3,508,542.10</w:t>
            </w:r>
          </w:p>
        </w:tc>
        <w:tc>
          <w:tcPr>
            <w:tcW w:w="1275" w:type="dxa"/>
            <w:vAlign w:val="center"/>
          </w:tcPr>
          <w:p w:rsidR="008E4DB1" w:rsidRDefault="00B526A4">
            <w:pPr>
              <w:jc w:val="right"/>
            </w:pPr>
            <w:r>
              <w:rPr>
                <w:rFonts w:asciiTheme="minorEastAsia" w:eastAsiaTheme="minorEastAsia" w:hAnsiTheme="minorEastAsia" w:cs="宋体"/>
                <w:color w:val="000000" w:themeColor="text1"/>
                <w:szCs w:val="21"/>
              </w:rPr>
              <w:t>1.82</w:t>
            </w:r>
          </w:p>
        </w:tc>
      </w:tr>
      <w:tr w:rsidR="008E4DB1">
        <w:tc>
          <w:tcPr>
            <w:tcW w:w="709" w:type="dxa"/>
            <w:vAlign w:val="center"/>
          </w:tcPr>
          <w:p w:rsidR="008E4DB1" w:rsidRDefault="00B526A4">
            <w:pPr>
              <w:jc w:val="center"/>
            </w:pPr>
            <w:r>
              <w:rPr>
                <w:rFonts w:asciiTheme="minorEastAsia" w:eastAsiaTheme="minorEastAsia" w:hAnsiTheme="minorEastAsia" w:cs="宋体"/>
                <w:color w:val="000000" w:themeColor="text1"/>
                <w:szCs w:val="21"/>
              </w:rPr>
              <w:t>10</w:t>
            </w:r>
          </w:p>
        </w:tc>
        <w:tc>
          <w:tcPr>
            <w:tcW w:w="1109" w:type="dxa"/>
            <w:vAlign w:val="center"/>
          </w:tcPr>
          <w:p w:rsidR="008E4DB1" w:rsidRDefault="00B526A4">
            <w:pPr>
              <w:jc w:val="center"/>
            </w:pPr>
            <w:r>
              <w:rPr>
                <w:rFonts w:asciiTheme="minorEastAsia" w:eastAsiaTheme="minorEastAsia" w:hAnsiTheme="minorEastAsia" w:cs="宋体"/>
                <w:color w:val="000000" w:themeColor="text1"/>
                <w:szCs w:val="21"/>
              </w:rPr>
              <w:t>Exxon Mobil Corp</w:t>
            </w:r>
          </w:p>
        </w:tc>
        <w:tc>
          <w:tcPr>
            <w:tcW w:w="876" w:type="dxa"/>
            <w:vAlign w:val="center"/>
          </w:tcPr>
          <w:p w:rsidR="008E4DB1" w:rsidRDefault="00B526A4">
            <w:pPr>
              <w:jc w:val="center"/>
            </w:pPr>
            <w:r>
              <w:rPr>
                <w:rFonts w:asciiTheme="minorEastAsia" w:eastAsiaTheme="minorEastAsia" w:hAnsiTheme="minorEastAsia" w:cs="宋体"/>
                <w:color w:val="000000" w:themeColor="text1"/>
                <w:szCs w:val="21"/>
              </w:rPr>
              <w:t>埃克森美孚石油公司</w:t>
            </w:r>
          </w:p>
        </w:tc>
        <w:tc>
          <w:tcPr>
            <w:tcW w:w="850" w:type="dxa"/>
            <w:vAlign w:val="center"/>
          </w:tcPr>
          <w:p w:rsidR="008E4DB1" w:rsidRDefault="00B526A4">
            <w:pPr>
              <w:jc w:val="center"/>
            </w:pPr>
            <w:r>
              <w:rPr>
                <w:rFonts w:asciiTheme="minorEastAsia" w:eastAsiaTheme="minorEastAsia" w:hAnsiTheme="minorEastAsia" w:cs="宋体"/>
                <w:color w:val="000000" w:themeColor="text1"/>
                <w:szCs w:val="21"/>
              </w:rPr>
              <w:t>XOM</w:t>
            </w:r>
          </w:p>
        </w:tc>
        <w:tc>
          <w:tcPr>
            <w:tcW w:w="993" w:type="dxa"/>
            <w:vAlign w:val="center"/>
          </w:tcPr>
          <w:p w:rsidR="008E4DB1" w:rsidRDefault="00B526A4">
            <w:pPr>
              <w:jc w:val="center"/>
            </w:pPr>
            <w:r>
              <w:rPr>
                <w:rFonts w:asciiTheme="minorEastAsia" w:eastAsiaTheme="minorEastAsia" w:hAnsiTheme="minorEastAsia" w:cs="宋体"/>
                <w:color w:val="000000" w:themeColor="text1"/>
                <w:szCs w:val="21"/>
              </w:rPr>
              <w:t>纽约证券交易所</w:t>
            </w:r>
          </w:p>
        </w:tc>
        <w:tc>
          <w:tcPr>
            <w:tcW w:w="1134" w:type="dxa"/>
            <w:vAlign w:val="center"/>
          </w:tcPr>
          <w:p w:rsidR="008E4DB1" w:rsidRDefault="00B526A4">
            <w:pPr>
              <w:jc w:val="center"/>
            </w:pPr>
            <w:r>
              <w:rPr>
                <w:rFonts w:asciiTheme="minorEastAsia" w:eastAsiaTheme="minorEastAsia" w:hAnsiTheme="minorEastAsia" w:cs="宋体"/>
                <w:color w:val="000000" w:themeColor="text1"/>
                <w:szCs w:val="21"/>
              </w:rPr>
              <w:t>美国</w:t>
            </w:r>
          </w:p>
        </w:tc>
        <w:tc>
          <w:tcPr>
            <w:tcW w:w="850" w:type="dxa"/>
            <w:vAlign w:val="center"/>
          </w:tcPr>
          <w:p w:rsidR="008E4DB1" w:rsidRDefault="00B526A4">
            <w:pPr>
              <w:jc w:val="right"/>
            </w:pPr>
            <w:r>
              <w:rPr>
                <w:rFonts w:asciiTheme="minorEastAsia" w:eastAsiaTheme="minorEastAsia" w:hAnsiTheme="minorEastAsia" w:cs="宋体"/>
                <w:color w:val="000000" w:themeColor="text1"/>
                <w:szCs w:val="21"/>
              </w:rPr>
              <w:t>3,161</w:t>
            </w:r>
          </w:p>
        </w:tc>
        <w:tc>
          <w:tcPr>
            <w:tcW w:w="851" w:type="dxa"/>
            <w:vAlign w:val="center"/>
          </w:tcPr>
          <w:p w:rsidR="008E4DB1" w:rsidRDefault="00B526A4">
            <w:pPr>
              <w:jc w:val="right"/>
            </w:pPr>
            <w:r>
              <w:rPr>
                <w:rFonts w:asciiTheme="minorEastAsia" w:eastAsiaTheme="minorEastAsia" w:hAnsiTheme="minorEastAsia" w:cs="宋体"/>
                <w:color w:val="000000" w:themeColor="text1"/>
                <w:szCs w:val="21"/>
              </w:rPr>
              <w:t>2,668,518.99</w:t>
            </w:r>
          </w:p>
        </w:tc>
        <w:tc>
          <w:tcPr>
            <w:tcW w:w="1275" w:type="dxa"/>
            <w:vAlign w:val="center"/>
          </w:tcPr>
          <w:p w:rsidR="008E4DB1" w:rsidRDefault="00B526A4">
            <w:pPr>
              <w:jc w:val="right"/>
            </w:pPr>
            <w:r>
              <w:rPr>
                <w:rFonts w:asciiTheme="minorEastAsia" w:eastAsiaTheme="minorEastAsia" w:hAnsiTheme="minorEastAsia" w:cs="宋体"/>
                <w:color w:val="000000" w:themeColor="text1"/>
                <w:szCs w:val="21"/>
              </w:rPr>
              <w:t>1.39</w:t>
            </w:r>
          </w:p>
        </w:tc>
      </w:tr>
    </w:tbl>
    <w:p w:rsidR="00B526A4" w:rsidRPr="00B526A4" w:rsidRDefault="00B526A4" w:rsidP="00B526A4">
      <w:pPr>
        <w:autoSpaceDE w:val="0"/>
        <w:autoSpaceDN w:val="0"/>
        <w:adjustRightInd w:val="0"/>
        <w:spacing w:line="360" w:lineRule="auto"/>
        <w:jc w:val="left"/>
        <w:rPr>
          <w:rFonts w:eastAsiaTheme="minorEastAsia"/>
          <w:color w:val="000000" w:themeColor="text1"/>
          <w:szCs w:val="21"/>
        </w:rPr>
      </w:pPr>
      <w:r w:rsidRPr="00694AE6">
        <w:rPr>
          <w:rFonts w:eastAsiaTheme="minorEastAsia" w:hint="eastAsia"/>
          <w:color w:val="000000" w:themeColor="text1"/>
          <w:szCs w:val="21"/>
        </w:rPr>
        <w:t>注：此处所用证券代码的类别是当地市场代码。</w:t>
      </w:r>
    </w:p>
    <w:p w:rsidR="00CE3801" w:rsidRDefault="00CE3801" w:rsidP="00CE3801">
      <w:pPr>
        <w:pStyle w:val="a0"/>
        <w:spacing w:line="360" w:lineRule="auto"/>
        <w:ind w:firstLineChars="0" w:firstLine="0"/>
        <w:rPr>
          <w:rFonts w:eastAsiaTheme="minorEastAsia"/>
          <w:b/>
          <w:color w:val="000000" w:themeColor="text1"/>
          <w:kern w:val="0"/>
          <w:szCs w:val="21"/>
        </w:rPr>
      </w:pPr>
      <w:r>
        <w:rPr>
          <w:rFonts w:eastAsiaTheme="minorEastAsia" w:hint="eastAsia"/>
          <w:b/>
          <w:color w:val="000000" w:themeColor="text1"/>
          <w:szCs w:val="21"/>
        </w:rPr>
        <w:t>5.4.2</w:t>
      </w:r>
      <w:r w:rsidRPr="00787637">
        <w:rPr>
          <w:rFonts w:eastAsiaTheme="minorEastAsia" w:hint="eastAsia"/>
          <w:b/>
          <w:color w:val="000000" w:themeColor="text1"/>
          <w:kern w:val="0"/>
          <w:szCs w:val="21"/>
        </w:rPr>
        <w:t>积极投资期末按公允价值占基金资产净值比例大小排序的前五名权益投资明细</w:t>
      </w:r>
    </w:p>
    <w:p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rsidR="00521EDE" w:rsidRPr="00CE3801"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lastRenderedPageBreak/>
        <w:t>5.</w:t>
      </w:r>
      <w:r w:rsidR="002A0FA2" w:rsidRPr="009B0629">
        <w:rPr>
          <w:rFonts w:eastAsiaTheme="minorEastAsia"/>
          <w:b/>
          <w:color w:val="000000" w:themeColor="text1"/>
          <w:kern w:val="0"/>
          <w:sz w:val="24"/>
        </w:rPr>
        <w:t>5</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报告期末按债券信用等级分类的债券投资组合</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6</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报告期末按公允价值占基金资产净值比例大小排名的前五名债券投资明细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7</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报告期末按公允价值占基金资产净值比例大小排名的前十名资产支持证券投资明细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本基金本报告期末未持有资产支持证券。</w:t>
      </w:r>
    </w:p>
    <w:p w:rsidR="005B6AC7" w:rsidRPr="009B0629"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5.8</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报告期末按公允价值占基金资产净值比例大小排名的前五名金融衍生品投资明细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本基金本报告期末未持有金融衍生品。</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B22A61"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5.9</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报告期末按公允价值占基金资产净值比例大小排序的前十名基金投资明细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本基金本报告期末未持有基金。</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B55EA7"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76518F" w:rsidRPr="009B0629">
        <w:rPr>
          <w:rFonts w:eastAsiaTheme="minorEastAsia"/>
          <w:b/>
          <w:color w:val="000000" w:themeColor="text1"/>
          <w:kern w:val="0"/>
          <w:sz w:val="24"/>
        </w:rPr>
        <w:t>.</w:t>
      </w:r>
      <w:r w:rsidRPr="009B0629">
        <w:rPr>
          <w:rFonts w:eastAsiaTheme="minorEastAsia"/>
          <w:b/>
          <w:color w:val="000000" w:themeColor="text1"/>
          <w:kern w:val="0"/>
          <w:sz w:val="24"/>
        </w:rPr>
        <w:t>10</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投资组合报告附注</w:t>
      </w:r>
    </w:p>
    <w:p w:rsidR="00B55EA7" w:rsidRPr="009B0629" w:rsidRDefault="00B55EA7" w:rsidP="000E3F11">
      <w:pPr>
        <w:widowControl/>
        <w:spacing w:line="360" w:lineRule="auto"/>
        <w:ind w:left="120" w:hangingChars="50" w:hanging="120"/>
        <w:rPr>
          <w:rFonts w:eastAsiaTheme="minorEastAsia"/>
          <w:color w:val="000000" w:themeColor="text1"/>
          <w:sz w:val="24"/>
        </w:rPr>
      </w:pPr>
      <w:r w:rsidRPr="00B939B6">
        <w:rPr>
          <w:rFonts w:eastAsiaTheme="minorEastAsia"/>
          <w:b/>
          <w:color w:val="000000" w:themeColor="text1"/>
          <w:sz w:val="24"/>
        </w:rPr>
        <w:t>5.10.1</w:t>
      </w:r>
      <w:r w:rsidRPr="009B0629">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9B0629" w:rsidRDefault="00B55EA7" w:rsidP="00B55EA7">
      <w:pPr>
        <w:widowControl/>
        <w:spacing w:line="360" w:lineRule="auto"/>
        <w:rPr>
          <w:rFonts w:eastAsiaTheme="minorEastAsia"/>
          <w:color w:val="000000" w:themeColor="text1"/>
          <w:sz w:val="24"/>
        </w:rPr>
      </w:pPr>
      <w:r w:rsidRPr="00B939B6">
        <w:rPr>
          <w:rFonts w:eastAsiaTheme="minorEastAsia"/>
          <w:b/>
          <w:color w:val="000000" w:themeColor="text1"/>
          <w:sz w:val="24"/>
        </w:rPr>
        <w:t>5.10.2</w:t>
      </w:r>
      <w:r w:rsidRPr="009B0629">
        <w:rPr>
          <w:rFonts w:eastAsiaTheme="minorEastAsia"/>
          <w:color w:val="000000" w:themeColor="text1"/>
          <w:sz w:val="24"/>
        </w:rPr>
        <w:t>报告期内本基金投资的前十名股票中没有在基金合同规定备选股票库之外的股票。</w:t>
      </w:r>
    </w:p>
    <w:p w:rsidR="0076518F" w:rsidRPr="009B0629" w:rsidRDefault="008C71EB"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.3</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9B0629" w:rsidTr="004C05F3">
        <w:tc>
          <w:tcPr>
            <w:tcW w:w="802"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序号</w:t>
            </w:r>
          </w:p>
        </w:tc>
        <w:tc>
          <w:tcPr>
            <w:tcW w:w="2903"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名称</w:t>
            </w:r>
          </w:p>
        </w:tc>
        <w:tc>
          <w:tcPr>
            <w:tcW w:w="4808"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金额</w:t>
            </w:r>
            <w:r w:rsidRPr="009B0629">
              <w:rPr>
                <w:rFonts w:eastAsiaTheme="minorEastAsia"/>
                <w:color w:val="000000" w:themeColor="text1"/>
                <w:kern w:val="0"/>
                <w:sz w:val="24"/>
              </w:rPr>
              <w:t>(</w:t>
            </w:r>
            <w:r w:rsidR="00C42431" w:rsidRPr="009B0629">
              <w:rPr>
                <w:rFonts w:eastAsiaTheme="minorEastAsia"/>
                <w:color w:val="000000" w:themeColor="text1"/>
                <w:kern w:val="0"/>
                <w:sz w:val="24"/>
              </w:rPr>
              <w:t>人民币</w:t>
            </w:r>
            <w:r w:rsidRPr="009B0629">
              <w:rPr>
                <w:rFonts w:eastAsiaTheme="minorEastAsia"/>
                <w:color w:val="000000" w:themeColor="text1"/>
                <w:kern w:val="0"/>
                <w:sz w:val="24"/>
              </w:rPr>
              <w:t>元</w:t>
            </w: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sz w:val="24"/>
              </w:rPr>
              <w:t>1</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存出保证金</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2</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应收证券清算款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3</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应收股利</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100,397.79</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4</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应收利息</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5</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应收申购款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6,348,152.98</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lastRenderedPageBreak/>
              <w:t>6</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其他应收款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7</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sz w:val="24"/>
              </w:rPr>
            </w:pPr>
            <w:r w:rsidRPr="009B0629">
              <w:rPr>
                <w:rFonts w:eastAsiaTheme="minorEastAsia"/>
                <w:color w:val="000000" w:themeColor="text1"/>
                <w:sz w:val="24"/>
              </w:rPr>
              <w:t>待摊费用</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8</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9</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合计</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6,448,550.77</w:t>
            </w:r>
          </w:p>
        </w:tc>
      </w:tr>
    </w:tbl>
    <w:p w:rsidR="00A22D4B" w:rsidRPr="009B0629"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.4</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报告期末持有的处于转股期的可转换债券明细</w:t>
      </w:r>
    </w:p>
    <w:p w:rsidR="000A55BD" w:rsidRPr="009B0629" w:rsidRDefault="000A55B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本基金本报告期末未持有处于转股期的可转换债券。</w:t>
      </w:r>
    </w:p>
    <w:p w:rsidR="009E3391" w:rsidRPr="009B0629" w:rsidRDefault="009E3391" w:rsidP="002236BC">
      <w:pPr>
        <w:autoSpaceDE w:val="0"/>
        <w:autoSpaceDN w:val="0"/>
        <w:adjustRightInd w:val="0"/>
        <w:spacing w:line="360" w:lineRule="auto"/>
        <w:jc w:val="left"/>
        <w:rPr>
          <w:rFonts w:eastAsiaTheme="minorEastAsia"/>
          <w:color w:val="000000" w:themeColor="text1"/>
          <w:sz w:val="24"/>
        </w:rPr>
      </w:pPr>
    </w:p>
    <w:p w:rsidR="00F842D3" w:rsidRDefault="00F842D3" w:rsidP="001D1252">
      <w:pPr>
        <w:spacing w:line="360" w:lineRule="auto"/>
        <w:rPr>
          <w:rFonts w:asciiTheme="minorEastAsia" w:eastAsiaTheme="minorEastAsia" w:hAnsiTheme="minorEastAsia" w:cs="Arial"/>
          <w:b/>
          <w:color w:val="000000" w:themeColor="text1"/>
          <w:kern w:val="0"/>
          <w:sz w:val="24"/>
        </w:rPr>
      </w:pPr>
      <w:r w:rsidRPr="009B0629">
        <w:rPr>
          <w:rFonts w:eastAsiaTheme="minorEastAsia"/>
          <w:b/>
          <w:color w:val="000000" w:themeColor="text1"/>
          <w:kern w:val="0"/>
          <w:sz w:val="24"/>
        </w:rPr>
        <w:t>5.10.</w:t>
      </w:r>
      <w:r>
        <w:rPr>
          <w:rFonts w:eastAsiaTheme="minorEastAsia"/>
          <w:b/>
          <w:color w:val="000000" w:themeColor="text1"/>
          <w:kern w:val="0"/>
          <w:sz w:val="24"/>
        </w:rPr>
        <w:t>5</w:t>
      </w:r>
      <w:r>
        <w:rPr>
          <w:rFonts w:asciiTheme="minorEastAsia" w:eastAsiaTheme="minorEastAsia" w:hAnsiTheme="minorEastAsia" w:hint="eastAsia"/>
          <w:b/>
          <w:color w:val="000000" w:themeColor="text1"/>
          <w:sz w:val="24"/>
        </w:rPr>
        <w:t>报告期末</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rsidR="00F842D3" w:rsidRDefault="00F842D3" w:rsidP="00F842D3">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b/>
          <w:color w:val="000000" w:themeColor="text1"/>
          <w:kern w:val="0"/>
          <w:sz w:val="24"/>
        </w:rPr>
        <w:t>5.10.5.1</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指数投资</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rsidR="000E3B88"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本基金本报告期末前十名股票中不存在流通受限情况。</w:t>
      </w:r>
    </w:p>
    <w:p w:rsidR="00F842D3" w:rsidRDefault="00F842D3" w:rsidP="00F842D3">
      <w:pPr>
        <w:autoSpaceDE w:val="0"/>
        <w:autoSpaceDN w:val="0"/>
        <w:adjustRightInd w:val="0"/>
        <w:spacing w:line="360" w:lineRule="auto"/>
        <w:ind w:firstLineChars="100" w:firstLine="241"/>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.10.5.2期末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p w:rsidR="00F842D3" w:rsidRPr="00F842D3"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本基金本报告期末前五名积极投资中不存在流通受限情况。</w:t>
      </w:r>
    </w:p>
    <w:p w:rsidR="00F842D3" w:rsidRPr="00F842D3" w:rsidRDefault="00F842D3" w:rsidP="00F842D3">
      <w:pPr>
        <w:autoSpaceDE w:val="0"/>
        <w:autoSpaceDN w:val="0"/>
        <w:adjustRightInd w:val="0"/>
        <w:spacing w:line="360" w:lineRule="auto"/>
        <w:ind w:firstLineChars="100" w:firstLine="240"/>
        <w:jc w:val="left"/>
        <w:rPr>
          <w:rFonts w:eastAsiaTheme="minorEastAsia"/>
          <w:color w:val="000000" w:themeColor="text1"/>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.6</w:t>
      </w:r>
      <w:r w:rsidR="008C7108">
        <w:rPr>
          <w:rFonts w:eastAsiaTheme="minorEastAsia"/>
          <w:b/>
          <w:color w:val="000000" w:themeColor="text1"/>
          <w:kern w:val="0"/>
          <w:sz w:val="24"/>
        </w:rPr>
        <w:t xml:space="preserve"> </w:t>
      </w:r>
      <w:r w:rsidR="001C46E1" w:rsidRPr="009B0629">
        <w:rPr>
          <w:rFonts w:eastAsiaTheme="minorEastAsia"/>
          <w:b/>
          <w:color w:val="000000" w:themeColor="text1"/>
          <w:kern w:val="0"/>
          <w:sz w:val="24"/>
        </w:rPr>
        <w:t>投资组合报告附注的其他文字描述部分</w:t>
      </w:r>
    </w:p>
    <w:p w:rsidR="000A55BD" w:rsidRPr="009B0629" w:rsidRDefault="000A55BD"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因四舍五入原因，投资组合报告中分项之和与合计可能存在尾差。</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§6  </w:t>
      </w:r>
      <w:r w:rsidRPr="009B0629">
        <w:rPr>
          <w:rFonts w:eastAsiaTheme="minorEastAsia"/>
          <w:color w:val="000000" w:themeColor="text1"/>
          <w:kern w:val="0"/>
          <w:sz w:val="24"/>
          <w:szCs w:val="24"/>
        </w:rPr>
        <w:t>开放式基金份额变动</w:t>
      </w:r>
    </w:p>
    <w:p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81,775,676.00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126,508,698.28</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3,887,259.68</w:t>
            </w:r>
          </w:p>
        </w:tc>
      </w:tr>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29,753,102.29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110,565.15</w:t>
            </w:r>
          </w:p>
        </w:tc>
      </w:tr>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225051" w:rsidRPr="009B0629"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178,531,271.99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3,776,694.53</w:t>
            </w:r>
          </w:p>
        </w:tc>
      </w:tr>
    </w:tbl>
    <w:p w:rsidR="00D86FDF" w:rsidRPr="00696B8B" w:rsidRDefault="00D86FDF" w:rsidP="00D86FDF">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lastRenderedPageBreak/>
        <w:t xml:space="preserve">§7  </w:t>
      </w:r>
      <w:r w:rsidRPr="00696B8B">
        <w:rPr>
          <w:rFonts w:ascii="方正仿宋简体" w:hint="eastAsia"/>
          <w:color w:val="000000" w:themeColor="text1"/>
          <w:sz w:val="24"/>
          <w:szCs w:val="24"/>
        </w:rPr>
        <w:t>基金管理人运用固有资金投资本基金情况</w:t>
      </w:r>
    </w:p>
    <w:p w:rsidR="00936865" w:rsidRPr="00B76BBB" w:rsidRDefault="00936865" w:rsidP="00936865">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936865" w:rsidRPr="00266D4B" w:rsidRDefault="00936865" w:rsidP="00936865">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936865" w:rsidRPr="00E90B39" w:rsidTr="00B659F3">
        <w:trPr>
          <w:trHeight w:val="248"/>
        </w:trPr>
        <w:tc>
          <w:tcPr>
            <w:tcW w:w="3167" w:type="dxa"/>
            <w:vAlign w:val="center"/>
          </w:tcPr>
          <w:p w:rsidR="00936865" w:rsidRPr="00FA472B" w:rsidRDefault="00936865" w:rsidP="00B659F3">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936865" w:rsidRPr="00FA472B" w:rsidRDefault="00936865" w:rsidP="00B659F3">
            <w:pPr>
              <w:jc w:val="center"/>
              <w:rPr>
                <w:sz w:val="24"/>
              </w:rPr>
            </w:pPr>
            <w:r w:rsidRPr="00FA472B">
              <w:rPr>
                <w:sz w:val="24"/>
              </w:rPr>
              <w:t>摩根标普</w:t>
            </w:r>
            <w:r w:rsidRPr="00FA472B">
              <w:rPr>
                <w:sz w:val="24"/>
              </w:rPr>
              <w:t>500</w:t>
            </w:r>
            <w:r w:rsidRPr="00FA472B">
              <w:rPr>
                <w:sz w:val="24"/>
              </w:rPr>
              <w:t>指数</w:t>
            </w:r>
            <w:r w:rsidRPr="00FA472B">
              <w:rPr>
                <w:sz w:val="24"/>
              </w:rPr>
              <w:t>(QDII)</w:t>
            </w:r>
            <w:r w:rsidRPr="00FA472B">
              <w:rPr>
                <w:sz w:val="24"/>
              </w:rPr>
              <w:t>人民币</w:t>
            </w:r>
            <w:r w:rsidRPr="00FA472B">
              <w:rPr>
                <w:sz w:val="24"/>
              </w:rPr>
              <w:t>A</w:t>
            </w:r>
          </w:p>
        </w:tc>
        <w:tc>
          <w:tcPr>
            <w:tcW w:w="2631" w:type="dxa"/>
            <w:vAlign w:val="bottom"/>
          </w:tcPr>
          <w:p w:rsidR="00936865" w:rsidRPr="00FA472B" w:rsidRDefault="00936865" w:rsidP="00B659F3">
            <w:pPr>
              <w:jc w:val="center"/>
              <w:rPr>
                <w:sz w:val="24"/>
              </w:rPr>
            </w:pPr>
            <w:r w:rsidRPr="00FA472B">
              <w:rPr>
                <w:sz w:val="24"/>
              </w:rPr>
              <w:t>摩根标普</w:t>
            </w:r>
            <w:r w:rsidRPr="00FA472B">
              <w:rPr>
                <w:sz w:val="24"/>
              </w:rPr>
              <w:t>500</w:t>
            </w:r>
            <w:r w:rsidRPr="00FA472B">
              <w:rPr>
                <w:sz w:val="24"/>
              </w:rPr>
              <w:t>指数</w:t>
            </w:r>
            <w:r w:rsidRPr="00FA472B">
              <w:rPr>
                <w:sz w:val="24"/>
              </w:rPr>
              <w:t>(QDII)</w:t>
            </w:r>
            <w:r w:rsidRPr="00FA472B">
              <w:rPr>
                <w:sz w:val="24"/>
              </w:rPr>
              <w:t>人民币</w:t>
            </w:r>
            <w:r w:rsidRPr="00FA472B">
              <w:rPr>
                <w:sz w:val="24"/>
              </w:rPr>
              <w:t>C</w:t>
            </w:r>
          </w:p>
        </w:tc>
      </w:tr>
      <w:tr w:rsidR="00936865" w:rsidRPr="00E90B39" w:rsidTr="00B659F3">
        <w:trPr>
          <w:trHeight w:val="247"/>
        </w:trPr>
        <w:tc>
          <w:tcPr>
            <w:tcW w:w="3167" w:type="dxa"/>
            <w:vAlign w:val="center"/>
          </w:tcPr>
          <w:p w:rsidR="00936865" w:rsidRPr="00FA472B" w:rsidRDefault="00936865" w:rsidP="00B659F3">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936865" w:rsidRPr="00FA472B" w:rsidRDefault="00936865" w:rsidP="00B659F3">
            <w:pPr>
              <w:jc w:val="right"/>
              <w:rPr>
                <w:sz w:val="24"/>
              </w:rPr>
            </w:pPr>
            <w:r w:rsidRPr="00FA472B">
              <w:rPr>
                <w:color w:val="000000"/>
                <w:sz w:val="24"/>
              </w:rPr>
              <w:t>15,000,666.67</w:t>
            </w:r>
          </w:p>
        </w:tc>
        <w:tc>
          <w:tcPr>
            <w:tcW w:w="2631" w:type="dxa"/>
            <w:vAlign w:val="center"/>
          </w:tcPr>
          <w:p w:rsidR="00936865" w:rsidRPr="00FA472B" w:rsidRDefault="00936865" w:rsidP="00B659F3">
            <w:pPr>
              <w:jc w:val="right"/>
              <w:rPr>
                <w:sz w:val="24"/>
              </w:rPr>
            </w:pPr>
            <w:r w:rsidRPr="00FA472B">
              <w:rPr>
                <w:color w:val="000000"/>
                <w:sz w:val="24"/>
              </w:rPr>
              <w:t>-</w:t>
            </w:r>
          </w:p>
        </w:tc>
      </w:tr>
      <w:tr w:rsidR="00936865" w:rsidRPr="00E90B39" w:rsidTr="00B659F3">
        <w:tc>
          <w:tcPr>
            <w:tcW w:w="3167" w:type="dxa"/>
            <w:vAlign w:val="center"/>
          </w:tcPr>
          <w:p w:rsidR="00936865" w:rsidRPr="00FA472B" w:rsidRDefault="00936865" w:rsidP="00B659F3">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936865" w:rsidRPr="00FA472B" w:rsidRDefault="00936865" w:rsidP="00B659F3">
            <w:pPr>
              <w:jc w:val="right"/>
              <w:rPr>
                <w:color w:val="000000"/>
                <w:kern w:val="0"/>
                <w:sz w:val="24"/>
              </w:rPr>
            </w:pPr>
            <w:r w:rsidRPr="00FA472B">
              <w:rPr>
                <w:color w:val="000000"/>
                <w:sz w:val="24"/>
              </w:rPr>
              <w:t>-</w:t>
            </w:r>
          </w:p>
        </w:tc>
        <w:tc>
          <w:tcPr>
            <w:tcW w:w="2631" w:type="dxa"/>
            <w:vAlign w:val="center"/>
          </w:tcPr>
          <w:p w:rsidR="00936865" w:rsidRPr="00FA472B" w:rsidRDefault="00936865" w:rsidP="00B659F3">
            <w:pPr>
              <w:jc w:val="right"/>
              <w:rPr>
                <w:color w:val="000000"/>
                <w:kern w:val="0"/>
                <w:sz w:val="24"/>
              </w:rPr>
            </w:pPr>
            <w:r w:rsidRPr="00FA472B">
              <w:rPr>
                <w:color w:val="000000"/>
                <w:sz w:val="24"/>
              </w:rPr>
              <w:t>-</w:t>
            </w:r>
          </w:p>
        </w:tc>
      </w:tr>
      <w:tr w:rsidR="00936865" w:rsidRPr="00E90B39" w:rsidTr="00B659F3">
        <w:tc>
          <w:tcPr>
            <w:tcW w:w="3167" w:type="dxa"/>
            <w:vAlign w:val="center"/>
          </w:tcPr>
          <w:p w:rsidR="00936865" w:rsidRPr="00FA472B" w:rsidRDefault="00936865" w:rsidP="00B659F3">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936865" w:rsidRPr="00FA472B" w:rsidRDefault="00936865" w:rsidP="00B659F3">
            <w:pPr>
              <w:jc w:val="right"/>
              <w:rPr>
                <w:color w:val="000000"/>
                <w:kern w:val="0"/>
                <w:sz w:val="24"/>
              </w:rPr>
            </w:pPr>
            <w:r w:rsidRPr="00FA472B">
              <w:rPr>
                <w:color w:val="000000"/>
                <w:sz w:val="24"/>
              </w:rPr>
              <w:t>-</w:t>
            </w:r>
          </w:p>
        </w:tc>
        <w:tc>
          <w:tcPr>
            <w:tcW w:w="2631" w:type="dxa"/>
            <w:vAlign w:val="center"/>
          </w:tcPr>
          <w:p w:rsidR="00936865" w:rsidRPr="00FA472B" w:rsidRDefault="00936865" w:rsidP="00B659F3">
            <w:pPr>
              <w:jc w:val="right"/>
              <w:rPr>
                <w:color w:val="000000"/>
                <w:kern w:val="0"/>
                <w:sz w:val="24"/>
              </w:rPr>
            </w:pPr>
            <w:r w:rsidRPr="00FA472B">
              <w:rPr>
                <w:color w:val="000000"/>
                <w:sz w:val="24"/>
              </w:rPr>
              <w:t>-</w:t>
            </w:r>
          </w:p>
        </w:tc>
      </w:tr>
      <w:tr w:rsidR="00936865" w:rsidRPr="00E90B39" w:rsidTr="00B659F3">
        <w:tc>
          <w:tcPr>
            <w:tcW w:w="3167" w:type="dxa"/>
            <w:vAlign w:val="center"/>
          </w:tcPr>
          <w:p w:rsidR="00936865" w:rsidRPr="00FA472B" w:rsidRDefault="00936865" w:rsidP="00B659F3">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936865" w:rsidRPr="00FA472B" w:rsidRDefault="00936865" w:rsidP="00B659F3">
            <w:pPr>
              <w:jc w:val="right"/>
              <w:rPr>
                <w:sz w:val="24"/>
              </w:rPr>
            </w:pPr>
            <w:r w:rsidRPr="00FA472B">
              <w:rPr>
                <w:color w:val="000000"/>
                <w:sz w:val="24"/>
              </w:rPr>
              <w:t>15,000,666.67</w:t>
            </w:r>
          </w:p>
        </w:tc>
        <w:tc>
          <w:tcPr>
            <w:tcW w:w="2631" w:type="dxa"/>
            <w:vAlign w:val="center"/>
          </w:tcPr>
          <w:p w:rsidR="00936865" w:rsidRPr="00FA472B" w:rsidRDefault="00936865" w:rsidP="00B659F3">
            <w:pPr>
              <w:jc w:val="right"/>
              <w:rPr>
                <w:sz w:val="24"/>
              </w:rPr>
            </w:pPr>
            <w:r w:rsidRPr="00FA472B">
              <w:rPr>
                <w:color w:val="000000"/>
                <w:sz w:val="24"/>
              </w:rPr>
              <w:t>-</w:t>
            </w:r>
          </w:p>
        </w:tc>
      </w:tr>
      <w:tr w:rsidR="00936865" w:rsidRPr="00E90B39" w:rsidTr="00B659F3">
        <w:tc>
          <w:tcPr>
            <w:tcW w:w="3167" w:type="dxa"/>
            <w:vAlign w:val="center"/>
          </w:tcPr>
          <w:p w:rsidR="00936865" w:rsidRPr="00FA472B" w:rsidRDefault="00936865" w:rsidP="00B659F3">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936865" w:rsidRPr="00FA472B" w:rsidRDefault="00936865" w:rsidP="00B659F3">
            <w:pPr>
              <w:jc w:val="right"/>
              <w:rPr>
                <w:color w:val="000000"/>
                <w:kern w:val="0"/>
                <w:sz w:val="24"/>
              </w:rPr>
            </w:pPr>
            <w:r w:rsidRPr="00FA472B">
              <w:rPr>
                <w:color w:val="000000"/>
                <w:sz w:val="24"/>
              </w:rPr>
              <w:t>8.23</w:t>
            </w:r>
          </w:p>
        </w:tc>
        <w:tc>
          <w:tcPr>
            <w:tcW w:w="2631" w:type="dxa"/>
            <w:vAlign w:val="center"/>
          </w:tcPr>
          <w:p w:rsidR="00936865" w:rsidRPr="00FA472B" w:rsidRDefault="00936865" w:rsidP="00B659F3">
            <w:pPr>
              <w:jc w:val="right"/>
              <w:rPr>
                <w:color w:val="000000"/>
                <w:kern w:val="0"/>
                <w:sz w:val="24"/>
              </w:rPr>
            </w:pPr>
            <w:r w:rsidRPr="00FA472B">
              <w:rPr>
                <w:color w:val="000000"/>
                <w:sz w:val="24"/>
              </w:rPr>
              <w:t>-</w:t>
            </w:r>
          </w:p>
        </w:tc>
      </w:tr>
    </w:tbl>
    <w:p w:rsidR="00C4788C" w:rsidRDefault="00C4788C" w:rsidP="00C4788C">
      <w:pPr>
        <w:spacing w:line="360" w:lineRule="auto"/>
        <w:jc w:val="left"/>
        <w:rPr>
          <w:rFonts w:eastAsiaTheme="minorEastAsia"/>
          <w:b/>
          <w:color w:val="000000" w:themeColor="text1"/>
          <w:sz w:val="24"/>
        </w:rPr>
      </w:pPr>
    </w:p>
    <w:p w:rsidR="00C4788C" w:rsidRDefault="00C4788C" w:rsidP="00C4788C">
      <w:pPr>
        <w:spacing w:line="360" w:lineRule="auto"/>
        <w:jc w:val="left"/>
        <w:rPr>
          <w:rFonts w:eastAsiaTheme="minorEastAsia"/>
          <w:b/>
          <w:color w:val="000000" w:themeColor="text1"/>
          <w:sz w:val="24"/>
        </w:rPr>
      </w:pPr>
      <w:r>
        <w:rPr>
          <w:rFonts w:eastAsiaTheme="minorEastAsia"/>
          <w:b/>
          <w:color w:val="000000" w:themeColor="text1"/>
          <w:sz w:val="24"/>
        </w:rPr>
        <w:t xml:space="preserve">7.2 </w:t>
      </w:r>
      <w:r>
        <w:rPr>
          <w:rFonts w:eastAsiaTheme="minorEastAsia" w:hint="eastAsia"/>
          <w:b/>
          <w:color w:val="000000" w:themeColor="text1"/>
          <w:sz w:val="24"/>
        </w:rPr>
        <w:t>基金管理人运用固有资金投资本基金交易明细</w:t>
      </w:r>
    </w:p>
    <w:p w:rsidR="00C4788C" w:rsidRDefault="00C4788C" w:rsidP="00C4788C">
      <w:pPr>
        <w:autoSpaceDE w:val="0"/>
        <w:autoSpaceDN w:val="0"/>
        <w:adjustRightInd w:val="0"/>
        <w:spacing w:line="360" w:lineRule="auto"/>
        <w:jc w:val="left"/>
        <w:rPr>
          <w:rFonts w:eastAsiaTheme="minorEastAsia"/>
          <w:color w:val="000000" w:themeColor="text1"/>
          <w:szCs w:val="21"/>
        </w:rPr>
      </w:pPr>
      <w:r>
        <w:rPr>
          <w:rFonts w:eastAsiaTheme="minorEastAsia" w:hint="eastAsia"/>
          <w:color w:val="000000" w:themeColor="text1"/>
          <w:szCs w:val="21"/>
        </w:rPr>
        <w:t>无。</w:t>
      </w:r>
    </w:p>
    <w:p w:rsidR="00D86FDF" w:rsidRPr="00936865" w:rsidRDefault="00D86FDF" w:rsidP="009B0629">
      <w:pPr>
        <w:autoSpaceDE w:val="0"/>
        <w:autoSpaceDN w:val="0"/>
        <w:adjustRightInd w:val="0"/>
        <w:spacing w:line="360" w:lineRule="auto"/>
        <w:ind w:firstLineChars="200" w:firstLine="480"/>
        <w:jc w:val="left"/>
        <w:rPr>
          <w:rFonts w:eastAsiaTheme="minorEastAsia"/>
          <w:color w:val="000000" w:themeColor="text1"/>
          <w:sz w:val="24"/>
        </w:rPr>
      </w:pPr>
    </w:p>
    <w:p w:rsidR="00AB2DFA" w:rsidRPr="009B0629" w:rsidRDefault="00AB2DFA"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bCs w:val="0"/>
          <w:color w:val="000000" w:themeColor="text1"/>
          <w:kern w:val="2"/>
          <w:sz w:val="24"/>
          <w:szCs w:val="24"/>
        </w:rPr>
        <w:t xml:space="preserve">§8  </w:t>
      </w:r>
      <w:r w:rsidR="00861D07" w:rsidRPr="009B0629">
        <w:rPr>
          <w:rFonts w:eastAsiaTheme="minorEastAsia"/>
          <w:bCs w:val="0"/>
          <w:color w:val="000000" w:themeColor="text1"/>
          <w:kern w:val="2"/>
          <w:sz w:val="24"/>
          <w:szCs w:val="24"/>
        </w:rPr>
        <w:t>报告期末</w:t>
      </w:r>
      <w:r w:rsidRPr="009B0629">
        <w:rPr>
          <w:rFonts w:eastAsiaTheme="minorEastAsia"/>
          <w:bCs w:val="0"/>
          <w:color w:val="000000" w:themeColor="text1"/>
          <w:kern w:val="2"/>
          <w:sz w:val="24"/>
          <w:szCs w:val="24"/>
        </w:rPr>
        <w:t>发起式基金</w:t>
      </w:r>
      <w:r w:rsidRPr="009B0629">
        <w:rPr>
          <w:rFonts w:eastAsiaTheme="minorEastAsia"/>
          <w:color w:val="000000" w:themeColor="text1"/>
          <w:kern w:val="0"/>
          <w:sz w:val="24"/>
          <w:szCs w:val="24"/>
        </w:rPr>
        <w:t>发起资金持有份额情况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8277FF" w:rsidRPr="009B0629" w:rsidTr="007D5584">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发起份额承诺持有期限</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15,000,666.67</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8.23%</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5.49%</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r w:rsidR="008277FF" w:rsidRPr="009B0629" w:rsidTr="007D5584">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262,032.85</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0.14%</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15,262,699.52</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8.37%</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5.49%</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bl>
    <w:p w:rsidR="00EF7E6C" w:rsidRPr="00BE0875" w:rsidRDefault="00EF7E6C" w:rsidP="00EF7E6C">
      <w:pPr>
        <w:pStyle w:val="1"/>
        <w:spacing w:beforeLines="100" w:before="312" w:afterLines="100" w:after="312" w:line="360" w:lineRule="auto"/>
        <w:jc w:val="center"/>
        <w:rPr>
          <w:rFonts w:eastAsiaTheme="minorEastAsia"/>
          <w:color w:val="000000" w:themeColor="text1"/>
          <w:kern w:val="0"/>
          <w:sz w:val="24"/>
          <w:szCs w:val="24"/>
        </w:rPr>
      </w:pPr>
      <w:r w:rsidRPr="00BE0875">
        <w:rPr>
          <w:rFonts w:eastAsiaTheme="minorEastAsia"/>
          <w:color w:val="000000" w:themeColor="text1"/>
          <w:kern w:val="0"/>
          <w:sz w:val="24"/>
          <w:szCs w:val="24"/>
        </w:rPr>
        <w:lastRenderedPageBreak/>
        <w:t xml:space="preserve">§9 </w:t>
      </w:r>
      <w:r w:rsidR="008C7108">
        <w:rPr>
          <w:rFonts w:eastAsiaTheme="minorEastAsia"/>
          <w:color w:val="000000" w:themeColor="text1"/>
          <w:kern w:val="0"/>
          <w:sz w:val="24"/>
          <w:szCs w:val="24"/>
        </w:rPr>
        <w:t xml:space="preserve"> </w:t>
      </w:r>
      <w:r w:rsidRPr="00BE0875">
        <w:rPr>
          <w:rFonts w:eastAsiaTheme="minorEastAsia"/>
          <w:color w:val="000000" w:themeColor="text1"/>
          <w:kern w:val="0"/>
          <w:sz w:val="24"/>
          <w:szCs w:val="24"/>
        </w:rPr>
        <w:t>影响投资者决策的其他重要信息</w:t>
      </w:r>
    </w:p>
    <w:p w:rsidR="00D912A9" w:rsidRPr="00467F76" w:rsidRDefault="00D912A9" w:rsidP="00D912A9">
      <w:pPr>
        <w:autoSpaceDE w:val="0"/>
        <w:autoSpaceDN w:val="0"/>
        <w:adjustRightInd w:val="0"/>
        <w:spacing w:line="360" w:lineRule="auto"/>
        <w:jc w:val="left"/>
        <w:rPr>
          <w:rFonts w:eastAsiaTheme="minorEastAsia"/>
          <w:b/>
          <w:bCs/>
          <w:color w:val="000000" w:themeColor="text1"/>
          <w:kern w:val="0"/>
          <w:sz w:val="24"/>
        </w:rPr>
      </w:pPr>
      <w:r w:rsidRPr="00467F76">
        <w:rPr>
          <w:rFonts w:eastAsiaTheme="minorEastAsia"/>
          <w:b/>
          <w:bCs/>
          <w:color w:val="000000" w:themeColor="text1"/>
          <w:kern w:val="0"/>
          <w:sz w:val="24"/>
        </w:rPr>
        <w:t xml:space="preserve">9.1 </w:t>
      </w:r>
      <w:r w:rsidRPr="00467F76">
        <w:rPr>
          <w:rFonts w:eastAsiaTheme="minorEastAsia"/>
          <w:b/>
          <w:bCs/>
          <w:color w:val="000000" w:themeColor="text1"/>
          <w:kern w:val="0"/>
          <w:sz w:val="24"/>
        </w:rPr>
        <w:t>报告期内单一投资者持有基金份额比例达到或超过</w:t>
      </w:r>
      <w:r w:rsidRPr="00467F76">
        <w:rPr>
          <w:rFonts w:eastAsiaTheme="minorEastAsia"/>
          <w:b/>
          <w:bCs/>
          <w:color w:val="000000" w:themeColor="text1"/>
          <w:kern w:val="0"/>
          <w:sz w:val="24"/>
        </w:rPr>
        <w:t>20%</w:t>
      </w:r>
      <w:r w:rsidRPr="00467F76">
        <w:rPr>
          <w:rFonts w:eastAsiaTheme="minorEastAsia"/>
          <w:b/>
          <w:bCs/>
          <w:color w:val="000000" w:themeColor="text1"/>
          <w:kern w:val="0"/>
          <w:sz w:val="24"/>
        </w:rPr>
        <w:t>的情况</w:t>
      </w:r>
    </w:p>
    <w:tbl>
      <w:tblPr>
        <w:tblStyle w:val="afa"/>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D912A9" w:rsidRPr="00A720E4" w:rsidTr="0021192F">
        <w:tc>
          <w:tcPr>
            <w:tcW w:w="993" w:type="dxa"/>
            <w:vMerge w:val="restart"/>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投资者类别</w:t>
            </w:r>
            <w:r w:rsidRPr="00A720E4">
              <w:rPr>
                <w:color w:val="000000" w:themeColor="text1"/>
                <w:sz w:val="24"/>
              </w:rPr>
              <w:t xml:space="preserve">  </w:t>
            </w:r>
          </w:p>
        </w:tc>
        <w:tc>
          <w:tcPr>
            <w:tcW w:w="5670" w:type="dxa"/>
            <w:gridSpan w:val="5"/>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报告期内持有基金份额变化情况</w:t>
            </w:r>
          </w:p>
        </w:tc>
        <w:tc>
          <w:tcPr>
            <w:tcW w:w="2549" w:type="dxa"/>
            <w:gridSpan w:val="2"/>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报告期末持有基金情况</w:t>
            </w:r>
          </w:p>
        </w:tc>
      </w:tr>
      <w:tr w:rsidR="00D912A9" w:rsidRPr="00A720E4" w:rsidTr="0021192F">
        <w:tc>
          <w:tcPr>
            <w:tcW w:w="993" w:type="dxa"/>
            <w:vMerge/>
            <w:vAlign w:val="center"/>
          </w:tcPr>
          <w:p w:rsidR="00D912A9" w:rsidRPr="00A720E4" w:rsidRDefault="00D912A9" w:rsidP="0021192F">
            <w:pPr>
              <w:autoSpaceDE w:val="0"/>
              <w:autoSpaceDN w:val="0"/>
              <w:adjustRightInd w:val="0"/>
              <w:ind w:firstLine="1234"/>
              <w:jc w:val="center"/>
              <w:rPr>
                <w:b/>
                <w:bCs/>
                <w:color w:val="000000" w:themeColor="text1"/>
                <w:sz w:val="24"/>
              </w:rPr>
            </w:pPr>
          </w:p>
        </w:tc>
        <w:tc>
          <w:tcPr>
            <w:tcW w:w="992" w:type="dxa"/>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序号</w:t>
            </w:r>
          </w:p>
        </w:tc>
        <w:tc>
          <w:tcPr>
            <w:tcW w:w="1843" w:type="dxa"/>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持有基金份额比例达到或者超过</w:t>
            </w:r>
            <w:r w:rsidRPr="00A720E4">
              <w:rPr>
                <w:color w:val="000000"/>
                <w:sz w:val="24"/>
              </w:rPr>
              <w:t>20%</w:t>
            </w:r>
            <w:r w:rsidRPr="00A720E4">
              <w:rPr>
                <w:color w:val="000000"/>
                <w:sz w:val="24"/>
              </w:rPr>
              <w:t>的时间区间</w:t>
            </w:r>
          </w:p>
        </w:tc>
        <w:tc>
          <w:tcPr>
            <w:tcW w:w="851" w:type="dxa"/>
            <w:vAlign w:val="center"/>
          </w:tcPr>
          <w:p w:rsidR="00D912A9" w:rsidRPr="00A720E4" w:rsidRDefault="00D912A9" w:rsidP="0021192F">
            <w:pPr>
              <w:widowControl/>
              <w:jc w:val="center"/>
              <w:rPr>
                <w:b/>
                <w:bCs/>
                <w:color w:val="000000" w:themeColor="text1"/>
                <w:sz w:val="24"/>
              </w:rPr>
            </w:pPr>
            <w:r w:rsidRPr="00A720E4">
              <w:rPr>
                <w:color w:val="000000"/>
                <w:sz w:val="24"/>
              </w:rPr>
              <w:t>期初份额</w:t>
            </w:r>
          </w:p>
        </w:tc>
        <w:tc>
          <w:tcPr>
            <w:tcW w:w="850" w:type="dxa"/>
            <w:vAlign w:val="center"/>
          </w:tcPr>
          <w:p w:rsidR="00D912A9" w:rsidRPr="00A720E4" w:rsidRDefault="00D912A9" w:rsidP="0021192F">
            <w:pPr>
              <w:widowControl/>
              <w:jc w:val="center"/>
              <w:rPr>
                <w:b/>
                <w:bCs/>
                <w:color w:val="000000" w:themeColor="text1"/>
                <w:sz w:val="24"/>
              </w:rPr>
            </w:pPr>
            <w:r w:rsidRPr="00A720E4">
              <w:rPr>
                <w:color w:val="000000"/>
                <w:sz w:val="24"/>
              </w:rPr>
              <w:t>申购份额</w:t>
            </w:r>
          </w:p>
        </w:tc>
        <w:tc>
          <w:tcPr>
            <w:tcW w:w="1134" w:type="dxa"/>
            <w:vAlign w:val="center"/>
          </w:tcPr>
          <w:p w:rsidR="00D912A9" w:rsidRPr="00A720E4" w:rsidRDefault="00D912A9" w:rsidP="0021192F">
            <w:pPr>
              <w:widowControl/>
              <w:jc w:val="center"/>
              <w:rPr>
                <w:b/>
                <w:bCs/>
                <w:color w:val="000000" w:themeColor="text1"/>
                <w:sz w:val="24"/>
              </w:rPr>
            </w:pPr>
            <w:r w:rsidRPr="00A720E4">
              <w:rPr>
                <w:color w:val="000000"/>
                <w:sz w:val="24"/>
              </w:rPr>
              <w:t>赎回份额</w:t>
            </w:r>
          </w:p>
        </w:tc>
        <w:tc>
          <w:tcPr>
            <w:tcW w:w="1419" w:type="dxa"/>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持有份额</w:t>
            </w:r>
          </w:p>
        </w:tc>
        <w:tc>
          <w:tcPr>
            <w:tcW w:w="1130" w:type="dxa"/>
            <w:vAlign w:val="center"/>
          </w:tcPr>
          <w:p w:rsidR="00D912A9" w:rsidRPr="00A720E4" w:rsidRDefault="00D912A9" w:rsidP="0021192F">
            <w:pPr>
              <w:autoSpaceDE w:val="0"/>
              <w:autoSpaceDN w:val="0"/>
              <w:adjustRightInd w:val="0"/>
              <w:jc w:val="center"/>
              <w:rPr>
                <w:b/>
                <w:bCs/>
                <w:color w:val="000000" w:themeColor="text1"/>
                <w:sz w:val="24"/>
              </w:rPr>
            </w:pPr>
            <w:r w:rsidRPr="00A720E4">
              <w:rPr>
                <w:color w:val="000000"/>
                <w:sz w:val="24"/>
              </w:rPr>
              <w:t>份额占比</w:t>
            </w:r>
          </w:p>
        </w:tc>
      </w:tr>
      <w:tr w:rsidR="008E4DB1">
        <w:tc>
          <w:tcPr>
            <w:tcW w:w="993" w:type="dxa"/>
            <w:vMerge w:val="restart"/>
            <w:vAlign w:val="center"/>
          </w:tcPr>
          <w:p w:rsidR="008E4DB1" w:rsidRDefault="00B526A4">
            <w:r>
              <w:rPr>
                <w:bCs/>
                <w:color w:val="000000" w:themeColor="text1"/>
                <w:sz w:val="24"/>
              </w:rPr>
              <w:t>个人</w:t>
            </w:r>
          </w:p>
        </w:tc>
        <w:tc>
          <w:tcPr>
            <w:tcW w:w="992" w:type="dxa"/>
            <w:vAlign w:val="center"/>
          </w:tcPr>
          <w:p w:rsidR="008E4DB1" w:rsidRDefault="00B526A4">
            <w:pPr>
              <w:jc w:val="center"/>
            </w:pPr>
            <w:r>
              <w:rPr>
                <w:sz w:val="24"/>
              </w:rPr>
              <w:t>1</w:t>
            </w:r>
          </w:p>
        </w:tc>
        <w:tc>
          <w:tcPr>
            <w:tcW w:w="1843" w:type="dxa"/>
            <w:vAlign w:val="center"/>
          </w:tcPr>
          <w:p w:rsidR="008E4DB1" w:rsidRDefault="00B526A4">
            <w:pPr>
              <w:jc w:val="center"/>
            </w:pPr>
            <w:r>
              <w:rPr>
                <w:sz w:val="24"/>
              </w:rPr>
              <w:t>20230701-20230930</w:t>
            </w:r>
          </w:p>
        </w:tc>
        <w:tc>
          <w:tcPr>
            <w:tcW w:w="851" w:type="dxa"/>
            <w:vAlign w:val="center"/>
          </w:tcPr>
          <w:p w:rsidR="008E4DB1" w:rsidRDefault="00B526A4">
            <w:pPr>
              <w:jc w:val="center"/>
            </w:pPr>
            <w:r>
              <w:rPr>
                <w:sz w:val="24"/>
              </w:rPr>
              <w:t>36,734,794.53</w:t>
            </w:r>
          </w:p>
        </w:tc>
        <w:tc>
          <w:tcPr>
            <w:tcW w:w="850" w:type="dxa"/>
            <w:vAlign w:val="center"/>
          </w:tcPr>
          <w:p w:rsidR="008E4DB1" w:rsidRDefault="00B526A4">
            <w:pPr>
              <w:jc w:val="center"/>
            </w:pPr>
            <w:r>
              <w:rPr>
                <w:sz w:val="24"/>
              </w:rPr>
              <w:t>22,098,965.32</w:t>
            </w:r>
          </w:p>
        </w:tc>
        <w:tc>
          <w:tcPr>
            <w:tcW w:w="1134" w:type="dxa"/>
            <w:vAlign w:val="center"/>
          </w:tcPr>
          <w:p w:rsidR="008E4DB1" w:rsidRDefault="00B526A4">
            <w:pPr>
              <w:jc w:val="center"/>
            </w:pPr>
            <w:r>
              <w:rPr>
                <w:sz w:val="24"/>
              </w:rPr>
              <w:t>0.00</w:t>
            </w:r>
          </w:p>
        </w:tc>
        <w:tc>
          <w:tcPr>
            <w:tcW w:w="1419" w:type="dxa"/>
            <w:vAlign w:val="center"/>
          </w:tcPr>
          <w:p w:rsidR="008E4DB1" w:rsidRDefault="00B526A4">
            <w:pPr>
              <w:jc w:val="center"/>
            </w:pPr>
            <w:r>
              <w:rPr>
                <w:sz w:val="24"/>
              </w:rPr>
              <w:t>58,833,759.85</w:t>
            </w:r>
          </w:p>
        </w:tc>
        <w:tc>
          <w:tcPr>
            <w:tcW w:w="1130" w:type="dxa"/>
            <w:vAlign w:val="center"/>
          </w:tcPr>
          <w:p w:rsidR="008E4DB1" w:rsidRDefault="00B526A4">
            <w:pPr>
              <w:jc w:val="center"/>
            </w:pPr>
            <w:r>
              <w:rPr>
                <w:sz w:val="24"/>
              </w:rPr>
              <w:t>32.27%</w:t>
            </w:r>
          </w:p>
        </w:tc>
      </w:tr>
      <w:tr w:rsidR="00D912A9" w:rsidRPr="00A720E4" w:rsidTr="0021192F">
        <w:tc>
          <w:tcPr>
            <w:tcW w:w="9212" w:type="dxa"/>
            <w:gridSpan w:val="8"/>
            <w:vAlign w:val="center"/>
          </w:tcPr>
          <w:p w:rsidR="00D912A9" w:rsidRPr="00A720E4" w:rsidRDefault="00D912A9" w:rsidP="0021192F">
            <w:pPr>
              <w:autoSpaceDE w:val="0"/>
              <w:autoSpaceDN w:val="0"/>
              <w:adjustRightInd w:val="0"/>
              <w:jc w:val="center"/>
              <w:rPr>
                <w:sz w:val="24"/>
              </w:rPr>
            </w:pPr>
            <w:r w:rsidRPr="00A720E4">
              <w:rPr>
                <w:color w:val="000000"/>
                <w:sz w:val="24"/>
              </w:rPr>
              <w:t>产品特有风险</w:t>
            </w:r>
          </w:p>
        </w:tc>
      </w:tr>
      <w:tr w:rsidR="00D912A9" w:rsidRPr="00A720E4" w:rsidTr="0021192F">
        <w:tc>
          <w:tcPr>
            <w:tcW w:w="9212" w:type="dxa"/>
            <w:gridSpan w:val="8"/>
            <w:vAlign w:val="center"/>
          </w:tcPr>
          <w:p w:rsidR="00D912A9" w:rsidRPr="00A720E4" w:rsidRDefault="00D912A9" w:rsidP="0021192F">
            <w:pPr>
              <w:autoSpaceDE w:val="0"/>
              <w:autoSpaceDN w:val="0"/>
              <w:adjustRightInd w:val="0"/>
              <w:jc w:val="left"/>
              <w:rPr>
                <w:sz w:val="24"/>
              </w:rPr>
            </w:pPr>
            <w:r w:rsidRPr="00A720E4">
              <w:rPr>
                <w:sz w:val="24"/>
              </w:rPr>
              <w:t>本基金的集中度风险主要体现在有单一投资者持有基金份额比例达到或者超过</w:t>
            </w:r>
            <w:r w:rsidRPr="00A720E4">
              <w:rPr>
                <w:sz w:val="24"/>
              </w:rPr>
              <w:t>20%</w:t>
            </w:r>
            <w:r w:rsidRPr="00A720E4">
              <w:rPr>
                <w:sz w:val="24"/>
              </w:rPr>
              <w:t>，如果投资者发生大额赎回，可能出现基金可变现资产无法满足投资者赎回需要以及因为资产变现成本过高导致投资者的利益受到损害的风险。</w:t>
            </w:r>
          </w:p>
        </w:tc>
      </w:tr>
    </w:tbl>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w:t>
      </w:r>
      <w:r w:rsidR="002711AA" w:rsidRPr="009B0629">
        <w:rPr>
          <w:rFonts w:eastAsiaTheme="minorEastAsia"/>
          <w:color w:val="000000" w:themeColor="text1"/>
          <w:kern w:val="0"/>
          <w:sz w:val="24"/>
          <w:szCs w:val="24"/>
        </w:rPr>
        <w:t>10</w:t>
      </w:r>
      <w:r w:rsidRPr="009B0629">
        <w:rPr>
          <w:rFonts w:eastAsiaTheme="minorEastAsia"/>
          <w:color w:val="000000" w:themeColor="text1"/>
          <w:kern w:val="0"/>
          <w:sz w:val="24"/>
          <w:szCs w:val="24"/>
        </w:rPr>
        <w:t xml:space="preserve"> </w:t>
      </w:r>
      <w:r w:rsidR="008C7108">
        <w:rPr>
          <w:rFonts w:eastAsiaTheme="minorEastAsia"/>
          <w:color w:val="000000" w:themeColor="text1"/>
          <w:kern w:val="0"/>
          <w:sz w:val="24"/>
          <w:szCs w:val="24"/>
        </w:rPr>
        <w:t xml:space="preserve"> </w:t>
      </w:r>
      <w:r w:rsidRPr="009B0629">
        <w:rPr>
          <w:rFonts w:eastAsiaTheme="minorEastAsia"/>
          <w:color w:val="000000" w:themeColor="text1"/>
          <w:kern w:val="0"/>
          <w:sz w:val="24"/>
          <w:szCs w:val="24"/>
        </w:rPr>
        <w:t>备查文件目录</w:t>
      </w: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10</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1</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备查文件目录</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 xml:space="preserve">) </w:t>
      </w:r>
      <w:r>
        <w:rPr>
          <w:rFonts w:eastAsiaTheme="minorEastAsia"/>
          <w:color w:val="000000" w:themeColor="text1"/>
          <w:sz w:val="24"/>
        </w:rPr>
        <w:t>摩根标普</w:t>
      </w:r>
      <w:r>
        <w:rPr>
          <w:rFonts w:eastAsiaTheme="minorEastAsia"/>
          <w:color w:val="000000" w:themeColor="text1"/>
          <w:sz w:val="24"/>
        </w:rPr>
        <w:t>500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基金合同</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 xml:space="preserve">) </w:t>
      </w:r>
      <w:r>
        <w:rPr>
          <w:rFonts w:eastAsiaTheme="minorEastAsia"/>
          <w:color w:val="000000" w:themeColor="text1"/>
          <w:sz w:val="24"/>
        </w:rPr>
        <w:t>摩根标普</w:t>
      </w:r>
      <w:r>
        <w:rPr>
          <w:rFonts w:eastAsiaTheme="minorEastAsia"/>
          <w:color w:val="000000" w:themeColor="text1"/>
          <w:sz w:val="24"/>
        </w:rPr>
        <w:t>500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托管协议</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8E4DB1" w:rsidRDefault="00B526A4">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w:t>
      </w:r>
      <w:r w:rsidRPr="009B0629">
        <w:rPr>
          <w:rFonts w:eastAsiaTheme="minorEastAsia"/>
          <w:color w:val="000000" w:themeColor="text1"/>
          <w:sz w:val="24"/>
        </w:rPr>
        <w:t>八</w:t>
      </w:r>
      <w:r w:rsidRPr="009B0629">
        <w:rPr>
          <w:rFonts w:eastAsiaTheme="minorEastAsia"/>
          <w:color w:val="000000" w:themeColor="text1"/>
          <w:sz w:val="24"/>
        </w:rPr>
        <w:t>)</w:t>
      </w:r>
      <w:r w:rsidRPr="009B0629">
        <w:rPr>
          <w:rFonts w:eastAsiaTheme="minorEastAsia"/>
          <w:color w:val="000000" w:themeColor="text1"/>
          <w:sz w:val="24"/>
        </w:rPr>
        <w:t>中国证监会要求的其他文件</w:t>
      </w:r>
    </w:p>
    <w:p w:rsidR="008A2EC6" w:rsidRPr="009B0629" w:rsidRDefault="008A2EC6" w:rsidP="000C7596">
      <w:pPr>
        <w:spacing w:line="360" w:lineRule="auto"/>
        <w:ind w:firstLineChars="200" w:firstLine="480"/>
        <w:rPr>
          <w:rFonts w:eastAsiaTheme="minorEastAsia"/>
          <w:color w:val="000000" w:themeColor="text1"/>
          <w:sz w:val="24"/>
        </w:rPr>
      </w:pP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10</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2</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存放地点</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基金管理人或基金托管人住所。</w:t>
      </w:r>
    </w:p>
    <w:p w:rsidR="008A2EC6" w:rsidRPr="009B0629" w:rsidRDefault="008A2EC6" w:rsidP="000C7596">
      <w:pPr>
        <w:spacing w:line="360" w:lineRule="auto"/>
        <w:ind w:firstLineChars="200" w:firstLine="480"/>
        <w:rPr>
          <w:rFonts w:eastAsiaTheme="minorEastAsia"/>
          <w:color w:val="000000" w:themeColor="text1"/>
          <w:sz w:val="24"/>
        </w:rPr>
      </w:pP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10</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3</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查阅方式</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投资者可在营业时间免费查阅，也可按工本费购买复印件。</w:t>
      </w:r>
    </w:p>
    <w:p w:rsidR="0076518F" w:rsidRPr="009B0629" w:rsidRDefault="0076518F" w:rsidP="008B6A4A">
      <w:pPr>
        <w:spacing w:line="360" w:lineRule="auto"/>
        <w:ind w:firstLineChars="200" w:firstLine="480"/>
        <w:rPr>
          <w:rFonts w:eastAsiaTheme="minorEastAsia"/>
          <w:color w:val="000000" w:themeColor="text1"/>
          <w:sz w:val="24"/>
        </w:rPr>
      </w:pPr>
    </w:p>
    <w:p w:rsidR="008975BC" w:rsidRPr="009B0629" w:rsidRDefault="008975BC"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lastRenderedPageBreak/>
        <w:t>摩根基金管理（中国）有限公司</w:t>
      </w:r>
    </w:p>
    <w:p w:rsidR="0076518F" w:rsidRPr="009B0629" w:rsidRDefault="00623556"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二〇二三年十月二十五日</w:t>
      </w:r>
    </w:p>
    <w:sectPr w:rsidR="0076518F" w:rsidRPr="009B0629" w:rsidSect="00DB4450">
      <w:headerReference w:type="even" r:id="rId11"/>
      <w:footerReference w:type="even"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53" w:rsidRDefault="00597353">
      <w:r>
        <w:separator/>
      </w:r>
    </w:p>
  </w:endnote>
  <w:endnote w:type="continuationSeparator" w:id="0">
    <w:p w:rsidR="00597353" w:rsidRDefault="0059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Pr="009B0629" w:rsidRDefault="00845292" w:rsidP="00B918B8">
    <w:pPr>
      <w:pStyle w:val="a7"/>
      <w:jc w:val="center"/>
      <w:rPr>
        <w:sz w:val="21"/>
        <w:szCs w:val="21"/>
      </w:rPr>
    </w:pPr>
    <w:r w:rsidRPr="009B0629">
      <w:rPr>
        <w:rFonts w:hint="eastAsia"/>
        <w:kern w:val="0"/>
        <w:sz w:val="21"/>
        <w:szCs w:val="21"/>
      </w:rPr>
      <w:t>第</w:t>
    </w:r>
    <w:r w:rsidRPr="009B0629">
      <w:rPr>
        <w:kern w:val="0"/>
        <w:sz w:val="21"/>
        <w:szCs w:val="21"/>
      </w:rPr>
      <w:fldChar w:fldCharType="begin"/>
    </w:r>
    <w:r w:rsidRPr="009B0629">
      <w:rPr>
        <w:kern w:val="0"/>
        <w:sz w:val="21"/>
        <w:szCs w:val="21"/>
      </w:rPr>
      <w:instrText xml:space="preserve"> PAGE </w:instrText>
    </w:r>
    <w:r w:rsidRPr="009B0629">
      <w:rPr>
        <w:kern w:val="0"/>
        <w:sz w:val="21"/>
        <w:szCs w:val="21"/>
      </w:rPr>
      <w:fldChar w:fldCharType="separate"/>
    </w:r>
    <w:r w:rsidR="00D94093">
      <w:rPr>
        <w:noProof/>
        <w:kern w:val="0"/>
        <w:sz w:val="21"/>
        <w:szCs w:val="21"/>
      </w:rPr>
      <w:t>1</w:t>
    </w:r>
    <w:r w:rsidRPr="009B0629">
      <w:rPr>
        <w:kern w:val="0"/>
        <w:sz w:val="21"/>
        <w:szCs w:val="21"/>
      </w:rPr>
      <w:fldChar w:fldCharType="end"/>
    </w:r>
    <w:r w:rsidRPr="009B0629">
      <w:rPr>
        <w:rFonts w:hint="eastAsia"/>
        <w:kern w:val="0"/>
        <w:sz w:val="21"/>
        <w:szCs w:val="21"/>
      </w:rPr>
      <w:t>页</w:t>
    </w:r>
    <w:r w:rsidR="009B0629">
      <w:rPr>
        <w:rFonts w:hint="eastAsia"/>
        <w:kern w:val="0"/>
        <w:sz w:val="21"/>
        <w:szCs w:val="21"/>
      </w:rPr>
      <w:t>，</w:t>
    </w:r>
    <w:r w:rsidRPr="009B0629">
      <w:rPr>
        <w:rFonts w:hint="eastAsia"/>
        <w:kern w:val="0"/>
        <w:sz w:val="21"/>
        <w:szCs w:val="21"/>
      </w:rPr>
      <w:t>共</w:t>
    </w:r>
    <w:r w:rsidRPr="009B0629">
      <w:rPr>
        <w:kern w:val="0"/>
        <w:sz w:val="21"/>
        <w:szCs w:val="21"/>
      </w:rPr>
      <w:fldChar w:fldCharType="begin"/>
    </w:r>
    <w:r w:rsidRPr="009B0629">
      <w:rPr>
        <w:kern w:val="0"/>
        <w:sz w:val="21"/>
        <w:szCs w:val="21"/>
      </w:rPr>
      <w:instrText xml:space="preserve"> NUMPAGES </w:instrText>
    </w:r>
    <w:r w:rsidRPr="009B0629">
      <w:rPr>
        <w:kern w:val="0"/>
        <w:sz w:val="21"/>
        <w:szCs w:val="21"/>
      </w:rPr>
      <w:fldChar w:fldCharType="separate"/>
    </w:r>
    <w:r w:rsidR="00D94093">
      <w:rPr>
        <w:noProof/>
        <w:kern w:val="0"/>
        <w:sz w:val="21"/>
        <w:szCs w:val="21"/>
      </w:rPr>
      <w:t>18</w:t>
    </w:r>
    <w:r w:rsidRPr="009B0629">
      <w:rPr>
        <w:kern w:val="0"/>
        <w:sz w:val="21"/>
        <w:szCs w:val="21"/>
      </w:rPr>
      <w:fldChar w:fldCharType="end"/>
    </w:r>
    <w:r w:rsidRPr="009B0629">
      <w:rPr>
        <w:rFonts w:hint="eastAsia"/>
        <w:kern w:val="0"/>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Default="008452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45292" w:rsidRDefault="008452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Default="008452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53" w:rsidRDefault="00597353">
      <w:r>
        <w:separator/>
      </w:r>
    </w:p>
  </w:footnote>
  <w:footnote w:type="continuationSeparator" w:id="0">
    <w:p w:rsidR="00597353" w:rsidRDefault="0059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Pr="009B0629" w:rsidRDefault="00845292" w:rsidP="001D1356">
    <w:pPr>
      <w:pStyle w:val="aa"/>
      <w:pBdr>
        <w:bottom w:val="single" w:sz="6" w:space="0" w:color="auto"/>
      </w:pBdr>
      <w:jc w:val="right"/>
      <w:rPr>
        <w:sz w:val="21"/>
        <w:szCs w:val="21"/>
      </w:rPr>
    </w:pPr>
    <w:r w:rsidRPr="009B0629">
      <w:rPr>
        <w:sz w:val="21"/>
        <w:szCs w:val="21"/>
      </w:rPr>
      <w:t>摩根标普</w:t>
    </w:r>
    <w:r w:rsidRPr="009B0629">
      <w:rPr>
        <w:sz w:val="21"/>
        <w:szCs w:val="21"/>
      </w:rPr>
      <w:t>500</w:t>
    </w:r>
    <w:r w:rsidRPr="009B0629">
      <w:rPr>
        <w:sz w:val="21"/>
        <w:szCs w:val="21"/>
      </w:rPr>
      <w:t>指数型发起式证券投资基金</w:t>
    </w:r>
    <w:r w:rsidRPr="009B0629">
      <w:rPr>
        <w:sz w:val="21"/>
        <w:szCs w:val="21"/>
      </w:rPr>
      <w:t>(QDII)2023</w:t>
    </w:r>
    <w:r w:rsidRPr="009B0629">
      <w:rPr>
        <w:sz w:val="21"/>
        <w:szCs w:val="21"/>
      </w:rPr>
      <w:t>年第</w:t>
    </w:r>
    <w:r w:rsidRPr="009B0629">
      <w:rPr>
        <w:sz w:val="21"/>
        <w:szCs w:val="21"/>
      </w:rPr>
      <w:t>3</w:t>
    </w:r>
    <w:r w:rsidRPr="009B0629">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Default="008452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92" w:rsidRDefault="0084529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47FE"/>
    <w:rsid w:val="00005911"/>
    <w:rsid w:val="00010A83"/>
    <w:rsid w:val="00010A8E"/>
    <w:rsid w:val="00010AC3"/>
    <w:rsid w:val="00011E10"/>
    <w:rsid w:val="00011EB5"/>
    <w:rsid w:val="00017581"/>
    <w:rsid w:val="00017739"/>
    <w:rsid w:val="00020583"/>
    <w:rsid w:val="00021DD4"/>
    <w:rsid w:val="00022821"/>
    <w:rsid w:val="00023BE7"/>
    <w:rsid w:val="00023CC3"/>
    <w:rsid w:val="00026BFF"/>
    <w:rsid w:val="000306F0"/>
    <w:rsid w:val="0003091A"/>
    <w:rsid w:val="00037E21"/>
    <w:rsid w:val="00037FCF"/>
    <w:rsid w:val="00041AB5"/>
    <w:rsid w:val="000421B8"/>
    <w:rsid w:val="00043ABF"/>
    <w:rsid w:val="000445E4"/>
    <w:rsid w:val="00045AE7"/>
    <w:rsid w:val="000510AB"/>
    <w:rsid w:val="00053E0A"/>
    <w:rsid w:val="00055668"/>
    <w:rsid w:val="00055AF1"/>
    <w:rsid w:val="000565DC"/>
    <w:rsid w:val="00063A8D"/>
    <w:rsid w:val="00064AE3"/>
    <w:rsid w:val="00066524"/>
    <w:rsid w:val="00067332"/>
    <w:rsid w:val="00070CD1"/>
    <w:rsid w:val="00070DD6"/>
    <w:rsid w:val="0007171B"/>
    <w:rsid w:val="00081D05"/>
    <w:rsid w:val="0008405C"/>
    <w:rsid w:val="000876A0"/>
    <w:rsid w:val="00087CF7"/>
    <w:rsid w:val="00092C52"/>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C7B47"/>
    <w:rsid w:val="000D01F4"/>
    <w:rsid w:val="000D121F"/>
    <w:rsid w:val="000D1519"/>
    <w:rsid w:val="000E1F7C"/>
    <w:rsid w:val="000E2629"/>
    <w:rsid w:val="000E3B88"/>
    <w:rsid w:val="000E3F11"/>
    <w:rsid w:val="000E4456"/>
    <w:rsid w:val="000F175F"/>
    <w:rsid w:val="000F17D1"/>
    <w:rsid w:val="000F60FF"/>
    <w:rsid w:val="000F635F"/>
    <w:rsid w:val="000F6462"/>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0135"/>
    <w:rsid w:val="001416D3"/>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2EFE"/>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42B"/>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60D"/>
    <w:rsid w:val="00245012"/>
    <w:rsid w:val="0024504E"/>
    <w:rsid w:val="0024651F"/>
    <w:rsid w:val="0025158D"/>
    <w:rsid w:val="0025281A"/>
    <w:rsid w:val="00253A89"/>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218"/>
    <w:rsid w:val="0031598C"/>
    <w:rsid w:val="00316339"/>
    <w:rsid w:val="003204E9"/>
    <w:rsid w:val="00321E8C"/>
    <w:rsid w:val="00322A5E"/>
    <w:rsid w:val="00322A86"/>
    <w:rsid w:val="00323AE8"/>
    <w:rsid w:val="00324548"/>
    <w:rsid w:val="003251F4"/>
    <w:rsid w:val="003303E3"/>
    <w:rsid w:val="003329EA"/>
    <w:rsid w:val="00335FCF"/>
    <w:rsid w:val="003371D0"/>
    <w:rsid w:val="003376D5"/>
    <w:rsid w:val="003407A5"/>
    <w:rsid w:val="00341188"/>
    <w:rsid w:val="0034147B"/>
    <w:rsid w:val="0034400A"/>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77AB2"/>
    <w:rsid w:val="00380D36"/>
    <w:rsid w:val="00380FB5"/>
    <w:rsid w:val="003822D3"/>
    <w:rsid w:val="00386630"/>
    <w:rsid w:val="00390B25"/>
    <w:rsid w:val="00395BC9"/>
    <w:rsid w:val="00396E32"/>
    <w:rsid w:val="00397156"/>
    <w:rsid w:val="00397616"/>
    <w:rsid w:val="00397960"/>
    <w:rsid w:val="00397E69"/>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955"/>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0FAA"/>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44F"/>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3DB2"/>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353"/>
    <w:rsid w:val="00597D8B"/>
    <w:rsid w:val="005A128A"/>
    <w:rsid w:val="005A140B"/>
    <w:rsid w:val="005A1C30"/>
    <w:rsid w:val="005A2BED"/>
    <w:rsid w:val="005A3295"/>
    <w:rsid w:val="005A44E4"/>
    <w:rsid w:val="005A46FF"/>
    <w:rsid w:val="005A619A"/>
    <w:rsid w:val="005A6BFC"/>
    <w:rsid w:val="005A704A"/>
    <w:rsid w:val="005B011E"/>
    <w:rsid w:val="005B2E84"/>
    <w:rsid w:val="005B3103"/>
    <w:rsid w:val="005B6A1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4650B"/>
    <w:rsid w:val="00651B78"/>
    <w:rsid w:val="00652263"/>
    <w:rsid w:val="00652881"/>
    <w:rsid w:val="0065601A"/>
    <w:rsid w:val="00656776"/>
    <w:rsid w:val="00661974"/>
    <w:rsid w:val="00662D4B"/>
    <w:rsid w:val="00664551"/>
    <w:rsid w:val="00664F49"/>
    <w:rsid w:val="006658FA"/>
    <w:rsid w:val="00665E29"/>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3403"/>
    <w:rsid w:val="006C4E16"/>
    <w:rsid w:val="006C4F74"/>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33FA"/>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46A0"/>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1DBB"/>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4134"/>
    <w:rsid w:val="00865075"/>
    <w:rsid w:val="008673EE"/>
    <w:rsid w:val="0086748F"/>
    <w:rsid w:val="00867F62"/>
    <w:rsid w:val="008712A3"/>
    <w:rsid w:val="00872CE4"/>
    <w:rsid w:val="00875762"/>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5608"/>
    <w:rsid w:val="00896264"/>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08"/>
    <w:rsid w:val="008C71EB"/>
    <w:rsid w:val="008C761C"/>
    <w:rsid w:val="008D1BB0"/>
    <w:rsid w:val="008D20FF"/>
    <w:rsid w:val="008D36E4"/>
    <w:rsid w:val="008D3DE6"/>
    <w:rsid w:val="008D4223"/>
    <w:rsid w:val="008D44CC"/>
    <w:rsid w:val="008D46E3"/>
    <w:rsid w:val="008D47D9"/>
    <w:rsid w:val="008D49A6"/>
    <w:rsid w:val="008D52CA"/>
    <w:rsid w:val="008D6709"/>
    <w:rsid w:val="008D74B6"/>
    <w:rsid w:val="008E083A"/>
    <w:rsid w:val="008E2450"/>
    <w:rsid w:val="008E4DB1"/>
    <w:rsid w:val="008E615E"/>
    <w:rsid w:val="008E69EA"/>
    <w:rsid w:val="008E7896"/>
    <w:rsid w:val="008E7D2D"/>
    <w:rsid w:val="008F2477"/>
    <w:rsid w:val="008F7815"/>
    <w:rsid w:val="00900F02"/>
    <w:rsid w:val="009010F0"/>
    <w:rsid w:val="00901162"/>
    <w:rsid w:val="0090223A"/>
    <w:rsid w:val="009028E2"/>
    <w:rsid w:val="00914EAB"/>
    <w:rsid w:val="00920F85"/>
    <w:rsid w:val="00922D49"/>
    <w:rsid w:val="00923F81"/>
    <w:rsid w:val="0092502E"/>
    <w:rsid w:val="00925E37"/>
    <w:rsid w:val="00925EDD"/>
    <w:rsid w:val="00927D0E"/>
    <w:rsid w:val="009309DA"/>
    <w:rsid w:val="0093260B"/>
    <w:rsid w:val="00936688"/>
    <w:rsid w:val="00936865"/>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0629"/>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69A"/>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4F97"/>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33D3"/>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86F9D"/>
    <w:rsid w:val="00A903B6"/>
    <w:rsid w:val="00A90F4F"/>
    <w:rsid w:val="00A947AA"/>
    <w:rsid w:val="00A96748"/>
    <w:rsid w:val="00A96FD9"/>
    <w:rsid w:val="00AA1B53"/>
    <w:rsid w:val="00AA3556"/>
    <w:rsid w:val="00AA35FD"/>
    <w:rsid w:val="00AA3DB7"/>
    <w:rsid w:val="00AA72C6"/>
    <w:rsid w:val="00AB05D3"/>
    <w:rsid w:val="00AB2DFA"/>
    <w:rsid w:val="00AB3012"/>
    <w:rsid w:val="00AB321C"/>
    <w:rsid w:val="00AB3DEF"/>
    <w:rsid w:val="00AB42E2"/>
    <w:rsid w:val="00AB688F"/>
    <w:rsid w:val="00AB75EA"/>
    <w:rsid w:val="00AB7AA2"/>
    <w:rsid w:val="00AC4BC1"/>
    <w:rsid w:val="00AC588F"/>
    <w:rsid w:val="00AC5E4B"/>
    <w:rsid w:val="00AD04BD"/>
    <w:rsid w:val="00AD1A03"/>
    <w:rsid w:val="00AD39B9"/>
    <w:rsid w:val="00AD7214"/>
    <w:rsid w:val="00AE1066"/>
    <w:rsid w:val="00AE19D8"/>
    <w:rsid w:val="00AE4518"/>
    <w:rsid w:val="00AE5D7F"/>
    <w:rsid w:val="00AE79F0"/>
    <w:rsid w:val="00AE7D44"/>
    <w:rsid w:val="00AF4FE7"/>
    <w:rsid w:val="00AF6EC1"/>
    <w:rsid w:val="00AF7CF5"/>
    <w:rsid w:val="00B00331"/>
    <w:rsid w:val="00B0116D"/>
    <w:rsid w:val="00B01A80"/>
    <w:rsid w:val="00B03CF4"/>
    <w:rsid w:val="00B073F4"/>
    <w:rsid w:val="00B07C27"/>
    <w:rsid w:val="00B10DE1"/>
    <w:rsid w:val="00B10FF8"/>
    <w:rsid w:val="00B111B9"/>
    <w:rsid w:val="00B203C4"/>
    <w:rsid w:val="00B22995"/>
    <w:rsid w:val="00B22A61"/>
    <w:rsid w:val="00B22E81"/>
    <w:rsid w:val="00B23996"/>
    <w:rsid w:val="00B23CB2"/>
    <w:rsid w:val="00B2561A"/>
    <w:rsid w:val="00B25A64"/>
    <w:rsid w:val="00B32AB3"/>
    <w:rsid w:val="00B34251"/>
    <w:rsid w:val="00B34E7C"/>
    <w:rsid w:val="00B368EA"/>
    <w:rsid w:val="00B37EEF"/>
    <w:rsid w:val="00B43FC2"/>
    <w:rsid w:val="00B47485"/>
    <w:rsid w:val="00B518C3"/>
    <w:rsid w:val="00B526A4"/>
    <w:rsid w:val="00B55185"/>
    <w:rsid w:val="00B55EA7"/>
    <w:rsid w:val="00B60BD4"/>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39B6"/>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0875"/>
    <w:rsid w:val="00BE4973"/>
    <w:rsid w:val="00BE6018"/>
    <w:rsid w:val="00BF1DD5"/>
    <w:rsid w:val="00BF1F57"/>
    <w:rsid w:val="00BF35F0"/>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08AB"/>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4788C"/>
    <w:rsid w:val="00C50011"/>
    <w:rsid w:val="00C503D3"/>
    <w:rsid w:val="00C62509"/>
    <w:rsid w:val="00C645E6"/>
    <w:rsid w:val="00C64D82"/>
    <w:rsid w:val="00C64FBC"/>
    <w:rsid w:val="00C65A83"/>
    <w:rsid w:val="00C67DCB"/>
    <w:rsid w:val="00C736BB"/>
    <w:rsid w:val="00C737E8"/>
    <w:rsid w:val="00C80F23"/>
    <w:rsid w:val="00C80F61"/>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7A7"/>
    <w:rsid w:val="00CA3977"/>
    <w:rsid w:val="00CA5927"/>
    <w:rsid w:val="00CA79EC"/>
    <w:rsid w:val="00CB39C2"/>
    <w:rsid w:val="00CB44DE"/>
    <w:rsid w:val="00CB4C8C"/>
    <w:rsid w:val="00CB6782"/>
    <w:rsid w:val="00CB7629"/>
    <w:rsid w:val="00CC00EC"/>
    <w:rsid w:val="00CC080A"/>
    <w:rsid w:val="00CC3C04"/>
    <w:rsid w:val="00CC4396"/>
    <w:rsid w:val="00CE3801"/>
    <w:rsid w:val="00CE3C13"/>
    <w:rsid w:val="00CE4499"/>
    <w:rsid w:val="00CE5277"/>
    <w:rsid w:val="00CE6358"/>
    <w:rsid w:val="00CE7FC6"/>
    <w:rsid w:val="00CF0C6C"/>
    <w:rsid w:val="00CF1DB3"/>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542C"/>
    <w:rsid w:val="00D674CF"/>
    <w:rsid w:val="00D678DF"/>
    <w:rsid w:val="00D67D12"/>
    <w:rsid w:val="00D70923"/>
    <w:rsid w:val="00D74F09"/>
    <w:rsid w:val="00D754C0"/>
    <w:rsid w:val="00D75673"/>
    <w:rsid w:val="00D7585A"/>
    <w:rsid w:val="00D80618"/>
    <w:rsid w:val="00D82494"/>
    <w:rsid w:val="00D82908"/>
    <w:rsid w:val="00D84A4B"/>
    <w:rsid w:val="00D85E13"/>
    <w:rsid w:val="00D8669F"/>
    <w:rsid w:val="00D86FDF"/>
    <w:rsid w:val="00D912A9"/>
    <w:rsid w:val="00D92168"/>
    <w:rsid w:val="00D94093"/>
    <w:rsid w:val="00D940B5"/>
    <w:rsid w:val="00D95CB0"/>
    <w:rsid w:val="00D960B5"/>
    <w:rsid w:val="00D9766F"/>
    <w:rsid w:val="00D977C0"/>
    <w:rsid w:val="00DA00A3"/>
    <w:rsid w:val="00DA13F3"/>
    <w:rsid w:val="00DA27D4"/>
    <w:rsid w:val="00DA2DE3"/>
    <w:rsid w:val="00DA716A"/>
    <w:rsid w:val="00DB1841"/>
    <w:rsid w:val="00DB1F4F"/>
    <w:rsid w:val="00DB37EE"/>
    <w:rsid w:val="00DB4450"/>
    <w:rsid w:val="00DB6F79"/>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9C9"/>
    <w:rsid w:val="00EC4BA3"/>
    <w:rsid w:val="00EC5CE6"/>
    <w:rsid w:val="00EC638F"/>
    <w:rsid w:val="00EE2ACE"/>
    <w:rsid w:val="00EE4874"/>
    <w:rsid w:val="00EE79A6"/>
    <w:rsid w:val="00EE7FB4"/>
    <w:rsid w:val="00EF0D26"/>
    <w:rsid w:val="00EF0D86"/>
    <w:rsid w:val="00EF22FE"/>
    <w:rsid w:val="00EF76AC"/>
    <w:rsid w:val="00EF7C29"/>
    <w:rsid w:val="00EF7E6C"/>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466"/>
    <w:rsid w:val="00F65617"/>
    <w:rsid w:val="00F666BC"/>
    <w:rsid w:val="00F70316"/>
    <w:rsid w:val="00F710BE"/>
    <w:rsid w:val="00F72CEF"/>
    <w:rsid w:val="00F736D2"/>
    <w:rsid w:val="00F7564C"/>
    <w:rsid w:val="00F76220"/>
    <w:rsid w:val="00F769BE"/>
    <w:rsid w:val="00F82E6B"/>
    <w:rsid w:val="00F842D3"/>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A96"/>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75FCA73D-22B2-408C-8C39-4565BFD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9522029">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28420587">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8792178">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191</TotalTime>
  <Pages>18</Pages>
  <Words>1438</Words>
  <Characters>8198</Characters>
  <Application>Microsoft Office Word</Application>
  <DocSecurity>0</DocSecurity>
  <Lines>68</Lines>
  <Paragraphs>19</Paragraphs>
  <ScaleCrop>false</ScaleCrop>
  <Company>TRT. Ltd. Co.</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64</cp:revision>
  <cp:lastPrinted>2007-07-19T00:46:00Z</cp:lastPrinted>
  <dcterms:created xsi:type="dcterms:W3CDTF">2014-12-16T02:40:00Z</dcterms:created>
  <dcterms:modified xsi:type="dcterms:W3CDTF">2023-10-24T06:58:00Z</dcterms:modified>
</cp:coreProperties>
</file>