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4022F"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bookmarkStart w:id="0" w:name="_GoBack"/>
      <w:bookmarkEnd w:id="0"/>
    </w:p>
    <w:p w14:paraId="294479D3"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430268B2"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4E7754B9" w14:textId="77777777"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52FA11CD"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摩根标普</w:t>
      </w:r>
      <w:r w:rsidRPr="00253A89">
        <w:rPr>
          <w:rFonts w:eastAsiaTheme="minorEastAsia"/>
          <w:b/>
          <w:color w:val="000000" w:themeColor="text1"/>
          <w:sz w:val="36"/>
          <w:szCs w:val="36"/>
        </w:rPr>
        <w:t>500</w:t>
      </w:r>
      <w:r w:rsidRPr="00253A89">
        <w:rPr>
          <w:rFonts w:eastAsiaTheme="minorEastAsia"/>
          <w:b/>
          <w:color w:val="000000" w:themeColor="text1"/>
          <w:sz w:val="36"/>
          <w:szCs w:val="36"/>
        </w:rPr>
        <w:t>指数型发起式证券投资基金</w:t>
      </w:r>
      <w:r w:rsidRPr="00253A89">
        <w:rPr>
          <w:rFonts w:eastAsiaTheme="minorEastAsia"/>
          <w:b/>
          <w:color w:val="000000" w:themeColor="text1"/>
          <w:sz w:val="36"/>
          <w:szCs w:val="36"/>
        </w:rPr>
        <w:t>(QDII)</w:t>
      </w:r>
    </w:p>
    <w:p w14:paraId="5E89C215"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2024</w:t>
      </w:r>
      <w:r w:rsidRPr="00253A89">
        <w:rPr>
          <w:rFonts w:eastAsiaTheme="minorEastAsia"/>
          <w:b/>
          <w:color w:val="000000" w:themeColor="text1"/>
          <w:sz w:val="36"/>
          <w:szCs w:val="36"/>
        </w:rPr>
        <w:t>年第</w:t>
      </w:r>
      <w:r w:rsidRPr="00253A89">
        <w:rPr>
          <w:rFonts w:eastAsiaTheme="minorEastAsia"/>
          <w:b/>
          <w:color w:val="000000" w:themeColor="text1"/>
          <w:sz w:val="36"/>
          <w:szCs w:val="36"/>
        </w:rPr>
        <w:t>3</w:t>
      </w:r>
      <w:r w:rsidRPr="00253A89">
        <w:rPr>
          <w:rFonts w:eastAsiaTheme="minorEastAsia"/>
          <w:b/>
          <w:color w:val="000000" w:themeColor="text1"/>
          <w:sz w:val="36"/>
          <w:szCs w:val="36"/>
        </w:rPr>
        <w:t>季度报告</w:t>
      </w:r>
    </w:p>
    <w:p w14:paraId="65E78CF3" w14:textId="77777777"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2024</w:t>
      </w:r>
      <w:r w:rsidRPr="009B0629">
        <w:rPr>
          <w:rFonts w:eastAsiaTheme="minorEastAsia"/>
          <w:b/>
          <w:color w:val="000000" w:themeColor="text1"/>
          <w:sz w:val="24"/>
        </w:rPr>
        <w:t>年</w:t>
      </w:r>
      <w:r w:rsidRPr="009B0629">
        <w:rPr>
          <w:rFonts w:eastAsiaTheme="minorEastAsia"/>
          <w:b/>
          <w:color w:val="000000" w:themeColor="text1"/>
          <w:sz w:val="24"/>
        </w:rPr>
        <w:t>9</w:t>
      </w:r>
      <w:r w:rsidRPr="009B0629">
        <w:rPr>
          <w:rFonts w:eastAsiaTheme="minorEastAsia"/>
          <w:b/>
          <w:color w:val="000000" w:themeColor="text1"/>
          <w:sz w:val="24"/>
        </w:rPr>
        <w:t>月</w:t>
      </w:r>
      <w:r w:rsidRPr="009B0629">
        <w:rPr>
          <w:rFonts w:eastAsiaTheme="minorEastAsia"/>
          <w:b/>
          <w:color w:val="000000" w:themeColor="text1"/>
          <w:sz w:val="24"/>
        </w:rPr>
        <w:t>30</w:t>
      </w:r>
      <w:r w:rsidRPr="009B0629">
        <w:rPr>
          <w:rFonts w:eastAsiaTheme="minorEastAsia"/>
          <w:b/>
          <w:color w:val="000000" w:themeColor="text1"/>
          <w:sz w:val="24"/>
        </w:rPr>
        <w:t>日</w:t>
      </w:r>
    </w:p>
    <w:p w14:paraId="7F1720A3" w14:textId="77777777" w:rsidR="00397616" w:rsidRPr="009B0629" w:rsidRDefault="00397616" w:rsidP="00397616">
      <w:pPr>
        <w:spacing w:line="360" w:lineRule="auto"/>
        <w:jc w:val="center"/>
        <w:rPr>
          <w:rFonts w:eastAsiaTheme="minorEastAsia"/>
          <w:b/>
          <w:color w:val="000000" w:themeColor="text1"/>
          <w:sz w:val="24"/>
        </w:rPr>
      </w:pPr>
    </w:p>
    <w:p w14:paraId="354C0FAA" w14:textId="77777777" w:rsidR="00397616" w:rsidRPr="009B0629" w:rsidRDefault="00397616" w:rsidP="00397616">
      <w:pPr>
        <w:spacing w:line="360" w:lineRule="auto"/>
        <w:jc w:val="center"/>
        <w:rPr>
          <w:rFonts w:eastAsiaTheme="minorEastAsia"/>
          <w:b/>
          <w:color w:val="000000" w:themeColor="text1"/>
          <w:sz w:val="24"/>
        </w:rPr>
      </w:pPr>
    </w:p>
    <w:p w14:paraId="4201CFBD" w14:textId="77777777" w:rsidR="00397616" w:rsidRPr="009B0629" w:rsidRDefault="00397616" w:rsidP="00397616">
      <w:pPr>
        <w:spacing w:line="360" w:lineRule="auto"/>
        <w:jc w:val="center"/>
        <w:rPr>
          <w:rFonts w:eastAsiaTheme="minorEastAsia"/>
          <w:b/>
          <w:color w:val="000000" w:themeColor="text1"/>
          <w:sz w:val="24"/>
        </w:rPr>
      </w:pPr>
    </w:p>
    <w:p w14:paraId="5A8B5D7A" w14:textId="77777777" w:rsidR="00397616" w:rsidRPr="009B0629" w:rsidRDefault="00397616" w:rsidP="00397616">
      <w:pPr>
        <w:spacing w:line="360" w:lineRule="auto"/>
        <w:jc w:val="center"/>
        <w:rPr>
          <w:rFonts w:eastAsiaTheme="minorEastAsia"/>
          <w:b/>
          <w:color w:val="000000" w:themeColor="text1"/>
          <w:sz w:val="24"/>
        </w:rPr>
      </w:pPr>
    </w:p>
    <w:p w14:paraId="2F8DE6AA" w14:textId="77777777" w:rsidR="00397616" w:rsidRPr="009B0629" w:rsidRDefault="00397616" w:rsidP="00397616">
      <w:pPr>
        <w:spacing w:line="360" w:lineRule="auto"/>
        <w:jc w:val="center"/>
        <w:rPr>
          <w:rFonts w:eastAsiaTheme="minorEastAsia"/>
          <w:b/>
          <w:color w:val="000000" w:themeColor="text1"/>
          <w:sz w:val="24"/>
        </w:rPr>
      </w:pPr>
    </w:p>
    <w:p w14:paraId="71D6DD53" w14:textId="77777777" w:rsidR="00397616" w:rsidRPr="009B0629" w:rsidRDefault="00397616" w:rsidP="00397616">
      <w:pPr>
        <w:spacing w:line="360" w:lineRule="auto"/>
        <w:jc w:val="center"/>
        <w:rPr>
          <w:rFonts w:eastAsiaTheme="minorEastAsia"/>
          <w:b/>
          <w:color w:val="000000" w:themeColor="text1"/>
          <w:sz w:val="24"/>
        </w:rPr>
      </w:pPr>
    </w:p>
    <w:p w14:paraId="5AF5A3A0" w14:textId="77777777" w:rsidR="00397616" w:rsidRPr="009B0629" w:rsidRDefault="00397616" w:rsidP="00397616">
      <w:pPr>
        <w:spacing w:line="360" w:lineRule="auto"/>
        <w:jc w:val="center"/>
        <w:rPr>
          <w:rFonts w:eastAsiaTheme="minorEastAsia"/>
          <w:b/>
          <w:color w:val="000000" w:themeColor="text1"/>
          <w:sz w:val="24"/>
        </w:rPr>
      </w:pPr>
    </w:p>
    <w:p w14:paraId="1C930F50" w14:textId="77777777" w:rsidR="00397616" w:rsidRPr="009B0629" w:rsidRDefault="00397616" w:rsidP="00397616">
      <w:pPr>
        <w:spacing w:line="360" w:lineRule="auto"/>
        <w:jc w:val="center"/>
        <w:rPr>
          <w:rFonts w:eastAsiaTheme="minorEastAsia"/>
          <w:b/>
          <w:color w:val="000000" w:themeColor="text1"/>
          <w:sz w:val="24"/>
        </w:rPr>
      </w:pPr>
    </w:p>
    <w:p w14:paraId="50BF2FE7" w14:textId="77777777" w:rsidR="00397616" w:rsidRPr="009B0629" w:rsidRDefault="00397616" w:rsidP="00397616">
      <w:pPr>
        <w:spacing w:line="360" w:lineRule="auto"/>
        <w:jc w:val="center"/>
        <w:rPr>
          <w:rFonts w:eastAsiaTheme="minorEastAsia"/>
          <w:b/>
          <w:color w:val="000000" w:themeColor="text1"/>
          <w:sz w:val="24"/>
        </w:rPr>
      </w:pPr>
    </w:p>
    <w:p w14:paraId="519D8177" w14:textId="77777777" w:rsidR="00397616" w:rsidRPr="009B0629" w:rsidRDefault="00397616" w:rsidP="00397616">
      <w:pPr>
        <w:spacing w:line="360" w:lineRule="auto"/>
        <w:jc w:val="center"/>
        <w:rPr>
          <w:rFonts w:eastAsiaTheme="minorEastAsia"/>
          <w:b/>
          <w:color w:val="000000" w:themeColor="text1"/>
          <w:sz w:val="24"/>
        </w:rPr>
      </w:pPr>
    </w:p>
    <w:p w14:paraId="227C9630" w14:textId="77777777" w:rsidR="00397616" w:rsidRPr="009B0629" w:rsidRDefault="00397616" w:rsidP="00397616">
      <w:pPr>
        <w:spacing w:line="360" w:lineRule="auto"/>
        <w:jc w:val="center"/>
        <w:rPr>
          <w:rFonts w:eastAsiaTheme="minorEastAsia"/>
          <w:b/>
          <w:color w:val="000000" w:themeColor="text1"/>
          <w:sz w:val="24"/>
        </w:rPr>
      </w:pPr>
    </w:p>
    <w:p w14:paraId="209A6EC1" w14:textId="77777777" w:rsidR="00397616" w:rsidRPr="009B0629" w:rsidRDefault="00397616" w:rsidP="00397616">
      <w:pPr>
        <w:spacing w:line="360" w:lineRule="auto"/>
        <w:jc w:val="center"/>
        <w:rPr>
          <w:rFonts w:eastAsiaTheme="minorEastAsia"/>
          <w:b/>
          <w:color w:val="000000" w:themeColor="text1"/>
          <w:sz w:val="24"/>
        </w:rPr>
      </w:pPr>
    </w:p>
    <w:p w14:paraId="5F97A83F" w14:textId="77777777" w:rsidR="00397616" w:rsidRPr="009B0629" w:rsidRDefault="00397616" w:rsidP="00397616">
      <w:pPr>
        <w:spacing w:line="360" w:lineRule="auto"/>
        <w:jc w:val="center"/>
        <w:rPr>
          <w:rFonts w:eastAsiaTheme="minorEastAsia"/>
          <w:b/>
          <w:color w:val="000000" w:themeColor="text1"/>
          <w:sz w:val="24"/>
        </w:rPr>
      </w:pPr>
    </w:p>
    <w:p w14:paraId="581E5353" w14:textId="77777777" w:rsidR="00397616" w:rsidRPr="009B0629" w:rsidRDefault="00397616" w:rsidP="00826B12">
      <w:pPr>
        <w:spacing w:line="288" w:lineRule="auto"/>
        <w:ind w:firstLineChars="900" w:firstLine="2168"/>
        <w:rPr>
          <w:rFonts w:eastAsiaTheme="minorEastAsia"/>
          <w:b/>
          <w:color w:val="000000" w:themeColor="text1"/>
          <w:sz w:val="24"/>
        </w:rPr>
      </w:pPr>
    </w:p>
    <w:p w14:paraId="1E6F7A36"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14:paraId="35B0220A"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基金托管人：招商银行股份有限公司</w:t>
      </w:r>
    </w:p>
    <w:p w14:paraId="4116AADB" w14:textId="77777777"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二〇二四年十月二十五日</w:t>
      </w:r>
    </w:p>
    <w:p w14:paraId="1DA56981" w14:textId="77777777"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14:paraId="6DCD3A73"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75483DA4"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6F71C41F"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7A7DC9BA"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46B0D723"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093A2938" w14:textId="77777777"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7</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9</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日止。</w:t>
      </w:r>
    </w:p>
    <w:p w14:paraId="174BF21C"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9B0629" w14:paraId="09A26EB6" w14:textId="77777777" w:rsidTr="003376D5">
        <w:tc>
          <w:tcPr>
            <w:tcW w:w="2980" w:type="dxa"/>
            <w:vAlign w:val="center"/>
          </w:tcPr>
          <w:p w14:paraId="5793C874"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2"/>
            <w:vAlign w:val="center"/>
          </w:tcPr>
          <w:p w14:paraId="5B7DF164"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摩根标普</w:t>
            </w:r>
            <w:r w:rsidRPr="009B0629">
              <w:rPr>
                <w:rFonts w:eastAsiaTheme="minorEastAsia"/>
                <w:color w:val="000000" w:themeColor="text1"/>
                <w:kern w:val="0"/>
                <w:sz w:val="24"/>
              </w:rPr>
              <w:t>500</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14:paraId="202C02AB" w14:textId="77777777" w:rsidTr="003376D5">
        <w:tc>
          <w:tcPr>
            <w:tcW w:w="2980" w:type="dxa"/>
            <w:vAlign w:val="center"/>
          </w:tcPr>
          <w:p w14:paraId="377DE661"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2"/>
            <w:vAlign w:val="center"/>
          </w:tcPr>
          <w:p w14:paraId="73FBDBCB"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017641</w:t>
            </w:r>
          </w:p>
        </w:tc>
      </w:tr>
      <w:tr w:rsidR="008277FF" w:rsidRPr="009B0629" w14:paraId="3DA11303" w14:textId="77777777" w:rsidTr="003376D5">
        <w:tc>
          <w:tcPr>
            <w:tcW w:w="2980" w:type="dxa"/>
            <w:vAlign w:val="center"/>
          </w:tcPr>
          <w:p w14:paraId="536F20C7"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2"/>
            <w:vAlign w:val="center"/>
          </w:tcPr>
          <w:p w14:paraId="69495725"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017641</w:t>
            </w:r>
          </w:p>
        </w:tc>
      </w:tr>
      <w:tr w:rsidR="008277FF" w:rsidRPr="009B0629" w14:paraId="2668CFB3" w14:textId="77777777" w:rsidTr="003376D5">
        <w:tc>
          <w:tcPr>
            <w:tcW w:w="2980" w:type="dxa"/>
            <w:vAlign w:val="center"/>
          </w:tcPr>
          <w:p w14:paraId="67633B7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2"/>
            <w:vAlign w:val="center"/>
          </w:tcPr>
          <w:p w14:paraId="64EE561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14:paraId="387235E4" w14:textId="77777777" w:rsidTr="003376D5">
        <w:tc>
          <w:tcPr>
            <w:tcW w:w="2980" w:type="dxa"/>
            <w:vAlign w:val="center"/>
          </w:tcPr>
          <w:p w14:paraId="1DF4D3BB"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2"/>
            <w:vAlign w:val="center"/>
          </w:tcPr>
          <w:p w14:paraId="546B6E45"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4</w:t>
            </w:r>
            <w:r w:rsidRPr="009B0629">
              <w:rPr>
                <w:rFonts w:eastAsiaTheme="minorEastAsia"/>
                <w:color w:val="000000" w:themeColor="text1"/>
                <w:kern w:val="0"/>
                <w:sz w:val="24"/>
              </w:rPr>
              <w:t>月</w:t>
            </w:r>
            <w:r w:rsidRPr="009B0629">
              <w:rPr>
                <w:rFonts w:eastAsiaTheme="minorEastAsia"/>
                <w:color w:val="000000" w:themeColor="text1"/>
                <w:kern w:val="0"/>
                <w:sz w:val="24"/>
              </w:rPr>
              <w:t>6</w:t>
            </w:r>
            <w:r w:rsidRPr="009B0629">
              <w:rPr>
                <w:rFonts w:eastAsiaTheme="minorEastAsia"/>
                <w:color w:val="000000" w:themeColor="text1"/>
                <w:kern w:val="0"/>
                <w:sz w:val="24"/>
              </w:rPr>
              <w:t>日</w:t>
            </w:r>
          </w:p>
        </w:tc>
      </w:tr>
      <w:tr w:rsidR="008277FF" w:rsidRPr="009B0629" w14:paraId="23A3E6B0" w14:textId="77777777" w:rsidTr="003376D5">
        <w:tc>
          <w:tcPr>
            <w:tcW w:w="2980" w:type="dxa"/>
            <w:vAlign w:val="center"/>
          </w:tcPr>
          <w:p w14:paraId="108A4A17"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2"/>
            <w:vAlign w:val="center"/>
          </w:tcPr>
          <w:p w14:paraId="24491B2A"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1,115,834,110.31</w:t>
            </w:r>
            <w:r w:rsidRPr="009B0629">
              <w:rPr>
                <w:rFonts w:eastAsiaTheme="minorEastAsia"/>
                <w:color w:val="000000" w:themeColor="text1"/>
                <w:kern w:val="0"/>
                <w:sz w:val="24"/>
              </w:rPr>
              <w:t>份</w:t>
            </w:r>
          </w:p>
        </w:tc>
      </w:tr>
      <w:tr w:rsidR="008277FF" w:rsidRPr="009B0629" w14:paraId="2D5373CB" w14:textId="77777777" w:rsidTr="003376D5">
        <w:tc>
          <w:tcPr>
            <w:tcW w:w="2980" w:type="dxa"/>
            <w:vAlign w:val="center"/>
          </w:tcPr>
          <w:p w14:paraId="61D5ABE7"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2"/>
            <w:vAlign w:val="center"/>
          </w:tcPr>
          <w:p w14:paraId="5D309F13"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本基金进行被动指数化投资，紧密跟踪标的指数，追求跟踪偏离度和跟踪误差最小化。</w:t>
            </w:r>
          </w:p>
        </w:tc>
      </w:tr>
      <w:tr w:rsidR="008277FF" w:rsidRPr="009B0629" w14:paraId="1DE14D1A" w14:textId="77777777" w:rsidTr="003376D5">
        <w:tc>
          <w:tcPr>
            <w:tcW w:w="2980" w:type="dxa"/>
            <w:vAlign w:val="center"/>
          </w:tcPr>
          <w:p w14:paraId="758E0F0E"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2"/>
            <w:vAlign w:val="center"/>
          </w:tcPr>
          <w:p w14:paraId="65E483E5"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w:t>
            </w:r>
            <w:r>
              <w:rPr>
                <w:rFonts w:eastAsiaTheme="minorEastAsia"/>
                <w:color w:val="000000" w:themeColor="text1"/>
                <w:kern w:val="0"/>
                <w:sz w:val="24"/>
              </w:rPr>
              <w:lastRenderedPageBreak/>
              <w:t>相对业绩比较基准的跟踪误差最小化。</w:t>
            </w:r>
          </w:p>
          <w:p w14:paraId="0AA4D31E"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7043E117"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为了实现追踪误差最小化，本基金投资于标的指数成份股及其备选成份股的比例不低于基金资产净值的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14:paraId="771F1C39"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在正常市场情况下，本基金力争控制基金净值增长率与业绩比较基准之间的日均跟踪偏离度小于</w:t>
            </w:r>
            <w:r>
              <w:rPr>
                <w:rFonts w:eastAsiaTheme="minorEastAsia"/>
                <w:color w:val="000000" w:themeColor="text1"/>
                <w:kern w:val="0"/>
                <w:sz w:val="24"/>
              </w:rPr>
              <w:t>0.35%</w:t>
            </w:r>
            <w:r>
              <w:rPr>
                <w:rFonts w:eastAsiaTheme="minorEastAsia"/>
                <w:color w:val="000000" w:themeColor="text1"/>
                <w:kern w:val="0"/>
                <w:sz w:val="24"/>
              </w:rPr>
              <w:t>，基金净值增长率与业绩比较基准之间的年跟踪误差不超过</w:t>
            </w:r>
            <w:r>
              <w:rPr>
                <w:rFonts w:eastAsiaTheme="minorEastAsia"/>
                <w:color w:val="000000" w:themeColor="text1"/>
                <w:kern w:val="0"/>
                <w:sz w:val="24"/>
              </w:rPr>
              <w:t>4%</w:t>
            </w:r>
            <w:r>
              <w:rPr>
                <w:rFonts w:eastAsiaTheme="minorEastAsia"/>
                <w:color w:val="000000" w:themeColor="text1"/>
                <w:kern w:val="0"/>
                <w:sz w:val="24"/>
              </w:rPr>
              <w:t>。</w:t>
            </w:r>
          </w:p>
          <w:p w14:paraId="7F8AB40F"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072A9F4F"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092E56EB"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w:t>
            </w:r>
            <w:r>
              <w:rPr>
                <w:rFonts w:eastAsiaTheme="minorEastAsia"/>
                <w:color w:val="000000" w:themeColor="text1"/>
                <w:kern w:val="0"/>
                <w:sz w:val="24"/>
              </w:rPr>
              <w:t>500</w:t>
            </w:r>
            <w:r>
              <w:rPr>
                <w:rFonts w:eastAsiaTheme="minorEastAsia"/>
                <w:color w:val="000000" w:themeColor="text1"/>
                <w:kern w:val="0"/>
                <w:sz w:val="24"/>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Pr>
                <w:rFonts w:eastAsiaTheme="minorEastAsia"/>
                <w:color w:val="000000" w:themeColor="text1"/>
                <w:kern w:val="0"/>
                <w:sz w:val="24"/>
              </w:rPr>
              <w:t>500</w:t>
            </w:r>
            <w:r>
              <w:rPr>
                <w:rFonts w:eastAsiaTheme="minorEastAsia"/>
                <w:color w:val="000000" w:themeColor="text1"/>
                <w:kern w:val="0"/>
                <w:sz w:val="24"/>
              </w:rPr>
              <w:t>指数各成份股所占权重逐步买入。在投资运作过程中，本基金以标的指数权重为标准配置个股，并根据成份股构成及其权重的变动进行动态调整。</w:t>
            </w:r>
          </w:p>
          <w:p w14:paraId="51C93835"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2F7E23FE"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15379FD7"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11FBC969"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036A6D82"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w:t>
            </w:r>
            <w:r>
              <w:rPr>
                <w:rFonts w:eastAsiaTheme="minorEastAsia"/>
                <w:color w:val="000000" w:themeColor="text1"/>
                <w:kern w:val="0"/>
                <w:sz w:val="24"/>
              </w:rPr>
              <w:lastRenderedPageBreak/>
              <w:t>送配等股权变动而需进行成份股权重调整时，本基金将根据标的指数权重比例的变化，进行相应调整。</w:t>
            </w:r>
          </w:p>
          <w:p w14:paraId="24F7B5B9"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当标的指数成份股因停牌、流动性不足等因素导致基金无法按照指数权重进行配置，基金管理人将综合考虑跟踪误差和投资者利益，选择相关股票进行适当的替代。</w:t>
            </w:r>
          </w:p>
          <w:p w14:paraId="4E03351A"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r>
              <w:rPr>
                <w:rFonts w:eastAsiaTheme="minorEastAsia"/>
                <w:color w:val="000000" w:themeColor="text1"/>
                <w:kern w:val="0"/>
                <w:sz w:val="24"/>
              </w:rPr>
              <w:t xml:space="preserve"> </w:t>
            </w:r>
          </w:p>
          <w:p w14:paraId="6C18F771"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14:paraId="14D99174"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79ADDC17"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、其他投资策略：包括基金投资策略、金融衍生品投资策略、债券投资策略、资产支持证券投资策略。</w:t>
            </w:r>
          </w:p>
        </w:tc>
      </w:tr>
      <w:tr w:rsidR="008277FF" w:rsidRPr="009B0629" w14:paraId="7D68A0ED" w14:textId="77777777" w:rsidTr="003376D5">
        <w:tc>
          <w:tcPr>
            <w:tcW w:w="2980" w:type="dxa"/>
            <w:vAlign w:val="center"/>
          </w:tcPr>
          <w:p w14:paraId="6757A3E7"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2"/>
            <w:vAlign w:val="center"/>
          </w:tcPr>
          <w:p w14:paraId="2837BD5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标普</w:t>
            </w:r>
            <w:r w:rsidRPr="009B0629">
              <w:rPr>
                <w:rFonts w:eastAsiaTheme="minorEastAsia"/>
                <w:color w:val="000000" w:themeColor="text1"/>
                <w:kern w:val="0"/>
                <w:sz w:val="24"/>
              </w:rPr>
              <w:t>500</w:t>
            </w:r>
            <w:r w:rsidRPr="009B0629">
              <w:rPr>
                <w:rFonts w:eastAsiaTheme="minorEastAsia"/>
                <w:color w:val="000000" w:themeColor="text1"/>
                <w:kern w:val="0"/>
                <w:sz w:val="24"/>
              </w:rPr>
              <w:t>指数收益率</w:t>
            </w:r>
            <w:r w:rsidRPr="009B0629">
              <w:rPr>
                <w:rFonts w:eastAsiaTheme="minorEastAsia"/>
                <w:color w:val="000000" w:themeColor="text1"/>
                <w:kern w:val="0"/>
                <w:sz w:val="24"/>
              </w:rPr>
              <w:t>(</w:t>
            </w:r>
            <w:r w:rsidRPr="009B0629">
              <w:rPr>
                <w:rFonts w:eastAsiaTheme="minorEastAsia"/>
                <w:color w:val="000000" w:themeColor="text1"/>
                <w:kern w:val="0"/>
                <w:sz w:val="24"/>
              </w:rPr>
              <w:t>经汇率调整后</w:t>
            </w:r>
            <w:r w:rsidRPr="009B0629">
              <w:rPr>
                <w:rFonts w:eastAsiaTheme="minorEastAsia"/>
                <w:color w:val="000000" w:themeColor="text1"/>
                <w:kern w:val="0"/>
                <w:sz w:val="24"/>
              </w:rPr>
              <w:t>) ×95%+</w:t>
            </w:r>
            <w:r w:rsidRPr="009B0629">
              <w:rPr>
                <w:rFonts w:eastAsiaTheme="minorEastAsia"/>
                <w:color w:val="000000" w:themeColor="text1"/>
                <w:kern w:val="0"/>
                <w:sz w:val="24"/>
              </w:rPr>
              <w:t>银行活期存款利率</w:t>
            </w:r>
            <w:r w:rsidRPr="009B0629">
              <w:rPr>
                <w:rFonts w:eastAsiaTheme="minorEastAsia"/>
                <w:color w:val="000000" w:themeColor="text1"/>
                <w:kern w:val="0"/>
                <w:sz w:val="24"/>
              </w:rPr>
              <w:t>(</w:t>
            </w:r>
            <w:r w:rsidRPr="009B0629">
              <w:rPr>
                <w:rFonts w:eastAsiaTheme="minorEastAsia"/>
                <w:color w:val="000000" w:themeColor="text1"/>
                <w:kern w:val="0"/>
                <w:sz w:val="24"/>
              </w:rPr>
              <w:t>税后</w:t>
            </w:r>
            <w:r w:rsidRPr="009B0629">
              <w:rPr>
                <w:rFonts w:eastAsiaTheme="minorEastAsia"/>
                <w:color w:val="000000" w:themeColor="text1"/>
                <w:kern w:val="0"/>
                <w:sz w:val="24"/>
              </w:rPr>
              <w:t>) ×5%</w:t>
            </w:r>
          </w:p>
        </w:tc>
      </w:tr>
      <w:tr w:rsidR="008277FF" w:rsidRPr="009B0629" w14:paraId="2D002D5D" w14:textId="77777777" w:rsidTr="003376D5">
        <w:tc>
          <w:tcPr>
            <w:tcW w:w="2980" w:type="dxa"/>
            <w:vAlign w:val="center"/>
          </w:tcPr>
          <w:p w14:paraId="31F2A5E0"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2"/>
            <w:vAlign w:val="center"/>
          </w:tcPr>
          <w:p w14:paraId="44D24CEE" w14:textId="77777777" w:rsidR="0017228B" w:rsidRDefault="008F01EE">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本基金属于股票型基金产品，预期风险和收益水平高于混合型基金、债券型基金和货币市场基金。本基金为被动管理的指数型基金，具有与标的指数、以及标的指数所代表的股票市场相似的风险收益特征。</w:t>
            </w:r>
          </w:p>
          <w:p w14:paraId="52DE1609"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本基金投资于境外证券市场，因此还面临汇率风险等境外证券市场投资所面临的特别投资风险。</w:t>
            </w:r>
          </w:p>
        </w:tc>
      </w:tr>
      <w:tr w:rsidR="008277FF" w:rsidRPr="009B0629" w14:paraId="02B86716" w14:textId="77777777" w:rsidTr="003376D5">
        <w:tc>
          <w:tcPr>
            <w:tcW w:w="2980" w:type="dxa"/>
            <w:vAlign w:val="center"/>
          </w:tcPr>
          <w:p w14:paraId="7AD9174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基金管理人</w:t>
            </w:r>
          </w:p>
        </w:tc>
        <w:tc>
          <w:tcPr>
            <w:tcW w:w="5443" w:type="dxa"/>
            <w:gridSpan w:val="2"/>
            <w:vAlign w:val="center"/>
          </w:tcPr>
          <w:p w14:paraId="7560195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14:paraId="73CFDD6D" w14:textId="77777777" w:rsidTr="003376D5">
        <w:tc>
          <w:tcPr>
            <w:tcW w:w="2980" w:type="dxa"/>
            <w:vAlign w:val="center"/>
          </w:tcPr>
          <w:p w14:paraId="77577A0D"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2"/>
            <w:vAlign w:val="center"/>
          </w:tcPr>
          <w:p w14:paraId="71F2345E"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招商银行股份有限公司</w:t>
            </w:r>
          </w:p>
        </w:tc>
      </w:tr>
      <w:tr w:rsidR="008277FF" w:rsidRPr="009B0629" w14:paraId="1A39CADB" w14:textId="77777777" w:rsidTr="0031104D">
        <w:tc>
          <w:tcPr>
            <w:tcW w:w="2980" w:type="dxa"/>
            <w:vAlign w:val="center"/>
          </w:tcPr>
          <w:p w14:paraId="086E925E"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2"/>
            <w:vAlign w:val="center"/>
          </w:tcPr>
          <w:p w14:paraId="14F1C5B1"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The Hong Kong and Shanghai Banking Corporation Limited</w:t>
            </w:r>
          </w:p>
        </w:tc>
      </w:tr>
      <w:tr w:rsidR="008277FF" w:rsidRPr="009B0629" w14:paraId="790AF9B0" w14:textId="77777777" w:rsidTr="0031104D">
        <w:tc>
          <w:tcPr>
            <w:tcW w:w="2980" w:type="dxa"/>
            <w:vAlign w:val="center"/>
          </w:tcPr>
          <w:p w14:paraId="3627E5D6"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境外资产托管人中文名称</w:t>
            </w:r>
          </w:p>
        </w:tc>
        <w:tc>
          <w:tcPr>
            <w:tcW w:w="5443" w:type="dxa"/>
            <w:gridSpan w:val="2"/>
            <w:vAlign w:val="center"/>
          </w:tcPr>
          <w:p w14:paraId="33A91803"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香港上海汇丰银行有限公司</w:t>
            </w:r>
          </w:p>
        </w:tc>
      </w:tr>
      <w:tr w:rsidR="00070DD6" w:rsidRPr="009B0629" w14:paraId="63D0E5A7" w14:textId="77777777" w:rsidTr="00845292">
        <w:tblPrEx>
          <w:tblLook w:val="0000" w:firstRow="0" w:lastRow="0" w:firstColumn="0" w:lastColumn="0" w:noHBand="0" w:noVBand="0"/>
        </w:tblPrEx>
        <w:trPr>
          <w:trHeight w:val="866"/>
        </w:trPr>
        <w:tc>
          <w:tcPr>
            <w:tcW w:w="2980" w:type="dxa"/>
          </w:tcPr>
          <w:p w14:paraId="3519C388" w14:textId="77777777" w:rsidR="00070DD6" w:rsidRPr="009B0629" w:rsidRDefault="00070DD6" w:rsidP="00845292">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2780" w:type="dxa"/>
            <w:vAlign w:val="center"/>
          </w:tcPr>
          <w:p w14:paraId="386F1624"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663" w:type="dxa"/>
            <w:vAlign w:val="center"/>
          </w:tcPr>
          <w:p w14:paraId="18B145D6"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070DD6" w:rsidRPr="009B0629" w14:paraId="1C71086F" w14:textId="77777777" w:rsidTr="00845292">
        <w:tblPrEx>
          <w:tblLook w:val="0000" w:firstRow="0" w:lastRow="0" w:firstColumn="0" w:lastColumn="0" w:noHBand="0" w:noVBand="0"/>
        </w:tblPrEx>
        <w:trPr>
          <w:trHeight w:val="628"/>
        </w:trPr>
        <w:tc>
          <w:tcPr>
            <w:tcW w:w="2980" w:type="dxa"/>
          </w:tcPr>
          <w:p w14:paraId="6007195F" w14:textId="77777777" w:rsidR="00070DD6" w:rsidRPr="009B0629" w:rsidRDefault="00070DD6" w:rsidP="00845292">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t>下属分级基金的交易代码</w:t>
            </w:r>
          </w:p>
        </w:tc>
        <w:tc>
          <w:tcPr>
            <w:tcW w:w="2780" w:type="dxa"/>
            <w:vAlign w:val="center"/>
          </w:tcPr>
          <w:p w14:paraId="0B654C53"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017641</w:t>
            </w:r>
          </w:p>
        </w:tc>
        <w:tc>
          <w:tcPr>
            <w:tcW w:w="2663" w:type="dxa"/>
            <w:vAlign w:val="center"/>
          </w:tcPr>
          <w:p w14:paraId="482DB477"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019305</w:t>
            </w:r>
          </w:p>
        </w:tc>
      </w:tr>
      <w:tr w:rsidR="00322A5E" w:rsidRPr="009B0629" w14:paraId="4559A7FF" w14:textId="77777777" w:rsidTr="0031104D">
        <w:tblPrEx>
          <w:tblLook w:val="0000" w:firstRow="0" w:lastRow="0" w:firstColumn="0" w:lastColumn="0" w:noHBand="0" w:noVBand="0"/>
        </w:tblPrEx>
        <w:trPr>
          <w:trHeight w:val="555"/>
        </w:trPr>
        <w:tc>
          <w:tcPr>
            <w:tcW w:w="2980" w:type="dxa"/>
            <w:vAlign w:val="center"/>
          </w:tcPr>
          <w:p w14:paraId="375D3D93" w14:textId="77777777" w:rsidR="00322A5E" w:rsidRPr="009B0629" w:rsidRDefault="00322A5E" w:rsidP="00845292">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2780" w:type="dxa"/>
            <w:vAlign w:val="center"/>
          </w:tcPr>
          <w:p w14:paraId="0F101389"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781,209,442.50</w:t>
            </w:r>
            <w:r w:rsidRPr="009B0629">
              <w:rPr>
                <w:rFonts w:eastAsiaTheme="minorEastAsia"/>
                <w:color w:val="000000" w:themeColor="text1"/>
                <w:kern w:val="0"/>
                <w:sz w:val="24"/>
              </w:rPr>
              <w:t>份</w:t>
            </w:r>
          </w:p>
        </w:tc>
        <w:tc>
          <w:tcPr>
            <w:tcW w:w="2663" w:type="dxa"/>
            <w:vAlign w:val="center"/>
          </w:tcPr>
          <w:p w14:paraId="76CA2E28"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334,624,667.81</w:t>
            </w:r>
            <w:r w:rsidRPr="009B0629">
              <w:rPr>
                <w:rFonts w:eastAsiaTheme="minorEastAsia"/>
                <w:color w:val="000000" w:themeColor="text1"/>
                <w:kern w:val="0"/>
                <w:sz w:val="24"/>
              </w:rPr>
              <w:t>份</w:t>
            </w:r>
          </w:p>
        </w:tc>
      </w:tr>
    </w:tbl>
    <w:p w14:paraId="1B8EB808"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14:paraId="4D36CEF1" w14:textId="77777777"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14:paraId="4AADCAB1"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9B0629" w14:paraId="55BDF00E" w14:textId="77777777" w:rsidTr="00845292">
        <w:tc>
          <w:tcPr>
            <w:tcW w:w="3402" w:type="dxa"/>
            <w:vMerge w:val="restart"/>
            <w:vAlign w:val="center"/>
          </w:tcPr>
          <w:p w14:paraId="0845CBA9"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962" w:type="dxa"/>
            <w:gridSpan w:val="2"/>
            <w:vAlign w:val="center"/>
          </w:tcPr>
          <w:p w14:paraId="78A2C053"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14:paraId="16B91742"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7</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9</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w:t>
            </w:r>
            <w:r w:rsidRPr="009B0629">
              <w:rPr>
                <w:rFonts w:eastAsiaTheme="minorEastAsia"/>
                <w:color w:val="000000" w:themeColor="text1"/>
                <w:sz w:val="24"/>
              </w:rPr>
              <w:t>)</w:t>
            </w:r>
          </w:p>
        </w:tc>
      </w:tr>
      <w:tr w:rsidR="00225051" w:rsidRPr="009B0629" w14:paraId="215BDF77" w14:textId="77777777" w:rsidTr="00845292">
        <w:tc>
          <w:tcPr>
            <w:tcW w:w="3402" w:type="dxa"/>
            <w:vMerge/>
            <w:vAlign w:val="center"/>
          </w:tcPr>
          <w:p w14:paraId="72AF21F3"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p>
        </w:tc>
        <w:tc>
          <w:tcPr>
            <w:tcW w:w="2481" w:type="dxa"/>
            <w:vAlign w:val="center"/>
          </w:tcPr>
          <w:p w14:paraId="43B65173"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481" w:type="dxa"/>
            <w:vAlign w:val="center"/>
          </w:tcPr>
          <w:p w14:paraId="445F9174"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322FA8C1" w14:textId="77777777" w:rsidTr="00845292">
        <w:tc>
          <w:tcPr>
            <w:tcW w:w="3402" w:type="dxa"/>
            <w:vAlign w:val="center"/>
          </w:tcPr>
          <w:p w14:paraId="5C98A747"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2481" w:type="dxa"/>
            <w:vAlign w:val="center"/>
          </w:tcPr>
          <w:p w14:paraId="675640D5"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2,571,224.88</w:t>
            </w:r>
          </w:p>
        </w:tc>
        <w:tc>
          <w:tcPr>
            <w:tcW w:w="2481" w:type="dxa"/>
            <w:vAlign w:val="center"/>
          </w:tcPr>
          <w:p w14:paraId="730216C0"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818,178.30</w:t>
            </w:r>
          </w:p>
        </w:tc>
      </w:tr>
      <w:tr w:rsidR="00225051" w:rsidRPr="009B0629" w14:paraId="439911F5" w14:textId="77777777" w:rsidTr="00845292">
        <w:tc>
          <w:tcPr>
            <w:tcW w:w="3402" w:type="dxa"/>
            <w:vAlign w:val="center"/>
          </w:tcPr>
          <w:p w14:paraId="6969C841"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2481" w:type="dxa"/>
            <w:vAlign w:val="center"/>
          </w:tcPr>
          <w:p w14:paraId="1A346525"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27,404,017.32</w:t>
            </w:r>
          </w:p>
        </w:tc>
        <w:tc>
          <w:tcPr>
            <w:tcW w:w="2481" w:type="dxa"/>
            <w:vAlign w:val="center"/>
          </w:tcPr>
          <w:p w14:paraId="6718F5C2"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9,159,850.44</w:t>
            </w:r>
          </w:p>
        </w:tc>
      </w:tr>
      <w:tr w:rsidR="00225051" w:rsidRPr="009B0629" w14:paraId="6B850843" w14:textId="77777777" w:rsidTr="00845292">
        <w:tc>
          <w:tcPr>
            <w:tcW w:w="3402" w:type="dxa"/>
            <w:vAlign w:val="center"/>
          </w:tcPr>
          <w:p w14:paraId="6252AEDB"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2481" w:type="dxa"/>
            <w:vAlign w:val="center"/>
          </w:tcPr>
          <w:p w14:paraId="190AF302"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0.0360</w:t>
            </w:r>
          </w:p>
        </w:tc>
        <w:tc>
          <w:tcPr>
            <w:tcW w:w="2481" w:type="dxa"/>
            <w:vAlign w:val="center"/>
          </w:tcPr>
          <w:p w14:paraId="54195956"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0.0288</w:t>
            </w:r>
          </w:p>
        </w:tc>
      </w:tr>
      <w:tr w:rsidR="00225051" w:rsidRPr="009B0629" w14:paraId="4156B98B" w14:textId="77777777" w:rsidTr="00845292">
        <w:tc>
          <w:tcPr>
            <w:tcW w:w="3402" w:type="dxa"/>
            <w:vAlign w:val="center"/>
          </w:tcPr>
          <w:p w14:paraId="699AF23D"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2481" w:type="dxa"/>
            <w:vAlign w:val="center"/>
          </w:tcPr>
          <w:p w14:paraId="784C10C2"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1,038,415,458.40</w:t>
            </w:r>
          </w:p>
        </w:tc>
        <w:tc>
          <w:tcPr>
            <w:tcW w:w="2481" w:type="dxa"/>
            <w:vAlign w:val="center"/>
          </w:tcPr>
          <w:p w14:paraId="192BD352"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443,316,858.86</w:t>
            </w:r>
          </w:p>
        </w:tc>
      </w:tr>
      <w:tr w:rsidR="00225051" w:rsidRPr="009B0629" w14:paraId="3916B302" w14:textId="77777777" w:rsidTr="00845292">
        <w:trPr>
          <w:trHeight w:val="158"/>
        </w:trPr>
        <w:tc>
          <w:tcPr>
            <w:tcW w:w="3402" w:type="dxa"/>
            <w:vAlign w:val="center"/>
          </w:tcPr>
          <w:p w14:paraId="3718F1A6"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2481" w:type="dxa"/>
            <w:vAlign w:val="center"/>
          </w:tcPr>
          <w:p w14:paraId="52FB3336"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1.3292</w:t>
            </w:r>
          </w:p>
        </w:tc>
        <w:tc>
          <w:tcPr>
            <w:tcW w:w="2481" w:type="dxa"/>
            <w:vAlign w:val="center"/>
          </w:tcPr>
          <w:p w14:paraId="09E88A84"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1.3248</w:t>
            </w:r>
          </w:p>
        </w:tc>
      </w:tr>
    </w:tbl>
    <w:p w14:paraId="36DE3163" w14:textId="77777777" w:rsidR="0017228B" w:rsidRDefault="008F01E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w:t>
      </w:r>
      <w:r>
        <w:rPr>
          <w:rFonts w:eastAsiaTheme="minorEastAsia"/>
          <w:color w:val="000000" w:themeColor="text1"/>
          <w:sz w:val="24"/>
        </w:rPr>
        <w:t>(</w:t>
      </w:r>
      <w:r>
        <w:rPr>
          <w:rFonts w:eastAsiaTheme="minorEastAsia"/>
          <w:color w:val="000000" w:themeColor="text1"/>
          <w:sz w:val="24"/>
        </w:rPr>
        <w:t>不含公允价值变动收益</w:t>
      </w:r>
      <w:r>
        <w:rPr>
          <w:rFonts w:eastAsiaTheme="minorEastAsia"/>
          <w:color w:val="000000" w:themeColor="text1"/>
          <w:sz w:val="24"/>
        </w:rPr>
        <w:t>)</w:t>
      </w:r>
      <w:r>
        <w:rPr>
          <w:rFonts w:eastAsiaTheme="minorEastAsia"/>
          <w:color w:val="000000" w:themeColor="text1"/>
          <w:sz w:val="24"/>
        </w:rPr>
        <w:t>扣除相关费用后的余额，本期利润为本期已实现收益加上本期公允价值变动收益。</w:t>
      </w:r>
      <w:r>
        <w:rPr>
          <w:rFonts w:eastAsiaTheme="minorEastAsia"/>
          <w:color w:val="000000" w:themeColor="text1"/>
          <w:sz w:val="24"/>
        </w:rPr>
        <w:t xml:space="preserve"> </w:t>
      </w:r>
    </w:p>
    <w:p w14:paraId="05197EC2" w14:textId="77777777" w:rsidR="0017228B" w:rsidRDefault="008F01E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w:t>
      </w:r>
      <w:r>
        <w:rPr>
          <w:rFonts w:eastAsiaTheme="minorEastAsia"/>
          <w:color w:val="000000" w:themeColor="text1"/>
          <w:sz w:val="24"/>
        </w:rPr>
        <w:lastRenderedPageBreak/>
        <w:t>要低于所列数字。</w:t>
      </w:r>
    </w:p>
    <w:p w14:paraId="3E207925" w14:textId="77777777" w:rsidR="0017228B" w:rsidRDefault="0017228B">
      <w:pPr>
        <w:autoSpaceDE w:val="0"/>
        <w:autoSpaceDN w:val="0"/>
        <w:adjustRightInd w:val="0"/>
        <w:spacing w:line="360" w:lineRule="auto"/>
        <w:ind w:firstLineChars="200" w:firstLine="480"/>
        <w:jc w:val="left"/>
        <w:rPr>
          <w:rFonts w:eastAsiaTheme="minorEastAsia"/>
          <w:color w:val="000000" w:themeColor="text1"/>
          <w:sz w:val="24"/>
        </w:rPr>
      </w:pPr>
    </w:p>
    <w:p w14:paraId="7ED461C5" w14:textId="77777777"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 xml:space="preserve"> </w:t>
      </w:r>
    </w:p>
    <w:p w14:paraId="34B7C0E6"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086FF4A0"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14:paraId="4A085306"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14:paraId="3C65F029" w14:textId="77777777"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摩根标普</w:t>
      </w:r>
      <w:r w:rsidRPr="009B0629">
        <w:rPr>
          <w:rFonts w:eastAsiaTheme="minorEastAsia"/>
          <w:b/>
          <w:color w:val="000000" w:themeColor="text1"/>
          <w:kern w:val="0"/>
          <w:sz w:val="24"/>
        </w:rPr>
        <w:t>500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53F222D1" w14:textId="77777777" w:rsidTr="00845292">
        <w:tc>
          <w:tcPr>
            <w:tcW w:w="1290" w:type="dxa"/>
            <w:vAlign w:val="center"/>
          </w:tcPr>
          <w:p w14:paraId="2DBB2CB6"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00AF1777"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5823DF6F"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733F8FCC"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687C6EAE"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08AF06DF"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3DA73D94"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17228B" w14:paraId="3A7BF31B" w14:textId="77777777">
        <w:tc>
          <w:tcPr>
            <w:tcW w:w="1290" w:type="dxa"/>
            <w:vAlign w:val="center"/>
          </w:tcPr>
          <w:p w14:paraId="0B2E93C8" w14:textId="77777777" w:rsidR="0017228B" w:rsidRDefault="008F01EE">
            <w:pPr>
              <w:jc w:val="left"/>
            </w:pPr>
            <w:r>
              <w:rPr>
                <w:rFonts w:eastAsiaTheme="minorEastAsia"/>
                <w:color w:val="000000" w:themeColor="text1"/>
                <w:sz w:val="24"/>
              </w:rPr>
              <w:t>过去三个月</w:t>
            </w:r>
          </w:p>
        </w:tc>
        <w:tc>
          <w:tcPr>
            <w:tcW w:w="1291" w:type="dxa"/>
            <w:vAlign w:val="center"/>
          </w:tcPr>
          <w:p w14:paraId="14E809B2" w14:textId="77777777" w:rsidR="0017228B" w:rsidRDefault="008F01EE">
            <w:pPr>
              <w:jc w:val="right"/>
            </w:pPr>
            <w:r>
              <w:rPr>
                <w:rFonts w:eastAsiaTheme="minorEastAsia"/>
                <w:color w:val="000000" w:themeColor="text1"/>
                <w:sz w:val="24"/>
              </w:rPr>
              <w:t>3.20%</w:t>
            </w:r>
          </w:p>
        </w:tc>
        <w:tc>
          <w:tcPr>
            <w:tcW w:w="1291" w:type="dxa"/>
            <w:vAlign w:val="center"/>
          </w:tcPr>
          <w:p w14:paraId="24C8A152" w14:textId="77777777" w:rsidR="0017228B" w:rsidRDefault="008F01EE">
            <w:pPr>
              <w:jc w:val="right"/>
            </w:pPr>
            <w:r>
              <w:rPr>
                <w:rFonts w:eastAsiaTheme="minorEastAsia"/>
                <w:color w:val="000000" w:themeColor="text1"/>
                <w:sz w:val="24"/>
              </w:rPr>
              <w:t>1.00%</w:t>
            </w:r>
          </w:p>
        </w:tc>
        <w:tc>
          <w:tcPr>
            <w:tcW w:w="1291" w:type="dxa"/>
            <w:vAlign w:val="center"/>
          </w:tcPr>
          <w:p w14:paraId="3FE18E59" w14:textId="77777777" w:rsidR="0017228B" w:rsidRDefault="008F01EE">
            <w:pPr>
              <w:jc w:val="right"/>
            </w:pPr>
            <w:r>
              <w:rPr>
                <w:rFonts w:eastAsiaTheme="minorEastAsia"/>
                <w:color w:val="000000" w:themeColor="text1"/>
                <w:sz w:val="24"/>
              </w:rPr>
              <w:t>3.58%</w:t>
            </w:r>
          </w:p>
        </w:tc>
        <w:tc>
          <w:tcPr>
            <w:tcW w:w="1291" w:type="dxa"/>
            <w:vAlign w:val="center"/>
          </w:tcPr>
          <w:p w14:paraId="4B1EB1B7" w14:textId="77777777" w:rsidR="0017228B" w:rsidRDefault="008F01EE">
            <w:pPr>
              <w:jc w:val="right"/>
            </w:pPr>
            <w:r>
              <w:rPr>
                <w:rFonts w:eastAsiaTheme="minorEastAsia"/>
                <w:color w:val="000000" w:themeColor="text1"/>
                <w:sz w:val="24"/>
              </w:rPr>
              <w:t>1.00%</w:t>
            </w:r>
          </w:p>
        </w:tc>
        <w:tc>
          <w:tcPr>
            <w:tcW w:w="1291" w:type="dxa"/>
            <w:vAlign w:val="center"/>
          </w:tcPr>
          <w:p w14:paraId="73949AF6" w14:textId="77777777" w:rsidR="0017228B" w:rsidRDefault="008F01EE">
            <w:pPr>
              <w:jc w:val="right"/>
            </w:pPr>
            <w:r>
              <w:rPr>
                <w:rFonts w:eastAsiaTheme="minorEastAsia"/>
                <w:color w:val="000000" w:themeColor="text1"/>
                <w:sz w:val="24"/>
              </w:rPr>
              <w:t>-0.38%</w:t>
            </w:r>
          </w:p>
        </w:tc>
        <w:tc>
          <w:tcPr>
            <w:tcW w:w="1291" w:type="dxa"/>
            <w:vAlign w:val="center"/>
          </w:tcPr>
          <w:p w14:paraId="2709B546" w14:textId="77777777" w:rsidR="0017228B" w:rsidRDefault="008F01EE">
            <w:pPr>
              <w:jc w:val="right"/>
            </w:pPr>
            <w:r>
              <w:rPr>
                <w:rFonts w:eastAsiaTheme="minorEastAsia"/>
                <w:color w:val="000000" w:themeColor="text1"/>
                <w:sz w:val="24"/>
              </w:rPr>
              <w:t>0.00%</w:t>
            </w:r>
          </w:p>
        </w:tc>
      </w:tr>
      <w:tr w:rsidR="0017228B" w14:paraId="0190041A" w14:textId="77777777">
        <w:tc>
          <w:tcPr>
            <w:tcW w:w="1290" w:type="dxa"/>
            <w:vAlign w:val="center"/>
          </w:tcPr>
          <w:p w14:paraId="402A20E2" w14:textId="77777777" w:rsidR="0017228B" w:rsidRDefault="008F01EE">
            <w:pPr>
              <w:jc w:val="left"/>
            </w:pPr>
            <w:r>
              <w:rPr>
                <w:rFonts w:eastAsiaTheme="minorEastAsia"/>
                <w:color w:val="000000" w:themeColor="text1"/>
                <w:sz w:val="24"/>
              </w:rPr>
              <w:t>过去六个月</w:t>
            </w:r>
          </w:p>
        </w:tc>
        <w:tc>
          <w:tcPr>
            <w:tcW w:w="1291" w:type="dxa"/>
            <w:vAlign w:val="center"/>
          </w:tcPr>
          <w:p w14:paraId="2B3C6248" w14:textId="77777777" w:rsidR="0017228B" w:rsidRDefault="008F01EE">
            <w:pPr>
              <w:jc w:val="right"/>
            </w:pPr>
            <w:r>
              <w:rPr>
                <w:rFonts w:eastAsiaTheme="minorEastAsia"/>
                <w:color w:val="000000" w:themeColor="text1"/>
                <w:sz w:val="24"/>
              </w:rPr>
              <w:t>6.44%</w:t>
            </w:r>
          </w:p>
        </w:tc>
        <w:tc>
          <w:tcPr>
            <w:tcW w:w="1291" w:type="dxa"/>
            <w:vAlign w:val="center"/>
          </w:tcPr>
          <w:p w14:paraId="46933860" w14:textId="77777777" w:rsidR="0017228B" w:rsidRDefault="008F01EE">
            <w:pPr>
              <w:jc w:val="right"/>
            </w:pPr>
            <w:r>
              <w:rPr>
                <w:rFonts w:eastAsiaTheme="minorEastAsia"/>
                <w:color w:val="000000" w:themeColor="text1"/>
                <w:sz w:val="24"/>
              </w:rPr>
              <w:t>0.85%</w:t>
            </w:r>
          </w:p>
        </w:tc>
        <w:tc>
          <w:tcPr>
            <w:tcW w:w="1291" w:type="dxa"/>
            <w:vAlign w:val="center"/>
          </w:tcPr>
          <w:p w14:paraId="18E69B03" w14:textId="77777777" w:rsidR="0017228B" w:rsidRDefault="008F01EE">
            <w:pPr>
              <w:jc w:val="right"/>
            </w:pPr>
            <w:r>
              <w:rPr>
                <w:rFonts w:eastAsiaTheme="minorEastAsia"/>
                <w:color w:val="000000" w:themeColor="text1"/>
                <w:sz w:val="24"/>
              </w:rPr>
              <w:t>7.91%</w:t>
            </w:r>
          </w:p>
        </w:tc>
        <w:tc>
          <w:tcPr>
            <w:tcW w:w="1291" w:type="dxa"/>
            <w:vAlign w:val="center"/>
          </w:tcPr>
          <w:p w14:paraId="61D5774A" w14:textId="77777777" w:rsidR="0017228B" w:rsidRDefault="008F01EE">
            <w:pPr>
              <w:jc w:val="right"/>
            </w:pPr>
            <w:r>
              <w:rPr>
                <w:rFonts w:eastAsiaTheme="minorEastAsia"/>
                <w:color w:val="000000" w:themeColor="text1"/>
                <w:sz w:val="24"/>
              </w:rPr>
              <w:t>0.85%</w:t>
            </w:r>
          </w:p>
        </w:tc>
        <w:tc>
          <w:tcPr>
            <w:tcW w:w="1291" w:type="dxa"/>
            <w:vAlign w:val="center"/>
          </w:tcPr>
          <w:p w14:paraId="554E2A5F" w14:textId="77777777" w:rsidR="0017228B" w:rsidRDefault="008F01EE">
            <w:pPr>
              <w:jc w:val="right"/>
            </w:pPr>
            <w:r>
              <w:rPr>
                <w:rFonts w:eastAsiaTheme="minorEastAsia"/>
                <w:color w:val="000000" w:themeColor="text1"/>
                <w:sz w:val="24"/>
              </w:rPr>
              <w:t>-1.47%</w:t>
            </w:r>
          </w:p>
        </w:tc>
        <w:tc>
          <w:tcPr>
            <w:tcW w:w="1291" w:type="dxa"/>
            <w:vAlign w:val="center"/>
          </w:tcPr>
          <w:p w14:paraId="32BC6C35" w14:textId="77777777" w:rsidR="0017228B" w:rsidRDefault="008F01EE">
            <w:pPr>
              <w:jc w:val="right"/>
            </w:pPr>
            <w:r>
              <w:rPr>
                <w:rFonts w:eastAsiaTheme="minorEastAsia"/>
                <w:color w:val="000000" w:themeColor="text1"/>
                <w:sz w:val="24"/>
              </w:rPr>
              <w:t>0.00%</w:t>
            </w:r>
          </w:p>
        </w:tc>
      </w:tr>
      <w:tr w:rsidR="0017228B" w14:paraId="6EC8E8A3" w14:textId="77777777">
        <w:tc>
          <w:tcPr>
            <w:tcW w:w="1290" w:type="dxa"/>
            <w:vAlign w:val="center"/>
          </w:tcPr>
          <w:p w14:paraId="0CF9FA91" w14:textId="77777777" w:rsidR="0017228B" w:rsidRDefault="008F01EE">
            <w:pPr>
              <w:jc w:val="left"/>
            </w:pPr>
            <w:r>
              <w:rPr>
                <w:rFonts w:eastAsiaTheme="minorEastAsia"/>
                <w:color w:val="000000" w:themeColor="text1"/>
                <w:sz w:val="24"/>
              </w:rPr>
              <w:t>过去一年</w:t>
            </w:r>
          </w:p>
        </w:tc>
        <w:tc>
          <w:tcPr>
            <w:tcW w:w="1291" w:type="dxa"/>
            <w:vAlign w:val="center"/>
          </w:tcPr>
          <w:p w14:paraId="6D0E4B17" w14:textId="77777777" w:rsidR="0017228B" w:rsidRDefault="008F01EE">
            <w:pPr>
              <w:jc w:val="right"/>
            </w:pPr>
            <w:r>
              <w:rPr>
                <w:rFonts w:eastAsiaTheme="minorEastAsia"/>
                <w:color w:val="000000" w:themeColor="text1"/>
                <w:sz w:val="24"/>
              </w:rPr>
              <w:t>25.84%</w:t>
            </w:r>
          </w:p>
        </w:tc>
        <w:tc>
          <w:tcPr>
            <w:tcW w:w="1291" w:type="dxa"/>
            <w:vAlign w:val="center"/>
          </w:tcPr>
          <w:p w14:paraId="5863A275" w14:textId="77777777" w:rsidR="0017228B" w:rsidRDefault="008F01EE">
            <w:pPr>
              <w:jc w:val="right"/>
            </w:pPr>
            <w:r>
              <w:rPr>
                <w:rFonts w:eastAsiaTheme="minorEastAsia"/>
                <w:color w:val="000000" w:themeColor="text1"/>
                <w:sz w:val="24"/>
              </w:rPr>
              <w:t>0.76%</w:t>
            </w:r>
          </w:p>
        </w:tc>
        <w:tc>
          <w:tcPr>
            <w:tcW w:w="1291" w:type="dxa"/>
            <w:vAlign w:val="center"/>
          </w:tcPr>
          <w:p w14:paraId="015C56B9" w14:textId="77777777" w:rsidR="0017228B" w:rsidRDefault="008F01EE">
            <w:pPr>
              <w:jc w:val="right"/>
            </w:pPr>
            <w:r>
              <w:rPr>
                <w:rFonts w:eastAsiaTheme="minorEastAsia"/>
                <w:color w:val="000000" w:themeColor="text1"/>
                <w:sz w:val="24"/>
              </w:rPr>
              <w:t>29.62%</w:t>
            </w:r>
          </w:p>
        </w:tc>
        <w:tc>
          <w:tcPr>
            <w:tcW w:w="1291" w:type="dxa"/>
            <w:vAlign w:val="center"/>
          </w:tcPr>
          <w:p w14:paraId="4E77A01E" w14:textId="77777777" w:rsidR="0017228B" w:rsidRDefault="008F01EE">
            <w:pPr>
              <w:jc w:val="right"/>
            </w:pPr>
            <w:r>
              <w:rPr>
                <w:rFonts w:eastAsiaTheme="minorEastAsia"/>
                <w:color w:val="000000" w:themeColor="text1"/>
                <w:sz w:val="24"/>
              </w:rPr>
              <w:t>0.77%</w:t>
            </w:r>
          </w:p>
        </w:tc>
        <w:tc>
          <w:tcPr>
            <w:tcW w:w="1291" w:type="dxa"/>
            <w:vAlign w:val="center"/>
          </w:tcPr>
          <w:p w14:paraId="5E467F7B" w14:textId="77777777" w:rsidR="0017228B" w:rsidRDefault="008F01EE">
            <w:pPr>
              <w:jc w:val="right"/>
            </w:pPr>
            <w:r>
              <w:rPr>
                <w:rFonts w:eastAsiaTheme="minorEastAsia"/>
                <w:color w:val="000000" w:themeColor="text1"/>
                <w:sz w:val="24"/>
              </w:rPr>
              <w:t>-3.78%</w:t>
            </w:r>
          </w:p>
        </w:tc>
        <w:tc>
          <w:tcPr>
            <w:tcW w:w="1291" w:type="dxa"/>
            <w:vAlign w:val="center"/>
          </w:tcPr>
          <w:p w14:paraId="51957C28" w14:textId="77777777" w:rsidR="0017228B" w:rsidRDefault="008F01EE">
            <w:pPr>
              <w:jc w:val="right"/>
            </w:pPr>
            <w:r>
              <w:rPr>
                <w:rFonts w:eastAsiaTheme="minorEastAsia"/>
                <w:color w:val="000000" w:themeColor="text1"/>
                <w:sz w:val="24"/>
              </w:rPr>
              <w:t>-0.01%</w:t>
            </w:r>
          </w:p>
        </w:tc>
      </w:tr>
      <w:tr w:rsidR="0017228B" w14:paraId="52AED931" w14:textId="77777777">
        <w:tc>
          <w:tcPr>
            <w:tcW w:w="1290" w:type="dxa"/>
            <w:vAlign w:val="center"/>
          </w:tcPr>
          <w:p w14:paraId="2C91BAD0" w14:textId="77777777" w:rsidR="0017228B" w:rsidRDefault="008F01EE">
            <w:pPr>
              <w:jc w:val="left"/>
            </w:pPr>
            <w:r>
              <w:rPr>
                <w:rFonts w:eastAsiaTheme="minorEastAsia"/>
                <w:color w:val="000000" w:themeColor="text1"/>
                <w:sz w:val="24"/>
              </w:rPr>
              <w:t>过去三年</w:t>
            </w:r>
          </w:p>
        </w:tc>
        <w:tc>
          <w:tcPr>
            <w:tcW w:w="1291" w:type="dxa"/>
            <w:vAlign w:val="center"/>
          </w:tcPr>
          <w:p w14:paraId="6DB8924E" w14:textId="77777777" w:rsidR="0017228B" w:rsidRDefault="008F01EE">
            <w:pPr>
              <w:jc w:val="right"/>
            </w:pPr>
            <w:r>
              <w:rPr>
                <w:rFonts w:eastAsiaTheme="minorEastAsia"/>
                <w:color w:val="000000" w:themeColor="text1"/>
                <w:sz w:val="24"/>
              </w:rPr>
              <w:t>-</w:t>
            </w:r>
          </w:p>
        </w:tc>
        <w:tc>
          <w:tcPr>
            <w:tcW w:w="1291" w:type="dxa"/>
            <w:vAlign w:val="center"/>
          </w:tcPr>
          <w:p w14:paraId="5CD1A4E2" w14:textId="77777777" w:rsidR="0017228B" w:rsidRDefault="008F01EE">
            <w:pPr>
              <w:jc w:val="right"/>
            </w:pPr>
            <w:r>
              <w:rPr>
                <w:rFonts w:eastAsiaTheme="minorEastAsia"/>
                <w:color w:val="000000" w:themeColor="text1"/>
                <w:sz w:val="24"/>
              </w:rPr>
              <w:t>-</w:t>
            </w:r>
          </w:p>
        </w:tc>
        <w:tc>
          <w:tcPr>
            <w:tcW w:w="1291" w:type="dxa"/>
            <w:vAlign w:val="center"/>
          </w:tcPr>
          <w:p w14:paraId="71AF5754" w14:textId="77777777" w:rsidR="0017228B" w:rsidRDefault="008F01EE">
            <w:pPr>
              <w:jc w:val="right"/>
            </w:pPr>
            <w:r>
              <w:rPr>
                <w:rFonts w:eastAsiaTheme="minorEastAsia"/>
                <w:color w:val="000000" w:themeColor="text1"/>
                <w:sz w:val="24"/>
              </w:rPr>
              <w:t>-</w:t>
            </w:r>
          </w:p>
        </w:tc>
        <w:tc>
          <w:tcPr>
            <w:tcW w:w="1291" w:type="dxa"/>
            <w:vAlign w:val="center"/>
          </w:tcPr>
          <w:p w14:paraId="6EB61A90" w14:textId="77777777" w:rsidR="0017228B" w:rsidRDefault="008F01EE">
            <w:pPr>
              <w:jc w:val="right"/>
            </w:pPr>
            <w:r>
              <w:rPr>
                <w:rFonts w:eastAsiaTheme="minorEastAsia"/>
                <w:color w:val="000000" w:themeColor="text1"/>
                <w:sz w:val="24"/>
              </w:rPr>
              <w:t>-</w:t>
            </w:r>
          </w:p>
        </w:tc>
        <w:tc>
          <w:tcPr>
            <w:tcW w:w="1291" w:type="dxa"/>
            <w:vAlign w:val="center"/>
          </w:tcPr>
          <w:p w14:paraId="5B25F9A0" w14:textId="77777777" w:rsidR="0017228B" w:rsidRDefault="008F01EE">
            <w:pPr>
              <w:jc w:val="right"/>
            </w:pPr>
            <w:r>
              <w:rPr>
                <w:rFonts w:eastAsiaTheme="minorEastAsia"/>
                <w:color w:val="000000" w:themeColor="text1"/>
                <w:sz w:val="24"/>
              </w:rPr>
              <w:t>-</w:t>
            </w:r>
          </w:p>
        </w:tc>
        <w:tc>
          <w:tcPr>
            <w:tcW w:w="1291" w:type="dxa"/>
            <w:vAlign w:val="center"/>
          </w:tcPr>
          <w:p w14:paraId="5AE65DF1" w14:textId="77777777" w:rsidR="0017228B" w:rsidRDefault="008F01EE">
            <w:pPr>
              <w:jc w:val="right"/>
            </w:pPr>
            <w:r>
              <w:rPr>
                <w:rFonts w:eastAsiaTheme="minorEastAsia"/>
                <w:color w:val="000000" w:themeColor="text1"/>
                <w:sz w:val="24"/>
              </w:rPr>
              <w:t>-</w:t>
            </w:r>
          </w:p>
        </w:tc>
      </w:tr>
      <w:tr w:rsidR="0017228B" w14:paraId="65BFF9CC" w14:textId="77777777">
        <w:tc>
          <w:tcPr>
            <w:tcW w:w="1290" w:type="dxa"/>
            <w:vAlign w:val="center"/>
          </w:tcPr>
          <w:p w14:paraId="18CF0332" w14:textId="77777777" w:rsidR="0017228B" w:rsidRDefault="008F01EE">
            <w:pPr>
              <w:jc w:val="left"/>
            </w:pPr>
            <w:r>
              <w:rPr>
                <w:rFonts w:eastAsiaTheme="minorEastAsia"/>
                <w:color w:val="000000" w:themeColor="text1"/>
                <w:sz w:val="24"/>
              </w:rPr>
              <w:t>过去五年</w:t>
            </w:r>
          </w:p>
        </w:tc>
        <w:tc>
          <w:tcPr>
            <w:tcW w:w="1291" w:type="dxa"/>
            <w:vAlign w:val="center"/>
          </w:tcPr>
          <w:p w14:paraId="58BA5933" w14:textId="77777777" w:rsidR="0017228B" w:rsidRDefault="008F01EE">
            <w:pPr>
              <w:jc w:val="right"/>
            </w:pPr>
            <w:r>
              <w:rPr>
                <w:rFonts w:eastAsiaTheme="minorEastAsia"/>
                <w:color w:val="000000" w:themeColor="text1"/>
                <w:sz w:val="24"/>
              </w:rPr>
              <w:t>-</w:t>
            </w:r>
          </w:p>
        </w:tc>
        <w:tc>
          <w:tcPr>
            <w:tcW w:w="1291" w:type="dxa"/>
            <w:vAlign w:val="center"/>
          </w:tcPr>
          <w:p w14:paraId="7FFCD0AA" w14:textId="77777777" w:rsidR="0017228B" w:rsidRDefault="008F01EE">
            <w:pPr>
              <w:jc w:val="right"/>
            </w:pPr>
            <w:r>
              <w:rPr>
                <w:rFonts w:eastAsiaTheme="minorEastAsia"/>
                <w:color w:val="000000" w:themeColor="text1"/>
                <w:sz w:val="24"/>
              </w:rPr>
              <w:t>-</w:t>
            </w:r>
          </w:p>
        </w:tc>
        <w:tc>
          <w:tcPr>
            <w:tcW w:w="1291" w:type="dxa"/>
            <w:vAlign w:val="center"/>
          </w:tcPr>
          <w:p w14:paraId="20DE137A" w14:textId="77777777" w:rsidR="0017228B" w:rsidRDefault="008F01EE">
            <w:pPr>
              <w:jc w:val="right"/>
            </w:pPr>
            <w:r>
              <w:rPr>
                <w:rFonts w:eastAsiaTheme="minorEastAsia"/>
                <w:color w:val="000000" w:themeColor="text1"/>
                <w:sz w:val="24"/>
              </w:rPr>
              <w:t>-</w:t>
            </w:r>
          </w:p>
        </w:tc>
        <w:tc>
          <w:tcPr>
            <w:tcW w:w="1291" w:type="dxa"/>
            <w:vAlign w:val="center"/>
          </w:tcPr>
          <w:p w14:paraId="029E03C5" w14:textId="77777777" w:rsidR="0017228B" w:rsidRDefault="008F01EE">
            <w:pPr>
              <w:jc w:val="right"/>
            </w:pPr>
            <w:r>
              <w:rPr>
                <w:rFonts w:eastAsiaTheme="minorEastAsia"/>
                <w:color w:val="000000" w:themeColor="text1"/>
                <w:sz w:val="24"/>
              </w:rPr>
              <w:t>-</w:t>
            </w:r>
          </w:p>
        </w:tc>
        <w:tc>
          <w:tcPr>
            <w:tcW w:w="1291" w:type="dxa"/>
            <w:vAlign w:val="center"/>
          </w:tcPr>
          <w:p w14:paraId="030344E2" w14:textId="77777777" w:rsidR="0017228B" w:rsidRDefault="008F01EE">
            <w:pPr>
              <w:jc w:val="right"/>
            </w:pPr>
            <w:r>
              <w:rPr>
                <w:rFonts w:eastAsiaTheme="minorEastAsia"/>
                <w:color w:val="000000" w:themeColor="text1"/>
                <w:sz w:val="24"/>
              </w:rPr>
              <w:t>-</w:t>
            </w:r>
          </w:p>
        </w:tc>
        <w:tc>
          <w:tcPr>
            <w:tcW w:w="1291" w:type="dxa"/>
            <w:vAlign w:val="center"/>
          </w:tcPr>
          <w:p w14:paraId="2F763AF1" w14:textId="77777777" w:rsidR="0017228B" w:rsidRDefault="008F01EE">
            <w:pPr>
              <w:jc w:val="right"/>
            </w:pPr>
            <w:r>
              <w:rPr>
                <w:rFonts w:eastAsiaTheme="minorEastAsia"/>
                <w:color w:val="000000" w:themeColor="text1"/>
                <w:sz w:val="24"/>
              </w:rPr>
              <w:t>-</w:t>
            </w:r>
          </w:p>
        </w:tc>
      </w:tr>
      <w:tr w:rsidR="0017228B" w14:paraId="006D9796" w14:textId="77777777">
        <w:tc>
          <w:tcPr>
            <w:tcW w:w="1290" w:type="dxa"/>
            <w:vAlign w:val="center"/>
          </w:tcPr>
          <w:p w14:paraId="10DEFFE6" w14:textId="77777777" w:rsidR="0017228B" w:rsidRDefault="008F01EE">
            <w:pPr>
              <w:jc w:val="left"/>
            </w:pPr>
            <w:r>
              <w:rPr>
                <w:rFonts w:eastAsiaTheme="minorEastAsia"/>
                <w:color w:val="000000" w:themeColor="text1"/>
                <w:sz w:val="24"/>
              </w:rPr>
              <w:t>自基金合同生效起至今</w:t>
            </w:r>
          </w:p>
        </w:tc>
        <w:tc>
          <w:tcPr>
            <w:tcW w:w="1291" w:type="dxa"/>
            <w:vAlign w:val="center"/>
          </w:tcPr>
          <w:p w14:paraId="560BC689" w14:textId="77777777" w:rsidR="0017228B" w:rsidRDefault="008F01EE">
            <w:pPr>
              <w:jc w:val="right"/>
            </w:pPr>
            <w:r>
              <w:rPr>
                <w:rFonts w:eastAsiaTheme="minorEastAsia"/>
                <w:color w:val="000000" w:themeColor="text1"/>
                <w:sz w:val="24"/>
              </w:rPr>
              <w:t>32.92%</w:t>
            </w:r>
          </w:p>
        </w:tc>
        <w:tc>
          <w:tcPr>
            <w:tcW w:w="1291" w:type="dxa"/>
            <w:vAlign w:val="center"/>
          </w:tcPr>
          <w:p w14:paraId="1CCC6783" w14:textId="77777777" w:rsidR="0017228B" w:rsidRDefault="008F01EE">
            <w:pPr>
              <w:jc w:val="right"/>
            </w:pPr>
            <w:r>
              <w:rPr>
                <w:rFonts w:eastAsiaTheme="minorEastAsia"/>
                <w:color w:val="000000" w:themeColor="text1"/>
                <w:sz w:val="24"/>
              </w:rPr>
              <w:t>0.73%</w:t>
            </w:r>
          </w:p>
        </w:tc>
        <w:tc>
          <w:tcPr>
            <w:tcW w:w="1291" w:type="dxa"/>
            <w:vAlign w:val="center"/>
          </w:tcPr>
          <w:p w14:paraId="68ABDC16" w14:textId="77777777" w:rsidR="0017228B" w:rsidRDefault="008F01EE">
            <w:pPr>
              <w:jc w:val="right"/>
            </w:pPr>
            <w:r>
              <w:rPr>
                <w:rFonts w:eastAsiaTheme="minorEastAsia"/>
                <w:color w:val="000000" w:themeColor="text1"/>
                <w:sz w:val="24"/>
              </w:rPr>
              <w:t>41.20%</w:t>
            </w:r>
          </w:p>
        </w:tc>
        <w:tc>
          <w:tcPr>
            <w:tcW w:w="1291" w:type="dxa"/>
            <w:vAlign w:val="center"/>
          </w:tcPr>
          <w:p w14:paraId="24272D7B" w14:textId="77777777" w:rsidR="0017228B" w:rsidRDefault="008F01EE">
            <w:pPr>
              <w:jc w:val="right"/>
            </w:pPr>
            <w:r>
              <w:rPr>
                <w:rFonts w:eastAsiaTheme="minorEastAsia"/>
                <w:color w:val="000000" w:themeColor="text1"/>
                <w:sz w:val="24"/>
              </w:rPr>
              <w:t>0.76%</w:t>
            </w:r>
          </w:p>
        </w:tc>
        <w:tc>
          <w:tcPr>
            <w:tcW w:w="1291" w:type="dxa"/>
            <w:vAlign w:val="center"/>
          </w:tcPr>
          <w:p w14:paraId="0E089A55" w14:textId="77777777" w:rsidR="0017228B" w:rsidRDefault="008F01EE">
            <w:pPr>
              <w:jc w:val="right"/>
            </w:pPr>
            <w:r>
              <w:rPr>
                <w:rFonts w:eastAsiaTheme="minorEastAsia"/>
                <w:color w:val="000000" w:themeColor="text1"/>
                <w:sz w:val="24"/>
              </w:rPr>
              <w:t>-8.28%</w:t>
            </w:r>
          </w:p>
        </w:tc>
        <w:tc>
          <w:tcPr>
            <w:tcW w:w="1291" w:type="dxa"/>
            <w:vAlign w:val="center"/>
          </w:tcPr>
          <w:p w14:paraId="7B156FC3" w14:textId="77777777" w:rsidR="0017228B" w:rsidRDefault="008F01EE">
            <w:pPr>
              <w:jc w:val="right"/>
            </w:pPr>
            <w:r>
              <w:rPr>
                <w:rFonts w:eastAsiaTheme="minorEastAsia"/>
                <w:color w:val="000000" w:themeColor="text1"/>
                <w:sz w:val="24"/>
              </w:rPr>
              <w:t>-0.03%</w:t>
            </w:r>
          </w:p>
        </w:tc>
      </w:tr>
    </w:tbl>
    <w:p w14:paraId="075CFFD5" w14:textId="77777777"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摩根标普</w:t>
      </w:r>
      <w:r w:rsidRPr="009B0629">
        <w:rPr>
          <w:rFonts w:eastAsiaTheme="minorEastAsia"/>
          <w:b/>
          <w:color w:val="000000" w:themeColor="text1"/>
          <w:kern w:val="0"/>
          <w:sz w:val="24"/>
        </w:rPr>
        <w:t>500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62B1F115" w14:textId="77777777" w:rsidTr="00845292">
        <w:tc>
          <w:tcPr>
            <w:tcW w:w="1290" w:type="dxa"/>
            <w:vAlign w:val="center"/>
          </w:tcPr>
          <w:p w14:paraId="15CF338C"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48F9446F"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1DC32BDB"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63764454"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4B282734"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5E74C3D1"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4088FF2B"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17228B" w14:paraId="2D7F8EEE" w14:textId="77777777">
        <w:tc>
          <w:tcPr>
            <w:tcW w:w="1290" w:type="dxa"/>
            <w:vAlign w:val="center"/>
          </w:tcPr>
          <w:p w14:paraId="5F7A9203" w14:textId="77777777" w:rsidR="0017228B" w:rsidRDefault="008F01EE">
            <w:pPr>
              <w:jc w:val="left"/>
            </w:pPr>
            <w:r>
              <w:rPr>
                <w:rFonts w:eastAsiaTheme="minorEastAsia"/>
                <w:color w:val="000000" w:themeColor="text1"/>
                <w:sz w:val="24"/>
              </w:rPr>
              <w:t>过去三个月</w:t>
            </w:r>
          </w:p>
        </w:tc>
        <w:tc>
          <w:tcPr>
            <w:tcW w:w="1291" w:type="dxa"/>
            <w:vAlign w:val="center"/>
          </w:tcPr>
          <w:p w14:paraId="7C405FB1" w14:textId="77777777" w:rsidR="0017228B" w:rsidRDefault="008F01EE">
            <w:pPr>
              <w:jc w:val="right"/>
            </w:pPr>
            <w:r>
              <w:rPr>
                <w:rFonts w:eastAsiaTheme="minorEastAsia"/>
                <w:color w:val="000000" w:themeColor="text1"/>
                <w:sz w:val="24"/>
              </w:rPr>
              <w:t>3.13%</w:t>
            </w:r>
          </w:p>
        </w:tc>
        <w:tc>
          <w:tcPr>
            <w:tcW w:w="1291" w:type="dxa"/>
            <w:vAlign w:val="center"/>
          </w:tcPr>
          <w:p w14:paraId="4CA40B00" w14:textId="77777777" w:rsidR="0017228B" w:rsidRDefault="008F01EE">
            <w:pPr>
              <w:jc w:val="right"/>
            </w:pPr>
            <w:r>
              <w:rPr>
                <w:rFonts w:eastAsiaTheme="minorEastAsia"/>
                <w:color w:val="000000" w:themeColor="text1"/>
                <w:sz w:val="24"/>
              </w:rPr>
              <w:t>1.00%</w:t>
            </w:r>
          </w:p>
        </w:tc>
        <w:tc>
          <w:tcPr>
            <w:tcW w:w="1291" w:type="dxa"/>
            <w:vAlign w:val="center"/>
          </w:tcPr>
          <w:p w14:paraId="4C46E906" w14:textId="77777777" w:rsidR="0017228B" w:rsidRDefault="008F01EE">
            <w:pPr>
              <w:jc w:val="right"/>
            </w:pPr>
            <w:r>
              <w:rPr>
                <w:rFonts w:eastAsiaTheme="minorEastAsia"/>
                <w:color w:val="000000" w:themeColor="text1"/>
                <w:sz w:val="24"/>
              </w:rPr>
              <w:t>3.58%</w:t>
            </w:r>
          </w:p>
        </w:tc>
        <w:tc>
          <w:tcPr>
            <w:tcW w:w="1291" w:type="dxa"/>
            <w:vAlign w:val="center"/>
          </w:tcPr>
          <w:p w14:paraId="576665D8" w14:textId="77777777" w:rsidR="0017228B" w:rsidRDefault="008F01EE">
            <w:pPr>
              <w:jc w:val="right"/>
            </w:pPr>
            <w:r>
              <w:rPr>
                <w:rFonts w:eastAsiaTheme="minorEastAsia"/>
                <w:color w:val="000000" w:themeColor="text1"/>
                <w:sz w:val="24"/>
              </w:rPr>
              <w:t>1.00%</w:t>
            </w:r>
          </w:p>
        </w:tc>
        <w:tc>
          <w:tcPr>
            <w:tcW w:w="1291" w:type="dxa"/>
            <w:vAlign w:val="center"/>
          </w:tcPr>
          <w:p w14:paraId="0E5DE112" w14:textId="77777777" w:rsidR="0017228B" w:rsidRDefault="008F01EE">
            <w:pPr>
              <w:jc w:val="right"/>
            </w:pPr>
            <w:r>
              <w:rPr>
                <w:rFonts w:eastAsiaTheme="minorEastAsia"/>
                <w:color w:val="000000" w:themeColor="text1"/>
                <w:sz w:val="24"/>
              </w:rPr>
              <w:t>-0.45%</w:t>
            </w:r>
          </w:p>
        </w:tc>
        <w:tc>
          <w:tcPr>
            <w:tcW w:w="1291" w:type="dxa"/>
            <w:vAlign w:val="center"/>
          </w:tcPr>
          <w:p w14:paraId="42901B99" w14:textId="77777777" w:rsidR="0017228B" w:rsidRDefault="008F01EE">
            <w:pPr>
              <w:jc w:val="right"/>
            </w:pPr>
            <w:r>
              <w:rPr>
                <w:rFonts w:eastAsiaTheme="minorEastAsia"/>
                <w:color w:val="000000" w:themeColor="text1"/>
                <w:sz w:val="24"/>
              </w:rPr>
              <w:t>0.00%</w:t>
            </w:r>
          </w:p>
        </w:tc>
      </w:tr>
      <w:tr w:rsidR="0017228B" w14:paraId="0D75BA91" w14:textId="77777777">
        <w:tc>
          <w:tcPr>
            <w:tcW w:w="1290" w:type="dxa"/>
            <w:vAlign w:val="center"/>
          </w:tcPr>
          <w:p w14:paraId="119B0BD8" w14:textId="77777777" w:rsidR="0017228B" w:rsidRDefault="008F01EE">
            <w:pPr>
              <w:jc w:val="left"/>
            </w:pPr>
            <w:r>
              <w:rPr>
                <w:rFonts w:eastAsiaTheme="minorEastAsia"/>
                <w:color w:val="000000" w:themeColor="text1"/>
                <w:sz w:val="24"/>
              </w:rPr>
              <w:t>过去六个月</w:t>
            </w:r>
          </w:p>
        </w:tc>
        <w:tc>
          <w:tcPr>
            <w:tcW w:w="1291" w:type="dxa"/>
            <w:vAlign w:val="center"/>
          </w:tcPr>
          <w:p w14:paraId="0422069C" w14:textId="77777777" w:rsidR="0017228B" w:rsidRDefault="008F01EE">
            <w:pPr>
              <w:jc w:val="right"/>
            </w:pPr>
            <w:r>
              <w:rPr>
                <w:rFonts w:eastAsiaTheme="minorEastAsia"/>
                <w:color w:val="000000" w:themeColor="text1"/>
                <w:sz w:val="24"/>
              </w:rPr>
              <w:t>6.27%</w:t>
            </w:r>
          </w:p>
        </w:tc>
        <w:tc>
          <w:tcPr>
            <w:tcW w:w="1291" w:type="dxa"/>
            <w:vAlign w:val="center"/>
          </w:tcPr>
          <w:p w14:paraId="2864376F" w14:textId="77777777" w:rsidR="0017228B" w:rsidRDefault="008F01EE">
            <w:pPr>
              <w:jc w:val="right"/>
            </w:pPr>
            <w:r>
              <w:rPr>
                <w:rFonts w:eastAsiaTheme="minorEastAsia"/>
                <w:color w:val="000000" w:themeColor="text1"/>
                <w:sz w:val="24"/>
              </w:rPr>
              <w:t>0.85%</w:t>
            </w:r>
          </w:p>
        </w:tc>
        <w:tc>
          <w:tcPr>
            <w:tcW w:w="1291" w:type="dxa"/>
            <w:vAlign w:val="center"/>
          </w:tcPr>
          <w:p w14:paraId="27AF6FF9" w14:textId="77777777" w:rsidR="0017228B" w:rsidRDefault="008F01EE">
            <w:pPr>
              <w:jc w:val="right"/>
            </w:pPr>
            <w:r>
              <w:rPr>
                <w:rFonts w:eastAsiaTheme="minorEastAsia"/>
                <w:color w:val="000000" w:themeColor="text1"/>
                <w:sz w:val="24"/>
              </w:rPr>
              <w:t>7.91%</w:t>
            </w:r>
          </w:p>
        </w:tc>
        <w:tc>
          <w:tcPr>
            <w:tcW w:w="1291" w:type="dxa"/>
            <w:vAlign w:val="center"/>
          </w:tcPr>
          <w:p w14:paraId="10676459" w14:textId="77777777" w:rsidR="0017228B" w:rsidRDefault="008F01EE">
            <w:pPr>
              <w:jc w:val="right"/>
            </w:pPr>
            <w:r>
              <w:rPr>
                <w:rFonts w:eastAsiaTheme="minorEastAsia"/>
                <w:color w:val="000000" w:themeColor="text1"/>
                <w:sz w:val="24"/>
              </w:rPr>
              <w:t>0.85%</w:t>
            </w:r>
          </w:p>
        </w:tc>
        <w:tc>
          <w:tcPr>
            <w:tcW w:w="1291" w:type="dxa"/>
            <w:vAlign w:val="center"/>
          </w:tcPr>
          <w:p w14:paraId="69816958" w14:textId="77777777" w:rsidR="0017228B" w:rsidRDefault="008F01EE">
            <w:pPr>
              <w:jc w:val="right"/>
            </w:pPr>
            <w:r>
              <w:rPr>
                <w:rFonts w:eastAsiaTheme="minorEastAsia"/>
                <w:color w:val="000000" w:themeColor="text1"/>
                <w:sz w:val="24"/>
              </w:rPr>
              <w:t>-1.64%</w:t>
            </w:r>
          </w:p>
        </w:tc>
        <w:tc>
          <w:tcPr>
            <w:tcW w:w="1291" w:type="dxa"/>
            <w:vAlign w:val="center"/>
          </w:tcPr>
          <w:p w14:paraId="24B34BF5" w14:textId="77777777" w:rsidR="0017228B" w:rsidRDefault="008F01EE">
            <w:pPr>
              <w:jc w:val="right"/>
            </w:pPr>
            <w:r>
              <w:rPr>
                <w:rFonts w:eastAsiaTheme="minorEastAsia"/>
                <w:color w:val="000000" w:themeColor="text1"/>
                <w:sz w:val="24"/>
              </w:rPr>
              <w:t>0.00%</w:t>
            </w:r>
          </w:p>
        </w:tc>
      </w:tr>
      <w:tr w:rsidR="0017228B" w14:paraId="77F00F97" w14:textId="77777777">
        <w:tc>
          <w:tcPr>
            <w:tcW w:w="1290" w:type="dxa"/>
            <w:vAlign w:val="center"/>
          </w:tcPr>
          <w:p w14:paraId="788307DE" w14:textId="77777777" w:rsidR="0017228B" w:rsidRDefault="008F01EE">
            <w:pPr>
              <w:jc w:val="left"/>
            </w:pPr>
            <w:r>
              <w:rPr>
                <w:rFonts w:eastAsiaTheme="minorEastAsia"/>
                <w:color w:val="000000" w:themeColor="text1"/>
                <w:sz w:val="24"/>
              </w:rPr>
              <w:t>过去一年</w:t>
            </w:r>
          </w:p>
        </w:tc>
        <w:tc>
          <w:tcPr>
            <w:tcW w:w="1291" w:type="dxa"/>
            <w:vAlign w:val="center"/>
          </w:tcPr>
          <w:p w14:paraId="55D1BC85" w14:textId="77777777" w:rsidR="0017228B" w:rsidRDefault="008F01EE">
            <w:pPr>
              <w:jc w:val="right"/>
            </w:pPr>
            <w:r>
              <w:rPr>
                <w:rFonts w:eastAsiaTheme="minorEastAsia"/>
                <w:color w:val="000000" w:themeColor="text1"/>
                <w:sz w:val="24"/>
              </w:rPr>
              <w:t>25.45%</w:t>
            </w:r>
          </w:p>
        </w:tc>
        <w:tc>
          <w:tcPr>
            <w:tcW w:w="1291" w:type="dxa"/>
            <w:vAlign w:val="center"/>
          </w:tcPr>
          <w:p w14:paraId="6A3A114E" w14:textId="77777777" w:rsidR="0017228B" w:rsidRDefault="008F01EE">
            <w:pPr>
              <w:jc w:val="right"/>
            </w:pPr>
            <w:r>
              <w:rPr>
                <w:rFonts w:eastAsiaTheme="minorEastAsia"/>
                <w:color w:val="000000" w:themeColor="text1"/>
                <w:sz w:val="24"/>
              </w:rPr>
              <w:t>0.76%</w:t>
            </w:r>
          </w:p>
        </w:tc>
        <w:tc>
          <w:tcPr>
            <w:tcW w:w="1291" w:type="dxa"/>
            <w:vAlign w:val="center"/>
          </w:tcPr>
          <w:p w14:paraId="50B6D91E" w14:textId="77777777" w:rsidR="0017228B" w:rsidRDefault="008F01EE">
            <w:pPr>
              <w:jc w:val="right"/>
            </w:pPr>
            <w:r>
              <w:rPr>
                <w:rFonts w:eastAsiaTheme="minorEastAsia"/>
                <w:color w:val="000000" w:themeColor="text1"/>
                <w:sz w:val="24"/>
              </w:rPr>
              <w:t>29.62%</w:t>
            </w:r>
          </w:p>
        </w:tc>
        <w:tc>
          <w:tcPr>
            <w:tcW w:w="1291" w:type="dxa"/>
            <w:vAlign w:val="center"/>
          </w:tcPr>
          <w:p w14:paraId="11B43070" w14:textId="77777777" w:rsidR="0017228B" w:rsidRDefault="008F01EE">
            <w:pPr>
              <w:jc w:val="right"/>
            </w:pPr>
            <w:r>
              <w:rPr>
                <w:rFonts w:eastAsiaTheme="minorEastAsia"/>
                <w:color w:val="000000" w:themeColor="text1"/>
                <w:sz w:val="24"/>
              </w:rPr>
              <w:t>0.77%</w:t>
            </w:r>
          </w:p>
        </w:tc>
        <w:tc>
          <w:tcPr>
            <w:tcW w:w="1291" w:type="dxa"/>
            <w:vAlign w:val="center"/>
          </w:tcPr>
          <w:p w14:paraId="48B2F8AD" w14:textId="77777777" w:rsidR="0017228B" w:rsidRDefault="008F01EE">
            <w:pPr>
              <w:jc w:val="right"/>
            </w:pPr>
            <w:r>
              <w:rPr>
                <w:rFonts w:eastAsiaTheme="minorEastAsia"/>
                <w:color w:val="000000" w:themeColor="text1"/>
                <w:sz w:val="24"/>
              </w:rPr>
              <w:t>-4.17%</w:t>
            </w:r>
          </w:p>
        </w:tc>
        <w:tc>
          <w:tcPr>
            <w:tcW w:w="1291" w:type="dxa"/>
            <w:vAlign w:val="center"/>
          </w:tcPr>
          <w:p w14:paraId="14FAE356" w14:textId="77777777" w:rsidR="0017228B" w:rsidRDefault="008F01EE">
            <w:pPr>
              <w:jc w:val="right"/>
            </w:pPr>
            <w:r>
              <w:rPr>
                <w:rFonts w:eastAsiaTheme="minorEastAsia"/>
                <w:color w:val="000000" w:themeColor="text1"/>
                <w:sz w:val="24"/>
              </w:rPr>
              <w:t>-0.01%</w:t>
            </w:r>
          </w:p>
        </w:tc>
      </w:tr>
      <w:tr w:rsidR="0017228B" w14:paraId="54022672" w14:textId="77777777">
        <w:tc>
          <w:tcPr>
            <w:tcW w:w="1290" w:type="dxa"/>
            <w:vAlign w:val="center"/>
          </w:tcPr>
          <w:p w14:paraId="4F92FA48" w14:textId="77777777" w:rsidR="0017228B" w:rsidRDefault="008F01EE">
            <w:pPr>
              <w:jc w:val="left"/>
            </w:pPr>
            <w:r>
              <w:rPr>
                <w:rFonts w:eastAsiaTheme="minorEastAsia"/>
                <w:color w:val="000000" w:themeColor="text1"/>
                <w:sz w:val="24"/>
              </w:rPr>
              <w:t>过去三年</w:t>
            </w:r>
          </w:p>
        </w:tc>
        <w:tc>
          <w:tcPr>
            <w:tcW w:w="1291" w:type="dxa"/>
            <w:vAlign w:val="center"/>
          </w:tcPr>
          <w:p w14:paraId="549881AF" w14:textId="77777777" w:rsidR="0017228B" w:rsidRDefault="008F01EE">
            <w:pPr>
              <w:jc w:val="right"/>
            </w:pPr>
            <w:r>
              <w:rPr>
                <w:rFonts w:eastAsiaTheme="minorEastAsia"/>
                <w:color w:val="000000" w:themeColor="text1"/>
                <w:sz w:val="24"/>
              </w:rPr>
              <w:t>-</w:t>
            </w:r>
          </w:p>
        </w:tc>
        <w:tc>
          <w:tcPr>
            <w:tcW w:w="1291" w:type="dxa"/>
            <w:vAlign w:val="center"/>
          </w:tcPr>
          <w:p w14:paraId="79B3F521" w14:textId="77777777" w:rsidR="0017228B" w:rsidRDefault="008F01EE">
            <w:pPr>
              <w:jc w:val="right"/>
            </w:pPr>
            <w:r>
              <w:rPr>
                <w:rFonts w:eastAsiaTheme="minorEastAsia"/>
                <w:color w:val="000000" w:themeColor="text1"/>
                <w:sz w:val="24"/>
              </w:rPr>
              <w:t>-</w:t>
            </w:r>
          </w:p>
        </w:tc>
        <w:tc>
          <w:tcPr>
            <w:tcW w:w="1291" w:type="dxa"/>
            <w:vAlign w:val="center"/>
          </w:tcPr>
          <w:p w14:paraId="07CFFC09" w14:textId="77777777" w:rsidR="0017228B" w:rsidRDefault="008F01EE">
            <w:pPr>
              <w:jc w:val="right"/>
            </w:pPr>
            <w:r>
              <w:rPr>
                <w:rFonts w:eastAsiaTheme="minorEastAsia"/>
                <w:color w:val="000000" w:themeColor="text1"/>
                <w:sz w:val="24"/>
              </w:rPr>
              <w:t>-</w:t>
            </w:r>
          </w:p>
        </w:tc>
        <w:tc>
          <w:tcPr>
            <w:tcW w:w="1291" w:type="dxa"/>
            <w:vAlign w:val="center"/>
          </w:tcPr>
          <w:p w14:paraId="5104A149" w14:textId="77777777" w:rsidR="0017228B" w:rsidRDefault="008F01EE">
            <w:pPr>
              <w:jc w:val="right"/>
            </w:pPr>
            <w:r>
              <w:rPr>
                <w:rFonts w:eastAsiaTheme="minorEastAsia"/>
                <w:color w:val="000000" w:themeColor="text1"/>
                <w:sz w:val="24"/>
              </w:rPr>
              <w:t>-</w:t>
            </w:r>
          </w:p>
        </w:tc>
        <w:tc>
          <w:tcPr>
            <w:tcW w:w="1291" w:type="dxa"/>
            <w:vAlign w:val="center"/>
          </w:tcPr>
          <w:p w14:paraId="39AC5A51" w14:textId="77777777" w:rsidR="0017228B" w:rsidRDefault="008F01EE">
            <w:pPr>
              <w:jc w:val="right"/>
            </w:pPr>
            <w:r>
              <w:rPr>
                <w:rFonts w:eastAsiaTheme="minorEastAsia"/>
                <w:color w:val="000000" w:themeColor="text1"/>
                <w:sz w:val="24"/>
              </w:rPr>
              <w:t>-</w:t>
            </w:r>
          </w:p>
        </w:tc>
        <w:tc>
          <w:tcPr>
            <w:tcW w:w="1291" w:type="dxa"/>
            <w:vAlign w:val="center"/>
          </w:tcPr>
          <w:p w14:paraId="2411A560" w14:textId="77777777" w:rsidR="0017228B" w:rsidRDefault="008F01EE">
            <w:pPr>
              <w:jc w:val="right"/>
            </w:pPr>
            <w:r>
              <w:rPr>
                <w:rFonts w:eastAsiaTheme="minorEastAsia"/>
                <w:color w:val="000000" w:themeColor="text1"/>
                <w:sz w:val="24"/>
              </w:rPr>
              <w:t>-</w:t>
            </w:r>
          </w:p>
        </w:tc>
      </w:tr>
      <w:tr w:rsidR="0017228B" w14:paraId="6C67DA1F" w14:textId="77777777">
        <w:tc>
          <w:tcPr>
            <w:tcW w:w="1290" w:type="dxa"/>
            <w:vAlign w:val="center"/>
          </w:tcPr>
          <w:p w14:paraId="7189C3B2" w14:textId="77777777" w:rsidR="0017228B" w:rsidRDefault="008F01EE">
            <w:pPr>
              <w:jc w:val="left"/>
            </w:pPr>
            <w:r>
              <w:rPr>
                <w:rFonts w:eastAsiaTheme="minorEastAsia"/>
                <w:color w:val="000000" w:themeColor="text1"/>
                <w:sz w:val="24"/>
              </w:rPr>
              <w:t>过去五年</w:t>
            </w:r>
          </w:p>
        </w:tc>
        <w:tc>
          <w:tcPr>
            <w:tcW w:w="1291" w:type="dxa"/>
            <w:vAlign w:val="center"/>
          </w:tcPr>
          <w:p w14:paraId="4D256D2A" w14:textId="77777777" w:rsidR="0017228B" w:rsidRDefault="008F01EE">
            <w:pPr>
              <w:jc w:val="right"/>
            </w:pPr>
            <w:r>
              <w:rPr>
                <w:rFonts w:eastAsiaTheme="minorEastAsia"/>
                <w:color w:val="000000" w:themeColor="text1"/>
                <w:sz w:val="24"/>
              </w:rPr>
              <w:t>-</w:t>
            </w:r>
          </w:p>
        </w:tc>
        <w:tc>
          <w:tcPr>
            <w:tcW w:w="1291" w:type="dxa"/>
            <w:vAlign w:val="center"/>
          </w:tcPr>
          <w:p w14:paraId="2FD9B482" w14:textId="77777777" w:rsidR="0017228B" w:rsidRDefault="008F01EE">
            <w:pPr>
              <w:jc w:val="right"/>
            </w:pPr>
            <w:r>
              <w:rPr>
                <w:rFonts w:eastAsiaTheme="minorEastAsia"/>
                <w:color w:val="000000" w:themeColor="text1"/>
                <w:sz w:val="24"/>
              </w:rPr>
              <w:t>-</w:t>
            </w:r>
          </w:p>
        </w:tc>
        <w:tc>
          <w:tcPr>
            <w:tcW w:w="1291" w:type="dxa"/>
            <w:vAlign w:val="center"/>
          </w:tcPr>
          <w:p w14:paraId="4DEEA74F" w14:textId="77777777" w:rsidR="0017228B" w:rsidRDefault="008F01EE">
            <w:pPr>
              <w:jc w:val="right"/>
            </w:pPr>
            <w:r>
              <w:rPr>
                <w:rFonts w:eastAsiaTheme="minorEastAsia"/>
                <w:color w:val="000000" w:themeColor="text1"/>
                <w:sz w:val="24"/>
              </w:rPr>
              <w:t>-</w:t>
            </w:r>
          </w:p>
        </w:tc>
        <w:tc>
          <w:tcPr>
            <w:tcW w:w="1291" w:type="dxa"/>
            <w:vAlign w:val="center"/>
          </w:tcPr>
          <w:p w14:paraId="5795517F" w14:textId="77777777" w:rsidR="0017228B" w:rsidRDefault="008F01EE">
            <w:pPr>
              <w:jc w:val="right"/>
            </w:pPr>
            <w:r>
              <w:rPr>
                <w:rFonts w:eastAsiaTheme="minorEastAsia"/>
                <w:color w:val="000000" w:themeColor="text1"/>
                <w:sz w:val="24"/>
              </w:rPr>
              <w:t>-</w:t>
            </w:r>
          </w:p>
        </w:tc>
        <w:tc>
          <w:tcPr>
            <w:tcW w:w="1291" w:type="dxa"/>
            <w:vAlign w:val="center"/>
          </w:tcPr>
          <w:p w14:paraId="16646023" w14:textId="77777777" w:rsidR="0017228B" w:rsidRDefault="008F01EE">
            <w:pPr>
              <w:jc w:val="right"/>
            </w:pPr>
            <w:r>
              <w:rPr>
                <w:rFonts w:eastAsiaTheme="minorEastAsia"/>
                <w:color w:val="000000" w:themeColor="text1"/>
                <w:sz w:val="24"/>
              </w:rPr>
              <w:t>-</w:t>
            </w:r>
          </w:p>
        </w:tc>
        <w:tc>
          <w:tcPr>
            <w:tcW w:w="1291" w:type="dxa"/>
            <w:vAlign w:val="center"/>
          </w:tcPr>
          <w:p w14:paraId="23C8E0E1" w14:textId="77777777" w:rsidR="0017228B" w:rsidRDefault="008F01EE">
            <w:pPr>
              <w:jc w:val="right"/>
            </w:pPr>
            <w:r>
              <w:rPr>
                <w:rFonts w:eastAsiaTheme="minorEastAsia"/>
                <w:color w:val="000000" w:themeColor="text1"/>
                <w:sz w:val="24"/>
              </w:rPr>
              <w:t>-</w:t>
            </w:r>
          </w:p>
        </w:tc>
      </w:tr>
      <w:tr w:rsidR="0017228B" w14:paraId="69325BEF" w14:textId="77777777">
        <w:tc>
          <w:tcPr>
            <w:tcW w:w="1290" w:type="dxa"/>
            <w:vAlign w:val="center"/>
          </w:tcPr>
          <w:p w14:paraId="6727D4EA" w14:textId="77777777" w:rsidR="0017228B" w:rsidRDefault="008F01EE">
            <w:pPr>
              <w:jc w:val="left"/>
            </w:pPr>
            <w:r>
              <w:rPr>
                <w:rFonts w:eastAsiaTheme="minorEastAsia"/>
                <w:color w:val="000000" w:themeColor="text1"/>
                <w:sz w:val="24"/>
              </w:rPr>
              <w:t>自基金合同生效起至今</w:t>
            </w:r>
          </w:p>
        </w:tc>
        <w:tc>
          <w:tcPr>
            <w:tcW w:w="1291" w:type="dxa"/>
            <w:vAlign w:val="center"/>
          </w:tcPr>
          <w:p w14:paraId="7E20065F" w14:textId="77777777" w:rsidR="0017228B" w:rsidRDefault="008F01EE">
            <w:pPr>
              <w:jc w:val="right"/>
            </w:pPr>
            <w:r>
              <w:rPr>
                <w:rFonts w:eastAsiaTheme="minorEastAsia"/>
                <w:color w:val="000000" w:themeColor="text1"/>
                <w:sz w:val="24"/>
              </w:rPr>
              <w:t>19.37%</w:t>
            </w:r>
          </w:p>
        </w:tc>
        <w:tc>
          <w:tcPr>
            <w:tcW w:w="1291" w:type="dxa"/>
            <w:vAlign w:val="center"/>
          </w:tcPr>
          <w:p w14:paraId="2DA163E6" w14:textId="77777777" w:rsidR="0017228B" w:rsidRDefault="008F01EE">
            <w:pPr>
              <w:jc w:val="right"/>
            </w:pPr>
            <w:r>
              <w:rPr>
                <w:rFonts w:eastAsiaTheme="minorEastAsia"/>
                <w:color w:val="000000" w:themeColor="text1"/>
                <w:sz w:val="24"/>
              </w:rPr>
              <w:t>0.76%</w:t>
            </w:r>
          </w:p>
        </w:tc>
        <w:tc>
          <w:tcPr>
            <w:tcW w:w="1291" w:type="dxa"/>
            <w:vAlign w:val="center"/>
          </w:tcPr>
          <w:p w14:paraId="23822BEC" w14:textId="77777777" w:rsidR="0017228B" w:rsidRDefault="008F01EE">
            <w:pPr>
              <w:jc w:val="right"/>
            </w:pPr>
            <w:r>
              <w:rPr>
                <w:rFonts w:eastAsiaTheme="minorEastAsia"/>
                <w:color w:val="000000" w:themeColor="text1"/>
                <w:sz w:val="24"/>
              </w:rPr>
              <w:t>23.35%</w:t>
            </w:r>
          </w:p>
        </w:tc>
        <w:tc>
          <w:tcPr>
            <w:tcW w:w="1291" w:type="dxa"/>
            <w:vAlign w:val="center"/>
          </w:tcPr>
          <w:p w14:paraId="53DBCD82" w14:textId="77777777" w:rsidR="0017228B" w:rsidRDefault="008F01EE">
            <w:pPr>
              <w:jc w:val="right"/>
            </w:pPr>
            <w:r>
              <w:rPr>
                <w:rFonts w:eastAsiaTheme="minorEastAsia"/>
                <w:color w:val="000000" w:themeColor="text1"/>
                <w:sz w:val="24"/>
              </w:rPr>
              <w:t>0.77%</w:t>
            </w:r>
          </w:p>
        </w:tc>
        <w:tc>
          <w:tcPr>
            <w:tcW w:w="1291" w:type="dxa"/>
            <w:vAlign w:val="center"/>
          </w:tcPr>
          <w:p w14:paraId="3267C6B9" w14:textId="77777777" w:rsidR="0017228B" w:rsidRDefault="008F01EE">
            <w:pPr>
              <w:jc w:val="right"/>
            </w:pPr>
            <w:r>
              <w:rPr>
                <w:rFonts w:eastAsiaTheme="minorEastAsia"/>
                <w:color w:val="000000" w:themeColor="text1"/>
                <w:sz w:val="24"/>
              </w:rPr>
              <w:t>-3.98%</w:t>
            </w:r>
          </w:p>
        </w:tc>
        <w:tc>
          <w:tcPr>
            <w:tcW w:w="1291" w:type="dxa"/>
            <w:vAlign w:val="center"/>
          </w:tcPr>
          <w:p w14:paraId="523F8085" w14:textId="77777777" w:rsidR="0017228B" w:rsidRDefault="008F01EE">
            <w:pPr>
              <w:jc w:val="right"/>
            </w:pPr>
            <w:r>
              <w:rPr>
                <w:rFonts w:eastAsiaTheme="minorEastAsia"/>
                <w:color w:val="000000" w:themeColor="text1"/>
                <w:sz w:val="24"/>
              </w:rPr>
              <w:t>-0.01%</w:t>
            </w:r>
          </w:p>
        </w:tc>
      </w:tr>
    </w:tbl>
    <w:p w14:paraId="4BFDD610"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6409EF6A"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lastRenderedPageBreak/>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14:paraId="6C3299E9" w14:textId="77777777"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指数型发起式证券投资基金</w:t>
      </w:r>
      <w:r w:rsidRPr="009B0629">
        <w:rPr>
          <w:rFonts w:eastAsiaTheme="minorEastAsia"/>
          <w:color w:val="000000" w:themeColor="text1"/>
          <w:sz w:val="24"/>
        </w:rPr>
        <w:t>(QDII)</w:t>
      </w:r>
    </w:p>
    <w:p w14:paraId="6C4768C4" w14:textId="77777777"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14:paraId="0A8B216A" w14:textId="77777777"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2023</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4</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6</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2024</w:t>
      </w:r>
      <w:r w:rsidRPr="009B0629">
        <w:rPr>
          <w:rFonts w:eastAsiaTheme="minorEastAsia"/>
          <w:color w:val="000000" w:themeColor="text1"/>
          <w:kern w:val="0"/>
          <w:sz w:val="24"/>
        </w:rPr>
        <w:t>年</w:t>
      </w:r>
      <w:r w:rsidRPr="009B0629">
        <w:rPr>
          <w:rFonts w:eastAsiaTheme="minorEastAsia"/>
          <w:color w:val="000000" w:themeColor="text1"/>
          <w:kern w:val="0"/>
          <w:sz w:val="24"/>
        </w:rPr>
        <w:t>9</w:t>
      </w:r>
      <w:r w:rsidRPr="009B0629">
        <w:rPr>
          <w:rFonts w:eastAsiaTheme="minorEastAsia"/>
          <w:color w:val="000000" w:themeColor="text1"/>
          <w:kern w:val="0"/>
          <w:sz w:val="24"/>
        </w:rPr>
        <w:t>月</w:t>
      </w:r>
      <w:r w:rsidRPr="009B0629">
        <w:rPr>
          <w:rFonts w:eastAsiaTheme="minorEastAsia"/>
          <w:color w:val="000000" w:themeColor="text1"/>
          <w:kern w:val="0"/>
          <w:sz w:val="24"/>
        </w:rPr>
        <w:t>30</w:t>
      </w:r>
      <w:r w:rsidRPr="009B0629">
        <w:rPr>
          <w:rFonts w:eastAsiaTheme="minorEastAsia"/>
          <w:color w:val="000000" w:themeColor="text1"/>
          <w:kern w:val="0"/>
          <w:sz w:val="24"/>
        </w:rPr>
        <w:t>日）</w:t>
      </w:r>
    </w:p>
    <w:p w14:paraId="168D9CE0" w14:textId="77777777"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t>1</w:t>
      </w: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14:paraId="51C80E26" w14:textId="77777777"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0AB0F345" wp14:editId="41715B3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2D39A4E" w14:textId="77777777"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14:paraId="0AD3554A" w14:textId="77777777"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lastRenderedPageBreak/>
        <w:drawing>
          <wp:inline distT="0" distB="0" distL="0" distR="0" wp14:anchorId="34C4E27C" wp14:editId="00318DE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687BBF24"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6</w:t>
      </w:r>
      <w:r>
        <w:rPr>
          <w:rFonts w:eastAsiaTheme="minorEastAsia"/>
          <w:color w:val="000000" w:themeColor="text1"/>
          <w:sz w:val="24"/>
        </w:rPr>
        <w:t>日，图示的时间段为合同生效日至本报告期末。</w:t>
      </w:r>
    </w:p>
    <w:p w14:paraId="6E60AEF1"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本基金自</w:t>
      </w:r>
      <w:r>
        <w:rPr>
          <w:rFonts w:eastAsiaTheme="minorEastAsia"/>
          <w:color w:val="000000" w:themeColor="text1"/>
          <w:sz w:val="24"/>
        </w:rPr>
        <w:t xml:space="preserve"> 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1</w:t>
      </w:r>
      <w:r>
        <w:rPr>
          <w:rFonts w:eastAsiaTheme="minorEastAsia"/>
          <w:color w:val="000000" w:themeColor="text1"/>
          <w:sz w:val="24"/>
        </w:rPr>
        <w:t>日起增加</w:t>
      </w:r>
      <w:r>
        <w:rPr>
          <w:rFonts w:eastAsiaTheme="minorEastAsia"/>
          <w:color w:val="000000" w:themeColor="text1"/>
          <w:sz w:val="24"/>
        </w:rPr>
        <w:t>C</w:t>
      </w:r>
      <w:r>
        <w:rPr>
          <w:rFonts w:eastAsiaTheme="minorEastAsia"/>
          <w:color w:val="000000" w:themeColor="text1"/>
          <w:sz w:val="24"/>
        </w:rPr>
        <w:t>类份额，相关数据按实际存续期计算。</w:t>
      </w:r>
    </w:p>
    <w:p w14:paraId="0E245388" w14:textId="77777777"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14:paraId="22A5452D" w14:textId="77777777" w:rsidR="00845292" w:rsidRPr="009B0629" w:rsidRDefault="00845292" w:rsidP="009B0629">
      <w:pPr>
        <w:spacing w:line="360" w:lineRule="auto"/>
        <w:ind w:firstLineChars="200" w:firstLine="480"/>
        <w:rPr>
          <w:rFonts w:eastAsiaTheme="minorEastAsia"/>
          <w:color w:val="000000" w:themeColor="text1"/>
          <w:sz w:val="24"/>
        </w:rPr>
      </w:pPr>
    </w:p>
    <w:p w14:paraId="395B8EBD"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§4  </w:t>
      </w:r>
      <w:r w:rsidRPr="009B0629">
        <w:rPr>
          <w:rFonts w:eastAsiaTheme="minorEastAsia"/>
          <w:color w:val="000000" w:themeColor="text1"/>
          <w:kern w:val="0"/>
          <w:sz w:val="24"/>
          <w:szCs w:val="24"/>
        </w:rPr>
        <w:t>管理人报告</w:t>
      </w:r>
    </w:p>
    <w:p w14:paraId="087FB5C4"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14:paraId="1F104C5C" w14:textId="77777777" w:rsidTr="00D6542C">
        <w:trPr>
          <w:cantSplit/>
          <w:trHeight w:val="292"/>
        </w:trPr>
        <w:tc>
          <w:tcPr>
            <w:tcW w:w="851" w:type="dxa"/>
            <w:vMerge w:val="restart"/>
            <w:vAlign w:val="center"/>
          </w:tcPr>
          <w:p w14:paraId="266CD029"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14:paraId="377A71F6"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14:paraId="6F72C5A1"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14:paraId="21149479"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14:paraId="2D90977C" w14:textId="77777777"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14:paraId="6698947D" w14:textId="77777777" w:rsidTr="00D6542C">
        <w:trPr>
          <w:cantSplit/>
        </w:trPr>
        <w:tc>
          <w:tcPr>
            <w:tcW w:w="851" w:type="dxa"/>
            <w:vMerge/>
            <w:vAlign w:val="center"/>
          </w:tcPr>
          <w:p w14:paraId="4F4E36DE"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14:paraId="069BCD80"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14:paraId="22275BBA"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14:paraId="5AF6B933"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14:paraId="462BB012" w14:textId="77777777"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14:paraId="150E7483" w14:textId="77777777" w:rsidR="007D1292" w:rsidRPr="009B0629" w:rsidRDefault="007D1292" w:rsidP="00797DD2">
            <w:pPr>
              <w:widowControl/>
              <w:spacing w:line="360" w:lineRule="auto"/>
              <w:jc w:val="center"/>
              <w:rPr>
                <w:rFonts w:eastAsiaTheme="minorEastAsia"/>
                <w:color w:val="000000" w:themeColor="text1"/>
                <w:kern w:val="0"/>
                <w:sz w:val="24"/>
              </w:rPr>
            </w:pPr>
          </w:p>
        </w:tc>
      </w:tr>
      <w:tr w:rsidR="0017228B" w14:paraId="63B794BB" w14:textId="77777777">
        <w:tc>
          <w:tcPr>
            <w:tcW w:w="851" w:type="dxa"/>
            <w:vAlign w:val="center"/>
          </w:tcPr>
          <w:p w14:paraId="06856385" w14:textId="77777777" w:rsidR="0017228B" w:rsidRDefault="008F01EE">
            <w:pPr>
              <w:jc w:val="center"/>
            </w:pPr>
            <w:r>
              <w:rPr>
                <w:rFonts w:eastAsiaTheme="minorEastAsia"/>
                <w:color w:val="000000" w:themeColor="text1"/>
                <w:sz w:val="24"/>
              </w:rPr>
              <w:t>张军</w:t>
            </w:r>
          </w:p>
        </w:tc>
        <w:tc>
          <w:tcPr>
            <w:tcW w:w="1701" w:type="dxa"/>
            <w:vAlign w:val="center"/>
          </w:tcPr>
          <w:p w14:paraId="46478C34" w14:textId="77777777" w:rsidR="0017228B" w:rsidRDefault="008F01EE">
            <w:pPr>
              <w:jc w:val="center"/>
            </w:pPr>
            <w:r>
              <w:rPr>
                <w:rFonts w:eastAsiaTheme="minorEastAsia"/>
                <w:color w:val="000000" w:themeColor="text1"/>
                <w:sz w:val="24"/>
              </w:rPr>
              <w:t>本基金基金经理</w:t>
            </w:r>
          </w:p>
        </w:tc>
        <w:tc>
          <w:tcPr>
            <w:tcW w:w="1134" w:type="dxa"/>
            <w:vAlign w:val="center"/>
          </w:tcPr>
          <w:p w14:paraId="41DA8B25" w14:textId="77777777" w:rsidR="0017228B" w:rsidRDefault="008F01EE">
            <w:pPr>
              <w:jc w:val="center"/>
            </w:pPr>
            <w:r>
              <w:rPr>
                <w:rFonts w:eastAsiaTheme="minorEastAsia"/>
                <w:color w:val="000000" w:themeColor="text1"/>
                <w:sz w:val="24"/>
              </w:rPr>
              <w:t>2023-04-06</w:t>
            </w:r>
          </w:p>
        </w:tc>
        <w:tc>
          <w:tcPr>
            <w:tcW w:w="1134" w:type="dxa"/>
            <w:vAlign w:val="center"/>
          </w:tcPr>
          <w:p w14:paraId="7818E5A0" w14:textId="77777777" w:rsidR="0017228B" w:rsidRDefault="008F01EE">
            <w:pPr>
              <w:jc w:val="center"/>
            </w:pPr>
            <w:r>
              <w:rPr>
                <w:rFonts w:eastAsiaTheme="minorEastAsia"/>
                <w:color w:val="000000" w:themeColor="text1"/>
                <w:sz w:val="24"/>
              </w:rPr>
              <w:t>-</w:t>
            </w:r>
          </w:p>
        </w:tc>
        <w:tc>
          <w:tcPr>
            <w:tcW w:w="1417" w:type="dxa"/>
            <w:vAlign w:val="center"/>
          </w:tcPr>
          <w:p w14:paraId="6E2E2D7F" w14:textId="77777777" w:rsidR="0017228B" w:rsidRDefault="008F01EE">
            <w:pPr>
              <w:jc w:val="center"/>
            </w:pPr>
            <w:r>
              <w:rPr>
                <w:rFonts w:eastAsiaTheme="minorEastAsia"/>
                <w:color w:val="000000" w:themeColor="text1"/>
                <w:sz w:val="24"/>
              </w:rPr>
              <w:t>20</w:t>
            </w:r>
            <w:r>
              <w:rPr>
                <w:rFonts w:eastAsiaTheme="minorEastAsia"/>
                <w:color w:val="000000" w:themeColor="text1"/>
                <w:sz w:val="24"/>
              </w:rPr>
              <w:t>年（金融领域从业经验</w:t>
            </w:r>
            <w:r>
              <w:rPr>
                <w:rFonts w:eastAsiaTheme="minorEastAsia"/>
                <w:color w:val="000000" w:themeColor="text1"/>
                <w:sz w:val="24"/>
              </w:rPr>
              <w:t>31</w:t>
            </w:r>
            <w:r>
              <w:rPr>
                <w:rFonts w:eastAsiaTheme="minorEastAsia"/>
                <w:color w:val="000000" w:themeColor="text1"/>
                <w:sz w:val="24"/>
              </w:rPr>
              <w:t>年）</w:t>
            </w:r>
          </w:p>
        </w:tc>
        <w:tc>
          <w:tcPr>
            <w:tcW w:w="2694" w:type="dxa"/>
            <w:vAlign w:val="center"/>
          </w:tcPr>
          <w:p w14:paraId="7C94636F" w14:textId="77777777" w:rsidR="0017228B" w:rsidRDefault="008F01EE">
            <w:pPr>
              <w:jc w:val="left"/>
            </w:pPr>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w:t>
            </w:r>
            <w:r>
              <w:rPr>
                <w:rFonts w:eastAsiaTheme="minorEastAsia"/>
                <w:color w:val="000000" w:themeColor="text1"/>
                <w:sz w:val="24"/>
              </w:rPr>
              <w:lastRenderedPageBreak/>
              <w:t>任交易部总监、基金经理、投资绩效评估总监、国际投资部总监、组合基金投资部总监，现任高级基金经理。</w:t>
            </w:r>
          </w:p>
        </w:tc>
      </w:tr>
    </w:tbl>
    <w:p w14:paraId="14D1AA12" w14:textId="77777777" w:rsidR="0017228B" w:rsidRDefault="008F01E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4A7629BD" w14:textId="77777777" w:rsidR="0017228B" w:rsidRDefault="008F01E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张军先生为本基金首任基金经理，其任职日期为本基金基金合同生效之日。</w:t>
      </w:r>
    </w:p>
    <w:p w14:paraId="322C1027" w14:textId="77777777"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3.</w:t>
      </w:r>
      <w:r w:rsidRPr="009B0629">
        <w:rPr>
          <w:rFonts w:eastAsiaTheme="minorEastAsia"/>
          <w:color w:val="000000" w:themeColor="text1"/>
          <w:sz w:val="24"/>
        </w:rPr>
        <w:t>证券从业的含义遵从行业协会《证券业从业人员资格管理办法》的相关规定。</w:t>
      </w:r>
    </w:p>
    <w:p w14:paraId="5F746F80" w14:textId="77777777" w:rsidR="00513DB2" w:rsidRDefault="00513DB2" w:rsidP="00513DB2">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bookmarkStart w:id="1" w:name="_Hlk44921484"/>
      <w:r>
        <w:rPr>
          <w:rFonts w:asciiTheme="minorEastAsia" w:eastAsiaTheme="minorEastAsia" w:hAnsiTheme="minorEastAsia" w:cs="Arial" w:hint="eastAsia"/>
          <w:b/>
          <w:color w:val="000000" w:themeColor="text1"/>
          <w:kern w:val="0"/>
          <w:sz w:val="24"/>
        </w:rPr>
        <w:t>4.1.1 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038"/>
        <w:gridCol w:w="2358"/>
        <w:gridCol w:w="1896"/>
        <w:gridCol w:w="1372"/>
      </w:tblGrid>
      <w:tr w:rsidR="00513DB2" w:rsidRPr="00513DB2" w14:paraId="78205E2D" w14:textId="77777777" w:rsidTr="00513DB2">
        <w:tc>
          <w:tcPr>
            <w:tcW w:w="959" w:type="dxa"/>
            <w:tcBorders>
              <w:top w:val="single" w:sz="4" w:space="0" w:color="000000"/>
              <w:left w:val="single" w:sz="4" w:space="0" w:color="000000"/>
              <w:bottom w:val="single" w:sz="4" w:space="0" w:color="000000"/>
              <w:right w:val="single" w:sz="4" w:space="0" w:color="000000"/>
            </w:tcBorders>
            <w:vAlign w:val="center"/>
            <w:hideMark/>
          </w:tcPr>
          <w:p w14:paraId="10E65858"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FD7EF73"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A09F38E"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D17443"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资产净值</w:t>
            </w:r>
            <w:r w:rsidRPr="00513DB2">
              <w:rPr>
                <w:rFonts w:eastAsiaTheme="minorEastAsia"/>
                <w:color w:val="000000" w:themeColor="text1"/>
                <w:sz w:val="24"/>
              </w:rPr>
              <w:t>(</w:t>
            </w:r>
            <w:r w:rsidRPr="00513DB2">
              <w:rPr>
                <w:rFonts w:eastAsiaTheme="minorEastAsia" w:hint="eastAsia"/>
                <w:color w:val="000000" w:themeColor="text1"/>
                <w:sz w:val="24"/>
              </w:rPr>
              <w:t>元</w:t>
            </w: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50661AD6" w14:textId="77777777" w:rsidR="00513DB2" w:rsidRPr="00513DB2" w:rsidRDefault="00513DB2">
            <w:pPr>
              <w:widowControl/>
              <w:jc w:val="center"/>
              <w:rPr>
                <w:rFonts w:eastAsiaTheme="minorEastAsia"/>
                <w:color w:val="000000" w:themeColor="text1"/>
                <w:sz w:val="24"/>
              </w:rPr>
            </w:pPr>
            <w:r w:rsidRPr="00513DB2">
              <w:rPr>
                <w:rFonts w:eastAsiaTheme="minorEastAsia" w:hint="eastAsia"/>
                <w:color w:val="000000" w:themeColor="text1"/>
                <w:sz w:val="24"/>
              </w:rPr>
              <w:t>任职时间</w:t>
            </w:r>
          </w:p>
        </w:tc>
      </w:tr>
      <w:tr w:rsidR="00513DB2" w:rsidRPr="00513DB2" w14:paraId="7355EBC4" w14:textId="77777777" w:rsidTr="00513DB2">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0CC9EDC5"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39B35723"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022B8E0"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F1B3713"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9,591,894,701.01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21CBB9B"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2008-03-08</w:t>
            </w:r>
          </w:p>
        </w:tc>
      </w:tr>
      <w:tr w:rsidR="00513DB2" w:rsidRPr="00513DB2" w14:paraId="487DB581"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4242C2D4"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163905FA"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4A6FBD3"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5178360"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30,106,994.80</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217DCC7"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2021-07-09</w:t>
            </w:r>
          </w:p>
        </w:tc>
      </w:tr>
      <w:tr w:rsidR="00513DB2" w:rsidRPr="00513DB2" w14:paraId="66DA8C53"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19A8EF55"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00F23EB7"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85C93BF"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29CF91A"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B0D4346"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r w:rsidR="00513DB2" w:rsidRPr="00513DB2" w14:paraId="1EE71704"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69463952"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4611F194"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96D9F18"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D7D3DE0"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9,622,001,695.81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8BB9245"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bl>
    <w:p w14:paraId="226AC5E7" w14:textId="77777777"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14:paraId="7536F366" w14:textId="77777777"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14:paraId="58249101"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14:paraId="0DDBC46F" w14:textId="77777777"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30B8D79" w14:textId="77777777"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14:paraId="2D3F28CF"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14:paraId="6B0D5C79"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14:paraId="7AA16E89"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E1A8338"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w:t>
      </w:r>
      <w:r>
        <w:rPr>
          <w:rFonts w:eastAsiaTheme="minorEastAsia"/>
          <w:color w:val="000000" w:themeColor="text1"/>
          <w:sz w:val="24"/>
        </w:rPr>
        <w:lastRenderedPageBreak/>
        <w:t>防范对手风险并检查价格公允性；对于申购投资行为，本公司遵循价格优先、比例分配的原则，根据事前独立申报的价格和数量对交易结果进行公平分配。</w:t>
      </w:r>
    </w:p>
    <w:p w14:paraId="7A28C226" w14:textId="77777777"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08AD1E99"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14:paraId="747B918B"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14:paraId="438B8A04" w14:textId="77777777"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14:paraId="5B3A937E" w14:textId="77777777" w:rsidR="00022821" w:rsidRDefault="00022821" w:rsidP="009B0629">
      <w:pPr>
        <w:spacing w:line="360" w:lineRule="auto"/>
        <w:ind w:firstLineChars="200" w:firstLine="480"/>
        <w:rPr>
          <w:rFonts w:eastAsiaTheme="minorEastAsia"/>
          <w:color w:val="000000" w:themeColor="text1"/>
          <w:sz w:val="24"/>
        </w:rPr>
      </w:pPr>
    </w:p>
    <w:p w14:paraId="71393305" w14:textId="77777777"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2"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2"/>
      <w:r w:rsidR="00864134">
        <w:rPr>
          <w:rFonts w:asciiTheme="minorEastAsia" w:eastAsiaTheme="minorEastAsia" w:hAnsiTheme="minorEastAsia" w:hint="eastAsia"/>
          <w:b/>
          <w:bCs/>
          <w:color w:val="000000" w:themeColor="text1"/>
          <w:kern w:val="0"/>
          <w:sz w:val="24"/>
        </w:rPr>
        <w:t>报告期内基金的投资策略和业绩表现说明</w:t>
      </w:r>
    </w:p>
    <w:p w14:paraId="3A673663"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14:paraId="249E3947" w14:textId="77777777" w:rsidR="0017228B" w:rsidRDefault="008F01E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报告期内标普500指数持续震荡上行，并于报告期末触及历史新高。</w:t>
      </w:r>
    </w:p>
    <w:p w14:paraId="65080CF1" w14:textId="77777777" w:rsidR="0017228B" w:rsidRDefault="008F01E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美国的就业数据疲软，失业率从2023年4月的低点3.4%升至如今的4.2%，显示经济增速放缓，通胀率呈回落态势，使得美联储在距离最后一次升息14个月后，终于在9月开始降息50个基点，目标利率降到4.75%-5%区间。美联储官员明确表示，不愿意看到经济进一步疲软，利率可以回到限制较少的水平。</w:t>
      </w:r>
    </w:p>
    <w:p w14:paraId="00E56394" w14:textId="77777777" w:rsidR="0017228B" w:rsidRDefault="008F01E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后市，对于美国联邦基金利率未来的水平，当前的利率市场定价到2025年中期，美国利率将回落到3.2%。我们依然认为美国的经济软着陆会发生。关注到11月的美国大选和地缘政治事件，股指波动可能会加大。指数的估值进一步扩张的可能性不大，但是盈利上升的公司范围将扩大，因为在降息环境下，一些杠杆率较高的低估值公司会获益更多。投资者的投资组合应保持分散和灵活。</w:t>
      </w:r>
    </w:p>
    <w:p w14:paraId="7B29D910"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本基金采用完全复制的策略跟踪业绩基准，并根据基金申购赎回的情况，及时进行组合调整。</w:t>
      </w:r>
    </w:p>
    <w:p w14:paraId="0F7932C7"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14:paraId="379DB3F7" w14:textId="77777777" w:rsidR="0017228B" w:rsidRDefault="008F01E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本报告期摩根标普500人民币A份额净值增长率为:3.20%，同期业绩比较基准收益率为:3.58%</w:t>
      </w:r>
    </w:p>
    <w:p w14:paraId="380DE2FF"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摩根标普500人民币C份额净值增长率为:3.13%，同期业绩比较基准收益率为:3.58%。</w:t>
      </w:r>
    </w:p>
    <w:p w14:paraId="07CA296E" w14:textId="77777777"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14:paraId="71A41DCD" w14:textId="77777777"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lastRenderedPageBreak/>
        <w:t>4.5</w:t>
      </w:r>
      <w:r w:rsidRPr="009B0629">
        <w:rPr>
          <w:rFonts w:eastAsiaTheme="minorEastAsia"/>
          <w:b/>
          <w:color w:val="000000" w:themeColor="text1"/>
          <w:kern w:val="0"/>
          <w:sz w:val="24"/>
        </w:rPr>
        <w:t>报告期内基金持有人数或基金资产净值预警说明</w:t>
      </w:r>
    </w:p>
    <w:p w14:paraId="40182E32" w14:textId="77777777"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14:paraId="7AB0FD37"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§5  </w:t>
      </w:r>
      <w:r w:rsidRPr="009B0629">
        <w:rPr>
          <w:rFonts w:eastAsiaTheme="minorEastAsia"/>
          <w:color w:val="000000" w:themeColor="text1"/>
          <w:kern w:val="0"/>
          <w:sz w:val="24"/>
          <w:szCs w:val="24"/>
        </w:rPr>
        <w:t>投资组合报告</w:t>
      </w:r>
    </w:p>
    <w:p w14:paraId="72EF2B00"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14:paraId="736912C2" w14:textId="77777777" w:rsidTr="00592EFF">
        <w:tc>
          <w:tcPr>
            <w:tcW w:w="851" w:type="dxa"/>
            <w:shd w:val="clear" w:color="auto" w:fill="auto"/>
            <w:vAlign w:val="center"/>
          </w:tcPr>
          <w:p w14:paraId="5C51A14D"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14:paraId="42A5DC04"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14:paraId="6FF66582"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14:paraId="5AA1272F"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14:paraId="57897715" w14:textId="77777777" w:rsidTr="00877D98">
        <w:tc>
          <w:tcPr>
            <w:tcW w:w="851" w:type="dxa"/>
            <w:shd w:val="clear" w:color="auto" w:fill="auto"/>
            <w:vAlign w:val="center"/>
          </w:tcPr>
          <w:p w14:paraId="210190C4"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14:paraId="541B8572"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14:paraId="3EDB42E0"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1,400,606,850.41</w:t>
            </w:r>
          </w:p>
        </w:tc>
        <w:tc>
          <w:tcPr>
            <w:tcW w:w="1559" w:type="dxa"/>
            <w:shd w:val="clear" w:color="auto" w:fill="auto"/>
            <w:vAlign w:val="center"/>
          </w:tcPr>
          <w:p w14:paraId="7CA16AC1"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91.70</w:t>
            </w:r>
          </w:p>
        </w:tc>
      </w:tr>
      <w:tr w:rsidR="008277FF" w:rsidRPr="009B0629" w14:paraId="7765260B" w14:textId="77777777" w:rsidTr="00877D98">
        <w:tc>
          <w:tcPr>
            <w:tcW w:w="851" w:type="dxa"/>
            <w:shd w:val="clear" w:color="auto" w:fill="auto"/>
            <w:vAlign w:val="center"/>
          </w:tcPr>
          <w:p w14:paraId="4FAA3BF7" w14:textId="77777777"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0CB5CAE"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14:paraId="24AF52E8"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1,400,606,850.41</w:t>
            </w:r>
          </w:p>
        </w:tc>
        <w:tc>
          <w:tcPr>
            <w:tcW w:w="1559" w:type="dxa"/>
            <w:shd w:val="clear" w:color="auto" w:fill="auto"/>
            <w:vAlign w:val="center"/>
          </w:tcPr>
          <w:p w14:paraId="750C63FF"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91.70</w:t>
            </w:r>
          </w:p>
        </w:tc>
      </w:tr>
      <w:tr w:rsidR="008277FF" w:rsidRPr="009B0629" w14:paraId="017BAC3F" w14:textId="77777777" w:rsidTr="00877D98">
        <w:tc>
          <w:tcPr>
            <w:tcW w:w="851" w:type="dxa"/>
            <w:shd w:val="clear" w:color="auto" w:fill="auto"/>
            <w:vAlign w:val="center"/>
          </w:tcPr>
          <w:p w14:paraId="7E71704C"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60EE20FF" w14:textId="77777777"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14:paraId="2A74CD8D"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DFE57D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E80C57A" w14:textId="77777777" w:rsidTr="00877D98">
        <w:tc>
          <w:tcPr>
            <w:tcW w:w="851" w:type="dxa"/>
            <w:shd w:val="clear" w:color="auto" w:fill="auto"/>
            <w:vAlign w:val="center"/>
          </w:tcPr>
          <w:p w14:paraId="008B8CA9"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49FE37A"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14:paraId="04E66127"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529C53F"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CFD3E7A" w14:textId="77777777" w:rsidTr="00877D98">
        <w:tc>
          <w:tcPr>
            <w:tcW w:w="851" w:type="dxa"/>
            <w:shd w:val="clear" w:color="auto" w:fill="auto"/>
            <w:vAlign w:val="center"/>
          </w:tcPr>
          <w:p w14:paraId="2D24E2A1"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7B16FBBF"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14:paraId="3BC4D69B"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969DAD8"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4D0C7FE0" w14:textId="77777777" w:rsidTr="00877D98">
        <w:tc>
          <w:tcPr>
            <w:tcW w:w="851" w:type="dxa"/>
            <w:shd w:val="clear" w:color="auto" w:fill="auto"/>
            <w:vAlign w:val="center"/>
          </w:tcPr>
          <w:p w14:paraId="5A529607"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14:paraId="2D525DDD"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14:paraId="4BE7C086"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4D1BB56"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E54E7AF" w14:textId="77777777" w:rsidTr="00877D98">
        <w:tc>
          <w:tcPr>
            <w:tcW w:w="851" w:type="dxa"/>
            <w:shd w:val="clear" w:color="auto" w:fill="auto"/>
            <w:vAlign w:val="center"/>
          </w:tcPr>
          <w:p w14:paraId="73927F9A"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14:paraId="56361EDF"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14:paraId="754B2873"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F5BC301"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F714975" w14:textId="77777777" w:rsidTr="00877D98">
        <w:tc>
          <w:tcPr>
            <w:tcW w:w="851" w:type="dxa"/>
            <w:shd w:val="clear" w:color="auto" w:fill="auto"/>
            <w:vAlign w:val="center"/>
          </w:tcPr>
          <w:p w14:paraId="7A491B1C"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61A1E8A5"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14:paraId="1B66FC4D"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8E9E133"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3C61571" w14:textId="77777777" w:rsidTr="00877D98">
        <w:tc>
          <w:tcPr>
            <w:tcW w:w="851" w:type="dxa"/>
            <w:shd w:val="clear" w:color="auto" w:fill="auto"/>
            <w:vAlign w:val="center"/>
          </w:tcPr>
          <w:p w14:paraId="581BBE82"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3B685320" w14:textId="77777777"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14:paraId="2C49BA8F"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386C1D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8F43B8B" w14:textId="77777777" w:rsidTr="00877D98">
        <w:tc>
          <w:tcPr>
            <w:tcW w:w="851" w:type="dxa"/>
            <w:shd w:val="clear" w:color="auto" w:fill="auto"/>
            <w:vAlign w:val="center"/>
          </w:tcPr>
          <w:p w14:paraId="61315176"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14:paraId="3C0F0BA9"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14:paraId="283F2C89"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A9C4AF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C040619" w14:textId="77777777" w:rsidTr="00877D98">
        <w:tc>
          <w:tcPr>
            <w:tcW w:w="851" w:type="dxa"/>
            <w:shd w:val="clear" w:color="auto" w:fill="auto"/>
            <w:vAlign w:val="center"/>
          </w:tcPr>
          <w:p w14:paraId="4C9D3995"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6B6ED28"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14:paraId="72B5042D"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56E1ABA"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08919CD" w14:textId="77777777" w:rsidTr="00877D98">
        <w:tc>
          <w:tcPr>
            <w:tcW w:w="851" w:type="dxa"/>
            <w:shd w:val="clear" w:color="auto" w:fill="auto"/>
            <w:vAlign w:val="center"/>
          </w:tcPr>
          <w:p w14:paraId="116AAD39"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48429C4" w14:textId="77777777"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14:paraId="1D4317AD"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1F008A9"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3029ED8" w14:textId="77777777" w:rsidTr="00877D98">
        <w:tc>
          <w:tcPr>
            <w:tcW w:w="851" w:type="dxa"/>
            <w:shd w:val="clear" w:color="auto" w:fill="auto"/>
            <w:vAlign w:val="center"/>
          </w:tcPr>
          <w:p w14:paraId="06AFC895"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0AEC051" w14:textId="77777777"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14:paraId="6B14A223"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19D1A32"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AE129D1" w14:textId="77777777" w:rsidTr="00877D98">
        <w:tc>
          <w:tcPr>
            <w:tcW w:w="851" w:type="dxa"/>
            <w:shd w:val="clear" w:color="auto" w:fill="auto"/>
            <w:vAlign w:val="center"/>
          </w:tcPr>
          <w:p w14:paraId="2694A487"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F78A3A3" w14:textId="77777777"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14:paraId="422A80D4"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39D0BF8"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324D3A7" w14:textId="77777777" w:rsidTr="00877D98">
        <w:tc>
          <w:tcPr>
            <w:tcW w:w="851" w:type="dxa"/>
            <w:shd w:val="clear" w:color="auto" w:fill="auto"/>
            <w:vAlign w:val="center"/>
          </w:tcPr>
          <w:p w14:paraId="5B0E3986"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14:paraId="4BC1BA99"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14:paraId="62204F27"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C8987A1"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8CC4CCD" w14:textId="77777777" w:rsidTr="00877D98">
        <w:tc>
          <w:tcPr>
            <w:tcW w:w="851" w:type="dxa"/>
            <w:shd w:val="clear" w:color="auto" w:fill="auto"/>
            <w:vAlign w:val="center"/>
          </w:tcPr>
          <w:p w14:paraId="06D86EEF"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38248251"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14:paraId="6BA83FCE"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0A4AEA2"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AC5B339" w14:textId="77777777" w:rsidTr="00877D98">
        <w:tc>
          <w:tcPr>
            <w:tcW w:w="851" w:type="dxa"/>
            <w:shd w:val="clear" w:color="auto" w:fill="auto"/>
            <w:vAlign w:val="center"/>
          </w:tcPr>
          <w:p w14:paraId="10AB270C"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14:paraId="1105B148"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14:paraId="226EDA4B"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1B93F7F"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85AF79F" w14:textId="77777777" w:rsidTr="00877D98">
        <w:tc>
          <w:tcPr>
            <w:tcW w:w="851" w:type="dxa"/>
            <w:shd w:val="clear" w:color="auto" w:fill="auto"/>
            <w:vAlign w:val="center"/>
          </w:tcPr>
          <w:p w14:paraId="5D793B24"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14:paraId="0EDEBF14"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14:paraId="1255246E"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115,672,733.05</w:t>
            </w:r>
          </w:p>
        </w:tc>
        <w:tc>
          <w:tcPr>
            <w:tcW w:w="1559" w:type="dxa"/>
            <w:shd w:val="clear" w:color="auto" w:fill="auto"/>
            <w:vAlign w:val="center"/>
          </w:tcPr>
          <w:p w14:paraId="67635258"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7.57</w:t>
            </w:r>
          </w:p>
        </w:tc>
      </w:tr>
      <w:tr w:rsidR="008277FF" w:rsidRPr="009B0629" w14:paraId="61A0FCEB" w14:textId="77777777" w:rsidTr="00797DD2">
        <w:tc>
          <w:tcPr>
            <w:tcW w:w="851" w:type="dxa"/>
            <w:shd w:val="clear" w:color="auto" w:fill="auto"/>
            <w:vAlign w:val="center"/>
          </w:tcPr>
          <w:p w14:paraId="04DA800F"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8</w:t>
            </w:r>
          </w:p>
        </w:tc>
        <w:tc>
          <w:tcPr>
            <w:tcW w:w="4253" w:type="dxa"/>
            <w:shd w:val="clear" w:color="auto" w:fill="auto"/>
            <w:vAlign w:val="center"/>
          </w:tcPr>
          <w:p w14:paraId="4D6F6523" w14:textId="77777777"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14:paraId="4587D791"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11,145,943.73</w:t>
            </w:r>
          </w:p>
        </w:tc>
        <w:tc>
          <w:tcPr>
            <w:tcW w:w="1559" w:type="dxa"/>
            <w:shd w:val="clear" w:color="auto" w:fill="auto"/>
            <w:vAlign w:val="center"/>
          </w:tcPr>
          <w:p w14:paraId="0765A614"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0.73</w:t>
            </w:r>
          </w:p>
        </w:tc>
      </w:tr>
      <w:tr w:rsidR="008277FF" w:rsidRPr="009B0629" w14:paraId="2B46AC75" w14:textId="77777777" w:rsidTr="00797DD2">
        <w:tc>
          <w:tcPr>
            <w:tcW w:w="851" w:type="dxa"/>
            <w:shd w:val="clear" w:color="auto" w:fill="auto"/>
            <w:vAlign w:val="center"/>
          </w:tcPr>
          <w:p w14:paraId="7813B14A"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14:paraId="26854FA2" w14:textId="77777777"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14:paraId="634CB51E"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1,527,425,527.19</w:t>
            </w:r>
          </w:p>
        </w:tc>
        <w:tc>
          <w:tcPr>
            <w:tcW w:w="1559" w:type="dxa"/>
            <w:shd w:val="clear" w:color="auto" w:fill="auto"/>
            <w:vAlign w:val="center"/>
          </w:tcPr>
          <w:p w14:paraId="10CD33BE"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14:paraId="5152D354" w14:textId="77777777"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14:paraId="71821AA6" w14:textId="77777777"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14:paraId="4400D502" w14:textId="77777777" w:rsidTr="002C042C">
        <w:trPr>
          <w:jc w:val="center"/>
        </w:trPr>
        <w:tc>
          <w:tcPr>
            <w:tcW w:w="2410" w:type="dxa"/>
            <w:vAlign w:val="center"/>
          </w:tcPr>
          <w:p w14:paraId="27454A0B"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14:paraId="283645AA"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14:paraId="451B510A"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17228B" w14:paraId="5E571BF0" w14:textId="77777777">
        <w:trPr>
          <w:jc w:val="center"/>
        </w:trPr>
        <w:tc>
          <w:tcPr>
            <w:tcW w:w="2410" w:type="dxa"/>
            <w:vAlign w:val="center"/>
          </w:tcPr>
          <w:p w14:paraId="6EF8888A" w14:textId="77777777" w:rsidR="0017228B" w:rsidRDefault="008F01EE">
            <w:pPr>
              <w:jc w:val="left"/>
            </w:pPr>
            <w:r>
              <w:rPr>
                <w:rFonts w:eastAsiaTheme="minorEastAsia"/>
                <w:color w:val="000000" w:themeColor="text1"/>
                <w:sz w:val="24"/>
              </w:rPr>
              <w:t>美国</w:t>
            </w:r>
          </w:p>
        </w:tc>
        <w:tc>
          <w:tcPr>
            <w:tcW w:w="3118" w:type="dxa"/>
            <w:vAlign w:val="center"/>
          </w:tcPr>
          <w:p w14:paraId="4F9AF5AA" w14:textId="77777777" w:rsidR="0017228B" w:rsidRDefault="008F01EE">
            <w:pPr>
              <w:jc w:val="right"/>
            </w:pPr>
            <w:r>
              <w:rPr>
                <w:rFonts w:eastAsiaTheme="minorEastAsia"/>
                <w:color w:val="000000" w:themeColor="text1"/>
                <w:sz w:val="24"/>
              </w:rPr>
              <w:t>1,400,606,850.41</w:t>
            </w:r>
          </w:p>
        </w:tc>
        <w:tc>
          <w:tcPr>
            <w:tcW w:w="3076" w:type="dxa"/>
            <w:vAlign w:val="center"/>
          </w:tcPr>
          <w:p w14:paraId="06CF6B61" w14:textId="77777777" w:rsidR="0017228B" w:rsidRDefault="008F01EE">
            <w:pPr>
              <w:jc w:val="right"/>
            </w:pPr>
            <w:r>
              <w:rPr>
                <w:rFonts w:eastAsiaTheme="minorEastAsia"/>
                <w:color w:val="000000" w:themeColor="text1"/>
                <w:sz w:val="24"/>
              </w:rPr>
              <w:t>94.52</w:t>
            </w:r>
          </w:p>
        </w:tc>
      </w:tr>
      <w:tr w:rsidR="008277FF" w:rsidRPr="009B0629" w14:paraId="3FDB1635" w14:textId="77777777" w:rsidTr="00877D98">
        <w:trPr>
          <w:jc w:val="center"/>
        </w:trPr>
        <w:tc>
          <w:tcPr>
            <w:tcW w:w="2410" w:type="dxa"/>
            <w:vAlign w:val="center"/>
          </w:tcPr>
          <w:p w14:paraId="4ED7ACC4" w14:textId="77777777"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14:paraId="430BA83B"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1,400,606,850.41</w:t>
            </w:r>
          </w:p>
        </w:tc>
        <w:tc>
          <w:tcPr>
            <w:tcW w:w="3076" w:type="dxa"/>
            <w:vAlign w:val="center"/>
          </w:tcPr>
          <w:p w14:paraId="3141AEC9"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94.52</w:t>
            </w:r>
          </w:p>
        </w:tc>
      </w:tr>
    </w:tbl>
    <w:p w14:paraId="52EFCA24" w14:textId="77777777"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14:paraId="542AAD94" w14:textId="77777777" w:rsidR="00C37E98" w:rsidRDefault="00C37E98" w:rsidP="00EC4BA3">
      <w:pPr>
        <w:autoSpaceDE w:val="0"/>
        <w:autoSpaceDN w:val="0"/>
        <w:adjustRightInd w:val="0"/>
        <w:spacing w:line="360" w:lineRule="auto"/>
        <w:jc w:val="left"/>
        <w:rPr>
          <w:rFonts w:eastAsiaTheme="minorEastAsia"/>
          <w:color w:val="000000" w:themeColor="text1"/>
          <w:kern w:val="0"/>
          <w:sz w:val="24"/>
        </w:rPr>
      </w:pPr>
    </w:p>
    <w:p w14:paraId="0451F331" w14:textId="77777777"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14:paraId="56EB4BE8" w14:textId="77777777" w:rsidR="00B34251" w:rsidRPr="00335FCF" w:rsidRDefault="00B34251" w:rsidP="00B34251">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B34251" w:rsidRPr="00C74EFF" w14:paraId="25858960" w14:textId="77777777" w:rsidTr="00882B94">
        <w:tc>
          <w:tcPr>
            <w:tcW w:w="2787" w:type="dxa"/>
            <w:vAlign w:val="center"/>
          </w:tcPr>
          <w:p w14:paraId="1BCBEA76"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14:paraId="78EE68E9"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14:paraId="6D3BADC0"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17228B" w14:paraId="4C3945D5" w14:textId="77777777">
        <w:tc>
          <w:tcPr>
            <w:tcW w:w="2787" w:type="dxa"/>
            <w:vAlign w:val="center"/>
          </w:tcPr>
          <w:p w14:paraId="0EF3EDA3" w14:textId="77777777" w:rsidR="0017228B" w:rsidRDefault="008F01EE">
            <w:pPr>
              <w:jc w:val="left"/>
            </w:pPr>
            <w:r>
              <w:rPr>
                <w:rFonts w:asciiTheme="minorEastAsia" w:eastAsiaTheme="minorEastAsia" w:hAnsiTheme="minorEastAsia" w:cs="宋体"/>
                <w:color w:val="000000" w:themeColor="text1"/>
                <w:szCs w:val="21"/>
              </w:rPr>
              <w:t>信息技术</w:t>
            </w:r>
          </w:p>
        </w:tc>
        <w:tc>
          <w:tcPr>
            <w:tcW w:w="2551" w:type="dxa"/>
            <w:vAlign w:val="center"/>
          </w:tcPr>
          <w:p w14:paraId="3EF03DD0" w14:textId="77777777" w:rsidR="0017228B" w:rsidRDefault="008F01EE">
            <w:pPr>
              <w:jc w:val="right"/>
            </w:pPr>
            <w:r>
              <w:rPr>
                <w:rFonts w:asciiTheme="minorEastAsia" w:eastAsiaTheme="minorEastAsia" w:hAnsiTheme="minorEastAsia" w:cs="宋体"/>
                <w:color w:val="000000" w:themeColor="text1"/>
                <w:szCs w:val="21"/>
              </w:rPr>
              <w:t>449,119,222.72</w:t>
            </w:r>
          </w:p>
        </w:tc>
        <w:tc>
          <w:tcPr>
            <w:tcW w:w="3175" w:type="dxa"/>
            <w:vAlign w:val="center"/>
          </w:tcPr>
          <w:p w14:paraId="218025DD" w14:textId="77777777" w:rsidR="0017228B" w:rsidRDefault="008F01EE">
            <w:pPr>
              <w:jc w:val="right"/>
            </w:pPr>
            <w:r>
              <w:rPr>
                <w:rFonts w:asciiTheme="minorEastAsia" w:eastAsiaTheme="minorEastAsia" w:hAnsiTheme="minorEastAsia" w:cs="宋体"/>
                <w:color w:val="000000" w:themeColor="text1"/>
                <w:szCs w:val="21"/>
              </w:rPr>
              <w:t>30.31</w:t>
            </w:r>
          </w:p>
        </w:tc>
      </w:tr>
      <w:tr w:rsidR="0017228B" w14:paraId="7692C306" w14:textId="77777777">
        <w:tc>
          <w:tcPr>
            <w:tcW w:w="2787" w:type="dxa"/>
            <w:vAlign w:val="center"/>
          </w:tcPr>
          <w:p w14:paraId="4C38DF35" w14:textId="77777777" w:rsidR="0017228B" w:rsidRDefault="008F01EE">
            <w:pPr>
              <w:jc w:val="left"/>
            </w:pPr>
            <w:r>
              <w:rPr>
                <w:rFonts w:asciiTheme="minorEastAsia" w:eastAsiaTheme="minorEastAsia" w:hAnsiTheme="minorEastAsia" w:cs="宋体"/>
                <w:color w:val="000000" w:themeColor="text1"/>
                <w:szCs w:val="21"/>
              </w:rPr>
              <w:t>金融</w:t>
            </w:r>
          </w:p>
        </w:tc>
        <w:tc>
          <w:tcPr>
            <w:tcW w:w="2551" w:type="dxa"/>
            <w:vAlign w:val="center"/>
          </w:tcPr>
          <w:p w14:paraId="3CD7E47F" w14:textId="77777777" w:rsidR="0017228B" w:rsidRDefault="008F01EE">
            <w:pPr>
              <w:jc w:val="right"/>
            </w:pPr>
            <w:r>
              <w:rPr>
                <w:rFonts w:asciiTheme="minorEastAsia" w:eastAsiaTheme="minorEastAsia" w:hAnsiTheme="minorEastAsia" w:cs="宋体"/>
                <w:color w:val="000000" w:themeColor="text1"/>
                <w:szCs w:val="21"/>
              </w:rPr>
              <w:t>181,414,192.90</w:t>
            </w:r>
          </w:p>
        </w:tc>
        <w:tc>
          <w:tcPr>
            <w:tcW w:w="3175" w:type="dxa"/>
            <w:vAlign w:val="center"/>
          </w:tcPr>
          <w:p w14:paraId="4165B9B9" w14:textId="77777777" w:rsidR="0017228B" w:rsidRDefault="008F01EE">
            <w:pPr>
              <w:jc w:val="right"/>
            </w:pPr>
            <w:r>
              <w:rPr>
                <w:rFonts w:asciiTheme="minorEastAsia" w:eastAsiaTheme="minorEastAsia" w:hAnsiTheme="minorEastAsia" w:cs="宋体"/>
                <w:color w:val="000000" w:themeColor="text1"/>
                <w:szCs w:val="21"/>
              </w:rPr>
              <w:t>12.24</w:t>
            </w:r>
          </w:p>
        </w:tc>
      </w:tr>
      <w:tr w:rsidR="0017228B" w14:paraId="5657609B" w14:textId="77777777">
        <w:tc>
          <w:tcPr>
            <w:tcW w:w="2787" w:type="dxa"/>
            <w:vAlign w:val="center"/>
          </w:tcPr>
          <w:p w14:paraId="7750AEB1" w14:textId="77777777" w:rsidR="0017228B" w:rsidRDefault="008F01EE">
            <w:pPr>
              <w:jc w:val="left"/>
            </w:pPr>
            <w:r>
              <w:rPr>
                <w:rFonts w:asciiTheme="minorEastAsia" w:eastAsiaTheme="minorEastAsia" w:hAnsiTheme="minorEastAsia" w:cs="宋体"/>
                <w:color w:val="000000" w:themeColor="text1"/>
                <w:szCs w:val="21"/>
              </w:rPr>
              <w:t>医疗保健</w:t>
            </w:r>
          </w:p>
        </w:tc>
        <w:tc>
          <w:tcPr>
            <w:tcW w:w="2551" w:type="dxa"/>
            <w:vAlign w:val="center"/>
          </w:tcPr>
          <w:p w14:paraId="6D4AC3B2" w14:textId="77777777" w:rsidR="0017228B" w:rsidRDefault="008F01EE">
            <w:pPr>
              <w:jc w:val="right"/>
            </w:pPr>
            <w:r>
              <w:rPr>
                <w:rFonts w:asciiTheme="minorEastAsia" w:eastAsiaTheme="minorEastAsia" w:hAnsiTheme="minorEastAsia" w:cs="宋体"/>
                <w:color w:val="000000" w:themeColor="text1"/>
                <w:szCs w:val="21"/>
              </w:rPr>
              <w:t>162,494,722.65</w:t>
            </w:r>
          </w:p>
        </w:tc>
        <w:tc>
          <w:tcPr>
            <w:tcW w:w="3175" w:type="dxa"/>
            <w:vAlign w:val="center"/>
          </w:tcPr>
          <w:p w14:paraId="68426631" w14:textId="77777777" w:rsidR="0017228B" w:rsidRDefault="008F01EE">
            <w:pPr>
              <w:jc w:val="right"/>
            </w:pPr>
            <w:r>
              <w:rPr>
                <w:rFonts w:asciiTheme="minorEastAsia" w:eastAsiaTheme="minorEastAsia" w:hAnsiTheme="minorEastAsia" w:cs="宋体"/>
                <w:color w:val="000000" w:themeColor="text1"/>
                <w:szCs w:val="21"/>
              </w:rPr>
              <w:t>10.97</w:t>
            </w:r>
          </w:p>
        </w:tc>
      </w:tr>
      <w:tr w:rsidR="0017228B" w14:paraId="431F49D1" w14:textId="77777777">
        <w:tc>
          <w:tcPr>
            <w:tcW w:w="2787" w:type="dxa"/>
            <w:vAlign w:val="center"/>
          </w:tcPr>
          <w:p w14:paraId="71220F58" w14:textId="77777777" w:rsidR="0017228B" w:rsidRDefault="008F01EE">
            <w:pPr>
              <w:jc w:val="left"/>
            </w:pPr>
            <w:r>
              <w:rPr>
                <w:rFonts w:asciiTheme="minorEastAsia" w:eastAsiaTheme="minorEastAsia" w:hAnsiTheme="minorEastAsia" w:cs="宋体"/>
                <w:color w:val="000000" w:themeColor="text1"/>
                <w:szCs w:val="21"/>
              </w:rPr>
              <w:t>消费者非必需品</w:t>
            </w:r>
          </w:p>
        </w:tc>
        <w:tc>
          <w:tcPr>
            <w:tcW w:w="2551" w:type="dxa"/>
            <w:vAlign w:val="center"/>
          </w:tcPr>
          <w:p w14:paraId="42B39888" w14:textId="77777777" w:rsidR="0017228B" w:rsidRDefault="008F01EE">
            <w:pPr>
              <w:jc w:val="right"/>
            </w:pPr>
            <w:r>
              <w:rPr>
                <w:rFonts w:asciiTheme="minorEastAsia" w:eastAsiaTheme="minorEastAsia" w:hAnsiTheme="minorEastAsia" w:cs="宋体"/>
                <w:color w:val="000000" w:themeColor="text1"/>
                <w:szCs w:val="21"/>
              </w:rPr>
              <w:t>143,256,298.97</w:t>
            </w:r>
          </w:p>
        </w:tc>
        <w:tc>
          <w:tcPr>
            <w:tcW w:w="3175" w:type="dxa"/>
            <w:vAlign w:val="center"/>
          </w:tcPr>
          <w:p w14:paraId="7EEF7318" w14:textId="77777777" w:rsidR="0017228B" w:rsidRDefault="008F01EE">
            <w:pPr>
              <w:jc w:val="right"/>
            </w:pPr>
            <w:r>
              <w:rPr>
                <w:rFonts w:asciiTheme="minorEastAsia" w:eastAsiaTheme="minorEastAsia" w:hAnsiTheme="minorEastAsia" w:cs="宋体"/>
                <w:color w:val="000000" w:themeColor="text1"/>
                <w:szCs w:val="21"/>
              </w:rPr>
              <w:t>9.67</w:t>
            </w:r>
          </w:p>
        </w:tc>
      </w:tr>
      <w:tr w:rsidR="0017228B" w14:paraId="7CB16483" w14:textId="77777777">
        <w:tc>
          <w:tcPr>
            <w:tcW w:w="2787" w:type="dxa"/>
            <w:vAlign w:val="center"/>
          </w:tcPr>
          <w:p w14:paraId="225FB88F" w14:textId="77777777" w:rsidR="0017228B" w:rsidRDefault="008F01EE">
            <w:pPr>
              <w:jc w:val="left"/>
            </w:pPr>
            <w:r>
              <w:rPr>
                <w:rFonts w:asciiTheme="minorEastAsia" w:eastAsiaTheme="minorEastAsia" w:hAnsiTheme="minorEastAsia" w:cs="宋体"/>
                <w:color w:val="000000" w:themeColor="text1"/>
                <w:szCs w:val="21"/>
              </w:rPr>
              <w:t>电信服务</w:t>
            </w:r>
          </w:p>
        </w:tc>
        <w:tc>
          <w:tcPr>
            <w:tcW w:w="2551" w:type="dxa"/>
            <w:vAlign w:val="center"/>
          </w:tcPr>
          <w:p w14:paraId="4D38136D" w14:textId="77777777" w:rsidR="0017228B" w:rsidRDefault="008F01EE">
            <w:pPr>
              <w:jc w:val="right"/>
            </w:pPr>
            <w:r>
              <w:rPr>
                <w:rFonts w:asciiTheme="minorEastAsia" w:eastAsiaTheme="minorEastAsia" w:hAnsiTheme="minorEastAsia" w:cs="宋体"/>
                <w:color w:val="000000" w:themeColor="text1"/>
                <w:szCs w:val="21"/>
              </w:rPr>
              <w:t>125,562,029.48</w:t>
            </w:r>
          </w:p>
        </w:tc>
        <w:tc>
          <w:tcPr>
            <w:tcW w:w="3175" w:type="dxa"/>
            <w:vAlign w:val="center"/>
          </w:tcPr>
          <w:p w14:paraId="7B4E0F64" w14:textId="77777777" w:rsidR="0017228B" w:rsidRDefault="008F01EE">
            <w:pPr>
              <w:jc w:val="right"/>
            </w:pPr>
            <w:r>
              <w:rPr>
                <w:rFonts w:asciiTheme="minorEastAsia" w:eastAsiaTheme="minorEastAsia" w:hAnsiTheme="minorEastAsia" w:cs="宋体"/>
                <w:color w:val="000000" w:themeColor="text1"/>
                <w:szCs w:val="21"/>
              </w:rPr>
              <w:t>8.47</w:t>
            </w:r>
          </w:p>
        </w:tc>
      </w:tr>
      <w:tr w:rsidR="0017228B" w14:paraId="65FAD360" w14:textId="77777777">
        <w:tc>
          <w:tcPr>
            <w:tcW w:w="2787" w:type="dxa"/>
            <w:vAlign w:val="center"/>
          </w:tcPr>
          <w:p w14:paraId="3C69F917" w14:textId="77777777" w:rsidR="0017228B" w:rsidRDefault="008F01EE">
            <w:pPr>
              <w:jc w:val="left"/>
            </w:pPr>
            <w:r>
              <w:rPr>
                <w:rFonts w:asciiTheme="minorEastAsia" w:eastAsiaTheme="minorEastAsia" w:hAnsiTheme="minorEastAsia" w:cs="宋体"/>
                <w:color w:val="000000" w:themeColor="text1"/>
                <w:szCs w:val="21"/>
              </w:rPr>
              <w:t>工业</w:t>
            </w:r>
          </w:p>
        </w:tc>
        <w:tc>
          <w:tcPr>
            <w:tcW w:w="2551" w:type="dxa"/>
            <w:vAlign w:val="center"/>
          </w:tcPr>
          <w:p w14:paraId="4885B8CD" w14:textId="77777777" w:rsidR="0017228B" w:rsidRDefault="008F01EE">
            <w:pPr>
              <w:jc w:val="right"/>
            </w:pPr>
            <w:r>
              <w:rPr>
                <w:rFonts w:asciiTheme="minorEastAsia" w:eastAsiaTheme="minorEastAsia" w:hAnsiTheme="minorEastAsia" w:cs="宋体"/>
                <w:color w:val="000000" w:themeColor="text1"/>
                <w:szCs w:val="21"/>
              </w:rPr>
              <w:t>110,131,969.55</w:t>
            </w:r>
          </w:p>
        </w:tc>
        <w:tc>
          <w:tcPr>
            <w:tcW w:w="3175" w:type="dxa"/>
            <w:vAlign w:val="center"/>
          </w:tcPr>
          <w:p w14:paraId="4D0F7B52" w14:textId="77777777" w:rsidR="0017228B" w:rsidRDefault="008F01EE">
            <w:pPr>
              <w:jc w:val="right"/>
            </w:pPr>
            <w:r>
              <w:rPr>
                <w:rFonts w:asciiTheme="minorEastAsia" w:eastAsiaTheme="minorEastAsia" w:hAnsiTheme="minorEastAsia" w:cs="宋体"/>
                <w:color w:val="000000" w:themeColor="text1"/>
                <w:szCs w:val="21"/>
              </w:rPr>
              <w:t>7.43</w:t>
            </w:r>
          </w:p>
        </w:tc>
      </w:tr>
      <w:tr w:rsidR="0017228B" w14:paraId="4BC174D4" w14:textId="77777777">
        <w:tc>
          <w:tcPr>
            <w:tcW w:w="2787" w:type="dxa"/>
            <w:vAlign w:val="center"/>
          </w:tcPr>
          <w:p w14:paraId="628BFADD" w14:textId="77777777" w:rsidR="0017228B" w:rsidRDefault="008F01EE">
            <w:pPr>
              <w:jc w:val="left"/>
            </w:pPr>
            <w:r>
              <w:rPr>
                <w:rFonts w:asciiTheme="minorEastAsia" w:eastAsiaTheme="minorEastAsia" w:hAnsiTheme="minorEastAsia" w:cs="宋体"/>
                <w:color w:val="000000" w:themeColor="text1"/>
                <w:szCs w:val="21"/>
              </w:rPr>
              <w:t>消费者常用品</w:t>
            </w:r>
          </w:p>
        </w:tc>
        <w:tc>
          <w:tcPr>
            <w:tcW w:w="2551" w:type="dxa"/>
            <w:vAlign w:val="center"/>
          </w:tcPr>
          <w:p w14:paraId="2F23ED31" w14:textId="77777777" w:rsidR="0017228B" w:rsidRDefault="008F01EE">
            <w:pPr>
              <w:jc w:val="right"/>
            </w:pPr>
            <w:r>
              <w:rPr>
                <w:rFonts w:asciiTheme="minorEastAsia" w:eastAsiaTheme="minorEastAsia" w:hAnsiTheme="minorEastAsia" w:cs="宋体"/>
                <w:color w:val="000000" w:themeColor="text1"/>
                <w:szCs w:val="21"/>
              </w:rPr>
              <w:t>83,392,944.84</w:t>
            </w:r>
          </w:p>
        </w:tc>
        <w:tc>
          <w:tcPr>
            <w:tcW w:w="3175" w:type="dxa"/>
            <w:vAlign w:val="center"/>
          </w:tcPr>
          <w:p w14:paraId="104F42C7" w14:textId="77777777" w:rsidR="0017228B" w:rsidRDefault="008F01EE">
            <w:pPr>
              <w:jc w:val="right"/>
            </w:pPr>
            <w:r>
              <w:rPr>
                <w:rFonts w:asciiTheme="minorEastAsia" w:eastAsiaTheme="minorEastAsia" w:hAnsiTheme="minorEastAsia" w:cs="宋体"/>
                <w:color w:val="000000" w:themeColor="text1"/>
                <w:szCs w:val="21"/>
              </w:rPr>
              <w:t>5.63</w:t>
            </w:r>
          </w:p>
        </w:tc>
      </w:tr>
      <w:tr w:rsidR="0017228B" w14:paraId="5F1B0DCE" w14:textId="77777777">
        <w:tc>
          <w:tcPr>
            <w:tcW w:w="2787" w:type="dxa"/>
            <w:vAlign w:val="center"/>
          </w:tcPr>
          <w:p w14:paraId="57ABCD1E" w14:textId="77777777" w:rsidR="0017228B" w:rsidRDefault="008F01EE">
            <w:pPr>
              <w:jc w:val="left"/>
            </w:pPr>
            <w:r>
              <w:rPr>
                <w:rFonts w:asciiTheme="minorEastAsia" w:eastAsiaTheme="minorEastAsia" w:hAnsiTheme="minorEastAsia" w:cs="宋体"/>
                <w:color w:val="000000" w:themeColor="text1"/>
                <w:szCs w:val="21"/>
              </w:rPr>
              <w:t>能源</w:t>
            </w:r>
          </w:p>
        </w:tc>
        <w:tc>
          <w:tcPr>
            <w:tcW w:w="2551" w:type="dxa"/>
            <w:vAlign w:val="center"/>
          </w:tcPr>
          <w:p w14:paraId="74E8EB83" w14:textId="77777777" w:rsidR="0017228B" w:rsidRDefault="008F01EE">
            <w:pPr>
              <w:jc w:val="right"/>
            </w:pPr>
            <w:r>
              <w:rPr>
                <w:rFonts w:asciiTheme="minorEastAsia" w:eastAsiaTheme="minorEastAsia" w:hAnsiTheme="minorEastAsia" w:cs="宋体"/>
                <w:color w:val="000000" w:themeColor="text1"/>
                <w:szCs w:val="21"/>
              </w:rPr>
              <w:t>46,902,268.63</w:t>
            </w:r>
          </w:p>
        </w:tc>
        <w:tc>
          <w:tcPr>
            <w:tcW w:w="3175" w:type="dxa"/>
            <w:vAlign w:val="center"/>
          </w:tcPr>
          <w:p w14:paraId="269FE4D9" w14:textId="77777777" w:rsidR="0017228B" w:rsidRDefault="008F01EE">
            <w:pPr>
              <w:jc w:val="right"/>
            </w:pPr>
            <w:r>
              <w:rPr>
                <w:rFonts w:asciiTheme="minorEastAsia" w:eastAsiaTheme="minorEastAsia" w:hAnsiTheme="minorEastAsia" w:cs="宋体"/>
                <w:color w:val="000000" w:themeColor="text1"/>
                <w:szCs w:val="21"/>
              </w:rPr>
              <w:t>3.17</w:t>
            </w:r>
          </w:p>
        </w:tc>
      </w:tr>
      <w:tr w:rsidR="0017228B" w14:paraId="454DF793" w14:textId="77777777">
        <w:tc>
          <w:tcPr>
            <w:tcW w:w="2787" w:type="dxa"/>
            <w:vAlign w:val="center"/>
          </w:tcPr>
          <w:p w14:paraId="2BED81C9" w14:textId="77777777" w:rsidR="0017228B" w:rsidRDefault="008F01EE">
            <w:pPr>
              <w:jc w:val="left"/>
            </w:pPr>
            <w:r>
              <w:rPr>
                <w:rFonts w:asciiTheme="minorEastAsia" w:eastAsiaTheme="minorEastAsia" w:hAnsiTheme="minorEastAsia" w:cs="宋体"/>
                <w:color w:val="000000" w:themeColor="text1"/>
                <w:szCs w:val="21"/>
              </w:rPr>
              <w:t>公用事业</w:t>
            </w:r>
          </w:p>
        </w:tc>
        <w:tc>
          <w:tcPr>
            <w:tcW w:w="2551" w:type="dxa"/>
            <w:vAlign w:val="center"/>
          </w:tcPr>
          <w:p w14:paraId="5198CFB7" w14:textId="77777777" w:rsidR="0017228B" w:rsidRDefault="008F01EE">
            <w:pPr>
              <w:jc w:val="right"/>
            </w:pPr>
            <w:r>
              <w:rPr>
                <w:rFonts w:asciiTheme="minorEastAsia" w:eastAsiaTheme="minorEastAsia" w:hAnsiTheme="minorEastAsia" w:cs="宋体"/>
                <w:color w:val="000000" w:themeColor="text1"/>
                <w:szCs w:val="21"/>
              </w:rPr>
              <w:t>34,367,448.76</w:t>
            </w:r>
          </w:p>
        </w:tc>
        <w:tc>
          <w:tcPr>
            <w:tcW w:w="3175" w:type="dxa"/>
            <w:vAlign w:val="center"/>
          </w:tcPr>
          <w:p w14:paraId="6E657532" w14:textId="77777777" w:rsidR="0017228B" w:rsidRDefault="008F01EE">
            <w:pPr>
              <w:jc w:val="right"/>
            </w:pPr>
            <w:r>
              <w:rPr>
                <w:rFonts w:asciiTheme="minorEastAsia" w:eastAsiaTheme="minorEastAsia" w:hAnsiTheme="minorEastAsia" w:cs="宋体"/>
                <w:color w:val="000000" w:themeColor="text1"/>
                <w:szCs w:val="21"/>
              </w:rPr>
              <w:t>2.32</w:t>
            </w:r>
          </w:p>
        </w:tc>
      </w:tr>
      <w:tr w:rsidR="0017228B" w14:paraId="53756E44" w14:textId="77777777">
        <w:tc>
          <w:tcPr>
            <w:tcW w:w="2787" w:type="dxa"/>
            <w:vAlign w:val="center"/>
          </w:tcPr>
          <w:p w14:paraId="5B1F9858" w14:textId="77777777" w:rsidR="0017228B" w:rsidRDefault="008F01EE">
            <w:pPr>
              <w:jc w:val="left"/>
            </w:pPr>
            <w:r>
              <w:rPr>
                <w:rFonts w:asciiTheme="minorEastAsia" w:eastAsiaTheme="minorEastAsia" w:hAnsiTheme="minorEastAsia" w:cs="宋体"/>
                <w:color w:val="000000" w:themeColor="text1"/>
                <w:szCs w:val="21"/>
              </w:rPr>
              <w:t>房地产</w:t>
            </w:r>
          </w:p>
        </w:tc>
        <w:tc>
          <w:tcPr>
            <w:tcW w:w="2551" w:type="dxa"/>
            <w:vAlign w:val="center"/>
          </w:tcPr>
          <w:p w14:paraId="66244EEB" w14:textId="77777777" w:rsidR="0017228B" w:rsidRDefault="008F01EE">
            <w:pPr>
              <w:jc w:val="right"/>
            </w:pPr>
            <w:r>
              <w:rPr>
                <w:rFonts w:asciiTheme="minorEastAsia" w:eastAsiaTheme="minorEastAsia" w:hAnsiTheme="minorEastAsia" w:cs="宋体"/>
                <w:color w:val="000000" w:themeColor="text1"/>
                <w:szCs w:val="21"/>
              </w:rPr>
              <w:t>32,345,152.13</w:t>
            </w:r>
          </w:p>
        </w:tc>
        <w:tc>
          <w:tcPr>
            <w:tcW w:w="3175" w:type="dxa"/>
            <w:vAlign w:val="center"/>
          </w:tcPr>
          <w:p w14:paraId="19F47D3E" w14:textId="77777777" w:rsidR="0017228B" w:rsidRDefault="008F01EE">
            <w:pPr>
              <w:jc w:val="right"/>
            </w:pPr>
            <w:r>
              <w:rPr>
                <w:rFonts w:asciiTheme="minorEastAsia" w:eastAsiaTheme="minorEastAsia" w:hAnsiTheme="minorEastAsia" w:cs="宋体"/>
                <w:color w:val="000000" w:themeColor="text1"/>
                <w:szCs w:val="21"/>
              </w:rPr>
              <w:t>2.18</w:t>
            </w:r>
          </w:p>
        </w:tc>
      </w:tr>
      <w:tr w:rsidR="0017228B" w14:paraId="6290007D" w14:textId="77777777">
        <w:tc>
          <w:tcPr>
            <w:tcW w:w="2787" w:type="dxa"/>
            <w:vAlign w:val="center"/>
          </w:tcPr>
          <w:p w14:paraId="5B141020" w14:textId="77777777" w:rsidR="0017228B" w:rsidRDefault="008F01EE">
            <w:pPr>
              <w:jc w:val="left"/>
            </w:pPr>
            <w:r>
              <w:rPr>
                <w:rFonts w:asciiTheme="minorEastAsia" w:eastAsiaTheme="minorEastAsia" w:hAnsiTheme="minorEastAsia" w:cs="宋体"/>
                <w:color w:val="000000" w:themeColor="text1"/>
                <w:szCs w:val="21"/>
              </w:rPr>
              <w:t>基础材料</w:t>
            </w:r>
          </w:p>
        </w:tc>
        <w:tc>
          <w:tcPr>
            <w:tcW w:w="2551" w:type="dxa"/>
            <w:vAlign w:val="center"/>
          </w:tcPr>
          <w:p w14:paraId="2BBB8B45" w14:textId="77777777" w:rsidR="0017228B" w:rsidRDefault="008F01EE">
            <w:pPr>
              <w:jc w:val="right"/>
            </w:pPr>
            <w:r>
              <w:rPr>
                <w:rFonts w:asciiTheme="minorEastAsia" w:eastAsiaTheme="minorEastAsia" w:hAnsiTheme="minorEastAsia" w:cs="宋体"/>
                <w:color w:val="000000" w:themeColor="text1"/>
                <w:szCs w:val="21"/>
              </w:rPr>
              <w:t>31,620,599.78</w:t>
            </w:r>
          </w:p>
        </w:tc>
        <w:tc>
          <w:tcPr>
            <w:tcW w:w="3175" w:type="dxa"/>
            <w:vAlign w:val="center"/>
          </w:tcPr>
          <w:p w14:paraId="54DAA244" w14:textId="77777777" w:rsidR="0017228B" w:rsidRDefault="008F01EE">
            <w:pPr>
              <w:jc w:val="right"/>
            </w:pPr>
            <w:r>
              <w:rPr>
                <w:rFonts w:asciiTheme="minorEastAsia" w:eastAsiaTheme="minorEastAsia" w:hAnsiTheme="minorEastAsia" w:cs="宋体"/>
                <w:color w:val="000000" w:themeColor="text1"/>
                <w:szCs w:val="21"/>
              </w:rPr>
              <w:t>2.13</w:t>
            </w:r>
          </w:p>
        </w:tc>
      </w:tr>
      <w:tr w:rsidR="00B34251" w:rsidRPr="00C74EFF" w14:paraId="03FB9DD1" w14:textId="77777777" w:rsidTr="00882B94">
        <w:tc>
          <w:tcPr>
            <w:tcW w:w="2787" w:type="dxa"/>
            <w:vAlign w:val="center"/>
          </w:tcPr>
          <w:p w14:paraId="496FA9EE" w14:textId="77777777" w:rsidR="00B34251" w:rsidRPr="00C74EFF" w:rsidRDefault="00B34251" w:rsidP="00335FCF">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14:paraId="5BD6E63A"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1,400,606,850.41</w:t>
            </w:r>
          </w:p>
        </w:tc>
        <w:tc>
          <w:tcPr>
            <w:tcW w:w="3175" w:type="dxa"/>
            <w:vAlign w:val="center"/>
          </w:tcPr>
          <w:p w14:paraId="5E4B25F2"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94.52</w:t>
            </w:r>
          </w:p>
        </w:tc>
      </w:tr>
    </w:tbl>
    <w:p w14:paraId="66E219CA" w14:textId="77777777" w:rsidR="00B34251" w:rsidRPr="00C74EFF" w:rsidRDefault="00B34251" w:rsidP="00B34251">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p>
    <w:p w14:paraId="0B044370" w14:textId="77777777" w:rsidR="00CE3801" w:rsidRDefault="00CE3801" w:rsidP="008B6A4A">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14:paraId="3D9BC620" w14:textId="77777777" w:rsidR="00CE3801" w:rsidRPr="00CE3801" w:rsidRDefault="00CE3801"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1C0C9A6F" w14:textId="77777777"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14:paraId="2A8D61E0" w14:textId="77777777" w:rsidR="00CE3801" w:rsidRPr="008277FF" w:rsidRDefault="00CE3801" w:rsidP="006612CB">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14:paraId="0CF0A824" w14:textId="77777777"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14:paraId="076F37C9" w14:textId="77777777"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14:paraId="339C36FC" w14:textId="77777777" w:rsidTr="006612CB">
        <w:trPr>
          <w:trHeight w:val="315"/>
        </w:trPr>
        <w:tc>
          <w:tcPr>
            <w:tcW w:w="709" w:type="dxa"/>
            <w:tcMar>
              <w:top w:w="15" w:type="dxa"/>
              <w:left w:w="15" w:type="dxa"/>
              <w:bottom w:w="0" w:type="dxa"/>
              <w:right w:w="15" w:type="dxa"/>
            </w:tcMar>
            <w:vAlign w:val="center"/>
          </w:tcPr>
          <w:p w14:paraId="50BBD12B"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序号</w:t>
            </w:r>
          </w:p>
        </w:tc>
        <w:tc>
          <w:tcPr>
            <w:tcW w:w="1109" w:type="dxa"/>
            <w:tcMar>
              <w:top w:w="15" w:type="dxa"/>
              <w:left w:w="15" w:type="dxa"/>
              <w:bottom w:w="0" w:type="dxa"/>
              <w:right w:w="15" w:type="dxa"/>
            </w:tcMar>
            <w:vAlign w:val="center"/>
          </w:tcPr>
          <w:p w14:paraId="50542C79"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14:paraId="483AED3B"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14:paraId="17ABD105"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14:paraId="357E6577"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14:paraId="4D0745FE"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14:paraId="2B151138"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14:paraId="6242530E"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14:paraId="25792564"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17228B" w14:paraId="4A821304" w14:textId="77777777">
        <w:tc>
          <w:tcPr>
            <w:tcW w:w="709" w:type="dxa"/>
            <w:vAlign w:val="center"/>
          </w:tcPr>
          <w:p w14:paraId="0AF62A3B" w14:textId="77777777" w:rsidR="0017228B" w:rsidRDefault="008F01EE">
            <w:pPr>
              <w:jc w:val="center"/>
            </w:pPr>
            <w:r>
              <w:rPr>
                <w:rFonts w:asciiTheme="minorEastAsia" w:eastAsiaTheme="minorEastAsia" w:hAnsiTheme="minorEastAsia" w:cs="宋体"/>
                <w:color w:val="000000" w:themeColor="text1"/>
                <w:szCs w:val="21"/>
              </w:rPr>
              <w:lastRenderedPageBreak/>
              <w:t>1</w:t>
            </w:r>
          </w:p>
        </w:tc>
        <w:tc>
          <w:tcPr>
            <w:tcW w:w="1109" w:type="dxa"/>
            <w:vAlign w:val="center"/>
          </w:tcPr>
          <w:p w14:paraId="20BED441" w14:textId="77777777" w:rsidR="0017228B" w:rsidRDefault="008F01EE">
            <w:pPr>
              <w:jc w:val="center"/>
            </w:pPr>
            <w:r>
              <w:rPr>
                <w:rFonts w:asciiTheme="minorEastAsia" w:eastAsiaTheme="minorEastAsia" w:hAnsiTheme="minorEastAsia" w:cs="宋体"/>
                <w:color w:val="000000" w:themeColor="text1"/>
                <w:szCs w:val="21"/>
              </w:rPr>
              <w:t>APPLE INC</w:t>
            </w:r>
          </w:p>
        </w:tc>
        <w:tc>
          <w:tcPr>
            <w:tcW w:w="876" w:type="dxa"/>
            <w:vAlign w:val="center"/>
          </w:tcPr>
          <w:p w14:paraId="53E18BA4" w14:textId="77777777" w:rsidR="0017228B" w:rsidRDefault="008F01EE">
            <w:pPr>
              <w:jc w:val="center"/>
            </w:pPr>
            <w:r>
              <w:rPr>
                <w:rFonts w:asciiTheme="minorEastAsia" w:eastAsiaTheme="minorEastAsia" w:hAnsiTheme="minorEastAsia" w:cs="宋体"/>
                <w:color w:val="000000" w:themeColor="text1"/>
                <w:szCs w:val="21"/>
              </w:rPr>
              <w:t>苹果公司</w:t>
            </w:r>
          </w:p>
        </w:tc>
        <w:tc>
          <w:tcPr>
            <w:tcW w:w="850" w:type="dxa"/>
            <w:vAlign w:val="center"/>
          </w:tcPr>
          <w:p w14:paraId="0EB6FE1B" w14:textId="77777777" w:rsidR="0017228B" w:rsidRDefault="008F01EE">
            <w:pPr>
              <w:jc w:val="center"/>
            </w:pPr>
            <w:r>
              <w:rPr>
                <w:rFonts w:asciiTheme="minorEastAsia" w:eastAsiaTheme="minorEastAsia" w:hAnsiTheme="minorEastAsia" w:cs="宋体"/>
                <w:color w:val="000000" w:themeColor="text1"/>
                <w:szCs w:val="21"/>
              </w:rPr>
              <w:t>AAPL</w:t>
            </w:r>
          </w:p>
        </w:tc>
        <w:tc>
          <w:tcPr>
            <w:tcW w:w="993" w:type="dxa"/>
            <w:vAlign w:val="center"/>
          </w:tcPr>
          <w:p w14:paraId="1D3EF806"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13BDCA16"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72FE618A" w14:textId="77777777" w:rsidR="0017228B" w:rsidRDefault="008F01EE">
            <w:pPr>
              <w:jc w:val="right"/>
            </w:pPr>
            <w:r>
              <w:rPr>
                <w:rFonts w:asciiTheme="minorEastAsia" w:eastAsiaTheme="minorEastAsia" w:hAnsiTheme="minorEastAsia" w:cs="宋体"/>
                <w:color w:val="000000" w:themeColor="text1"/>
                <w:szCs w:val="21"/>
              </w:rPr>
              <w:t>63,121</w:t>
            </w:r>
          </w:p>
        </w:tc>
        <w:tc>
          <w:tcPr>
            <w:tcW w:w="851" w:type="dxa"/>
            <w:vAlign w:val="center"/>
          </w:tcPr>
          <w:p w14:paraId="23F0EA23" w14:textId="77777777" w:rsidR="0017228B" w:rsidRDefault="008F01EE">
            <w:pPr>
              <w:jc w:val="right"/>
            </w:pPr>
            <w:r>
              <w:rPr>
                <w:rFonts w:asciiTheme="minorEastAsia" w:eastAsiaTheme="minorEastAsia" w:hAnsiTheme="minorEastAsia" w:cs="宋体"/>
                <w:color w:val="000000" w:themeColor="text1"/>
                <w:szCs w:val="21"/>
              </w:rPr>
              <w:t>103,059,184.23</w:t>
            </w:r>
          </w:p>
        </w:tc>
        <w:tc>
          <w:tcPr>
            <w:tcW w:w="1275" w:type="dxa"/>
            <w:vAlign w:val="center"/>
          </w:tcPr>
          <w:p w14:paraId="6C53160E" w14:textId="77777777" w:rsidR="0017228B" w:rsidRDefault="008F01EE">
            <w:pPr>
              <w:jc w:val="right"/>
            </w:pPr>
            <w:r>
              <w:rPr>
                <w:rFonts w:asciiTheme="minorEastAsia" w:eastAsiaTheme="minorEastAsia" w:hAnsiTheme="minorEastAsia" w:cs="宋体"/>
                <w:color w:val="000000" w:themeColor="text1"/>
                <w:szCs w:val="21"/>
              </w:rPr>
              <w:t>6.96</w:t>
            </w:r>
          </w:p>
        </w:tc>
      </w:tr>
      <w:tr w:rsidR="0017228B" w14:paraId="457237A3" w14:textId="77777777">
        <w:tc>
          <w:tcPr>
            <w:tcW w:w="709" w:type="dxa"/>
            <w:vAlign w:val="center"/>
          </w:tcPr>
          <w:p w14:paraId="7B206B13" w14:textId="77777777" w:rsidR="0017228B" w:rsidRDefault="008F01EE">
            <w:pPr>
              <w:jc w:val="center"/>
            </w:pPr>
            <w:r>
              <w:rPr>
                <w:rFonts w:asciiTheme="minorEastAsia" w:eastAsiaTheme="minorEastAsia" w:hAnsiTheme="minorEastAsia" w:cs="宋体"/>
                <w:color w:val="000000" w:themeColor="text1"/>
                <w:szCs w:val="21"/>
              </w:rPr>
              <w:t>2</w:t>
            </w:r>
          </w:p>
        </w:tc>
        <w:tc>
          <w:tcPr>
            <w:tcW w:w="1109" w:type="dxa"/>
            <w:vAlign w:val="center"/>
          </w:tcPr>
          <w:p w14:paraId="25B8A3F3" w14:textId="77777777" w:rsidR="0017228B" w:rsidRDefault="008F01EE">
            <w:pPr>
              <w:jc w:val="center"/>
            </w:pPr>
            <w:r>
              <w:rPr>
                <w:rFonts w:asciiTheme="minorEastAsia" w:eastAsiaTheme="minorEastAsia" w:hAnsiTheme="minorEastAsia" w:cs="宋体"/>
                <w:color w:val="000000" w:themeColor="text1"/>
                <w:szCs w:val="21"/>
              </w:rPr>
              <w:t>MICROSOFT CORP</w:t>
            </w:r>
          </w:p>
        </w:tc>
        <w:tc>
          <w:tcPr>
            <w:tcW w:w="876" w:type="dxa"/>
            <w:vAlign w:val="center"/>
          </w:tcPr>
          <w:p w14:paraId="3776786B" w14:textId="77777777" w:rsidR="0017228B" w:rsidRDefault="008F01EE">
            <w:pPr>
              <w:jc w:val="center"/>
            </w:pPr>
            <w:r>
              <w:rPr>
                <w:rFonts w:asciiTheme="minorEastAsia" w:eastAsiaTheme="minorEastAsia" w:hAnsiTheme="minorEastAsia" w:cs="宋体"/>
                <w:color w:val="000000" w:themeColor="text1"/>
                <w:szCs w:val="21"/>
              </w:rPr>
              <w:t>微软</w:t>
            </w:r>
          </w:p>
        </w:tc>
        <w:tc>
          <w:tcPr>
            <w:tcW w:w="850" w:type="dxa"/>
            <w:vAlign w:val="center"/>
          </w:tcPr>
          <w:p w14:paraId="56F6843A" w14:textId="77777777" w:rsidR="0017228B" w:rsidRDefault="008F01EE">
            <w:pPr>
              <w:jc w:val="center"/>
            </w:pPr>
            <w:r>
              <w:rPr>
                <w:rFonts w:asciiTheme="minorEastAsia" w:eastAsiaTheme="minorEastAsia" w:hAnsiTheme="minorEastAsia" w:cs="宋体"/>
                <w:color w:val="000000" w:themeColor="text1"/>
                <w:szCs w:val="21"/>
              </w:rPr>
              <w:t>MSFT</w:t>
            </w:r>
          </w:p>
        </w:tc>
        <w:tc>
          <w:tcPr>
            <w:tcW w:w="993" w:type="dxa"/>
            <w:vAlign w:val="center"/>
          </w:tcPr>
          <w:p w14:paraId="4A3B795D"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66ABCBE2"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67B99AE7" w14:textId="77777777" w:rsidR="0017228B" w:rsidRDefault="008F01EE">
            <w:pPr>
              <w:jc w:val="right"/>
            </w:pPr>
            <w:r>
              <w:rPr>
                <w:rFonts w:asciiTheme="minorEastAsia" w:eastAsiaTheme="minorEastAsia" w:hAnsiTheme="minorEastAsia" w:cs="宋体"/>
                <w:color w:val="000000" w:themeColor="text1"/>
                <w:szCs w:val="21"/>
              </w:rPr>
              <w:t>30,859</w:t>
            </w:r>
          </w:p>
        </w:tc>
        <w:tc>
          <w:tcPr>
            <w:tcW w:w="851" w:type="dxa"/>
            <w:vAlign w:val="center"/>
          </w:tcPr>
          <w:p w14:paraId="56788F25" w14:textId="77777777" w:rsidR="0017228B" w:rsidRDefault="008F01EE">
            <w:pPr>
              <w:jc w:val="right"/>
            </w:pPr>
            <w:r>
              <w:rPr>
                <w:rFonts w:asciiTheme="minorEastAsia" w:eastAsiaTheme="minorEastAsia" w:hAnsiTheme="minorEastAsia" w:cs="宋体"/>
                <w:color w:val="000000" w:themeColor="text1"/>
                <w:szCs w:val="21"/>
              </w:rPr>
              <w:t>93,048,655.74</w:t>
            </w:r>
          </w:p>
        </w:tc>
        <w:tc>
          <w:tcPr>
            <w:tcW w:w="1275" w:type="dxa"/>
            <w:vAlign w:val="center"/>
          </w:tcPr>
          <w:p w14:paraId="6A18689D" w14:textId="77777777" w:rsidR="0017228B" w:rsidRDefault="008F01EE">
            <w:pPr>
              <w:jc w:val="right"/>
            </w:pPr>
            <w:r>
              <w:rPr>
                <w:rFonts w:asciiTheme="minorEastAsia" w:eastAsiaTheme="minorEastAsia" w:hAnsiTheme="minorEastAsia" w:cs="宋体"/>
                <w:color w:val="000000" w:themeColor="text1"/>
                <w:szCs w:val="21"/>
              </w:rPr>
              <w:t>6.28</w:t>
            </w:r>
          </w:p>
        </w:tc>
      </w:tr>
      <w:tr w:rsidR="0017228B" w14:paraId="44C62CEC" w14:textId="77777777">
        <w:tc>
          <w:tcPr>
            <w:tcW w:w="709" w:type="dxa"/>
            <w:vAlign w:val="center"/>
          </w:tcPr>
          <w:p w14:paraId="49CD3192" w14:textId="77777777" w:rsidR="0017228B" w:rsidRDefault="008F01EE">
            <w:pPr>
              <w:jc w:val="center"/>
            </w:pPr>
            <w:r>
              <w:rPr>
                <w:rFonts w:asciiTheme="minorEastAsia" w:eastAsiaTheme="minorEastAsia" w:hAnsiTheme="minorEastAsia" w:cs="宋体"/>
                <w:color w:val="000000" w:themeColor="text1"/>
                <w:szCs w:val="21"/>
              </w:rPr>
              <w:t>3</w:t>
            </w:r>
          </w:p>
        </w:tc>
        <w:tc>
          <w:tcPr>
            <w:tcW w:w="1109" w:type="dxa"/>
            <w:vAlign w:val="center"/>
          </w:tcPr>
          <w:p w14:paraId="5FF38135" w14:textId="77777777" w:rsidR="0017228B" w:rsidRDefault="008F01EE">
            <w:pPr>
              <w:jc w:val="center"/>
            </w:pPr>
            <w:r>
              <w:rPr>
                <w:rFonts w:asciiTheme="minorEastAsia" w:eastAsiaTheme="minorEastAsia" w:hAnsiTheme="minorEastAsia" w:cs="宋体"/>
                <w:color w:val="000000" w:themeColor="text1"/>
                <w:szCs w:val="21"/>
              </w:rPr>
              <w:t>NVIDIA CORP</w:t>
            </w:r>
          </w:p>
        </w:tc>
        <w:tc>
          <w:tcPr>
            <w:tcW w:w="876" w:type="dxa"/>
            <w:vAlign w:val="center"/>
          </w:tcPr>
          <w:p w14:paraId="1BB0BFEC" w14:textId="77777777" w:rsidR="0017228B" w:rsidRDefault="008F01EE">
            <w:pPr>
              <w:jc w:val="center"/>
            </w:pPr>
            <w:r>
              <w:rPr>
                <w:rFonts w:asciiTheme="minorEastAsia" w:eastAsiaTheme="minorEastAsia" w:hAnsiTheme="minorEastAsia" w:cs="宋体"/>
                <w:color w:val="000000" w:themeColor="text1"/>
                <w:szCs w:val="21"/>
              </w:rPr>
              <w:t>英伟达</w:t>
            </w:r>
          </w:p>
        </w:tc>
        <w:tc>
          <w:tcPr>
            <w:tcW w:w="850" w:type="dxa"/>
            <w:vAlign w:val="center"/>
          </w:tcPr>
          <w:p w14:paraId="66BF8943" w14:textId="77777777" w:rsidR="0017228B" w:rsidRDefault="008F01EE">
            <w:pPr>
              <w:jc w:val="center"/>
            </w:pPr>
            <w:r>
              <w:rPr>
                <w:rFonts w:asciiTheme="minorEastAsia" w:eastAsiaTheme="minorEastAsia" w:hAnsiTheme="minorEastAsia" w:cs="宋体"/>
                <w:color w:val="000000" w:themeColor="text1"/>
                <w:szCs w:val="21"/>
              </w:rPr>
              <w:t>NVDA</w:t>
            </w:r>
          </w:p>
        </w:tc>
        <w:tc>
          <w:tcPr>
            <w:tcW w:w="993" w:type="dxa"/>
            <w:vAlign w:val="center"/>
          </w:tcPr>
          <w:p w14:paraId="5D01C8F2"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2886E48D"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59FAB9A2" w14:textId="77777777" w:rsidR="0017228B" w:rsidRDefault="008F01EE">
            <w:pPr>
              <w:jc w:val="right"/>
            </w:pPr>
            <w:r>
              <w:rPr>
                <w:rFonts w:asciiTheme="minorEastAsia" w:eastAsiaTheme="minorEastAsia" w:hAnsiTheme="minorEastAsia" w:cs="宋体"/>
                <w:color w:val="000000" w:themeColor="text1"/>
                <w:szCs w:val="21"/>
              </w:rPr>
              <w:t>102,128</w:t>
            </w:r>
          </w:p>
        </w:tc>
        <w:tc>
          <w:tcPr>
            <w:tcW w:w="851" w:type="dxa"/>
            <w:vAlign w:val="center"/>
          </w:tcPr>
          <w:p w14:paraId="02B04F7A" w14:textId="77777777" w:rsidR="0017228B" w:rsidRDefault="008F01EE">
            <w:pPr>
              <w:jc w:val="right"/>
            </w:pPr>
            <w:r>
              <w:rPr>
                <w:rFonts w:asciiTheme="minorEastAsia" w:eastAsiaTheme="minorEastAsia" w:hAnsiTheme="minorEastAsia" w:cs="宋体"/>
                <w:color w:val="000000" w:themeColor="text1"/>
                <w:szCs w:val="21"/>
              </w:rPr>
              <w:t>86,908,748.18</w:t>
            </w:r>
          </w:p>
        </w:tc>
        <w:tc>
          <w:tcPr>
            <w:tcW w:w="1275" w:type="dxa"/>
            <w:vAlign w:val="center"/>
          </w:tcPr>
          <w:p w14:paraId="40E5A3B5" w14:textId="77777777" w:rsidR="0017228B" w:rsidRDefault="008F01EE">
            <w:pPr>
              <w:jc w:val="right"/>
            </w:pPr>
            <w:r>
              <w:rPr>
                <w:rFonts w:asciiTheme="minorEastAsia" w:eastAsiaTheme="minorEastAsia" w:hAnsiTheme="minorEastAsia" w:cs="宋体"/>
                <w:color w:val="000000" w:themeColor="text1"/>
                <w:szCs w:val="21"/>
              </w:rPr>
              <w:t>5.87</w:t>
            </w:r>
          </w:p>
        </w:tc>
      </w:tr>
      <w:tr w:rsidR="0017228B" w14:paraId="4DF21D40" w14:textId="77777777">
        <w:tc>
          <w:tcPr>
            <w:tcW w:w="709" w:type="dxa"/>
            <w:vAlign w:val="center"/>
          </w:tcPr>
          <w:p w14:paraId="01B6463C" w14:textId="77777777" w:rsidR="0017228B" w:rsidRDefault="008F01EE">
            <w:pPr>
              <w:jc w:val="center"/>
            </w:pPr>
            <w:r>
              <w:rPr>
                <w:rFonts w:asciiTheme="minorEastAsia" w:eastAsiaTheme="minorEastAsia" w:hAnsiTheme="minorEastAsia" w:cs="宋体"/>
                <w:color w:val="000000" w:themeColor="text1"/>
                <w:szCs w:val="21"/>
              </w:rPr>
              <w:t>4</w:t>
            </w:r>
          </w:p>
        </w:tc>
        <w:tc>
          <w:tcPr>
            <w:tcW w:w="1109" w:type="dxa"/>
            <w:vAlign w:val="center"/>
          </w:tcPr>
          <w:p w14:paraId="48B11FDF" w14:textId="77777777" w:rsidR="0017228B" w:rsidRDefault="008F01EE">
            <w:pPr>
              <w:jc w:val="center"/>
            </w:pPr>
            <w:r>
              <w:rPr>
                <w:rFonts w:asciiTheme="minorEastAsia" w:eastAsiaTheme="minorEastAsia" w:hAnsiTheme="minorEastAsia" w:cs="宋体"/>
                <w:color w:val="000000" w:themeColor="text1"/>
                <w:szCs w:val="21"/>
              </w:rPr>
              <w:t>AMAZON.COM INC</w:t>
            </w:r>
          </w:p>
        </w:tc>
        <w:tc>
          <w:tcPr>
            <w:tcW w:w="876" w:type="dxa"/>
            <w:vAlign w:val="center"/>
          </w:tcPr>
          <w:p w14:paraId="4E209112" w14:textId="77777777" w:rsidR="0017228B" w:rsidRDefault="008F01EE">
            <w:pPr>
              <w:jc w:val="center"/>
            </w:pPr>
            <w:r>
              <w:rPr>
                <w:rFonts w:asciiTheme="minorEastAsia" w:eastAsiaTheme="minorEastAsia" w:hAnsiTheme="minorEastAsia" w:cs="宋体"/>
                <w:color w:val="000000" w:themeColor="text1"/>
                <w:szCs w:val="21"/>
              </w:rPr>
              <w:t>亚马逊公司</w:t>
            </w:r>
          </w:p>
        </w:tc>
        <w:tc>
          <w:tcPr>
            <w:tcW w:w="850" w:type="dxa"/>
            <w:vAlign w:val="center"/>
          </w:tcPr>
          <w:p w14:paraId="526A2EF6" w14:textId="77777777" w:rsidR="0017228B" w:rsidRDefault="008F01EE">
            <w:pPr>
              <w:jc w:val="center"/>
            </w:pPr>
            <w:r>
              <w:rPr>
                <w:rFonts w:asciiTheme="minorEastAsia" w:eastAsiaTheme="minorEastAsia" w:hAnsiTheme="minorEastAsia" w:cs="宋体"/>
                <w:color w:val="000000" w:themeColor="text1"/>
                <w:szCs w:val="21"/>
              </w:rPr>
              <w:t>AMZN</w:t>
            </w:r>
          </w:p>
        </w:tc>
        <w:tc>
          <w:tcPr>
            <w:tcW w:w="993" w:type="dxa"/>
            <w:vAlign w:val="center"/>
          </w:tcPr>
          <w:p w14:paraId="4E9881E3"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4BBBB83B"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7B97964F" w14:textId="77777777" w:rsidR="0017228B" w:rsidRDefault="008F01EE">
            <w:pPr>
              <w:jc w:val="right"/>
            </w:pPr>
            <w:r>
              <w:rPr>
                <w:rFonts w:asciiTheme="minorEastAsia" w:eastAsiaTheme="minorEastAsia" w:hAnsiTheme="minorEastAsia" w:cs="宋体"/>
                <w:color w:val="000000" w:themeColor="text1"/>
                <w:szCs w:val="21"/>
              </w:rPr>
              <w:t>38,780</w:t>
            </w:r>
          </w:p>
        </w:tc>
        <w:tc>
          <w:tcPr>
            <w:tcW w:w="851" w:type="dxa"/>
            <w:vAlign w:val="center"/>
          </w:tcPr>
          <w:p w14:paraId="016E3D9A" w14:textId="77777777" w:rsidR="0017228B" w:rsidRDefault="008F01EE">
            <w:pPr>
              <w:jc w:val="right"/>
            </w:pPr>
            <w:r>
              <w:rPr>
                <w:rFonts w:asciiTheme="minorEastAsia" w:eastAsiaTheme="minorEastAsia" w:hAnsiTheme="minorEastAsia" w:cs="宋体"/>
                <w:color w:val="000000" w:themeColor="text1"/>
                <w:szCs w:val="21"/>
              </w:rPr>
              <w:t>50,634,613.29</w:t>
            </w:r>
          </w:p>
        </w:tc>
        <w:tc>
          <w:tcPr>
            <w:tcW w:w="1275" w:type="dxa"/>
            <w:vAlign w:val="center"/>
          </w:tcPr>
          <w:p w14:paraId="7D3DFBCF" w14:textId="77777777" w:rsidR="0017228B" w:rsidRDefault="008F01EE">
            <w:pPr>
              <w:jc w:val="right"/>
            </w:pPr>
            <w:r>
              <w:rPr>
                <w:rFonts w:asciiTheme="minorEastAsia" w:eastAsiaTheme="minorEastAsia" w:hAnsiTheme="minorEastAsia" w:cs="宋体"/>
                <w:color w:val="000000" w:themeColor="text1"/>
                <w:szCs w:val="21"/>
              </w:rPr>
              <w:t>3.42</w:t>
            </w:r>
          </w:p>
        </w:tc>
      </w:tr>
      <w:tr w:rsidR="0017228B" w14:paraId="3C1F2066" w14:textId="77777777">
        <w:tc>
          <w:tcPr>
            <w:tcW w:w="709" w:type="dxa"/>
            <w:vAlign w:val="center"/>
          </w:tcPr>
          <w:p w14:paraId="5C58F897" w14:textId="77777777" w:rsidR="0017228B" w:rsidRDefault="008F01EE">
            <w:pPr>
              <w:jc w:val="center"/>
            </w:pPr>
            <w:r>
              <w:rPr>
                <w:rFonts w:asciiTheme="minorEastAsia" w:eastAsiaTheme="minorEastAsia" w:hAnsiTheme="minorEastAsia" w:cs="宋体"/>
                <w:color w:val="000000" w:themeColor="text1"/>
                <w:szCs w:val="21"/>
              </w:rPr>
              <w:t>5</w:t>
            </w:r>
          </w:p>
        </w:tc>
        <w:tc>
          <w:tcPr>
            <w:tcW w:w="1109" w:type="dxa"/>
            <w:vAlign w:val="center"/>
          </w:tcPr>
          <w:p w14:paraId="5C45989D" w14:textId="77777777" w:rsidR="0017228B" w:rsidRDefault="008F01EE">
            <w:pPr>
              <w:jc w:val="center"/>
            </w:pPr>
            <w:r>
              <w:rPr>
                <w:rFonts w:asciiTheme="minorEastAsia" w:eastAsiaTheme="minorEastAsia" w:hAnsiTheme="minorEastAsia" w:cs="宋体"/>
                <w:color w:val="000000" w:themeColor="text1"/>
                <w:szCs w:val="21"/>
              </w:rPr>
              <w:t>META PLATFORMS INC-CLASS A</w:t>
            </w:r>
          </w:p>
        </w:tc>
        <w:tc>
          <w:tcPr>
            <w:tcW w:w="876" w:type="dxa"/>
            <w:vAlign w:val="center"/>
          </w:tcPr>
          <w:p w14:paraId="74FC9E1E" w14:textId="77777777" w:rsidR="0017228B" w:rsidRDefault="008F01EE">
            <w:pPr>
              <w:jc w:val="center"/>
            </w:pPr>
            <w:r>
              <w:rPr>
                <w:rFonts w:asciiTheme="minorEastAsia" w:eastAsiaTheme="minorEastAsia" w:hAnsiTheme="minorEastAsia" w:cs="宋体"/>
                <w:color w:val="000000" w:themeColor="text1"/>
                <w:szCs w:val="21"/>
              </w:rPr>
              <w:t>Meta平台股份有限公司</w:t>
            </w:r>
          </w:p>
        </w:tc>
        <w:tc>
          <w:tcPr>
            <w:tcW w:w="850" w:type="dxa"/>
            <w:vAlign w:val="center"/>
          </w:tcPr>
          <w:p w14:paraId="1A4AD1FF" w14:textId="77777777" w:rsidR="0017228B" w:rsidRDefault="008F01EE">
            <w:pPr>
              <w:jc w:val="center"/>
            </w:pPr>
            <w:r>
              <w:rPr>
                <w:rFonts w:asciiTheme="minorEastAsia" w:eastAsiaTheme="minorEastAsia" w:hAnsiTheme="minorEastAsia" w:cs="宋体"/>
                <w:color w:val="000000" w:themeColor="text1"/>
                <w:szCs w:val="21"/>
              </w:rPr>
              <w:t>META</w:t>
            </w:r>
          </w:p>
        </w:tc>
        <w:tc>
          <w:tcPr>
            <w:tcW w:w="993" w:type="dxa"/>
            <w:vAlign w:val="center"/>
          </w:tcPr>
          <w:p w14:paraId="4366E918"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5E09262B"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200A2168" w14:textId="77777777" w:rsidR="0017228B" w:rsidRDefault="008F01EE">
            <w:pPr>
              <w:jc w:val="right"/>
            </w:pPr>
            <w:r>
              <w:rPr>
                <w:rFonts w:asciiTheme="minorEastAsia" w:eastAsiaTheme="minorEastAsia" w:hAnsiTheme="minorEastAsia" w:cs="宋体"/>
                <w:color w:val="000000" w:themeColor="text1"/>
                <w:szCs w:val="21"/>
              </w:rPr>
              <w:t>9,070</w:t>
            </w:r>
          </w:p>
        </w:tc>
        <w:tc>
          <w:tcPr>
            <w:tcW w:w="851" w:type="dxa"/>
            <w:vAlign w:val="center"/>
          </w:tcPr>
          <w:p w14:paraId="3FB047D5" w14:textId="77777777" w:rsidR="0017228B" w:rsidRDefault="008F01EE">
            <w:pPr>
              <w:jc w:val="right"/>
            </w:pPr>
            <w:r>
              <w:rPr>
                <w:rFonts w:asciiTheme="minorEastAsia" w:eastAsiaTheme="minorEastAsia" w:hAnsiTheme="minorEastAsia" w:cs="宋体"/>
                <w:color w:val="000000" w:themeColor="text1"/>
                <w:szCs w:val="21"/>
              </w:rPr>
              <w:t>36,382,636.63</w:t>
            </w:r>
          </w:p>
        </w:tc>
        <w:tc>
          <w:tcPr>
            <w:tcW w:w="1275" w:type="dxa"/>
            <w:vAlign w:val="center"/>
          </w:tcPr>
          <w:p w14:paraId="68C080EE" w14:textId="77777777" w:rsidR="0017228B" w:rsidRDefault="008F01EE">
            <w:pPr>
              <w:jc w:val="right"/>
            </w:pPr>
            <w:r>
              <w:rPr>
                <w:rFonts w:asciiTheme="minorEastAsia" w:eastAsiaTheme="minorEastAsia" w:hAnsiTheme="minorEastAsia" w:cs="宋体"/>
                <w:color w:val="000000" w:themeColor="text1"/>
                <w:szCs w:val="21"/>
              </w:rPr>
              <w:t>2.46</w:t>
            </w:r>
          </w:p>
        </w:tc>
      </w:tr>
      <w:tr w:rsidR="0017228B" w14:paraId="7B6086CB" w14:textId="77777777">
        <w:tc>
          <w:tcPr>
            <w:tcW w:w="709" w:type="dxa"/>
            <w:vAlign w:val="center"/>
          </w:tcPr>
          <w:p w14:paraId="112ABF27" w14:textId="77777777" w:rsidR="0017228B" w:rsidRDefault="008F01EE">
            <w:pPr>
              <w:jc w:val="center"/>
            </w:pPr>
            <w:r>
              <w:rPr>
                <w:rFonts w:asciiTheme="minorEastAsia" w:eastAsiaTheme="minorEastAsia" w:hAnsiTheme="minorEastAsia" w:cs="宋体"/>
                <w:color w:val="000000" w:themeColor="text1"/>
                <w:szCs w:val="21"/>
              </w:rPr>
              <w:t>6</w:t>
            </w:r>
          </w:p>
        </w:tc>
        <w:tc>
          <w:tcPr>
            <w:tcW w:w="1109" w:type="dxa"/>
            <w:vAlign w:val="center"/>
          </w:tcPr>
          <w:p w14:paraId="2FF3E355" w14:textId="77777777" w:rsidR="0017228B" w:rsidRDefault="008F01EE">
            <w:pPr>
              <w:jc w:val="center"/>
            </w:pPr>
            <w:r>
              <w:rPr>
                <w:rFonts w:asciiTheme="minorEastAsia" w:eastAsiaTheme="minorEastAsia" w:hAnsiTheme="minorEastAsia" w:cs="宋体"/>
                <w:color w:val="000000" w:themeColor="text1"/>
                <w:szCs w:val="21"/>
              </w:rPr>
              <w:t>ALPHABET INC-CL A</w:t>
            </w:r>
          </w:p>
        </w:tc>
        <w:tc>
          <w:tcPr>
            <w:tcW w:w="876" w:type="dxa"/>
            <w:vAlign w:val="center"/>
          </w:tcPr>
          <w:p w14:paraId="3A64F524" w14:textId="77777777" w:rsidR="0017228B" w:rsidRDefault="008F01EE">
            <w:pPr>
              <w:jc w:val="center"/>
            </w:pPr>
            <w:r>
              <w:rPr>
                <w:rFonts w:asciiTheme="minorEastAsia" w:eastAsiaTheme="minorEastAsia" w:hAnsiTheme="minorEastAsia" w:cs="宋体"/>
                <w:color w:val="000000" w:themeColor="text1"/>
                <w:szCs w:val="21"/>
              </w:rPr>
              <w:t>Alphabet公司</w:t>
            </w:r>
          </w:p>
        </w:tc>
        <w:tc>
          <w:tcPr>
            <w:tcW w:w="850" w:type="dxa"/>
            <w:vAlign w:val="center"/>
          </w:tcPr>
          <w:p w14:paraId="4E1D47EF" w14:textId="77777777" w:rsidR="0017228B" w:rsidRDefault="008F01EE">
            <w:pPr>
              <w:jc w:val="center"/>
            </w:pPr>
            <w:r>
              <w:rPr>
                <w:rFonts w:asciiTheme="minorEastAsia" w:eastAsiaTheme="minorEastAsia" w:hAnsiTheme="minorEastAsia" w:cs="宋体"/>
                <w:color w:val="000000" w:themeColor="text1"/>
                <w:szCs w:val="21"/>
              </w:rPr>
              <w:t>GOOGL</w:t>
            </w:r>
          </w:p>
        </w:tc>
        <w:tc>
          <w:tcPr>
            <w:tcW w:w="993" w:type="dxa"/>
            <w:vAlign w:val="center"/>
          </w:tcPr>
          <w:p w14:paraId="545D7E34"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21BF7DB0"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4A4598E3" w14:textId="77777777" w:rsidR="0017228B" w:rsidRDefault="008F01EE">
            <w:pPr>
              <w:jc w:val="right"/>
            </w:pPr>
            <w:r>
              <w:rPr>
                <w:rFonts w:asciiTheme="minorEastAsia" w:eastAsiaTheme="minorEastAsia" w:hAnsiTheme="minorEastAsia" w:cs="宋体"/>
                <w:color w:val="000000" w:themeColor="text1"/>
                <w:szCs w:val="21"/>
              </w:rPr>
              <w:t>24,324</w:t>
            </w:r>
          </w:p>
        </w:tc>
        <w:tc>
          <w:tcPr>
            <w:tcW w:w="851" w:type="dxa"/>
            <w:vAlign w:val="center"/>
          </w:tcPr>
          <w:p w14:paraId="6B070F09" w14:textId="77777777" w:rsidR="0017228B" w:rsidRDefault="008F01EE">
            <w:pPr>
              <w:jc w:val="right"/>
            </w:pPr>
            <w:r>
              <w:rPr>
                <w:rFonts w:asciiTheme="minorEastAsia" w:eastAsiaTheme="minorEastAsia" w:hAnsiTheme="minorEastAsia" w:cs="宋体"/>
                <w:color w:val="000000" w:themeColor="text1"/>
                <w:szCs w:val="21"/>
              </w:rPr>
              <w:t>28,268,800.40</w:t>
            </w:r>
          </w:p>
        </w:tc>
        <w:tc>
          <w:tcPr>
            <w:tcW w:w="1275" w:type="dxa"/>
            <w:vAlign w:val="center"/>
          </w:tcPr>
          <w:p w14:paraId="08D8AC8E" w14:textId="77777777" w:rsidR="0017228B" w:rsidRDefault="008F01EE">
            <w:pPr>
              <w:jc w:val="right"/>
            </w:pPr>
            <w:r>
              <w:rPr>
                <w:rFonts w:asciiTheme="minorEastAsia" w:eastAsiaTheme="minorEastAsia" w:hAnsiTheme="minorEastAsia" w:cs="宋体"/>
                <w:color w:val="000000" w:themeColor="text1"/>
                <w:szCs w:val="21"/>
              </w:rPr>
              <w:t>1.91</w:t>
            </w:r>
          </w:p>
        </w:tc>
      </w:tr>
      <w:tr w:rsidR="0017228B" w14:paraId="51D753B0" w14:textId="77777777">
        <w:tc>
          <w:tcPr>
            <w:tcW w:w="709" w:type="dxa"/>
            <w:vAlign w:val="center"/>
          </w:tcPr>
          <w:p w14:paraId="41201753" w14:textId="77777777" w:rsidR="0017228B" w:rsidRDefault="008F01EE">
            <w:pPr>
              <w:jc w:val="center"/>
            </w:pPr>
            <w:r>
              <w:rPr>
                <w:rFonts w:asciiTheme="minorEastAsia" w:eastAsiaTheme="minorEastAsia" w:hAnsiTheme="minorEastAsia" w:cs="宋体"/>
                <w:color w:val="000000" w:themeColor="text1"/>
                <w:szCs w:val="21"/>
              </w:rPr>
              <w:t>7</w:t>
            </w:r>
          </w:p>
        </w:tc>
        <w:tc>
          <w:tcPr>
            <w:tcW w:w="1109" w:type="dxa"/>
            <w:vAlign w:val="center"/>
          </w:tcPr>
          <w:p w14:paraId="072BB57B" w14:textId="77777777" w:rsidR="0017228B" w:rsidRDefault="008F01EE">
            <w:pPr>
              <w:jc w:val="center"/>
            </w:pPr>
            <w:r>
              <w:rPr>
                <w:rFonts w:asciiTheme="minorEastAsia" w:eastAsiaTheme="minorEastAsia" w:hAnsiTheme="minorEastAsia" w:cs="宋体"/>
                <w:color w:val="000000" w:themeColor="text1"/>
                <w:szCs w:val="21"/>
              </w:rPr>
              <w:t>BERKSHIRE HATHAWAY INC-CL B</w:t>
            </w:r>
          </w:p>
        </w:tc>
        <w:tc>
          <w:tcPr>
            <w:tcW w:w="876" w:type="dxa"/>
            <w:vAlign w:val="center"/>
          </w:tcPr>
          <w:p w14:paraId="32DDD97F" w14:textId="77777777" w:rsidR="0017228B" w:rsidRDefault="008F01EE">
            <w:pPr>
              <w:jc w:val="center"/>
            </w:pPr>
            <w:r>
              <w:rPr>
                <w:rFonts w:asciiTheme="minorEastAsia" w:eastAsiaTheme="minorEastAsia" w:hAnsiTheme="minorEastAsia" w:cs="宋体"/>
                <w:color w:val="000000" w:themeColor="text1"/>
                <w:szCs w:val="21"/>
              </w:rPr>
              <w:t>伯克希尔哈撒韦公司</w:t>
            </w:r>
          </w:p>
        </w:tc>
        <w:tc>
          <w:tcPr>
            <w:tcW w:w="850" w:type="dxa"/>
            <w:vAlign w:val="center"/>
          </w:tcPr>
          <w:p w14:paraId="03ED9E41" w14:textId="77777777" w:rsidR="0017228B" w:rsidRDefault="008F01EE">
            <w:pPr>
              <w:jc w:val="center"/>
            </w:pPr>
            <w:r>
              <w:rPr>
                <w:rFonts w:asciiTheme="minorEastAsia" w:eastAsiaTheme="minorEastAsia" w:hAnsiTheme="minorEastAsia" w:cs="宋体"/>
                <w:color w:val="000000" w:themeColor="text1"/>
                <w:szCs w:val="21"/>
              </w:rPr>
              <w:t>BRK/B</w:t>
            </w:r>
          </w:p>
        </w:tc>
        <w:tc>
          <w:tcPr>
            <w:tcW w:w="993" w:type="dxa"/>
            <w:vAlign w:val="center"/>
          </w:tcPr>
          <w:p w14:paraId="4DDCD12B" w14:textId="77777777" w:rsidR="0017228B" w:rsidRDefault="008F01EE">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2B51493F"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6873BB91" w14:textId="77777777" w:rsidR="0017228B" w:rsidRDefault="008F01EE">
            <w:pPr>
              <w:jc w:val="right"/>
            </w:pPr>
            <w:r>
              <w:rPr>
                <w:rFonts w:asciiTheme="minorEastAsia" w:eastAsiaTheme="minorEastAsia" w:hAnsiTheme="minorEastAsia" w:cs="宋体"/>
                <w:color w:val="000000" w:themeColor="text1"/>
                <w:szCs w:val="21"/>
              </w:rPr>
              <w:t>7,605</w:t>
            </w:r>
          </w:p>
        </w:tc>
        <w:tc>
          <w:tcPr>
            <w:tcW w:w="851" w:type="dxa"/>
            <w:vAlign w:val="center"/>
          </w:tcPr>
          <w:p w14:paraId="3AEFA708" w14:textId="77777777" w:rsidR="0017228B" w:rsidRDefault="008F01EE">
            <w:pPr>
              <w:jc w:val="right"/>
            </w:pPr>
            <w:r>
              <w:rPr>
                <w:rFonts w:asciiTheme="minorEastAsia" w:eastAsiaTheme="minorEastAsia" w:hAnsiTheme="minorEastAsia" w:cs="宋体"/>
                <w:color w:val="000000" w:themeColor="text1"/>
                <w:szCs w:val="21"/>
              </w:rPr>
              <w:t>24,527,843.15</w:t>
            </w:r>
          </w:p>
        </w:tc>
        <w:tc>
          <w:tcPr>
            <w:tcW w:w="1275" w:type="dxa"/>
            <w:vAlign w:val="center"/>
          </w:tcPr>
          <w:p w14:paraId="16E7B354" w14:textId="77777777" w:rsidR="0017228B" w:rsidRDefault="008F01EE">
            <w:pPr>
              <w:jc w:val="right"/>
            </w:pPr>
            <w:r>
              <w:rPr>
                <w:rFonts w:asciiTheme="minorEastAsia" w:eastAsiaTheme="minorEastAsia" w:hAnsiTheme="minorEastAsia" w:cs="宋体"/>
                <w:color w:val="000000" w:themeColor="text1"/>
                <w:szCs w:val="21"/>
              </w:rPr>
              <w:t>1.66</w:t>
            </w:r>
          </w:p>
        </w:tc>
      </w:tr>
      <w:tr w:rsidR="0017228B" w14:paraId="0C6B202E" w14:textId="77777777">
        <w:tc>
          <w:tcPr>
            <w:tcW w:w="709" w:type="dxa"/>
            <w:vAlign w:val="center"/>
          </w:tcPr>
          <w:p w14:paraId="4CB26D4A" w14:textId="77777777" w:rsidR="0017228B" w:rsidRDefault="008F01EE">
            <w:pPr>
              <w:jc w:val="center"/>
            </w:pPr>
            <w:r>
              <w:rPr>
                <w:rFonts w:asciiTheme="minorEastAsia" w:eastAsiaTheme="minorEastAsia" w:hAnsiTheme="minorEastAsia" w:cs="宋体"/>
                <w:color w:val="000000" w:themeColor="text1"/>
                <w:szCs w:val="21"/>
              </w:rPr>
              <w:t>8</w:t>
            </w:r>
          </w:p>
        </w:tc>
        <w:tc>
          <w:tcPr>
            <w:tcW w:w="1109" w:type="dxa"/>
            <w:vAlign w:val="center"/>
          </w:tcPr>
          <w:p w14:paraId="74178E5D" w14:textId="77777777" w:rsidR="0017228B" w:rsidRDefault="008F01EE">
            <w:pPr>
              <w:jc w:val="center"/>
            </w:pPr>
            <w:r>
              <w:rPr>
                <w:rFonts w:asciiTheme="minorEastAsia" w:eastAsiaTheme="minorEastAsia" w:hAnsiTheme="minorEastAsia" w:cs="宋体"/>
                <w:color w:val="000000" w:themeColor="text1"/>
                <w:szCs w:val="21"/>
              </w:rPr>
              <w:t>ALPHABET INC-CL C</w:t>
            </w:r>
          </w:p>
        </w:tc>
        <w:tc>
          <w:tcPr>
            <w:tcW w:w="876" w:type="dxa"/>
            <w:vAlign w:val="center"/>
          </w:tcPr>
          <w:p w14:paraId="46BD87DC" w14:textId="77777777" w:rsidR="0017228B" w:rsidRDefault="008F01EE">
            <w:pPr>
              <w:jc w:val="center"/>
            </w:pPr>
            <w:r>
              <w:rPr>
                <w:rFonts w:asciiTheme="minorEastAsia" w:eastAsiaTheme="minorEastAsia" w:hAnsiTheme="minorEastAsia" w:cs="宋体"/>
                <w:color w:val="000000" w:themeColor="text1"/>
                <w:szCs w:val="21"/>
              </w:rPr>
              <w:t>Alphabet公司</w:t>
            </w:r>
          </w:p>
        </w:tc>
        <w:tc>
          <w:tcPr>
            <w:tcW w:w="850" w:type="dxa"/>
            <w:vAlign w:val="center"/>
          </w:tcPr>
          <w:p w14:paraId="7011E959" w14:textId="77777777" w:rsidR="0017228B" w:rsidRDefault="008F01EE">
            <w:pPr>
              <w:jc w:val="center"/>
            </w:pPr>
            <w:r>
              <w:rPr>
                <w:rFonts w:asciiTheme="minorEastAsia" w:eastAsiaTheme="minorEastAsia" w:hAnsiTheme="minorEastAsia" w:cs="宋体"/>
                <w:color w:val="000000" w:themeColor="text1"/>
                <w:szCs w:val="21"/>
              </w:rPr>
              <w:t>GOOG</w:t>
            </w:r>
          </w:p>
        </w:tc>
        <w:tc>
          <w:tcPr>
            <w:tcW w:w="993" w:type="dxa"/>
            <w:vAlign w:val="center"/>
          </w:tcPr>
          <w:p w14:paraId="7A31E0C8"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668956C2"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3DD2454A" w14:textId="77777777" w:rsidR="0017228B" w:rsidRDefault="008F01EE">
            <w:pPr>
              <w:jc w:val="right"/>
            </w:pPr>
            <w:r>
              <w:rPr>
                <w:rFonts w:asciiTheme="minorEastAsia" w:eastAsiaTheme="minorEastAsia" w:hAnsiTheme="minorEastAsia" w:cs="宋体"/>
                <w:color w:val="000000" w:themeColor="text1"/>
                <w:szCs w:val="21"/>
              </w:rPr>
              <w:t>19,940</w:t>
            </w:r>
          </w:p>
        </w:tc>
        <w:tc>
          <w:tcPr>
            <w:tcW w:w="851" w:type="dxa"/>
            <w:vAlign w:val="center"/>
          </w:tcPr>
          <w:p w14:paraId="46B9088A" w14:textId="77777777" w:rsidR="0017228B" w:rsidRDefault="008F01EE">
            <w:pPr>
              <w:jc w:val="right"/>
            </w:pPr>
            <w:r>
              <w:rPr>
                <w:rFonts w:asciiTheme="minorEastAsia" w:eastAsiaTheme="minorEastAsia" w:hAnsiTheme="minorEastAsia" w:cs="宋体"/>
                <w:color w:val="000000" w:themeColor="text1"/>
                <w:szCs w:val="21"/>
              </w:rPr>
              <w:t>23,361,050.09</w:t>
            </w:r>
          </w:p>
        </w:tc>
        <w:tc>
          <w:tcPr>
            <w:tcW w:w="1275" w:type="dxa"/>
            <w:vAlign w:val="center"/>
          </w:tcPr>
          <w:p w14:paraId="43897C1C" w14:textId="77777777" w:rsidR="0017228B" w:rsidRDefault="008F01EE">
            <w:pPr>
              <w:jc w:val="right"/>
            </w:pPr>
            <w:r>
              <w:rPr>
                <w:rFonts w:asciiTheme="minorEastAsia" w:eastAsiaTheme="minorEastAsia" w:hAnsiTheme="minorEastAsia" w:cs="宋体"/>
                <w:color w:val="000000" w:themeColor="text1"/>
                <w:szCs w:val="21"/>
              </w:rPr>
              <w:t>1.58</w:t>
            </w:r>
          </w:p>
        </w:tc>
      </w:tr>
      <w:tr w:rsidR="0017228B" w14:paraId="3AA0BA1B" w14:textId="77777777">
        <w:tc>
          <w:tcPr>
            <w:tcW w:w="709" w:type="dxa"/>
            <w:vAlign w:val="center"/>
          </w:tcPr>
          <w:p w14:paraId="04BE4EAB" w14:textId="77777777" w:rsidR="0017228B" w:rsidRDefault="008F01EE">
            <w:pPr>
              <w:jc w:val="center"/>
            </w:pPr>
            <w:r>
              <w:rPr>
                <w:rFonts w:asciiTheme="minorEastAsia" w:eastAsiaTheme="minorEastAsia" w:hAnsiTheme="minorEastAsia" w:cs="宋体"/>
                <w:color w:val="000000" w:themeColor="text1"/>
                <w:szCs w:val="21"/>
              </w:rPr>
              <w:t>9</w:t>
            </w:r>
          </w:p>
        </w:tc>
        <w:tc>
          <w:tcPr>
            <w:tcW w:w="1109" w:type="dxa"/>
            <w:vAlign w:val="center"/>
          </w:tcPr>
          <w:p w14:paraId="13DCB451" w14:textId="77777777" w:rsidR="0017228B" w:rsidRDefault="008F01EE">
            <w:pPr>
              <w:jc w:val="center"/>
            </w:pPr>
            <w:r>
              <w:rPr>
                <w:rFonts w:asciiTheme="minorEastAsia" w:eastAsiaTheme="minorEastAsia" w:hAnsiTheme="minorEastAsia" w:cs="宋体"/>
                <w:color w:val="000000" w:themeColor="text1"/>
                <w:szCs w:val="21"/>
              </w:rPr>
              <w:t>BROADCOM INC</w:t>
            </w:r>
          </w:p>
        </w:tc>
        <w:tc>
          <w:tcPr>
            <w:tcW w:w="876" w:type="dxa"/>
            <w:vAlign w:val="center"/>
          </w:tcPr>
          <w:p w14:paraId="14FE31C3" w14:textId="77777777" w:rsidR="0017228B" w:rsidRDefault="008F01EE">
            <w:pPr>
              <w:jc w:val="center"/>
            </w:pPr>
            <w:r>
              <w:rPr>
                <w:rFonts w:asciiTheme="minorEastAsia" w:eastAsiaTheme="minorEastAsia" w:hAnsiTheme="minorEastAsia" w:cs="宋体"/>
                <w:color w:val="000000" w:themeColor="text1"/>
                <w:szCs w:val="21"/>
              </w:rPr>
              <w:t>博通股份有限公司</w:t>
            </w:r>
          </w:p>
        </w:tc>
        <w:tc>
          <w:tcPr>
            <w:tcW w:w="850" w:type="dxa"/>
            <w:vAlign w:val="center"/>
          </w:tcPr>
          <w:p w14:paraId="76C7D15D" w14:textId="77777777" w:rsidR="0017228B" w:rsidRDefault="008F01EE">
            <w:pPr>
              <w:jc w:val="center"/>
            </w:pPr>
            <w:r>
              <w:rPr>
                <w:rFonts w:asciiTheme="minorEastAsia" w:eastAsiaTheme="minorEastAsia" w:hAnsiTheme="minorEastAsia" w:cs="宋体"/>
                <w:color w:val="000000" w:themeColor="text1"/>
                <w:szCs w:val="21"/>
              </w:rPr>
              <w:t>AVGO</w:t>
            </w:r>
          </w:p>
        </w:tc>
        <w:tc>
          <w:tcPr>
            <w:tcW w:w="993" w:type="dxa"/>
            <w:vAlign w:val="center"/>
          </w:tcPr>
          <w:p w14:paraId="6AB7E095"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2B2FA173"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5D519324" w14:textId="77777777" w:rsidR="0017228B" w:rsidRDefault="008F01EE">
            <w:pPr>
              <w:jc w:val="right"/>
            </w:pPr>
            <w:r>
              <w:rPr>
                <w:rFonts w:asciiTheme="minorEastAsia" w:eastAsiaTheme="minorEastAsia" w:hAnsiTheme="minorEastAsia" w:cs="宋体"/>
                <w:color w:val="000000" w:themeColor="text1"/>
                <w:szCs w:val="21"/>
              </w:rPr>
              <w:t>19,325</w:t>
            </w:r>
          </w:p>
        </w:tc>
        <w:tc>
          <w:tcPr>
            <w:tcW w:w="851" w:type="dxa"/>
            <w:vAlign w:val="center"/>
          </w:tcPr>
          <w:p w14:paraId="1D86A82B" w14:textId="77777777" w:rsidR="0017228B" w:rsidRDefault="008F01EE">
            <w:pPr>
              <w:jc w:val="right"/>
            </w:pPr>
            <w:r>
              <w:rPr>
                <w:rFonts w:asciiTheme="minorEastAsia" w:eastAsiaTheme="minorEastAsia" w:hAnsiTheme="minorEastAsia" w:cs="宋体"/>
                <w:color w:val="000000" w:themeColor="text1"/>
                <w:szCs w:val="21"/>
              </w:rPr>
              <w:t>23,359,605.86</w:t>
            </w:r>
          </w:p>
        </w:tc>
        <w:tc>
          <w:tcPr>
            <w:tcW w:w="1275" w:type="dxa"/>
            <w:vAlign w:val="center"/>
          </w:tcPr>
          <w:p w14:paraId="51EE362A" w14:textId="77777777" w:rsidR="0017228B" w:rsidRDefault="008F01EE">
            <w:pPr>
              <w:jc w:val="right"/>
            </w:pPr>
            <w:r>
              <w:rPr>
                <w:rFonts w:asciiTheme="minorEastAsia" w:eastAsiaTheme="minorEastAsia" w:hAnsiTheme="minorEastAsia" w:cs="宋体"/>
                <w:color w:val="000000" w:themeColor="text1"/>
                <w:szCs w:val="21"/>
              </w:rPr>
              <w:t>1.58</w:t>
            </w:r>
          </w:p>
        </w:tc>
      </w:tr>
      <w:tr w:rsidR="0017228B" w14:paraId="4DAB09CF" w14:textId="77777777">
        <w:tc>
          <w:tcPr>
            <w:tcW w:w="709" w:type="dxa"/>
            <w:vAlign w:val="center"/>
          </w:tcPr>
          <w:p w14:paraId="43107746" w14:textId="77777777" w:rsidR="0017228B" w:rsidRDefault="008F01EE">
            <w:pPr>
              <w:jc w:val="center"/>
            </w:pPr>
            <w:r>
              <w:rPr>
                <w:rFonts w:asciiTheme="minorEastAsia" w:eastAsiaTheme="minorEastAsia" w:hAnsiTheme="minorEastAsia" w:cs="宋体"/>
                <w:color w:val="000000" w:themeColor="text1"/>
                <w:szCs w:val="21"/>
              </w:rPr>
              <w:t>10</w:t>
            </w:r>
          </w:p>
        </w:tc>
        <w:tc>
          <w:tcPr>
            <w:tcW w:w="1109" w:type="dxa"/>
            <w:vAlign w:val="center"/>
          </w:tcPr>
          <w:p w14:paraId="69BC8D9F" w14:textId="77777777" w:rsidR="0017228B" w:rsidRDefault="008F01EE">
            <w:pPr>
              <w:jc w:val="center"/>
            </w:pPr>
            <w:r>
              <w:rPr>
                <w:rFonts w:asciiTheme="minorEastAsia" w:eastAsiaTheme="minorEastAsia" w:hAnsiTheme="minorEastAsia" w:cs="宋体"/>
                <w:color w:val="000000" w:themeColor="text1"/>
                <w:szCs w:val="21"/>
              </w:rPr>
              <w:t>TESLA INC</w:t>
            </w:r>
          </w:p>
        </w:tc>
        <w:tc>
          <w:tcPr>
            <w:tcW w:w="876" w:type="dxa"/>
            <w:vAlign w:val="center"/>
          </w:tcPr>
          <w:p w14:paraId="0191FAC3" w14:textId="77777777" w:rsidR="0017228B" w:rsidRDefault="008F01EE">
            <w:pPr>
              <w:jc w:val="center"/>
            </w:pPr>
            <w:r>
              <w:rPr>
                <w:rFonts w:asciiTheme="minorEastAsia" w:eastAsiaTheme="minorEastAsia" w:hAnsiTheme="minorEastAsia" w:cs="宋体"/>
                <w:color w:val="000000" w:themeColor="text1"/>
                <w:szCs w:val="21"/>
              </w:rPr>
              <w:t>特斯拉公司</w:t>
            </w:r>
          </w:p>
        </w:tc>
        <w:tc>
          <w:tcPr>
            <w:tcW w:w="850" w:type="dxa"/>
            <w:vAlign w:val="center"/>
          </w:tcPr>
          <w:p w14:paraId="584DB0D4" w14:textId="77777777" w:rsidR="0017228B" w:rsidRDefault="008F01EE">
            <w:pPr>
              <w:jc w:val="center"/>
            </w:pPr>
            <w:r>
              <w:rPr>
                <w:rFonts w:asciiTheme="minorEastAsia" w:eastAsiaTheme="minorEastAsia" w:hAnsiTheme="minorEastAsia" w:cs="宋体"/>
                <w:color w:val="000000" w:themeColor="text1"/>
                <w:szCs w:val="21"/>
              </w:rPr>
              <w:t>TSLA</w:t>
            </w:r>
          </w:p>
        </w:tc>
        <w:tc>
          <w:tcPr>
            <w:tcW w:w="993" w:type="dxa"/>
            <w:vAlign w:val="center"/>
          </w:tcPr>
          <w:p w14:paraId="37859261" w14:textId="77777777" w:rsidR="0017228B" w:rsidRDefault="008F01EE">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1A4D5E9E" w14:textId="77777777" w:rsidR="0017228B" w:rsidRDefault="008F01EE">
            <w:pPr>
              <w:jc w:val="center"/>
            </w:pPr>
            <w:r>
              <w:rPr>
                <w:rFonts w:asciiTheme="minorEastAsia" w:eastAsiaTheme="minorEastAsia" w:hAnsiTheme="minorEastAsia" w:cs="宋体"/>
                <w:color w:val="000000" w:themeColor="text1"/>
                <w:szCs w:val="21"/>
              </w:rPr>
              <w:t>美国</w:t>
            </w:r>
          </w:p>
        </w:tc>
        <w:tc>
          <w:tcPr>
            <w:tcW w:w="850" w:type="dxa"/>
            <w:vAlign w:val="center"/>
          </w:tcPr>
          <w:p w14:paraId="2533A2E6" w14:textId="77777777" w:rsidR="0017228B" w:rsidRDefault="008F01EE">
            <w:pPr>
              <w:jc w:val="right"/>
            </w:pPr>
            <w:r>
              <w:rPr>
                <w:rFonts w:asciiTheme="minorEastAsia" w:eastAsiaTheme="minorEastAsia" w:hAnsiTheme="minorEastAsia" w:cs="宋体"/>
                <w:color w:val="000000" w:themeColor="text1"/>
                <w:szCs w:val="21"/>
              </w:rPr>
              <w:t>11,519</w:t>
            </w:r>
          </w:p>
        </w:tc>
        <w:tc>
          <w:tcPr>
            <w:tcW w:w="851" w:type="dxa"/>
            <w:vAlign w:val="center"/>
          </w:tcPr>
          <w:p w14:paraId="48FD20AE" w14:textId="77777777" w:rsidR="0017228B" w:rsidRDefault="008F01EE">
            <w:pPr>
              <w:jc w:val="right"/>
            </w:pPr>
            <w:r>
              <w:rPr>
                <w:rFonts w:asciiTheme="minorEastAsia" w:eastAsiaTheme="minorEastAsia" w:hAnsiTheme="minorEastAsia" w:cs="宋体"/>
                <w:color w:val="000000" w:themeColor="text1"/>
                <w:szCs w:val="21"/>
              </w:rPr>
              <w:t>21,118,313.29</w:t>
            </w:r>
          </w:p>
        </w:tc>
        <w:tc>
          <w:tcPr>
            <w:tcW w:w="1275" w:type="dxa"/>
            <w:vAlign w:val="center"/>
          </w:tcPr>
          <w:p w14:paraId="31DB85DC" w14:textId="77777777" w:rsidR="0017228B" w:rsidRDefault="008F01EE">
            <w:pPr>
              <w:jc w:val="right"/>
            </w:pPr>
            <w:r>
              <w:rPr>
                <w:rFonts w:asciiTheme="minorEastAsia" w:eastAsiaTheme="minorEastAsia" w:hAnsiTheme="minorEastAsia" w:cs="宋体"/>
                <w:color w:val="000000" w:themeColor="text1"/>
                <w:szCs w:val="21"/>
              </w:rPr>
              <w:t>1.43</w:t>
            </w:r>
          </w:p>
        </w:tc>
      </w:tr>
    </w:tbl>
    <w:p w14:paraId="35A42F94"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14:paraId="76C21163" w14:textId="77777777"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14:paraId="0E21EDE4"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46AFFF19" w14:textId="77777777"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14:paraId="68DA2F8E"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14:paraId="155F53BF"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051C9537"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349515C1"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14:paraId="56705E7C"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2FE59EED"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170EC8CF"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14:paraId="2D3A7774"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本基金本报告期末未持有资产支持证券。</w:t>
      </w:r>
    </w:p>
    <w:p w14:paraId="37057735" w14:textId="77777777"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67BAEC77"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lastRenderedPageBreak/>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14:paraId="090E84A0"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本基金本报告期末未持有金融衍生品。</w:t>
      </w:r>
    </w:p>
    <w:p w14:paraId="0D02971D"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376BF4B9" w14:textId="77777777"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14:paraId="43983818"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14:paraId="41ACD739"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1EC96BC4" w14:textId="77777777"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14:paraId="303811AD" w14:textId="77777777"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720ADAA8" w14:textId="77777777"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14:paraId="257363CE" w14:textId="77777777"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14:paraId="58A98444" w14:textId="77777777" w:rsidTr="004C05F3">
        <w:tc>
          <w:tcPr>
            <w:tcW w:w="802" w:type="dxa"/>
            <w:vAlign w:val="center"/>
          </w:tcPr>
          <w:p w14:paraId="56C8AA94"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14:paraId="6B44DA50"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14:paraId="4B781424"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14:paraId="0896C212" w14:textId="77777777" w:rsidTr="009E3391">
        <w:tc>
          <w:tcPr>
            <w:tcW w:w="802" w:type="dxa"/>
            <w:vAlign w:val="center"/>
          </w:tcPr>
          <w:p w14:paraId="7A4400B6"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14:paraId="1DDC486B"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14:paraId="26D305EB"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2EBDCD7D" w14:textId="77777777" w:rsidTr="009E3391">
        <w:tc>
          <w:tcPr>
            <w:tcW w:w="802" w:type="dxa"/>
            <w:vAlign w:val="center"/>
          </w:tcPr>
          <w:p w14:paraId="1A9FDAC6"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14:paraId="0198942F"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14:paraId="55796FAB"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77817023" w14:textId="77777777" w:rsidTr="009E3391">
        <w:tc>
          <w:tcPr>
            <w:tcW w:w="802" w:type="dxa"/>
            <w:vAlign w:val="center"/>
          </w:tcPr>
          <w:p w14:paraId="4280F599"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14:paraId="685AC978"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14:paraId="7DEFE718"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617,261.85</w:t>
            </w:r>
          </w:p>
        </w:tc>
      </w:tr>
      <w:tr w:rsidR="008277FF" w:rsidRPr="009B0629" w14:paraId="7C59970B" w14:textId="77777777" w:rsidTr="009E3391">
        <w:tc>
          <w:tcPr>
            <w:tcW w:w="802" w:type="dxa"/>
            <w:vAlign w:val="center"/>
          </w:tcPr>
          <w:p w14:paraId="3BB7E8A0"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14:paraId="196409FC"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14:paraId="2DDFC371"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75314E4B" w14:textId="77777777" w:rsidTr="009E3391">
        <w:tc>
          <w:tcPr>
            <w:tcW w:w="802" w:type="dxa"/>
            <w:vAlign w:val="center"/>
          </w:tcPr>
          <w:p w14:paraId="14048EC3"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14:paraId="0DE59BCB"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14:paraId="3C968321"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10,528,681.88</w:t>
            </w:r>
          </w:p>
        </w:tc>
      </w:tr>
      <w:tr w:rsidR="008277FF" w:rsidRPr="009B0629" w14:paraId="38C5A68B" w14:textId="77777777" w:rsidTr="009E3391">
        <w:tc>
          <w:tcPr>
            <w:tcW w:w="802" w:type="dxa"/>
            <w:vAlign w:val="center"/>
          </w:tcPr>
          <w:p w14:paraId="7F95941F"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14:paraId="28605349"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14:paraId="1267F243"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0A291A0F" w14:textId="77777777" w:rsidTr="009E3391">
        <w:tc>
          <w:tcPr>
            <w:tcW w:w="802" w:type="dxa"/>
            <w:vAlign w:val="center"/>
          </w:tcPr>
          <w:p w14:paraId="1192F0CD"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14:paraId="4D2C94D4"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14:paraId="4256773C"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06F644D" w14:textId="77777777" w:rsidTr="009E3391">
        <w:tc>
          <w:tcPr>
            <w:tcW w:w="802" w:type="dxa"/>
            <w:vAlign w:val="center"/>
          </w:tcPr>
          <w:p w14:paraId="65D95C15"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14:paraId="5EAE7907"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14:paraId="6665F4DB"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0B7A2CB0" w14:textId="77777777" w:rsidTr="009E3391">
        <w:tc>
          <w:tcPr>
            <w:tcW w:w="802" w:type="dxa"/>
            <w:vAlign w:val="center"/>
          </w:tcPr>
          <w:p w14:paraId="7C67C9A4"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14:paraId="34AF9988"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14:paraId="4FA1C11C"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11,145,943.73</w:t>
            </w:r>
          </w:p>
        </w:tc>
      </w:tr>
    </w:tbl>
    <w:p w14:paraId="6911036C" w14:textId="77777777"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14:paraId="4CBD3BDF"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14:paraId="12AEBA99" w14:textId="77777777"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14:paraId="5439383A" w14:textId="77777777"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14:paraId="322EEF33" w14:textId="77777777" w:rsidR="00F842D3" w:rsidRDefault="00F842D3" w:rsidP="001D1252">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4D9B411B" w14:textId="77777777"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581D90E2" w14:textId="77777777"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lastRenderedPageBreak/>
        <w:t>本基金本报告期末前十名股票中不存在流通受限情况。</w:t>
      </w:r>
    </w:p>
    <w:p w14:paraId="014C1369" w14:textId="77777777"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14:paraId="5E91466F" w14:textId="77777777"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本基金本报告期末前五名积极投资中不存在流通受限情况。</w:t>
      </w:r>
    </w:p>
    <w:p w14:paraId="0647FF5F" w14:textId="77777777"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14:paraId="131CA5CC"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14:paraId="4D11451F" w14:textId="77777777"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14:paraId="2A959114"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14:paraId="46EB6570"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9B0629" w14:paraId="5882DADC"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F9F43DE" w14:textId="77777777" w:rsidR="00225051" w:rsidRPr="009B0629" w:rsidRDefault="00225051"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BFB6EBF"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7D459B8"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277C838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F12FCCB"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678CD8B"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692,017,778.30</w:t>
            </w:r>
          </w:p>
        </w:tc>
        <w:tc>
          <w:tcPr>
            <w:tcW w:w="2367" w:type="dxa"/>
            <w:tcBorders>
              <w:top w:val="single" w:sz="8" w:space="0" w:color="000000"/>
              <w:left w:val="single" w:sz="8" w:space="0" w:color="000000"/>
              <w:bottom w:val="single" w:sz="8" w:space="0" w:color="000000"/>
              <w:right w:val="single" w:sz="8" w:space="0" w:color="000000"/>
            </w:tcBorders>
            <w:vAlign w:val="center"/>
          </w:tcPr>
          <w:p w14:paraId="63720025"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264,667,806.19</w:t>
            </w:r>
          </w:p>
        </w:tc>
      </w:tr>
      <w:tr w:rsidR="00225051" w:rsidRPr="009B0629" w14:paraId="6C79B76C"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ECF9894"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D1D563C"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234,953,904.71</w:t>
            </w:r>
          </w:p>
        </w:tc>
        <w:tc>
          <w:tcPr>
            <w:tcW w:w="2367" w:type="dxa"/>
            <w:tcBorders>
              <w:top w:val="single" w:sz="8" w:space="0" w:color="000000"/>
              <w:left w:val="single" w:sz="8" w:space="0" w:color="000000"/>
              <w:bottom w:val="single" w:sz="8" w:space="0" w:color="000000"/>
              <w:right w:val="single" w:sz="8" w:space="0" w:color="000000"/>
            </w:tcBorders>
            <w:vAlign w:val="center"/>
          </w:tcPr>
          <w:p w14:paraId="598207FF"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253,912,953.14</w:t>
            </w:r>
          </w:p>
        </w:tc>
      </w:tr>
      <w:tr w:rsidR="00225051" w:rsidRPr="009B0629" w14:paraId="500A89D3"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47E98C2"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7B6FAF4"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145,762,240.51</w:t>
            </w:r>
          </w:p>
        </w:tc>
        <w:tc>
          <w:tcPr>
            <w:tcW w:w="2367" w:type="dxa"/>
            <w:tcBorders>
              <w:top w:val="single" w:sz="8" w:space="0" w:color="000000"/>
              <w:left w:val="single" w:sz="8" w:space="0" w:color="000000"/>
              <w:bottom w:val="single" w:sz="8" w:space="0" w:color="000000"/>
              <w:right w:val="single" w:sz="8" w:space="0" w:color="000000"/>
            </w:tcBorders>
            <w:vAlign w:val="center"/>
          </w:tcPr>
          <w:p w14:paraId="21C6507D"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183,956,091.52</w:t>
            </w:r>
          </w:p>
        </w:tc>
      </w:tr>
      <w:tr w:rsidR="00225051" w:rsidRPr="009B0629" w14:paraId="0F8E0F0C"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F564941"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452824"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421CBA4"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25051" w:rsidRPr="009B0629" w14:paraId="2BDBD669"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7E4093D"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24346BE"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781,209,442.50</w:t>
            </w:r>
          </w:p>
        </w:tc>
        <w:tc>
          <w:tcPr>
            <w:tcW w:w="2367" w:type="dxa"/>
            <w:tcBorders>
              <w:top w:val="single" w:sz="8" w:space="0" w:color="000000"/>
              <w:left w:val="single" w:sz="8" w:space="0" w:color="000000"/>
              <w:bottom w:val="single" w:sz="8" w:space="0" w:color="000000"/>
              <w:right w:val="single" w:sz="8" w:space="0" w:color="000000"/>
            </w:tcBorders>
            <w:vAlign w:val="center"/>
          </w:tcPr>
          <w:p w14:paraId="49FDE235"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334,624,667.81</w:t>
            </w:r>
          </w:p>
        </w:tc>
      </w:tr>
    </w:tbl>
    <w:p w14:paraId="2BBD34BD" w14:textId="77777777"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14:paraId="149D1227" w14:textId="77777777"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68CE0D53" w14:textId="77777777" w:rsidR="00936865" w:rsidRPr="00266D4B" w:rsidRDefault="00936865" w:rsidP="00936865">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936865" w:rsidRPr="00E90B39" w14:paraId="3AABFB72" w14:textId="77777777" w:rsidTr="00B659F3">
        <w:trPr>
          <w:trHeight w:val="248"/>
        </w:trPr>
        <w:tc>
          <w:tcPr>
            <w:tcW w:w="3167" w:type="dxa"/>
            <w:vAlign w:val="center"/>
          </w:tcPr>
          <w:p w14:paraId="43E21AF8" w14:textId="77777777" w:rsidR="00936865" w:rsidRPr="00FA472B" w:rsidRDefault="00936865" w:rsidP="00B659F3">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5431728F" w14:textId="77777777" w:rsidR="00936865" w:rsidRPr="00FA472B" w:rsidRDefault="00936865" w:rsidP="00B659F3">
            <w:pPr>
              <w:jc w:val="center"/>
              <w:rPr>
                <w:sz w:val="24"/>
              </w:rPr>
            </w:pPr>
            <w:r w:rsidRPr="00FA472B">
              <w:rPr>
                <w:sz w:val="24"/>
              </w:rPr>
              <w:t>摩根标普</w:t>
            </w:r>
            <w:r w:rsidRPr="00FA472B">
              <w:rPr>
                <w:sz w:val="24"/>
              </w:rPr>
              <w:t>500</w:t>
            </w:r>
            <w:r w:rsidRPr="00FA472B">
              <w:rPr>
                <w:sz w:val="24"/>
              </w:rPr>
              <w:t>指数</w:t>
            </w:r>
            <w:r w:rsidRPr="00FA472B">
              <w:rPr>
                <w:sz w:val="24"/>
              </w:rPr>
              <w:t>(QDII)</w:t>
            </w:r>
            <w:r w:rsidRPr="00FA472B">
              <w:rPr>
                <w:sz w:val="24"/>
              </w:rPr>
              <w:t>人民币</w:t>
            </w:r>
            <w:r w:rsidRPr="00FA472B">
              <w:rPr>
                <w:sz w:val="24"/>
              </w:rPr>
              <w:t>A</w:t>
            </w:r>
          </w:p>
        </w:tc>
        <w:tc>
          <w:tcPr>
            <w:tcW w:w="2631" w:type="dxa"/>
            <w:vAlign w:val="bottom"/>
          </w:tcPr>
          <w:p w14:paraId="0804C952" w14:textId="77777777" w:rsidR="00936865" w:rsidRPr="00FA472B" w:rsidRDefault="00936865" w:rsidP="00B659F3">
            <w:pPr>
              <w:jc w:val="center"/>
              <w:rPr>
                <w:sz w:val="24"/>
              </w:rPr>
            </w:pPr>
            <w:r w:rsidRPr="00FA472B">
              <w:rPr>
                <w:sz w:val="24"/>
              </w:rPr>
              <w:t>摩根标普</w:t>
            </w:r>
            <w:r w:rsidRPr="00FA472B">
              <w:rPr>
                <w:sz w:val="24"/>
              </w:rPr>
              <w:t>500</w:t>
            </w:r>
            <w:r w:rsidRPr="00FA472B">
              <w:rPr>
                <w:sz w:val="24"/>
              </w:rPr>
              <w:t>指数</w:t>
            </w:r>
            <w:r w:rsidRPr="00FA472B">
              <w:rPr>
                <w:sz w:val="24"/>
              </w:rPr>
              <w:t>(QDII)</w:t>
            </w:r>
            <w:r w:rsidRPr="00FA472B">
              <w:rPr>
                <w:sz w:val="24"/>
              </w:rPr>
              <w:t>人民币</w:t>
            </w:r>
            <w:r w:rsidRPr="00FA472B">
              <w:rPr>
                <w:sz w:val="24"/>
              </w:rPr>
              <w:t>C</w:t>
            </w:r>
          </w:p>
        </w:tc>
      </w:tr>
      <w:tr w:rsidR="00936865" w:rsidRPr="00E90B39" w14:paraId="2B04B561" w14:textId="77777777" w:rsidTr="00B659F3">
        <w:trPr>
          <w:trHeight w:val="247"/>
        </w:trPr>
        <w:tc>
          <w:tcPr>
            <w:tcW w:w="3167" w:type="dxa"/>
            <w:vAlign w:val="center"/>
          </w:tcPr>
          <w:p w14:paraId="72DA2824" w14:textId="77777777" w:rsidR="00936865" w:rsidRPr="00FA472B" w:rsidRDefault="00936865" w:rsidP="00B659F3">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3642E437" w14:textId="77777777" w:rsidR="00936865" w:rsidRPr="00FA472B" w:rsidRDefault="00936865" w:rsidP="00B659F3">
            <w:pPr>
              <w:jc w:val="right"/>
              <w:rPr>
                <w:sz w:val="24"/>
              </w:rPr>
            </w:pPr>
            <w:r w:rsidRPr="00FA472B">
              <w:rPr>
                <w:color w:val="000000"/>
                <w:sz w:val="24"/>
              </w:rPr>
              <w:t>10,001,111.19</w:t>
            </w:r>
          </w:p>
        </w:tc>
        <w:tc>
          <w:tcPr>
            <w:tcW w:w="2631" w:type="dxa"/>
            <w:vAlign w:val="center"/>
          </w:tcPr>
          <w:p w14:paraId="3F39E4A0" w14:textId="77777777" w:rsidR="00936865" w:rsidRPr="00FA472B" w:rsidRDefault="00936865" w:rsidP="00B659F3">
            <w:pPr>
              <w:jc w:val="right"/>
              <w:rPr>
                <w:sz w:val="24"/>
              </w:rPr>
            </w:pPr>
            <w:r w:rsidRPr="00FA472B">
              <w:rPr>
                <w:color w:val="000000"/>
                <w:sz w:val="24"/>
              </w:rPr>
              <w:t>-</w:t>
            </w:r>
          </w:p>
        </w:tc>
      </w:tr>
      <w:tr w:rsidR="00936865" w:rsidRPr="00E90B39" w14:paraId="638C6766" w14:textId="77777777" w:rsidTr="00B659F3">
        <w:tc>
          <w:tcPr>
            <w:tcW w:w="3167" w:type="dxa"/>
            <w:vAlign w:val="center"/>
          </w:tcPr>
          <w:p w14:paraId="6EAF0940" w14:textId="77777777" w:rsidR="00936865" w:rsidRPr="00FA472B" w:rsidRDefault="00936865" w:rsidP="00B659F3">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4C02D33C" w14:textId="77777777" w:rsidR="00936865" w:rsidRPr="00FA472B" w:rsidRDefault="00936865" w:rsidP="00B659F3">
            <w:pPr>
              <w:jc w:val="right"/>
              <w:rPr>
                <w:color w:val="000000"/>
                <w:kern w:val="0"/>
                <w:sz w:val="24"/>
              </w:rPr>
            </w:pPr>
            <w:r w:rsidRPr="00FA472B">
              <w:rPr>
                <w:color w:val="000000"/>
                <w:sz w:val="24"/>
              </w:rPr>
              <w:t>-</w:t>
            </w:r>
          </w:p>
        </w:tc>
        <w:tc>
          <w:tcPr>
            <w:tcW w:w="2631" w:type="dxa"/>
            <w:vAlign w:val="center"/>
          </w:tcPr>
          <w:p w14:paraId="236E8FB9" w14:textId="77777777" w:rsidR="00936865" w:rsidRPr="00FA472B" w:rsidRDefault="00936865" w:rsidP="00B659F3">
            <w:pPr>
              <w:jc w:val="right"/>
              <w:rPr>
                <w:color w:val="000000"/>
                <w:kern w:val="0"/>
                <w:sz w:val="24"/>
              </w:rPr>
            </w:pPr>
            <w:r w:rsidRPr="00FA472B">
              <w:rPr>
                <w:color w:val="000000"/>
                <w:sz w:val="24"/>
              </w:rPr>
              <w:t>-</w:t>
            </w:r>
          </w:p>
        </w:tc>
      </w:tr>
      <w:tr w:rsidR="00936865" w:rsidRPr="00E90B39" w14:paraId="40847C93" w14:textId="77777777" w:rsidTr="00B659F3">
        <w:tc>
          <w:tcPr>
            <w:tcW w:w="3167" w:type="dxa"/>
            <w:vAlign w:val="center"/>
          </w:tcPr>
          <w:p w14:paraId="1C67A0EE" w14:textId="77777777" w:rsidR="00936865" w:rsidRPr="00FA472B" w:rsidRDefault="00936865" w:rsidP="00B659F3">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4E957B04" w14:textId="77777777" w:rsidR="00936865" w:rsidRPr="00FA472B" w:rsidRDefault="00936865" w:rsidP="00B659F3">
            <w:pPr>
              <w:jc w:val="right"/>
              <w:rPr>
                <w:color w:val="000000"/>
                <w:kern w:val="0"/>
                <w:sz w:val="24"/>
              </w:rPr>
            </w:pPr>
            <w:r w:rsidRPr="00FA472B">
              <w:rPr>
                <w:color w:val="000000"/>
                <w:sz w:val="24"/>
              </w:rPr>
              <w:t>-</w:t>
            </w:r>
          </w:p>
        </w:tc>
        <w:tc>
          <w:tcPr>
            <w:tcW w:w="2631" w:type="dxa"/>
            <w:vAlign w:val="center"/>
          </w:tcPr>
          <w:p w14:paraId="579D16E7" w14:textId="77777777" w:rsidR="00936865" w:rsidRPr="00FA472B" w:rsidRDefault="00936865" w:rsidP="00B659F3">
            <w:pPr>
              <w:jc w:val="right"/>
              <w:rPr>
                <w:color w:val="000000"/>
                <w:kern w:val="0"/>
                <w:sz w:val="24"/>
              </w:rPr>
            </w:pPr>
            <w:r w:rsidRPr="00FA472B">
              <w:rPr>
                <w:color w:val="000000"/>
                <w:sz w:val="24"/>
              </w:rPr>
              <w:t>-</w:t>
            </w:r>
          </w:p>
        </w:tc>
      </w:tr>
      <w:tr w:rsidR="00936865" w:rsidRPr="00E90B39" w14:paraId="3C460EA9" w14:textId="77777777" w:rsidTr="00B659F3">
        <w:tc>
          <w:tcPr>
            <w:tcW w:w="3167" w:type="dxa"/>
            <w:vAlign w:val="center"/>
          </w:tcPr>
          <w:p w14:paraId="35ABF961" w14:textId="77777777" w:rsidR="00936865" w:rsidRPr="00FA472B" w:rsidRDefault="00936865" w:rsidP="00B659F3">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218AE03F" w14:textId="77777777" w:rsidR="00936865" w:rsidRPr="00FA472B" w:rsidRDefault="00936865" w:rsidP="00B659F3">
            <w:pPr>
              <w:jc w:val="right"/>
              <w:rPr>
                <w:sz w:val="24"/>
              </w:rPr>
            </w:pPr>
            <w:r w:rsidRPr="00FA472B">
              <w:rPr>
                <w:color w:val="000000"/>
                <w:sz w:val="24"/>
              </w:rPr>
              <w:t>10,001,111.19</w:t>
            </w:r>
          </w:p>
        </w:tc>
        <w:tc>
          <w:tcPr>
            <w:tcW w:w="2631" w:type="dxa"/>
            <w:vAlign w:val="center"/>
          </w:tcPr>
          <w:p w14:paraId="67C99AD7" w14:textId="77777777" w:rsidR="00936865" w:rsidRPr="00FA472B" w:rsidRDefault="00936865" w:rsidP="00B659F3">
            <w:pPr>
              <w:jc w:val="right"/>
              <w:rPr>
                <w:sz w:val="24"/>
              </w:rPr>
            </w:pPr>
            <w:r w:rsidRPr="00FA472B">
              <w:rPr>
                <w:color w:val="000000"/>
                <w:sz w:val="24"/>
              </w:rPr>
              <w:t>-</w:t>
            </w:r>
          </w:p>
        </w:tc>
      </w:tr>
      <w:tr w:rsidR="00936865" w:rsidRPr="00E90B39" w14:paraId="5C2C3308" w14:textId="77777777" w:rsidTr="00B659F3">
        <w:tc>
          <w:tcPr>
            <w:tcW w:w="3167" w:type="dxa"/>
            <w:vAlign w:val="center"/>
          </w:tcPr>
          <w:p w14:paraId="66AD3A17" w14:textId="77777777" w:rsidR="00936865" w:rsidRPr="00FA472B" w:rsidRDefault="00936865" w:rsidP="00B659F3">
            <w:pPr>
              <w:adjustRightInd w:val="0"/>
              <w:snapToGrid w:val="0"/>
              <w:spacing w:line="360" w:lineRule="exact"/>
              <w:rPr>
                <w:color w:val="000000"/>
                <w:sz w:val="24"/>
              </w:rPr>
            </w:pPr>
            <w:r w:rsidRPr="00FA472B">
              <w:rPr>
                <w:color w:val="000000"/>
                <w:sz w:val="24"/>
              </w:rPr>
              <w:t>报告期期末持有的本基金份</w:t>
            </w:r>
            <w:r w:rsidRPr="00FA472B">
              <w:rPr>
                <w:color w:val="000000"/>
                <w:sz w:val="24"/>
              </w:rPr>
              <w:lastRenderedPageBreak/>
              <w:t>额占基金总份额比例（</w:t>
            </w:r>
            <w:r w:rsidRPr="00FA472B">
              <w:rPr>
                <w:color w:val="000000"/>
                <w:sz w:val="24"/>
              </w:rPr>
              <w:t>%</w:t>
            </w:r>
            <w:r w:rsidRPr="00FA472B">
              <w:rPr>
                <w:color w:val="000000"/>
                <w:sz w:val="24"/>
              </w:rPr>
              <w:t>）</w:t>
            </w:r>
          </w:p>
        </w:tc>
        <w:tc>
          <w:tcPr>
            <w:tcW w:w="2616" w:type="dxa"/>
            <w:vAlign w:val="center"/>
          </w:tcPr>
          <w:p w14:paraId="1E9A7640" w14:textId="77777777" w:rsidR="00936865" w:rsidRPr="00FA472B" w:rsidRDefault="00936865" w:rsidP="00B659F3">
            <w:pPr>
              <w:jc w:val="right"/>
              <w:rPr>
                <w:color w:val="000000"/>
                <w:kern w:val="0"/>
                <w:sz w:val="24"/>
              </w:rPr>
            </w:pPr>
            <w:r w:rsidRPr="00FA472B">
              <w:rPr>
                <w:color w:val="000000"/>
                <w:sz w:val="24"/>
              </w:rPr>
              <w:lastRenderedPageBreak/>
              <w:t>0.90</w:t>
            </w:r>
          </w:p>
        </w:tc>
        <w:tc>
          <w:tcPr>
            <w:tcW w:w="2631" w:type="dxa"/>
            <w:vAlign w:val="center"/>
          </w:tcPr>
          <w:p w14:paraId="26B72C53" w14:textId="77777777" w:rsidR="00936865" w:rsidRPr="00FA472B" w:rsidRDefault="00936865" w:rsidP="00B659F3">
            <w:pPr>
              <w:jc w:val="right"/>
              <w:rPr>
                <w:color w:val="000000"/>
                <w:kern w:val="0"/>
                <w:sz w:val="24"/>
              </w:rPr>
            </w:pPr>
            <w:r w:rsidRPr="00FA472B">
              <w:rPr>
                <w:color w:val="000000"/>
                <w:sz w:val="24"/>
              </w:rPr>
              <w:t>-</w:t>
            </w:r>
          </w:p>
        </w:tc>
      </w:tr>
    </w:tbl>
    <w:p w14:paraId="26AEB3AB" w14:textId="77777777" w:rsidR="00D86FDF" w:rsidRPr="00936865" w:rsidRDefault="00D86FDF" w:rsidP="009B0629">
      <w:pPr>
        <w:autoSpaceDE w:val="0"/>
        <w:autoSpaceDN w:val="0"/>
        <w:adjustRightInd w:val="0"/>
        <w:spacing w:line="360" w:lineRule="auto"/>
        <w:ind w:firstLineChars="200" w:firstLine="480"/>
        <w:jc w:val="left"/>
        <w:rPr>
          <w:rFonts w:eastAsiaTheme="minorEastAsia"/>
          <w:color w:val="000000" w:themeColor="text1"/>
          <w:sz w:val="24"/>
        </w:rPr>
      </w:pPr>
    </w:p>
    <w:p w14:paraId="172F60F8" w14:textId="77777777" w:rsidR="00BB5F3D" w:rsidRPr="00C80F61" w:rsidRDefault="00D86FDF" w:rsidP="00C80F61">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3508B0">
        <w:rPr>
          <w:rFonts w:asciiTheme="minorEastAsia" w:eastAsiaTheme="minorEastAsia" w:hAnsiTheme="minorEastAsia"/>
          <w:color w:val="000000" w:themeColor="text1"/>
          <w:sz w:val="24"/>
        </w:rPr>
        <w:t>7.2</w:t>
      </w:r>
      <w:r w:rsidR="00BB5F3D" w:rsidRPr="009B0629">
        <w:rPr>
          <w:rFonts w:eastAsiaTheme="minorEastAsia"/>
          <w:color w:val="000000" w:themeColor="text1"/>
          <w:kern w:val="0"/>
          <w:sz w:val="24"/>
          <w:szCs w:val="24"/>
        </w:rPr>
        <w:t xml:space="preserve"> </w:t>
      </w:r>
      <w:r w:rsidR="00C80F61" w:rsidRPr="00C80F61">
        <w:rPr>
          <w:rFonts w:eastAsiaTheme="minorEastAsia" w:hint="eastAsia"/>
          <w:color w:val="000000" w:themeColor="text1"/>
          <w:sz w:val="24"/>
          <w:szCs w:val="24"/>
        </w:rPr>
        <w:t>基金管理人运用固有资金投资本基金交易明细</w:t>
      </w:r>
    </w:p>
    <w:p w14:paraId="0FA7C644" w14:textId="77777777"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无。</w:t>
      </w:r>
    </w:p>
    <w:p w14:paraId="326DCCB6" w14:textId="77777777" w:rsidR="00AB2DFA" w:rsidRPr="009B0629" w:rsidRDefault="00AB2DFA"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bCs w:val="0"/>
          <w:color w:val="000000" w:themeColor="text1"/>
          <w:kern w:val="2"/>
          <w:sz w:val="24"/>
          <w:szCs w:val="24"/>
        </w:rPr>
        <w:t xml:space="preserve">§8  </w:t>
      </w:r>
      <w:r w:rsidR="00861D07" w:rsidRPr="009B0629">
        <w:rPr>
          <w:rFonts w:eastAsiaTheme="minorEastAsia"/>
          <w:bCs w:val="0"/>
          <w:color w:val="000000" w:themeColor="text1"/>
          <w:kern w:val="2"/>
          <w:sz w:val="24"/>
          <w:szCs w:val="24"/>
        </w:rPr>
        <w:t>报告期末</w:t>
      </w:r>
      <w:r w:rsidRPr="009B0629">
        <w:rPr>
          <w:rFonts w:eastAsiaTheme="minorEastAsia"/>
          <w:bCs w:val="0"/>
          <w:color w:val="000000" w:themeColor="text1"/>
          <w:kern w:val="2"/>
          <w:sz w:val="24"/>
          <w:szCs w:val="24"/>
        </w:rPr>
        <w:t>发起式基金</w:t>
      </w:r>
      <w:r w:rsidRPr="009B0629">
        <w:rPr>
          <w:rFonts w:eastAsiaTheme="minorEastAsia"/>
          <w:color w:val="000000" w:themeColor="text1"/>
          <w:kern w:val="0"/>
          <w:sz w:val="24"/>
          <w:szCs w:val="24"/>
        </w:rPr>
        <w:t>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9B0629" w14:paraId="6E564DCA" w14:textId="77777777" w:rsidTr="004A3493">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395329D3" w14:textId="77777777"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67856F9"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1AD67B3"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46FFE51"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77C3D6C"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44D2377" w14:textId="77777777"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发起份额承诺持有期限</w:t>
            </w:r>
          </w:p>
        </w:tc>
      </w:tr>
      <w:tr w:rsidR="004A3493" w:rsidRPr="009B0629" w14:paraId="131F7CDA" w14:textId="77777777" w:rsidTr="004A3493">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7FF33C1C" w14:textId="77777777" w:rsidR="004A3493" w:rsidRPr="009B0629" w:rsidRDefault="004A3493" w:rsidP="004A3493">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155F695" w14:textId="5C174F35"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9E18812" w14:textId="7E1DBC57"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0.90%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C2E017D" w14:textId="100D0180"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BFC0847" w14:textId="1E49AEF1" w:rsidR="004A3493" w:rsidRPr="009B0629" w:rsidRDefault="008F01EE"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0.90%</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ED66CF9" w14:textId="77777777"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r w:rsidR="004A3493" w:rsidRPr="009B0629" w14:paraId="21161197" w14:textId="77777777" w:rsidTr="004A3493">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3A057C5B" w14:textId="77777777" w:rsidR="004A3493" w:rsidRPr="009B0629" w:rsidRDefault="004A3493" w:rsidP="004A3493">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F807BA2" w14:textId="601FA074"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F13E81D" w14:textId="2784F416"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9BCA0E3" w14:textId="0CFC5100"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4750427" w14:textId="3A1CDB28"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682CFDEB" w14:textId="77777777"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4A3493" w:rsidRPr="009B0629" w14:paraId="0355933D" w14:textId="77777777" w:rsidTr="004A3493">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6AD92F0" w14:textId="77777777" w:rsidR="004A3493" w:rsidRPr="009B0629" w:rsidRDefault="004A3493" w:rsidP="004A3493">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BEAED29" w14:textId="10185C29"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E990DEA" w14:textId="02B35174"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0B7C9EA" w14:textId="5A784BAE"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5C9CBE2" w14:textId="0EB9834D"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99F6795" w14:textId="77777777"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4A3493" w:rsidRPr="009B0629" w14:paraId="3BCEBEF9" w14:textId="77777777" w:rsidTr="004A3493">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4FE4DB3" w14:textId="77777777" w:rsidR="004A3493" w:rsidRPr="009B0629" w:rsidRDefault="004A3493" w:rsidP="004A3493">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AF78AE5" w14:textId="4D4DBD7A"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59835E0" w14:textId="2DE3F6DC"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B57C58A" w14:textId="26CB1960"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1422004" w14:textId="0A4B88E7"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0D30E0D" w14:textId="77777777"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4A3493" w:rsidRPr="009B0629" w14:paraId="744DCDB9" w14:textId="77777777" w:rsidTr="004A3493">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5811D6B" w14:textId="77777777" w:rsidR="004A3493" w:rsidRPr="009B0629" w:rsidRDefault="004A3493" w:rsidP="004A3493">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5525156" w14:textId="5047BD8A"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2072451" w14:textId="70D0E2F0"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708E342" w14:textId="2925FE2E"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B033EC8" w14:textId="3B699794"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68C6D67" w14:textId="77777777"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4A3493" w:rsidRPr="009B0629" w14:paraId="4B19B1F9" w14:textId="77777777" w:rsidTr="004A3493">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7DA3315" w14:textId="77777777" w:rsidR="004A3493" w:rsidRPr="009B0629" w:rsidRDefault="004A3493" w:rsidP="004A3493">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8E696A7" w14:textId="6C671032"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12E5F56" w14:textId="1CF700C3"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0.90%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B0C1179" w14:textId="4CB7C0AC"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90747BE" w14:textId="3D0AC797" w:rsidR="004A3493" w:rsidRPr="009B0629" w:rsidRDefault="008F01EE"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0.90%</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75821E9" w14:textId="77777777" w:rsidR="004A3493" w:rsidRPr="009B0629" w:rsidRDefault="004A3493" w:rsidP="004A3493">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bl>
    <w:p w14:paraId="33CD7E7E"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w:t>
      </w:r>
      <w:r w:rsidR="002711AA" w:rsidRPr="009B0629">
        <w:rPr>
          <w:rFonts w:eastAsiaTheme="minorEastAsia"/>
          <w:color w:val="000000" w:themeColor="text1"/>
          <w:kern w:val="0"/>
          <w:sz w:val="24"/>
          <w:szCs w:val="24"/>
        </w:rPr>
        <w:t>9</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14:paraId="6D7A63DD"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14:paraId="0B56090E"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14:paraId="7EA6039F"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基金合同</w:t>
      </w:r>
    </w:p>
    <w:p w14:paraId="41E5EB0A"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托管协议</w:t>
      </w:r>
    </w:p>
    <w:p w14:paraId="2C76B746"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14:paraId="6161CDB2"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14:paraId="001D1AA2"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14:paraId="77935AB7" w14:textId="77777777" w:rsidR="0017228B" w:rsidRDefault="008F01E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14:paraId="6B0C2294"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w:t>
      </w:r>
      <w:r w:rsidRPr="009B0629">
        <w:rPr>
          <w:rFonts w:eastAsiaTheme="minorEastAsia"/>
          <w:color w:val="000000" w:themeColor="text1"/>
          <w:sz w:val="24"/>
        </w:rPr>
        <w:t>八</w:t>
      </w:r>
      <w:r w:rsidRPr="009B0629">
        <w:rPr>
          <w:rFonts w:eastAsiaTheme="minorEastAsia"/>
          <w:color w:val="000000" w:themeColor="text1"/>
          <w:sz w:val="24"/>
        </w:rPr>
        <w:t>)</w:t>
      </w:r>
      <w:r w:rsidRPr="009B0629">
        <w:rPr>
          <w:rFonts w:eastAsiaTheme="minorEastAsia"/>
          <w:color w:val="000000" w:themeColor="text1"/>
          <w:sz w:val="24"/>
        </w:rPr>
        <w:t>中国证监会要求的其他文件</w:t>
      </w:r>
    </w:p>
    <w:p w14:paraId="4B9778FB" w14:textId="77777777" w:rsidR="008A2EC6" w:rsidRPr="009B0629" w:rsidRDefault="008A2EC6" w:rsidP="000C7596">
      <w:pPr>
        <w:spacing w:line="360" w:lineRule="auto"/>
        <w:ind w:firstLineChars="200" w:firstLine="480"/>
        <w:rPr>
          <w:rFonts w:eastAsiaTheme="minorEastAsia"/>
          <w:color w:val="000000" w:themeColor="text1"/>
          <w:sz w:val="24"/>
        </w:rPr>
      </w:pPr>
    </w:p>
    <w:p w14:paraId="0D0920B6"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lastRenderedPageBreak/>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14:paraId="32388C55"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14:paraId="3E6C64C8" w14:textId="77777777" w:rsidR="008A2EC6" w:rsidRPr="009B0629" w:rsidRDefault="008A2EC6" w:rsidP="000C7596">
      <w:pPr>
        <w:spacing w:line="360" w:lineRule="auto"/>
        <w:ind w:firstLineChars="200" w:firstLine="480"/>
        <w:rPr>
          <w:rFonts w:eastAsiaTheme="minorEastAsia"/>
          <w:color w:val="000000" w:themeColor="text1"/>
          <w:sz w:val="24"/>
        </w:rPr>
      </w:pPr>
    </w:p>
    <w:p w14:paraId="5F632692"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14:paraId="79CB87AD"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14:paraId="1020F37C" w14:textId="77777777" w:rsidR="0076518F" w:rsidRPr="009B0629" w:rsidRDefault="0076518F" w:rsidP="008B6A4A">
      <w:pPr>
        <w:spacing w:line="360" w:lineRule="auto"/>
        <w:ind w:firstLineChars="200" w:firstLine="480"/>
        <w:rPr>
          <w:rFonts w:eastAsiaTheme="minorEastAsia"/>
          <w:color w:val="000000" w:themeColor="text1"/>
          <w:sz w:val="24"/>
        </w:rPr>
      </w:pPr>
    </w:p>
    <w:p w14:paraId="5B29846F" w14:textId="77777777"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14:paraId="62CA6C7D" w14:textId="77777777"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二〇二四年十月二十五日</w:t>
      </w:r>
    </w:p>
    <w:sectPr w:rsidR="0076518F" w:rsidRPr="009B0629" w:rsidSect="00DB4450">
      <w:headerReference w:type="even" r:id="rId11"/>
      <w:footerReference w:type="even"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4F94" w14:textId="77777777" w:rsidR="00597353" w:rsidRDefault="00597353">
      <w:r>
        <w:separator/>
      </w:r>
    </w:p>
  </w:endnote>
  <w:endnote w:type="continuationSeparator" w:id="0">
    <w:p w14:paraId="42B5D4EE" w14:textId="77777777" w:rsidR="00597353" w:rsidRDefault="005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D608" w14:textId="4C7B28C3" w:rsidR="00845292" w:rsidRPr="009B0629" w:rsidRDefault="00845292"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4330AE">
      <w:rPr>
        <w:noProof/>
        <w:kern w:val="0"/>
        <w:sz w:val="21"/>
        <w:szCs w:val="21"/>
      </w:rPr>
      <w:t>1</w:t>
    </w:r>
    <w:r w:rsidRPr="009B0629">
      <w:rPr>
        <w:kern w:val="0"/>
        <w:sz w:val="21"/>
        <w:szCs w:val="21"/>
      </w:rPr>
      <w:fldChar w:fldCharType="end"/>
    </w:r>
    <w:r w:rsidRPr="009B0629">
      <w:rPr>
        <w:rFonts w:hint="eastAsia"/>
        <w:kern w:val="0"/>
        <w:sz w:val="21"/>
        <w:szCs w:val="21"/>
      </w:rPr>
      <w:t>页</w:t>
    </w:r>
    <w:r w:rsidR="009B0629">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4330AE">
      <w:rPr>
        <w:noProof/>
        <w:kern w:val="0"/>
        <w:sz w:val="21"/>
        <w:szCs w:val="21"/>
      </w:rPr>
      <w:t>17</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3B01" w14:textId="77777777" w:rsidR="00845292" w:rsidRDefault="00845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34E8EBF" w14:textId="77777777" w:rsidR="00845292" w:rsidRDefault="008452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3292" w14:textId="77777777" w:rsidR="00845292" w:rsidRDefault="008452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DD57A" w14:textId="77777777" w:rsidR="00597353" w:rsidRDefault="00597353">
      <w:r>
        <w:separator/>
      </w:r>
    </w:p>
  </w:footnote>
  <w:footnote w:type="continuationSeparator" w:id="0">
    <w:p w14:paraId="5E284BFF" w14:textId="77777777" w:rsidR="00597353" w:rsidRDefault="0059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E6D1" w14:textId="77777777" w:rsidR="00845292" w:rsidRPr="009B0629" w:rsidRDefault="00845292" w:rsidP="001D1356">
    <w:pPr>
      <w:pStyle w:val="aa"/>
      <w:pBdr>
        <w:bottom w:val="single" w:sz="6" w:space="0" w:color="auto"/>
      </w:pBdr>
      <w:jc w:val="right"/>
      <w:rPr>
        <w:sz w:val="21"/>
        <w:szCs w:val="21"/>
      </w:rPr>
    </w:pPr>
    <w:r w:rsidRPr="009B0629">
      <w:rPr>
        <w:sz w:val="21"/>
        <w:szCs w:val="21"/>
      </w:rPr>
      <w:t>摩根标普</w:t>
    </w:r>
    <w:r w:rsidRPr="009B0629">
      <w:rPr>
        <w:sz w:val="21"/>
        <w:szCs w:val="21"/>
      </w:rPr>
      <w:t>500</w:t>
    </w:r>
    <w:r w:rsidRPr="009B0629">
      <w:rPr>
        <w:sz w:val="21"/>
        <w:szCs w:val="21"/>
      </w:rPr>
      <w:t>指数型发起式证券投资基金</w:t>
    </w:r>
    <w:r w:rsidRPr="009B0629">
      <w:rPr>
        <w:sz w:val="21"/>
        <w:szCs w:val="21"/>
      </w:rPr>
      <w:t>(QDII)2024</w:t>
    </w:r>
    <w:r w:rsidRPr="009B0629">
      <w:rPr>
        <w:sz w:val="21"/>
        <w:szCs w:val="21"/>
      </w:rPr>
      <w:t>年第</w:t>
    </w:r>
    <w:r w:rsidRPr="009B0629">
      <w:rPr>
        <w:sz w:val="21"/>
        <w:szCs w:val="21"/>
      </w:rPr>
      <w:t>3</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03A2" w14:textId="77777777" w:rsidR="00845292" w:rsidRDefault="008452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64AB" w14:textId="77777777" w:rsidR="00845292" w:rsidRDefault="008452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28B"/>
    <w:rsid w:val="00172B84"/>
    <w:rsid w:val="00172EFE"/>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5FCF"/>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0AE"/>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493"/>
    <w:rsid w:val="004A3E3C"/>
    <w:rsid w:val="004B044F"/>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353"/>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01EE"/>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251"/>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0875"/>
    <w:rsid w:val="00BE4973"/>
    <w:rsid w:val="00BE6018"/>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0CB03442"/>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194</TotalTime>
  <Pages>17</Pages>
  <Words>1359</Words>
  <Characters>7748</Characters>
  <Application>Microsoft Office Word</Application>
  <DocSecurity>0</DocSecurity>
  <Lines>64</Lines>
  <Paragraphs>18</Paragraphs>
  <ScaleCrop>false</ScaleCrop>
  <Company>TRT. Ltd. Co.</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63</cp:revision>
  <cp:lastPrinted>2007-07-19T00:46:00Z</cp:lastPrinted>
  <dcterms:created xsi:type="dcterms:W3CDTF">2014-12-16T02:40:00Z</dcterms:created>
  <dcterms:modified xsi:type="dcterms:W3CDTF">2024-10-24T06:19:00Z</dcterms:modified>
</cp:coreProperties>
</file>