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摩根锦颐养老目标日期</w:t>
      </w:r>
      <w:r w:rsidRPr="0081286B">
        <w:rPr>
          <w:b/>
          <w:sz w:val="36"/>
          <w:szCs w:val="36"/>
        </w:rPr>
        <w:t>2035</w:t>
      </w:r>
      <w:r w:rsidRPr="0081286B">
        <w:rPr>
          <w:b/>
          <w:sz w:val="36"/>
          <w:szCs w:val="36"/>
        </w:rPr>
        <w:t>三年持有期混合型发起式基金中基金</w:t>
      </w:r>
      <w:r w:rsidRPr="0081286B">
        <w:rPr>
          <w:b/>
          <w:sz w:val="36"/>
          <w:szCs w:val="36"/>
        </w:rPr>
        <w:t>(FOF)</w:t>
      </w:r>
    </w:p>
    <w:p w:rsidR="002279D3" w:rsidRPr="0081286B" w:rsidRDefault="002279D3" w:rsidP="00C15CAC">
      <w:pPr>
        <w:spacing w:before="29" w:line="288" w:lineRule="auto"/>
        <w:jc w:val="center"/>
        <w:rPr>
          <w:b/>
          <w:sz w:val="36"/>
          <w:szCs w:val="36"/>
        </w:rPr>
      </w:pPr>
      <w:r w:rsidRPr="0081286B">
        <w:rPr>
          <w:b/>
          <w:sz w:val="36"/>
          <w:szCs w:val="36"/>
        </w:rPr>
        <w:t>2023</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2023</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基金管理人：摩根基金管理（中国）有限公司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二〇二三年十月二十五日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12CB1" w:rsidRDefault="0066758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12CB1" w:rsidRDefault="00667588">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2023</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12CB1" w:rsidRDefault="0066758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12CB1" w:rsidRDefault="0066758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12CB1" w:rsidRDefault="0066758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2023</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摩根锦颐养老目标日期</w:t>
            </w:r>
            <w:r w:rsidRPr="00414345">
              <w:rPr>
                <w:color w:val="000000"/>
                <w:kern w:val="0"/>
                <w:sz w:val="24"/>
                <w:szCs w:val="24"/>
              </w:rPr>
              <w:t>2035</w:t>
            </w:r>
            <w:r w:rsidRPr="00414345">
              <w:rPr>
                <w:color w:val="000000"/>
                <w:kern w:val="0"/>
                <w:sz w:val="24"/>
                <w:szCs w:val="24"/>
              </w:rPr>
              <w:t>三年持有混合</w:t>
            </w:r>
            <w:r w:rsidRPr="00414345">
              <w:rPr>
                <w:color w:val="000000"/>
                <w:kern w:val="0"/>
                <w:sz w:val="24"/>
                <w:szCs w:val="24"/>
              </w:rPr>
              <w:t>(FOF)</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017788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017788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50,105,338.51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本基金通过资产配置及优选基金，并结合严格的风险控制，力争实现基金资产的长期稳健增值。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F12CB1" w:rsidRDefault="00667588">
            <w:pPr>
              <w:adjustRightInd w:val="0"/>
              <w:spacing w:before="29" w:line="288" w:lineRule="auto"/>
              <w:ind w:left="17"/>
              <w:jc w:val="left"/>
              <w:rPr>
                <w:color w:val="000000"/>
                <w:sz w:val="24"/>
                <w:szCs w:val="24"/>
              </w:rPr>
            </w:pPr>
            <w:r>
              <w:rPr>
                <w:color w:val="000000"/>
                <w:kern w:val="0"/>
                <w:sz w:val="24"/>
                <w:szCs w:val="24"/>
              </w:rPr>
              <w:t>本基金属于养老目标日期基金，采用目标日期投资策略。本基金的目标日期为</w:t>
            </w:r>
            <w:r>
              <w:rPr>
                <w:color w:val="000000"/>
                <w:kern w:val="0"/>
                <w:sz w:val="24"/>
                <w:szCs w:val="24"/>
              </w:rPr>
              <w:t>2035</w:t>
            </w:r>
            <w:r>
              <w:rPr>
                <w:color w:val="000000"/>
                <w:kern w:val="0"/>
                <w:sz w:val="24"/>
                <w:szCs w:val="24"/>
              </w:rPr>
              <w:t>年</w:t>
            </w:r>
            <w:r>
              <w:rPr>
                <w:color w:val="000000"/>
                <w:kern w:val="0"/>
                <w:sz w:val="24"/>
                <w:szCs w:val="24"/>
              </w:rPr>
              <w:t>12</w:t>
            </w:r>
            <w:r>
              <w:rPr>
                <w:color w:val="000000"/>
                <w:kern w:val="0"/>
                <w:sz w:val="24"/>
                <w:szCs w:val="24"/>
              </w:rPr>
              <w:t>月</w:t>
            </w:r>
            <w:r>
              <w:rPr>
                <w:color w:val="000000"/>
                <w:kern w:val="0"/>
                <w:sz w:val="24"/>
                <w:szCs w:val="24"/>
              </w:rPr>
              <w:t>31</w:t>
            </w:r>
            <w:r>
              <w:rPr>
                <w:color w:val="000000"/>
                <w:kern w:val="0"/>
                <w:sz w:val="24"/>
                <w:szCs w:val="24"/>
              </w:rPr>
              <w:t>日。随着目标日期的临近，本基金逐步降低所投资的权益类资产的比例，以使基金的风险收益水平与投资者所处的生命周期相匹配。</w:t>
            </w:r>
          </w:p>
          <w:p w:rsidR="00F12CB1" w:rsidRDefault="00667588">
            <w:pPr>
              <w:adjustRightInd w:val="0"/>
              <w:spacing w:before="29" w:line="288" w:lineRule="auto"/>
              <w:ind w:left="17"/>
              <w:jc w:val="left"/>
              <w:rPr>
                <w:color w:val="000000"/>
                <w:sz w:val="24"/>
                <w:szCs w:val="24"/>
              </w:rPr>
            </w:pPr>
            <w:r>
              <w:rPr>
                <w:color w:val="000000"/>
                <w:kern w:val="0"/>
                <w:sz w:val="24"/>
                <w:szCs w:val="24"/>
              </w:rPr>
              <w:t>本基金资产配置策略基于下滑曲线的设计，随着目标日期的临近，权益类资产比例逐步下降。根据生命周期和人力资本理论，在个人工作的早期阶段，承担资本市场风险的意愿强于承担投资风险的能力，随着个人退休临近，承受风险的意愿下降，但是承担投资风险的能力提升。本基金通过下滑曲线设计，使得投资者在整个生命周期中动态配置权益类资产，平衡投资者承担风险的意愿和能力，优化投资者效用。</w:t>
            </w:r>
          </w:p>
          <w:p w:rsidR="00F12CB1" w:rsidRDefault="00667588">
            <w:pPr>
              <w:adjustRightInd w:val="0"/>
              <w:spacing w:before="29" w:line="288" w:lineRule="auto"/>
              <w:ind w:left="17"/>
              <w:jc w:val="left"/>
              <w:rPr>
                <w:color w:val="000000"/>
                <w:sz w:val="24"/>
                <w:szCs w:val="24"/>
              </w:rPr>
            </w:pPr>
            <w:r>
              <w:rPr>
                <w:color w:val="000000"/>
                <w:kern w:val="0"/>
                <w:sz w:val="24"/>
                <w:szCs w:val="24"/>
              </w:rPr>
              <w:t>本基金在目标日期</w:t>
            </w:r>
            <w:r>
              <w:rPr>
                <w:color w:val="000000"/>
                <w:kern w:val="0"/>
                <w:sz w:val="24"/>
                <w:szCs w:val="24"/>
              </w:rPr>
              <w:t>2035</w:t>
            </w:r>
            <w:r>
              <w:rPr>
                <w:color w:val="000000"/>
                <w:kern w:val="0"/>
                <w:sz w:val="24"/>
                <w:szCs w:val="24"/>
              </w:rPr>
              <w:t>年</w:t>
            </w:r>
            <w:r>
              <w:rPr>
                <w:color w:val="000000"/>
                <w:kern w:val="0"/>
                <w:sz w:val="24"/>
                <w:szCs w:val="24"/>
              </w:rPr>
              <w:t>12</w:t>
            </w:r>
            <w:r>
              <w:rPr>
                <w:color w:val="000000"/>
                <w:kern w:val="0"/>
                <w:sz w:val="24"/>
                <w:szCs w:val="24"/>
              </w:rPr>
              <w:t>月</w:t>
            </w:r>
            <w:r>
              <w:rPr>
                <w:color w:val="000000"/>
                <w:kern w:val="0"/>
                <w:sz w:val="24"/>
                <w:szCs w:val="24"/>
              </w:rPr>
              <w:t>31</w:t>
            </w:r>
            <w:r>
              <w:rPr>
                <w:color w:val="000000"/>
                <w:kern w:val="0"/>
                <w:sz w:val="24"/>
                <w:szCs w:val="24"/>
              </w:rPr>
              <w:t>日之前（含当日），权益类资产投资比例如下表所示：</w:t>
            </w:r>
          </w:p>
          <w:p w:rsidR="00F12CB1" w:rsidRDefault="00667588">
            <w:pPr>
              <w:adjustRightInd w:val="0"/>
              <w:spacing w:before="29" w:line="288" w:lineRule="auto"/>
              <w:ind w:left="17"/>
              <w:jc w:val="left"/>
              <w:rPr>
                <w:color w:val="000000"/>
                <w:sz w:val="24"/>
                <w:szCs w:val="24"/>
              </w:rPr>
            </w:pPr>
            <w:r>
              <w:rPr>
                <w:color w:val="000000"/>
                <w:kern w:val="0"/>
                <w:sz w:val="24"/>
                <w:szCs w:val="24"/>
              </w:rPr>
              <w:t>时间段</w:t>
            </w:r>
            <w:r>
              <w:rPr>
                <w:color w:val="000000"/>
                <w:kern w:val="0"/>
                <w:sz w:val="24"/>
                <w:szCs w:val="24"/>
              </w:rPr>
              <w:t xml:space="preserve"> </w:t>
            </w:r>
            <w:r>
              <w:rPr>
                <w:color w:val="000000"/>
                <w:kern w:val="0"/>
                <w:sz w:val="24"/>
                <w:szCs w:val="24"/>
              </w:rPr>
              <w:t>权益类资产比例范围</w:t>
            </w:r>
          </w:p>
          <w:p w:rsidR="00F12CB1" w:rsidRDefault="00667588">
            <w:pPr>
              <w:adjustRightInd w:val="0"/>
              <w:spacing w:before="29" w:line="288" w:lineRule="auto"/>
              <w:ind w:left="17"/>
              <w:jc w:val="left"/>
              <w:rPr>
                <w:color w:val="000000"/>
                <w:sz w:val="24"/>
                <w:szCs w:val="24"/>
              </w:rPr>
            </w:pPr>
            <w:r>
              <w:rPr>
                <w:color w:val="000000"/>
                <w:kern w:val="0"/>
                <w:sz w:val="24"/>
                <w:szCs w:val="24"/>
              </w:rPr>
              <w:t>基金合同生效日</w:t>
            </w:r>
            <w:r>
              <w:rPr>
                <w:color w:val="000000"/>
                <w:kern w:val="0"/>
                <w:sz w:val="24"/>
                <w:szCs w:val="24"/>
              </w:rPr>
              <w:t>-2024/12/31 25%-55%</w:t>
            </w:r>
          </w:p>
          <w:p w:rsidR="00F12CB1" w:rsidRDefault="00667588">
            <w:pPr>
              <w:adjustRightInd w:val="0"/>
              <w:spacing w:before="29" w:line="288" w:lineRule="auto"/>
              <w:ind w:left="17"/>
              <w:jc w:val="left"/>
              <w:rPr>
                <w:color w:val="000000"/>
                <w:sz w:val="24"/>
                <w:szCs w:val="24"/>
              </w:rPr>
            </w:pPr>
            <w:r>
              <w:rPr>
                <w:color w:val="000000"/>
                <w:kern w:val="0"/>
                <w:sz w:val="24"/>
                <w:szCs w:val="24"/>
              </w:rPr>
              <w:t>2025/01/01-2027/12/31 19%-48%</w:t>
            </w:r>
          </w:p>
          <w:p w:rsidR="00F12CB1" w:rsidRDefault="00667588">
            <w:pPr>
              <w:adjustRightInd w:val="0"/>
              <w:spacing w:before="29" w:line="288" w:lineRule="auto"/>
              <w:ind w:left="17"/>
              <w:jc w:val="left"/>
              <w:rPr>
                <w:color w:val="000000"/>
                <w:sz w:val="24"/>
                <w:szCs w:val="24"/>
              </w:rPr>
            </w:pPr>
            <w:r>
              <w:rPr>
                <w:color w:val="000000"/>
                <w:kern w:val="0"/>
                <w:sz w:val="24"/>
                <w:szCs w:val="24"/>
              </w:rPr>
              <w:t>2028/01/01-2031/12/31 12%-42%</w:t>
            </w:r>
          </w:p>
          <w:p w:rsidR="00F12CB1" w:rsidRDefault="00667588">
            <w:pPr>
              <w:adjustRightInd w:val="0"/>
              <w:spacing w:before="29" w:line="288" w:lineRule="auto"/>
              <w:ind w:left="17"/>
              <w:jc w:val="left"/>
              <w:rPr>
                <w:color w:val="000000"/>
                <w:sz w:val="24"/>
                <w:szCs w:val="24"/>
              </w:rPr>
            </w:pPr>
            <w:r>
              <w:rPr>
                <w:color w:val="000000"/>
                <w:kern w:val="0"/>
                <w:sz w:val="24"/>
                <w:szCs w:val="24"/>
              </w:rPr>
              <w:t>2032/01/01-2035/12/31 8%-36%</w:t>
            </w:r>
          </w:p>
          <w:p w:rsidR="00F12CB1" w:rsidRDefault="00667588">
            <w:pPr>
              <w:adjustRightInd w:val="0"/>
              <w:spacing w:before="29" w:line="288" w:lineRule="auto"/>
              <w:ind w:left="17"/>
              <w:jc w:val="left"/>
              <w:rPr>
                <w:color w:val="000000"/>
                <w:sz w:val="24"/>
                <w:szCs w:val="24"/>
              </w:rPr>
            </w:pPr>
            <w:r>
              <w:rPr>
                <w:color w:val="000000"/>
                <w:kern w:val="0"/>
                <w:sz w:val="24"/>
                <w:szCs w:val="24"/>
              </w:rPr>
              <w:t>本基金</w:t>
            </w:r>
            <w:r>
              <w:rPr>
                <w:color w:val="000000"/>
                <w:kern w:val="0"/>
                <w:sz w:val="24"/>
                <w:szCs w:val="24"/>
              </w:rPr>
              <w:t>2036</w:t>
            </w:r>
            <w:r>
              <w:rPr>
                <w:color w:val="000000"/>
                <w:kern w:val="0"/>
                <w:sz w:val="24"/>
                <w:szCs w:val="24"/>
              </w:rPr>
              <w:t>年</w:t>
            </w:r>
            <w:r>
              <w:rPr>
                <w:color w:val="000000"/>
                <w:kern w:val="0"/>
                <w:sz w:val="24"/>
                <w:szCs w:val="24"/>
              </w:rPr>
              <w:t>1</w:t>
            </w:r>
            <w:r>
              <w:rPr>
                <w:color w:val="000000"/>
                <w:kern w:val="0"/>
                <w:sz w:val="24"/>
                <w:szCs w:val="24"/>
              </w:rPr>
              <w:t>月</w:t>
            </w:r>
            <w:r>
              <w:rPr>
                <w:color w:val="000000"/>
                <w:kern w:val="0"/>
                <w:sz w:val="24"/>
                <w:szCs w:val="24"/>
              </w:rPr>
              <w:t>1</w:t>
            </w:r>
            <w:r>
              <w:rPr>
                <w:color w:val="000000"/>
                <w:kern w:val="0"/>
                <w:sz w:val="24"/>
                <w:szCs w:val="24"/>
              </w:rPr>
              <w:t>日转型为</w:t>
            </w:r>
            <w:r>
              <w:rPr>
                <w:color w:val="000000"/>
                <w:kern w:val="0"/>
                <w:sz w:val="24"/>
                <w:szCs w:val="24"/>
              </w:rPr>
              <w:t>“</w:t>
            </w:r>
            <w:r>
              <w:rPr>
                <w:color w:val="000000"/>
                <w:kern w:val="0"/>
                <w:sz w:val="24"/>
                <w:szCs w:val="24"/>
              </w:rPr>
              <w:t>摩根丰盈混合型基金中基金</w:t>
            </w:r>
            <w:r>
              <w:rPr>
                <w:color w:val="000000"/>
                <w:kern w:val="0"/>
                <w:sz w:val="24"/>
                <w:szCs w:val="24"/>
              </w:rPr>
              <w:t>(FOF)”</w:t>
            </w:r>
            <w:r>
              <w:rPr>
                <w:color w:val="000000"/>
                <w:kern w:val="0"/>
                <w:sz w:val="24"/>
                <w:szCs w:val="24"/>
              </w:rPr>
              <w:t>后，本基金将在较低的权益类资产配置比例下投资运作，权益类资产投资比例如下表所示：</w:t>
            </w:r>
          </w:p>
          <w:p w:rsidR="00F12CB1" w:rsidRDefault="00667588">
            <w:pPr>
              <w:adjustRightInd w:val="0"/>
              <w:spacing w:before="29" w:line="288" w:lineRule="auto"/>
              <w:ind w:left="17"/>
              <w:jc w:val="left"/>
              <w:rPr>
                <w:color w:val="000000"/>
                <w:sz w:val="24"/>
                <w:szCs w:val="24"/>
              </w:rPr>
            </w:pPr>
            <w:r>
              <w:rPr>
                <w:color w:val="000000"/>
                <w:kern w:val="0"/>
                <w:sz w:val="24"/>
                <w:szCs w:val="24"/>
              </w:rPr>
              <w:t>时间段</w:t>
            </w:r>
            <w:r>
              <w:rPr>
                <w:color w:val="000000"/>
                <w:kern w:val="0"/>
                <w:sz w:val="24"/>
                <w:szCs w:val="24"/>
              </w:rPr>
              <w:t xml:space="preserve"> </w:t>
            </w:r>
            <w:r>
              <w:rPr>
                <w:color w:val="000000"/>
                <w:kern w:val="0"/>
                <w:sz w:val="24"/>
                <w:szCs w:val="24"/>
              </w:rPr>
              <w:t>权益类资产比例范围</w:t>
            </w:r>
          </w:p>
          <w:p w:rsidR="00F12CB1" w:rsidRDefault="00667588">
            <w:pPr>
              <w:adjustRightInd w:val="0"/>
              <w:spacing w:before="29" w:line="288" w:lineRule="auto"/>
              <w:ind w:left="17"/>
              <w:jc w:val="left"/>
              <w:rPr>
                <w:color w:val="000000"/>
                <w:sz w:val="24"/>
                <w:szCs w:val="24"/>
              </w:rPr>
            </w:pPr>
            <w:r>
              <w:rPr>
                <w:color w:val="000000"/>
                <w:kern w:val="0"/>
                <w:sz w:val="24"/>
                <w:szCs w:val="24"/>
              </w:rPr>
              <w:t>2036/01/01</w:t>
            </w:r>
            <w:r>
              <w:rPr>
                <w:color w:val="000000"/>
                <w:kern w:val="0"/>
                <w:sz w:val="24"/>
                <w:szCs w:val="24"/>
              </w:rPr>
              <w:t>起</w:t>
            </w:r>
            <w:r>
              <w:rPr>
                <w:color w:val="000000"/>
                <w:kern w:val="0"/>
                <w:sz w:val="24"/>
                <w:szCs w:val="24"/>
              </w:rPr>
              <w:t xml:space="preserve"> 0%-30%</w:t>
            </w:r>
          </w:p>
          <w:p w:rsidR="00F12CB1" w:rsidRDefault="00667588">
            <w:pPr>
              <w:adjustRightInd w:val="0"/>
              <w:spacing w:before="29" w:line="288" w:lineRule="auto"/>
              <w:ind w:left="17"/>
              <w:jc w:val="left"/>
              <w:rPr>
                <w:color w:val="000000"/>
                <w:sz w:val="24"/>
                <w:szCs w:val="24"/>
              </w:rPr>
            </w:pPr>
            <w:r>
              <w:rPr>
                <w:color w:val="000000"/>
                <w:kern w:val="0"/>
                <w:sz w:val="24"/>
                <w:szCs w:val="24"/>
              </w:rPr>
              <w:t>权益类资产指股票、股票型基金、应计入权益类资产的混合型基金；应计入权益类资产的混合型基金应符合以下两种情况之一：基金合同中明确约定股票投资占基金资产的比例为</w:t>
            </w:r>
            <w:r>
              <w:rPr>
                <w:color w:val="000000"/>
                <w:kern w:val="0"/>
                <w:sz w:val="24"/>
                <w:szCs w:val="24"/>
              </w:rPr>
              <w:t>60%</w:t>
            </w:r>
            <w:r>
              <w:rPr>
                <w:color w:val="000000"/>
                <w:kern w:val="0"/>
                <w:sz w:val="24"/>
                <w:szCs w:val="24"/>
              </w:rPr>
              <w:t>以上或者根据定期报告最近</w:t>
            </w:r>
            <w:r>
              <w:rPr>
                <w:color w:val="000000"/>
                <w:kern w:val="0"/>
                <w:sz w:val="24"/>
                <w:szCs w:val="24"/>
              </w:rPr>
              <w:t>4</w:t>
            </w:r>
            <w:r>
              <w:rPr>
                <w:color w:val="000000"/>
                <w:kern w:val="0"/>
                <w:sz w:val="24"/>
                <w:szCs w:val="24"/>
              </w:rPr>
              <w:t>个季度披露的股票投资占基金资产的比例均在</w:t>
            </w:r>
            <w:r>
              <w:rPr>
                <w:color w:val="000000"/>
                <w:kern w:val="0"/>
                <w:sz w:val="24"/>
                <w:szCs w:val="24"/>
              </w:rPr>
              <w:t>60%</w:t>
            </w:r>
            <w:r>
              <w:rPr>
                <w:color w:val="000000"/>
                <w:kern w:val="0"/>
                <w:sz w:val="24"/>
                <w:szCs w:val="24"/>
              </w:rPr>
              <w:t>以上的混合型基金。</w:t>
            </w:r>
          </w:p>
          <w:p w:rsidR="00F12CB1" w:rsidRDefault="00667588">
            <w:pPr>
              <w:adjustRightInd w:val="0"/>
              <w:spacing w:before="29" w:line="288" w:lineRule="auto"/>
              <w:ind w:left="17"/>
              <w:jc w:val="left"/>
              <w:rPr>
                <w:color w:val="000000"/>
                <w:sz w:val="24"/>
                <w:szCs w:val="24"/>
              </w:rPr>
            </w:pPr>
            <w:r>
              <w:rPr>
                <w:color w:val="000000"/>
                <w:kern w:val="0"/>
                <w:sz w:val="24"/>
                <w:szCs w:val="24"/>
              </w:rPr>
              <w:t>在基金实际管理过程中，本基金具体配置比例由基金管理人根据宏观经济情况和证券市场的阶段性变化做主动调整，以求基金资产在各类资产的投资中达到风险和收益的最佳平衡。具体各年份本基金的权益类资产占比按招募说明书的规定执行。基金管理人可根据政策调整、市场变化等因素调整各年权益类资产占比范围及权益类资产的配置中枢（即下滑曲线值）。本基金在目标日期之前（含当日），权益类资产的投资比例在下滑曲线值的基础上向上偏离不超过</w:t>
            </w:r>
            <w:r>
              <w:rPr>
                <w:color w:val="000000"/>
                <w:kern w:val="0"/>
                <w:sz w:val="24"/>
                <w:szCs w:val="24"/>
              </w:rPr>
              <w:t>10%</w:t>
            </w:r>
            <w:r>
              <w:rPr>
                <w:color w:val="000000"/>
                <w:kern w:val="0"/>
                <w:sz w:val="24"/>
                <w:szCs w:val="24"/>
              </w:rPr>
              <w:t>，向下偏离不超过</w:t>
            </w:r>
            <w:r>
              <w:rPr>
                <w:color w:val="000000"/>
                <w:kern w:val="0"/>
                <w:sz w:val="24"/>
                <w:szCs w:val="24"/>
              </w:rPr>
              <w:t>15%</w:t>
            </w:r>
            <w:r>
              <w:rPr>
                <w:color w:val="000000"/>
                <w:kern w:val="0"/>
                <w:sz w:val="24"/>
                <w:szCs w:val="24"/>
              </w:rPr>
              <w:t>。如权益类资产配置比例超过上下限，基金管理人应当在</w:t>
            </w:r>
            <w:r>
              <w:rPr>
                <w:color w:val="000000"/>
                <w:kern w:val="0"/>
                <w:sz w:val="24"/>
                <w:szCs w:val="24"/>
              </w:rPr>
              <w:t>10</w:t>
            </w:r>
            <w:r>
              <w:rPr>
                <w:color w:val="000000"/>
                <w:kern w:val="0"/>
                <w:sz w:val="24"/>
                <w:szCs w:val="24"/>
              </w:rPr>
              <w:t>个交易日内进行调整。</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本基金采用的投资策略包括：</w:t>
            </w:r>
            <w:r w:rsidRPr="00414345">
              <w:rPr>
                <w:color w:val="000000"/>
                <w:kern w:val="0"/>
                <w:sz w:val="24"/>
                <w:szCs w:val="24"/>
              </w:rPr>
              <w:t>1</w:t>
            </w:r>
            <w:r w:rsidRPr="00414345">
              <w:rPr>
                <w:color w:val="000000"/>
                <w:kern w:val="0"/>
                <w:sz w:val="24"/>
                <w:szCs w:val="24"/>
              </w:rPr>
              <w:t>、资产配置策略；</w:t>
            </w:r>
            <w:r w:rsidRPr="00414345">
              <w:rPr>
                <w:color w:val="000000"/>
                <w:kern w:val="0"/>
                <w:sz w:val="24"/>
                <w:szCs w:val="24"/>
              </w:rPr>
              <w:t>2</w:t>
            </w:r>
            <w:r w:rsidRPr="00414345">
              <w:rPr>
                <w:color w:val="000000"/>
                <w:kern w:val="0"/>
                <w:sz w:val="24"/>
                <w:szCs w:val="24"/>
              </w:rPr>
              <w:t>、主动管理型基金投资策略；</w:t>
            </w:r>
            <w:r w:rsidRPr="00414345">
              <w:rPr>
                <w:color w:val="000000"/>
                <w:kern w:val="0"/>
                <w:sz w:val="24"/>
                <w:szCs w:val="24"/>
              </w:rPr>
              <w:t>3</w:t>
            </w:r>
            <w:r w:rsidRPr="00414345">
              <w:rPr>
                <w:color w:val="000000"/>
                <w:kern w:val="0"/>
                <w:sz w:val="24"/>
                <w:szCs w:val="24"/>
              </w:rPr>
              <w:t>、指数基金投资策略；</w:t>
            </w:r>
            <w:r w:rsidRPr="00414345">
              <w:rPr>
                <w:color w:val="000000"/>
                <w:kern w:val="0"/>
                <w:sz w:val="24"/>
                <w:szCs w:val="24"/>
              </w:rPr>
              <w:t>4</w:t>
            </w:r>
            <w:r w:rsidRPr="00414345">
              <w:rPr>
                <w:color w:val="000000"/>
                <w:kern w:val="0"/>
                <w:sz w:val="24"/>
                <w:szCs w:val="24"/>
              </w:rPr>
              <w:t>、股票投资策略；</w:t>
            </w:r>
            <w:r w:rsidRPr="00414345">
              <w:rPr>
                <w:color w:val="000000"/>
                <w:kern w:val="0"/>
                <w:sz w:val="24"/>
                <w:szCs w:val="24"/>
              </w:rPr>
              <w:t>5</w:t>
            </w:r>
            <w:r w:rsidRPr="00414345">
              <w:rPr>
                <w:color w:val="000000"/>
                <w:kern w:val="0"/>
                <w:sz w:val="24"/>
                <w:szCs w:val="24"/>
              </w:rPr>
              <w:t>、港股投资策略；</w:t>
            </w:r>
            <w:r w:rsidRPr="00414345">
              <w:rPr>
                <w:color w:val="000000"/>
                <w:kern w:val="0"/>
                <w:sz w:val="24"/>
                <w:szCs w:val="24"/>
              </w:rPr>
              <w:t>6</w:t>
            </w:r>
            <w:r w:rsidRPr="00414345">
              <w:rPr>
                <w:color w:val="000000"/>
                <w:kern w:val="0"/>
                <w:sz w:val="24"/>
                <w:szCs w:val="24"/>
              </w:rPr>
              <w:t>、债券投资策略；</w:t>
            </w:r>
            <w:r w:rsidRPr="00414345">
              <w:rPr>
                <w:color w:val="000000"/>
                <w:kern w:val="0"/>
                <w:sz w:val="24"/>
                <w:szCs w:val="24"/>
              </w:rPr>
              <w:t>7</w:t>
            </w:r>
            <w:r w:rsidRPr="00414345">
              <w:rPr>
                <w:color w:val="000000"/>
                <w:kern w:val="0"/>
                <w:sz w:val="24"/>
                <w:szCs w:val="24"/>
              </w:rPr>
              <w:t>、证券公司短期公司债投资策略；</w:t>
            </w:r>
            <w:r w:rsidRPr="00414345">
              <w:rPr>
                <w:color w:val="000000"/>
                <w:kern w:val="0"/>
                <w:sz w:val="24"/>
                <w:szCs w:val="24"/>
              </w:rPr>
              <w:t>8</w:t>
            </w:r>
            <w:r w:rsidRPr="00414345">
              <w:rPr>
                <w:color w:val="000000"/>
                <w:kern w:val="0"/>
                <w:sz w:val="24"/>
                <w:szCs w:val="24"/>
              </w:rPr>
              <w:t>、资产支持证券投资策略；</w:t>
            </w:r>
            <w:r w:rsidRPr="00414345">
              <w:rPr>
                <w:color w:val="000000"/>
                <w:kern w:val="0"/>
                <w:sz w:val="24"/>
                <w:szCs w:val="24"/>
              </w:rPr>
              <w:t>9</w:t>
            </w:r>
            <w:r w:rsidRPr="00414345">
              <w:rPr>
                <w:color w:val="000000"/>
                <w:kern w:val="0"/>
                <w:sz w:val="24"/>
                <w:szCs w:val="24"/>
              </w:rPr>
              <w:t>、存托凭证投资策略。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中证</w:t>
            </w:r>
            <w:r w:rsidRPr="00414345">
              <w:rPr>
                <w:color w:val="000000"/>
                <w:kern w:val="0"/>
                <w:sz w:val="24"/>
                <w:szCs w:val="24"/>
              </w:rPr>
              <w:t>800</w:t>
            </w:r>
            <w:r w:rsidRPr="00414345">
              <w:rPr>
                <w:color w:val="000000"/>
                <w:kern w:val="0"/>
                <w:sz w:val="24"/>
                <w:szCs w:val="24"/>
              </w:rPr>
              <w:t>指数收益率</w:t>
            </w:r>
            <w:r w:rsidRPr="00414345">
              <w:rPr>
                <w:color w:val="000000"/>
                <w:kern w:val="0"/>
                <w:sz w:val="24"/>
                <w:szCs w:val="24"/>
              </w:rPr>
              <w:t>*X*95%</w:t>
            </w:r>
            <w:r w:rsidRPr="00414345">
              <w:rPr>
                <w:color w:val="000000"/>
                <w:kern w:val="0"/>
                <w:sz w:val="24"/>
                <w:szCs w:val="24"/>
              </w:rPr>
              <w:t>＋中证港股通综合指数（人民币）收益率</w:t>
            </w:r>
            <w:r w:rsidRPr="00414345">
              <w:rPr>
                <w:color w:val="000000"/>
                <w:kern w:val="0"/>
                <w:sz w:val="24"/>
                <w:szCs w:val="24"/>
              </w:rPr>
              <w:t>*X*5%</w:t>
            </w:r>
            <w:r w:rsidRPr="00414345">
              <w:rPr>
                <w:color w:val="000000"/>
                <w:kern w:val="0"/>
                <w:sz w:val="24"/>
                <w:szCs w:val="24"/>
              </w:rPr>
              <w:t>＋中债</w:t>
            </w:r>
            <w:r w:rsidRPr="00414345">
              <w:rPr>
                <w:color w:val="000000"/>
                <w:kern w:val="0"/>
                <w:sz w:val="24"/>
                <w:szCs w:val="24"/>
              </w:rPr>
              <w:t>-</w:t>
            </w:r>
            <w:r w:rsidRPr="00414345">
              <w:rPr>
                <w:color w:val="000000"/>
                <w:kern w:val="0"/>
                <w:sz w:val="24"/>
                <w:szCs w:val="24"/>
              </w:rPr>
              <w:t>综合全价（总值）指数收益率</w:t>
            </w:r>
            <w:r w:rsidRPr="00414345">
              <w:rPr>
                <w:color w:val="000000"/>
                <w:kern w:val="0"/>
                <w:sz w:val="24"/>
                <w:szCs w:val="24"/>
              </w:rPr>
              <w:t>*(90%-X)+</w:t>
            </w:r>
            <w:r w:rsidRPr="00414345">
              <w:rPr>
                <w:color w:val="000000"/>
                <w:kern w:val="0"/>
                <w:sz w:val="24"/>
                <w:szCs w:val="24"/>
              </w:rPr>
              <w:t>活期存款利率（税后）</w:t>
            </w:r>
            <w:r w:rsidRPr="00414345">
              <w:rPr>
                <w:color w:val="000000"/>
                <w:kern w:val="0"/>
                <w:sz w:val="24"/>
                <w:szCs w:val="24"/>
              </w:rPr>
              <w:t>*10%</w:t>
            </w:r>
            <w:r w:rsidRPr="00414345">
              <w:rPr>
                <w:color w:val="000000"/>
                <w:kern w:val="0"/>
                <w:sz w:val="24"/>
                <w:szCs w:val="24"/>
              </w:rPr>
              <w:t>，其中</w:t>
            </w:r>
            <w:r w:rsidRPr="00414345">
              <w:rPr>
                <w:color w:val="000000"/>
                <w:kern w:val="0"/>
                <w:sz w:val="24"/>
                <w:szCs w:val="24"/>
              </w:rPr>
              <w:t>X</w:t>
            </w:r>
            <w:r w:rsidRPr="00414345">
              <w:rPr>
                <w:color w:val="000000"/>
                <w:kern w:val="0"/>
                <w:sz w:val="24"/>
                <w:szCs w:val="24"/>
              </w:rPr>
              <w:t>即本基金各年的下滑曲线值，按招募说明书的规定执行。</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混合型基金中基金，预期风险和收益水平低于股票型基金中基金，高于债券型基金中基金和货币型基金中基金。本基金可投资香港联合交易所上市的股票，将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摩根基金管理（中国）有限公司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67588" w:rsidRPr="00414345" w:rsidTr="0066758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(2023</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-2023</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67588" w:rsidRPr="00414345" w:rsidTr="0066758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-642,803.49</w:t>
            </w:r>
          </w:p>
        </w:tc>
      </w:tr>
      <w:tr w:rsidR="00667588" w:rsidRPr="00414345" w:rsidTr="0066758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-2,023,704.74</w:t>
            </w:r>
          </w:p>
        </w:tc>
      </w:tr>
      <w:tr w:rsidR="00667588" w:rsidRPr="00414345" w:rsidTr="0066758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-0.0404</w:t>
            </w:r>
          </w:p>
        </w:tc>
      </w:tr>
      <w:tr w:rsidR="00667588" w:rsidRPr="00414345" w:rsidTr="0066758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46,312,536.36</w:t>
            </w:r>
          </w:p>
        </w:tc>
      </w:tr>
      <w:tr w:rsidR="00667588" w:rsidRPr="00414345" w:rsidTr="0066758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0.9243</w:t>
            </w:r>
          </w:p>
        </w:tc>
      </w:tr>
    </w:tbl>
    <w:p w:rsidR="00F12CB1" w:rsidRDefault="00667588">
      <w:pPr>
        <w:autoSpaceDE w:val="0"/>
        <w:autoSpaceDN w:val="0"/>
        <w:adjustRightInd w:val="0"/>
        <w:spacing w:before="29" w:line="288" w:lineRule="auto"/>
        <w:jc w:val="left"/>
        <w:rPr>
          <w:color w:val="000000"/>
          <w:sz w:val="24"/>
          <w:szCs w:val="24"/>
        </w:rPr>
      </w:pPr>
      <w:r>
        <w:rPr>
          <w:color w:val="000000"/>
          <w:sz w:val="24"/>
          <w:szCs w:val="24"/>
        </w:rPr>
        <w:t>注：本期已实现收益指基金本期利息收入、投资收益、其他收入</w:t>
      </w:r>
      <w:r>
        <w:rPr>
          <w:color w:val="000000"/>
          <w:sz w:val="24"/>
          <w:szCs w:val="24"/>
        </w:rPr>
        <w:t>(</w:t>
      </w:r>
      <w:r>
        <w:rPr>
          <w:color w:val="000000"/>
          <w:sz w:val="24"/>
          <w:szCs w:val="24"/>
        </w:rPr>
        <w:t>不含公允价值变动收益</w:t>
      </w:r>
      <w:r>
        <w:rPr>
          <w:color w:val="000000"/>
          <w:sz w:val="24"/>
          <w:szCs w:val="24"/>
        </w:rPr>
        <w:t>)</w:t>
      </w:r>
      <w:r>
        <w:rPr>
          <w:color w:val="000000"/>
          <w:sz w:val="24"/>
          <w:szCs w:val="24"/>
        </w:rPr>
        <w:t>扣除相关费用后的余额，本期利润为本期已实现收益加上本期公允价值变动收益。</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上述基金业绩指标不包括持有人认购或交易基金的各项费用（例如，开放式基金的申购赎回费、红利再投资费、基金转换费等），计入费用后实际收益水平要低于所列数字。</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356A8C">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42138" w:rsidTr="00092C86">
        <w:trPr>
          <w:jc w:val="center"/>
        </w:trPr>
        <w:tc>
          <w:tcPr>
            <w:tcW w:w="1701" w:type="dxa"/>
            <w:vAlign w:val="center"/>
          </w:tcPr>
          <w:p w:rsidR="00842138" w:rsidRDefault="00842138" w:rsidP="00842138">
            <w:pPr>
              <w:jc w:val="left"/>
            </w:pPr>
            <w:r>
              <w:rPr>
                <w:color w:val="000000"/>
                <w:sz w:val="24"/>
                <w:szCs w:val="24"/>
              </w:rPr>
              <w:t>过去三个月</w:t>
            </w:r>
          </w:p>
        </w:tc>
        <w:tc>
          <w:tcPr>
            <w:tcW w:w="1045" w:type="dxa"/>
            <w:vAlign w:val="center"/>
          </w:tcPr>
          <w:p w:rsidR="00842138" w:rsidRPr="00356A8C" w:rsidRDefault="00842138" w:rsidP="00842138">
            <w:pPr>
              <w:jc w:val="center"/>
              <w:rPr>
                <w:color w:val="000000"/>
                <w:sz w:val="24"/>
                <w:szCs w:val="24"/>
              </w:rPr>
            </w:pPr>
            <w:r>
              <w:rPr>
                <w:color w:val="000000"/>
                <w:sz w:val="24"/>
                <w:szCs w:val="24"/>
              </w:rPr>
              <w:t>-4.19%</w:t>
            </w:r>
          </w:p>
        </w:tc>
        <w:tc>
          <w:tcPr>
            <w:tcW w:w="1344" w:type="dxa"/>
            <w:vAlign w:val="center"/>
          </w:tcPr>
          <w:p w:rsidR="00842138" w:rsidRPr="00356A8C" w:rsidRDefault="00842138" w:rsidP="00842138">
            <w:pPr>
              <w:jc w:val="center"/>
              <w:rPr>
                <w:color w:val="000000"/>
                <w:sz w:val="24"/>
                <w:szCs w:val="24"/>
              </w:rPr>
            </w:pPr>
            <w:r>
              <w:rPr>
                <w:color w:val="000000"/>
                <w:sz w:val="24"/>
                <w:szCs w:val="24"/>
              </w:rPr>
              <w:t>0.48%</w:t>
            </w:r>
          </w:p>
        </w:tc>
        <w:tc>
          <w:tcPr>
            <w:tcW w:w="1194" w:type="dxa"/>
            <w:vAlign w:val="center"/>
          </w:tcPr>
          <w:p w:rsidR="00842138" w:rsidRPr="00356A8C" w:rsidRDefault="00842138" w:rsidP="00842138">
            <w:pPr>
              <w:jc w:val="center"/>
              <w:rPr>
                <w:color w:val="000000"/>
                <w:sz w:val="24"/>
                <w:szCs w:val="24"/>
              </w:rPr>
            </w:pPr>
            <w:r>
              <w:rPr>
                <w:color w:val="000000"/>
                <w:sz w:val="24"/>
                <w:szCs w:val="24"/>
              </w:rPr>
              <w:t>-1.76%</w:t>
            </w:r>
          </w:p>
        </w:tc>
        <w:tc>
          <w:tcPr>
            <w:tcW w:w="1492" w:type="dxa"/>
            <w:vAlign w:val="center"/>
          </w:tcPr>
          <w:p w:rsidR="00842138" w:rsidRPr="00356A8C" w:rsidRDefault="00842138" w:rsidP="00842138">
            <w:pPr>
              <w:jc w:val="center"/>
              <w:rPr>
                <w:color w:val="000000"/>
                <w:sz w:val="24"/>
                <w:szCs w:val="24"/>
              </w:rPr>
            </w:pPr>
            <w:r>
              <w:rPr>
                <w:color w:val="000000"/>
                <w:sz w:val="24"/>
                <w:szCs w:val="24"/>
              </w:rPr>
              <w:t>0.36%</w:t>
            </w:r>
          </w:p>
        </w:tc>
        <w:tc>
          <w:tcPr>
            <w:tcW w:w="1194" w:type="dxa"/>
            <w:vAlign w:val="center"/>
          </w:tcPr>
          <w:p w:rsidR="00842138" w:rsidRPr="00356A8C" w:rsidRDefault="00842138" w:rsidP="00842138">
            <w:pPr>
              <w:jc w:val="center"/>
              <w:rPr>
                <w:color w:val="000000"/>
                <w:sz w:val="24"/>
                <w:szCs w:val="24"/>
              </w:rPr>
            </w:pPr>
            <w:r>
              <w:rPr>
                <w:color w:val="000000"/>
                <w:sz w:val="24"/>
                <w:szCs w:val="24"/>
              </w:rPr>
              <w:t>-2.43%</w:t>
            </w:r>
          </w:p>
        </w:tc>
        <w:tc>
          <w:tcPr>
            <w:tcW w:w="898" w:type="dxa"/>
            <w:vAlign w:val="center"/>
          </w:tcPr>
          <w:p w:rsidR="00842138" w:rsidRPr="00356A8C" w:rsidRDefault="00842138" w:rsidP="00842138">
            <w:pPr>
              <w:jc w:val="center"/>
              <w:rPr>
                <w:color w:val="000000"/>
                <w:sz w:val="24"/>
                <w:szCs w:val="24"/>
              </w:rPr>
            </w:pPr>
            <w:r>
              <w:rPr>
                <w:color w:val="000000"/>
                <w:sz w:val="24"/>
                <w:szCs w:val="24"/>
              </w:rPr>
              <w:t>0.12%</w:t>
            </w:r>
          </w:p>
        </w:tc>
      </w:tr>
      <w:tr w:rsidR="00842138" w:rsidTr="00092C86">
        <w:trPr>
          <w:jc w:val="center"/>
        </w:trPr>
        <w:tc>
          <w:tcPr>
            <w:tcW w:w="1701" w:type="dxa"/>
            <w:vAlign w:val="center"/>
          </w:tcPr>
          <w:p w:rsidR="00842138" w:rsidRDefault="00842138" w:rsidP="00842138">
            <w:pPr>
              <w:jc w:val="left"/>
            </w:pPr>
            <w:r>
              <w:rPr>
                <w:color w:val="000000"/>
                <w:sz w:val="24"/>
                <w:szCs w:val="24"/>
              </w:rPr>
              <w:t>过去六个月</w:t>
            </w:r>
          </w:p>
        </w:tc>
        <w:tc>
          <w:tcPr>
            <w:tcW w:w="1045" w:type="dxa"/>
            <w:vAlign w:val="center"/>
          </w:tcPr>
          <w:p w:rsidR="00842138" w:rsidRPr="00356A8C" w:rsidRDefault="00842138" w:rsidP="00842138">
            <w:pPr>
              <w:jc w:val="center"/>
              <w:rPr>
                <w:color w:val="000000"/>
                <w:sz w:val="24"/>
                <w:szCs w:val="24"/>
              </w:rPr>
            </w:pPr>
            <w:r>
              <w:rPr>
                <w:color w:val="000000"/>
                <w:sz w:val="24"/>
                <w:szCs w:val="24"/>
              </w:rPr>
              <w:t>-</w:t>
            </w:r>
          </w:p>
        </w:tc>
        <w:tc>
          <w:tcPr>
            <w:tcW w:w="1344" w:type="dxa"/>
            <w:vAlign w:val="center"/>
          </w:tcPr>
          <w:p w:rsidR="00842138" w:rsidRPr="00356A8C" w:rsidRDefault="00842138" w:rsidP="00842138">
            <w:pPr>
              <w:jc w:val="center"/>
              <w:rPr>
                <w:color w:val="000000"/>
                <w:sz w:val="24"/>
                <w:szCs w:val="24"/>
              </w:rPr>
            </w:pPr>
            <w:r>
              <w:rPr>
                <w:color w:val="000000"/>
                <w:sz w:val="24"/>
                <w:szCs w:val="24"/>
              </w:rPr>
              <w:t>-</w:t>
            </w:r>
          </w:p>
        </w:tc>
        <w:tc>
          <w:tcPr>
            <w:tcW w:w="1194" w:type="dxa"/>
            <w:vAlign w:val="center"/>
          </w:tcPr>
          <w:p w:rsidR="00842138" w:rsidRPr="00356A8C" w:rsidRDefault="00842138" w:rsidP="00842138">
            <w:pPr>
              <w:jc w:val="center"/>
              <w:rPr>
                <w:color w:val="000000"/>
                <w:sz w:val="24"/>
                <w:szCs w:val="24"/>
              </w:rPr>
            </w:pPr>
            <w:r>
              <w:rPr>
                <w:color w:val="000000"/>
                <w:sz w:val="24"/>
                <w:szCs w:val="24"/>
              </w:rPr>
              <w:t>-</w:t>
            </w:r>
          </w:p>
        </w:tc>
        <w:tc>
          <w:tcPr>
            <w:tcW w:w="1492" w:type="dxa"/>
            <w:vAlign w:val="center"/>
          </w:tcPr>
          <w:p w:rsidR="00842138" w:rsidRPr="00356A8C" w:rsidRDefault="00842138" w:rsidP="00842138">
            <w:pPr>
              <w:jc w:val="center"/>
              <w:rPr>
                <w:color w:val="000000"/>
                <w:sz w:val="24"/>
                <w:szCs w:val="24"/>
              </w:rPr>
            </w:pPr>
            <w:r>
              <w:rPr>
                <w:color w:val="000000"/>
                <w:sz w:val="24"/>
                <w:szCs w:val="24"/>
              </w:rPr>
              <w:t>-</w:t>
            </w:r>
          </w:p>
        </w:tc>
        <w:tc>
          <w:tcPr>
            <w:tcW w:w="1194" w:type="dxa"/>
            <w:vAlign w:val="center"/>
          </w:tcPr>
          <w:p w:rsidR="00842138" w:rsidRPr="00356A8C" w:rsidRDefault="00842138" w:rsidP="00842138">
            <w:pPr>
              <w:jc w:val="center"/>
              <w:rPr>
                <w:color w:val="000000"/>
                <w:sz w:val="24"/>
                <w:szCs w:val="24"/>
              </w:rPr>
            </w:pPr>
            <w:r>
              <w:rPr>
                <w:color w:val="000000"/>
                <w:sz w:val="24"/>
                <w:szCs w:val="24"/>
              </w:rPr>
              <w:t>-</w:t>
            </w:r>
          </w:p>
        </w:tc>
        <w:tc>
          <w:tcPr>
            <w:tcW w:w="898" w:type="dxa"/>
            <w:vAlign w:val="center"/>
          </w:tcPr>
          <w:p w:rsidR="00842138" w:rsidRPr="00356A8C" w:rsidRDefault="00842138" w:rsidP="00842138">
            <w:pPr>
              <w:jc w:val="center"/>
              <w:rPr>
                <w:color w:val="000000"/>
                <w:sz w:val="24"/>
                <w:szCs w:val="24"/>
              </w:rPr>
            </w:pPr>
            <w:r>
              <w:rPr>
                <w:color w:val="000000"/>
                <w:sz w:val="24"/>
                <w:szCs w:val="24"/>
              </w:rPr>
              <w:t>-</w:t>
            </w:r>
          </w:p>
        </w:tc>
      </w:tr>
      <w:tr w:rsidR="00842138" w:rsidTr="00092C86">
        <w:trPr>
          <w:jc w:val="center"/>
        </w:trPr>
        <w:tc>
          <w:tcPr>
            <w:tcW w:w="1701" w:type="dxa"/>
            <w:vAlign w:val="center"/>
          </w:tcPr>
          <w:p w:rsidR="00842138" w:rsidRDefault="00842138" w:rsidP="00842138">
            <w:pPr>
              <w:jc w:val="left"/>
            </w:pPr>
            <w:r>
              <w:rPr>
                <w:color w:val="000000"/>
                <w:sz w:val="24"/>
                <w:szCs w:val="24"/>
              </w:rPr>
              <w:t>过去一年</w:t>
            </w:r>
          </w:p>
        </w:tc>
        <w:tc>
          <w:tcPr>
            <w:tcW w:w="1045" w:type="dxa"/>
            <w:vAlign w:val="center"/>
          </w:tcPr>
          <w:p w:rsidR="00842138" w:rsidRPr="00356A8C" w:rsidRDefault="00842138" w:rsidP="00842138">
            <w:pPr>
              <w:jc w:val="center"/>
              <w:rPr>
                <w:color w:val="000000"/>
                <w:sz w:val="24"/>
                <w:szCs w:val="24"/>
              </w:rPr>
            </w:pPr>
            <w:r>
              <w:rPr>
                <w:color w:val="000000"/>
                <w:sz w:val="24"/>
                <w:szCs w:val="24"/>
              </w:rPr>
              <w:t>-</w:t>
            </w:r>
          </w:p>
        </w:tc>
        <w:tc>
          <w:tcPr>
            <w:tcW w:w="1344" w:type="dxa"/>
            <w:vAlign w:val="center"/>
          </w:tcPr>
          <w:p w:rsidR="00842138" w:rsidRPr="00356A8C" w:rsidRDefault="00842138" w:rsidP="00842138">
            <w:pPr>
              <w:jc w:val="center"/>
              <w:rPr>
                <w:color w:val="000000"/>
                <w:sz w:val="24"/>
                <w:szCs w:val="24"/>
              </w:rPr>
            </w:pPr>
            <w:r>
              <w:rPr>
                <w:color w:val="000000"/>
                <w:sz w:val="24"/>
                <w:szCs w:val="24"/>
              </w:rPr>
              <w:t>-</w:t>
            </w:r>
          </w:p>
        </w:tc>
        <w:tc>
          <w:tcPr>
            <w:tcW w:w="1194" w:type="dxa"/>
            <w:vAlign w:val="center"/>
          </w:tcPr>
          <w:p w:rsidR="00842138" w:rsidRPr="00356A8C" w:rsidRDefault="00842138" w:rsidP="00842138">
            <w:pPr>
              <w:jc w:val="center"/>
              <w:rPr>
                <w:color w:val="000000"/>
                <w:sz w:val="24"/>
                <w:szCs w:val="24"/>
              </w:rPr>
            </w:pPr>
            <w:r>
              <w:rPr>
                <w:color w:val="000000"/>
                <w:sz w:val="24"/>
                <w:szCs w:val="24"/>
              </w:rPr>
              <w:t>-</w:t>
            </w:r>
          </w:p>
        </w:tc>
        <w:tc>
          <w:tcPr>
            <w:tcW w:w="1492" w:type="dxa"/>
            <w:vAlign w:val="center"/>
          </w:tcPr>
          <w:p w:rsidR="00842138" w:rsidRPr="00356A8C" w:rsidRDefault="00842138" w:rsidP="00842138">
            <w:pPr>
              <w:jc w:val="center"/>
              <w:rPr>
                <w:color w:val="000000"/>
                <w:sz w:val="24"/>
                <w:szCs w:val="24"/>
              </w:rPr>
            </w:pPr>
            <w:r>
              <w:rPr>
                <w:color w:val="000000"/>
                <w:sz w:val="24"/>
                <w:szCs w:val="24"/>
              </w:rPr>
              <w:t>-</w:t>
            </w:r>
          </w:p>
        </w:tc>
        <w:tc>
          <w:tcPr>
            <w:tcW w:w="1194" w:type="dxa"/>
            <w:vAlign w:val="center"/>
          </w:tcPr>
          <w:p w:rsidR="00842138" w:rsidRPr="00356A8C" w:rsidRDefault="00842138" w:rsidP="00842138">
            <w:pPr>
              <w:jc w:val="center"/>
              <w:rPr>
                <w:color w:val="000000"/>
                <w:sz w:val="24"/>
                <w:szCs w:val="24"/>
              </w:rPr>
            </w:pPr>
            <w:r>
              <w:rPr>
                <w:color w:val="000000"/>
                <w:sz w:val="24"/>
                <w:szCs w:val="24"/>
              </w:rPr>
              <w:t>-</w:t>
            </w:r>
          </w:p>
        </w:tc>
        <w:tc>
          <w:tcPr>
            <w:tcW w:w="898" w:type="dxa"/>
            <w:vAlign w:val="center"/>
          </w:tcPr>
          <w:p w:rsidR="00842138" w:rsidRPr="00356A8C" w:rsidRDefault="00842138" w:rsidP="00842138">
            <w:pPr>
              <w:jc w:val="center"/>
              <w:rPr>
                <w:color w:val="000000"/>
                <w:sz w:val="24"/>
                <w:szCs w:val="24"/>
              </w:rPr>
            </w:pPr>
            <w:r>
              <w:rPr>
                <w:color w:val="000000"/>
                <w:sz w:val="24"/>
                <w:szCs w:val="24"/>
              </w:rPr>
              <w:t>-</w:t>
            </w:r>
          </w:p>
        </w:tc>
      </w:tr>
      <w:tr w:rsidR="00842138" w:rsidTr="00092C86">
        <w:trPr>
          <w:jc w:val="center"/>
        </w:trPr>
        <w:tc>
          <w:tcPr>
            <w:tcW w:w="1701" w:type="dxa"/>
            <w:vAlign w:val="center"/>
          </w:tcPr>
          <w:p w:rsidR="00842138" w:rsidRDefault="00842138" w:rsidP="00842138">
            <w:pPr>
              <w:jc w:val="left"/>
            </w:pPr>
            <w:r>
              <w:rPr>
                <w:color w:val="000000"/>
                <w:sz w:val="24"/>
                <w:szCs w:val="24"/>
              </w:rPr>
              <w:t>过去三年</w:t>
            </w:r>
          </w:p>
        </w:tc>
        <w:tc>
          <w:tcPr>
            <w:tcW w:w="1045" w:type="dxa"/>
            <w:vAlign w:val="center"/>
          </w:tcPr>
          <w:p w:rsidR="00842138" w:rsidRPr="00356A8C" w:rsidRDefault="00842138" w:rsidP="00842138">
            <w:pPr>
              <w:jc w:val="center"/>
              <w:rPr>
                <w:color w:val="000000"/>
                <w:sz w:val="24"/>
                <w:szCs w:val="24"/>
              </w:rPr>
            </w:pPr>
            <w:r>
              <w:rPr>
                <w:color w:val="000000"/>
                <w:sz w:val="24"/>
                <w:szCs w:val="24"/>
              </w:rPr>
              <w:t>-</w:t>
            </w:r>
          </w:p>
        </w:tc>
        <w:tc>
          <w:tcPr>
            <w:tcW w:w="1344" w:type="dxa"/>
            <w:vAlign w:val="center"/>
          </w:tcPr>
          <w:p w:rsidR="00842138" w:rsidRPr="00356A8C" w:rsidRDefault="00842138" w:rsidP="00842138">
            <w:pPr>
              <w:jc w:val="center"/>
              <w:rPr>
                <w:color w:val="000000"/>
                <w:sz w:val="24"/>
                <w:szCs w:val="24"/>
              </w:rPr>
            </w:pPr>
            <w:r>
              <w:rPr>
                <w:color w:val="000000"/>
                <w:sz w:val="24"/>
                <w:szCs w:val="24"/>
              </w:rPr>
              <w:t>-</w:t>
            </w:r>
          </w:p>
        </w:tc>
        <w:tc>
          <w:tcPr>
            <w:tcW w:w="1194" w:type="dxa"/>
            <w:vAlign w:val="center"/>
          </w:tcPr>
          <w:p w:rsidR="00842138" w:rsidRPr="00356A8C" w:rsidRDefault="00842138" w:rsidP="00842138">
            <w:pPr>
              <w:jc w:val="center"/>
              <w:rPr>
                <w:color w:val="000000"/>
                <w:sz w:val="24"/>
                <w:szCs w:val="24"/>
              </w:rPr>
            </w:pPr>
            <w:r>
              <w:rPr>
                <w:color w:val="000000"/>
                <w:sz w:val="24"/>
                <w:szCs w:val="24"/>
              </w:rPr>
              <w:t>-</w:t>
            </w:r>
          </w:p>
        </w:tc>
        <w:tc>
          <w:tcPr>
            <w:tcW w:w="1492" w:type="dxa"/>
            <w:vAlign w:val="center"/>
          </w:tcPr>
          <w:p w:rsidR="00842138" w:rsidRPr="00356A8C" w:rsidRDefault="00842138" w:rsidP="00842138">
            <w:pPr>
              <w:jc w:val="center"/>
              <w:rPr>
                <w:color w:val="000000"/>
                <w:sz w:val="24"/>
                <w:szCs w:val="24"/>
              </w:rPr>
            </w:pPr>
            <w:r>
              <w:rPr>
                <w:color w:val="000000"/>
                <w:sz w:val="24"/>
                <w:szCs w:val="24"/>
              </w:rPr>
              <w:t>-</w:t>
            </w:r>
          </w:p>
        </w:tc>
        <w:tc>
          <w:tcPr>
            <w:tcW w:w="1194" w:type="dxa"/>
            <w:vAlign w:val="center"/>
          </w:tcPr>
          <w:p w:rsidR="00842138" w:rsidRPr="00356A8C" w:rsidRDefault="00842138" w:rsidP="00842138">
            <w:pPr>
              <w:jc w:val="center"/>
              <w:rPr>
                <w:color w:val="000000"/>
                <w:sz w:val="24"/>
                <w:szCs w:val="24"/>
              </w:rPr>
            </w:pPr>
            <w:r>
              <w:rPr>
                <w:color w:val="000000"/>
                <w:sz w:val="24"/>
                <w:szCs w:val="24"/>
              </w:rPr>
              <w:t>-</w:t>
            </w:r>
          </w:p>
        </w:tc>
        <w:tc>
          <w:tcPr>
            <w:tcW w:w="898" w:type="dxa"/>
            <w:vAlign w:val="center"/>
          </w:tcPr>
          <w:p w:rsidR="00842138" w:rsidRPr="00356A8C" w:rsidRDefault="00842138" w:rsidP="00842138">
            <w:pPr>
              <w:jc w:val="center"/>
              <w:rPr>
                <w:color w:val="000000"/>
                <w:sz w:val="24"/>
                <w:szCs w:val="24"/>
              </w:rPr>
            </w:pPr>
            <w:r>
              <w:rPr>
                <w:color w:val="000000"/>
                <w:sz w:val="24"/>
                <w:szCs w:val="24"/>
              </w:rPr>
              <w:t>-</w:t>
            </w:r>
          </w:p>
        </w:tc>
      </w:tr>
      <w:tr w:rsidR="00842138" w:rsidTr="00092C86">
        <w:trPr>
          <w:jc w:val="center"/>
        </w:trPr>
        <w:tc>
          <w:tcPr>
            <w:tcW w:w="1701" w:type="dxa"/>
            <w:vAlign w:val="center"/>
          </w:tcPr>
          <w:p w:rsidR="00842138" w:rsidRDefault="00842138" w:rsidP="00842138">
            <w:pPr>
              <w:jc w:val="left"/>
            </w:pPr>
            <w:r>
              <w:rPr>
                <w:color w:val="000000"/>
                <w:sz w:val="24"/>
                <w:szCs w:val="24"/>
              </w:rPr>
              <w:t>过去五年</w:t>
            </w:r>
          </w:p>
        </w:tc>
        <w:tc>
          <w:tcPr>
            <w:tcW w:w="1045" w:type="dxa"/>
            <w:vAlign w:val="center"/>
          </w:tcPr>
          <w:p w:rsidR="00842138" w:rsidRPr="00356A8C" w:rsidRDefault="00842138" w:rsidP="00842138">
            <w:pPr>
              <w:jc w:val="center"/>
              <w:rPr>
                <w:color w:val="000000"/>
                <w:sz w:val="24"/>
                <w:szCs w:val="24"/>
              </w:rPr>
            </w:pPr>
            <w:r>
              <w:rPr>
                <w:color w:val="000000"/>
                <w:sz w:val="24"/>
                <w:szCs w:val="24"/>
              </w:rPr>
              <w:t>-</w:t>
            </w:r>
          </w:p>
        </w:tc>
        <w:tc>
          <w:tcPr>
            <w:tcW w:w="1344" w:type="dxa"/>
            <w:vAlign w:val="center"/>
          </w:tcPr>
          <w:p w:rsidR="00842138" w:rsidRPr="00356A8C" w:rsidRDefault="00842138" w:rsidP="00842138">
            <w:pPr>
              <w:jc w:val="center"/>
              <w:rPr>
                <w:color w:val="000000"/>
                <w:sz w:val="24"/>
                <w:szCs w:val="24"/>
              </w:rPr>
            </w:pPr>
            <w:r>
              <w:rPr>
                <w:color w:val="000000"/>
                <w:sz w:val="24"/>
                <w:szCs w:val="24"/>
              </w:rPr>
              <w:t>-</w:t>
            </w:r>
          </w:p>
        </w:tc>
        <w:tc>
          <w:tcPr>
            <w:tcW w:w="1194" w:type="dxa"/>
            <w:vAlign w:val="center"/>
          </w:tcPr>
          <w:p w:rsidR="00842138" w:rsidRPr="00356A8C" w:rsidRDefault="00842138" w:rsidP="00842138">
            <w:pPr>
              <w:jc w:val="center"/>
              <w:rPr>
                <w:color w:val="000000"/>
                <w:sz w:val="24"/>
                <w:szCs w:val="24"/>
              </w:rPr>
            </w:pPr>
            <w:r>
              <w:rPr>
                <w:color w:val="000000"/>
                <w:sz w:val="24"/>
                <w:szCs w:val="24"/>
              </w:rPr>
              <w:t>-</w:t>
            </w:r>
          </w:p>
        </w:tc>
        <w:tc>
          <w:tcPr>
            <w:tcW w:w="1492" w:type="dxa"/>
            <w:vAlign w:val="center"/>
          </w:tcPr>
          <w:p w:rsidR="00842138" w:rsidRPr="00356A8C" w:rsidRDefault="00842138" w:rsidP="00842138">
            <w:pPr>
              <w:jc w:val="center"/>
              <w:rPr>
                <w:color w:val="000000"/>
                <w:sz w:val="24"/>
                <w:szCs w:val="24"/>
              </w:rPr>
            </w:pPr>
            <w:r>
              <w:rPr>
                <w:color w:val="000000"/>
                <w:sz w:val="24"/>
                <w:szCs w:val="24"/>
              </w:rPr>
              <w:t>-</w:t>
            </w:r>
          </w:p>
        </w:tc>
        <w:tc>
          <w:tcPr>
            <w:tcW w:w="1194" w:type="dxa"/>
            <w:vAlign w:val="center"/>
          </w:tcPr>
          <w:p w:rsidR="00842138" w:rsidRPr="00356A8C" w:rsidRDefault="00842138" w:rsidP="00842138">
            <w:pPr>
              <w:jc w:val="center"/>
              <w:rPr>
                <w:color w:val="000000"/>
                <w:sz w:val="24"/>
                <w:szCs w:val="24"/>
              </w:rPr>
            </w:pPr>
            <w:r>
              <w:rPr>
                <w:color w:val="000000"/>
                <w:sz w:val="24"/>
                <w:szCs w:val="24"/>
              </w:rPr>
              <w:t>-</w:t>
            </w:r>
          </w:p>
        </w:tc>
        <w:tc>
          <w:tcPr>
            <w:tcW w:w="898" w:type="dxa"/>
            <w:vAlign w:val="center"/>
          </w:tcPr>
          <w:p w:rsidR="00842138" w:rsidRPr="00356A8C" w:rsidRDefault="00842138" w:rsidP="00842138">
            <w:pPr>
              <w:jc w:val="center"/>
              <w:rPr>
                <w:color w:val="000000"/>
                <w:sz w:val="24"/>
                <w:szCs w:val="24"/>
              </w:rPr>
            </w:pPr>
            <w:r>
              <w:rPr>
                <w:color w:val="000000"/>
                <w:sz w:val="24"/>
                <w:szCs w:val="24"/>
              </w:rPr>
              <w:t>-</w:t>
            </w:r>
          </w:p>
        </w:tc>
      </w:tr>
      <w:tr w:rsidR="00842138" w:rsidTr="00092C86">
        <w:trPr>
          <w:jc w:val="center"/>
        </w:trPr>
        <w:tc>
          <w:tcPr>
            <w:tcW w:w="1701" w:type="dxa"/>
            <w:vAlign w:val="center"/>
          </w:tcPr>
          <w:p w:rsidR="00842138" w:rsidRDefault="00842138" w:rsidP="00842138">
            <w:pPr>
              <w:jc w:val="left"/>
            </w:pPr>
            <w:r>
              <w:rPr>
                <w:color w:val="000000"/>
                <w:sz w:val="24"/>
                <w:szCs w:val="24"/>
              </w:rPr>
              <w:t>自基金合同生效起至今</w:t>
            </w:r>
          </w:p>
        </w:tc>
        <w:tc>
          <w:tcPr>
            <w:tcW w:w="1045" w:type="dxa"/>
            <w:vAlign w:val="center"/>
          </w:tcPr>
          <w:p w:rsidR="00842138" w:rsidRPr="00356A8C" w:rsidRDefault="00842138" w:rsidP="00842138">
            <w:pPr>
              <w:jc w:val="center"/>
              <w:rPr>
                <w:color w:val="000000"/>
                <w:sz w:val="24"/>
                <w:szCs w:val="24"/>
              </w:rPr>
            </w:pPr>
            <w:r>
              <w:rPr>
                <w:color w:val="000000"/>
                <w:sz w:val="24"/>
                <w:szCs w:val="24"/>
              </w:rPr>
              <w:t>-7.57%</w:t>
            </w:r>
          </w:p>
        </w:tc>
        <w:tc>
          <w:tcPr>
            <w:tcW w:w="1344" w:type="dxa"/>
            <w:vAlign w:val="center"/>
          </w:tcPr>
          <w:p w:rsidR="00842138" w:rsidRPr="00356A8C" w:rsidRDefault="00842138" w:rsidP="00842138">
            <w:pPr>
              <w:jc w:val="center"/>
              <w:rPr>
                <w:color w:val="000000"/>
                <w:sz w:val="24"/>
                <w:szCs w:val="24"/>
              </w:rPr>
            </w:pPr>
            <w:r>
              <w:rPr>
                <w:color w:val="000000"/>
                <w:sz w:val="24"/>
                <w:szCs w:val="24"/>
              </w:rPr>
              <w:t>0.45%</w:t>
            </w:r>
          </w:p>
        </w:tc>
        <w:tc>
          <w:tcPr>
            <w:tcW w:w="1194" w:type="dxa"/>
            <w:vAlign w:val="center"/>
          </w:tcPr>
          <w:p w:rsidR="00842138" w:rsidRPr="00356A8C" w:rsidRDefault="00842138" w:rsidP="00842138">
            <w:pPr>
              <w:jc w:val="center"/>
              <w:rPr>
                <w:color w:val="000000"/>
                <w:sz w:val="24"/>
                <w:szCs w:val="24"/>
              </w:rPr>
            </w:pPr>
            <w:r>
              <w:rPr>
                <w:color w:val="000000"/>
                <w:sz w:val="24"/>
                <w:szCs w:val="24"/>
              </w:rPr>
              <w:t>-3.79%</w:t>
            </w:r>
          </w:p>
        </w:tc>
        <w:tc>
          <w:tcPr>
            <w:tcW w:w="1492" w:type="dxa"/>
            <w:vAlign w:val="center"/>
          </w:tcPr>
          <w:p w:rsidR="00842138" w:rsidRPr="00356A8C" w:rsidRDefault="00842138" w:rsidP="00842138">
            <w:pPr>
              <w:jc w:val="center"/>
              <w:rPr>
                <w:color w:val="000000"/>
                <w:sz w:val="24"/>
                <w:szCs w:val="24"/>
              </w:rPr>
            </w:pPr>
            <w:r>
              <w:rPr>
                <w:color w:val="000000"/>
                <w:sz w:val="24"/>
                <w:szCs w:val="24"/>
              </w:rPr>
              <w:t>0.34%</w:t>
            </w:r>
          </w:p>
        </w:tc>
        <w:tc>
          <w:tcPr>
            <w:tcW w:w="1194" w:type="dxa"/>
            <w:vAlign w:val="center"/>
          </w:tcPr>
          <w:p w:rsidR="00842138" w:rsidRPr="00356A8C" w:rsidRDefault="00842138" w:rsidP="00842138">
            <w:pPr>
              <w:jc w:val="center"/>
              <w:rPr>
                <w:color w:val="000000"/>
                <w:sz w:val="24"/>
                <w:szCs w:val="24"/>
              </w:rPr>
            </w:pPr>
            <w:r>
              <w:rPr>
                <w:color w:val="000000"/>
                <w:sz w:val="24"/>
                <w:szCs w:val="24"/>
              </w:rPr>
              <w:t>-3.78%</w:t>
            </w:r>
          </w:p>
        </w:tc>
        <w:tc>
          <w:tcPr>
            <w:tcW w:w="898" w:type="dxa"/>
            <w:vAlign w:val="center"/>
          </w:tcPr>
          <w:p w:rsidR="00842138" w:rsidRPr="00356A8C" w:rsidRDefault="00842138" w:rsidP="00842138">
            <w:pPr>
              <w:jc w:val="center"/>
              <w:rPr>
                <w:color w:val="000000"/>
                <w:sz w:val="24"/>
                <w:szCs w:val="24"/>
              </w:rPr>
            </w:pPr>
            <w:r>
              <w:rPr>
                <w:color w:val="000000"/>
                <w:sz w:val="24"/>
                <w:szCs w:val="24"/>
              </w:rPr>
              <w:t>0.11%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摩根锦颐养老目标日期</w:t>
      </w:r>
      <w:r w:rsidRPr="00414345">
        <w:rPr>
          <w:color w:val="000000"/>
          <w:sz w:val="24"/>
          <w:szCs w:val="24"/>
        </w:rPr>
        <w:t>2035</w:t>
      </w:r>
      <w:r w:rsidRPr="00414345">
        <w:rPr>
          <w:color w:val="000000"/>
          <w:sz w:val="24"/>
          <w:szCs w:val="24"/>
        </w:rPr>
        <w:t>三年持有期混合型发起式基金中基金</w:t>
      </w:r>
      <w:r w:rsidRPr="00414345">
        <w:rPr>
          <w:color w:val="000000"/>
          <w:sz w:val="24"/>
          <w:szCs w:val="24"/>
        </w:rPr>
        <w:t>(FOF)</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2023</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CD60EE"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074DA8DF" wp14:editId="49541960">
            <wp:extent cx="5731510" cy="3356610"/>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F12CB1" w:rsidRDefault="00667588">
      <w:pPr>
        <w:autoSpaceDE w:val="0"/>
        <w:autoSpaceDN w:val="0"/>
        <w:adjustRightInd w:val="0"/>
        <w:spacing w:before="29" w:line="288" w:lineRule="auto"/>
        <w:jc w:val="left"/>
        <w:rPr>
          <w:color w:val="000000"/>
          <w:sz w:val="24"/>
          <w:szCs w:val="24"/>
        </w:rPr>
      </w:pPr>
      <w:r>
        <w:rPr>
          <w:color w:val="000000"/>
          <w:sz w:val="24"/>
          <w:szCs w:val="24"/>
        </w:rPr>
        <w:t>注：本基金合同生效日为</w:t>
      </w:r>
      <w:r>
        <w:rPr>
          <w:color w:val="000000"/>
          <w:sz w:val="24"/>
          <w:szCs w:val="24"/>
        </w:rPr>
        <w:t>2023</w:t>
      </w:r>
      <w:r>
        <w:rPr>
          <w:color w:val="000000"/>
          <w:sz w:val="24"/>
          <w:szCs w:val="24"/>
        </w:rPr>
        <w:t>年</w:t>
      </w:r>
      <w:r>
        <w:rPr>
          <w:color w:val="000000"/>
          <w:sz w:val="24"/>
          <w:szCs w:val="24"/>
        </w:rPr>
        <w:t>4</w:t>
      </w:r>
      <w:r>
        <w:rPr>
          <w:color w:val="000000"/>
          <w:sz w:val="24"/>
          <w:szCs w:val="24"/>
        </w:rPr>
        <w:t>月</w:t>
      </w:r>
      <w:r>
        <w:rPr>
          <w:color w:val="000000"/>
          <w:sz w:val="24"/>
          <w:szCs w:val="24"/>
        </w:rPr>
        <w:t>4</w:t>
      </w:r>
      <w:r>
        <w:rPr>
          <w:color w:val="000000"/>
          <w:sz w:val="24"/>
          <w:szCs w:val="24"/>
        </w:rPr>
        <w:t>日，截至本报告期末本基金合同生效未满一年。</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本基金建仓期为本基金合同生效日起</w:t>
      </w:r>
      <w:r w:rsidRPr="00414345">
        <w:rPr>
          <w:color w:val="000000"/>
          <w:sz w:val="24"/>
          <w:szCs w:val="24"/>
        </w:rPr>
        <w:t xml:space="preserve"> 6 </w:t>
      </w:r>
      <w:r w:rsidRPr="00414345">
        <w:rPr>
          <w:color w:val="000000"/>
          <w:sz w:val="24"/>
          <w:szCs w:val="24"/>
        </w:rPr>
        <w:t>个月，截至本报告期末本基金仍处于建仓期。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627E2D" w:rsidRPr="00414345" w:rsidRDefault="00627E2D" w:rsidP="00C15CAC">
      <w:pPr>
        <w:autoSpaceDE w:val="0"/>
        <w:autoSpaceDN w:val="0"/>
        <w:adjustRightInd w:val="0"/>
        <w:spacing w:before="29" w:line="288" w:lineRule="auto"/>
        <w:jc w:val="left"/>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12CB1">
        <w:trPr>
          <w:jc w:val="center"/>
        </w:trPr>
        <w:tc>
          <w:tcPr>
            <w:tcW w:w="846" w:type="dxa"/>
            <w:vAlign w:val="center"/>
          </w:tcPr>
          <w:p w:rsidR="00F12CB1" w:rsidRDefault="00667588">
            <w:pPr>
              <w:jc w:val="center"/>
            </w:pPr>
            <w:r>
              <w:rPr>
                <w:color w:val="000000"/>
                <w:sz w:val="24"/>
                <w:szCs w:val="24"/>
              </w:rPr>
              <w:t>杜习杰</w:t>
            </w:r>
          </w:p>
        </w:tc>
        <w:tc>
          <w:tcPr>
            <w:tcW w:w="845" w:type="dxa"/>
            <w:vAlign w:val="center"/>
          </w:tcPr>
          <w:p w:rsidR="00F12CB1" w:rsidRDefault="00667588">
            <w:pPr>
              <w:jc w:val="center"/>
            </w:pPr>
            <w:r>
              <w:rPr>
                <w:color w:val="000000"/>
                <w:sz w:val="24"/>
                <w:szCs w:val="24"/>
              </w:rPr>
              <w:t>本基金基金经理</w:t>
            </w:r>
          </w:p>
        </w:tc>
        <w:tc>
          <w:tcPr>
            <w:tcW w:w="1549" w:type="dxa"/>
            <w:vAlign w:val="center"/>
          </w:tcPr>
          <w:p w:rsidR="00F12CB1" w:rsidRDefault="00667588">
            <w:pPr>
              <w:jc w:val="center"/>
            </w:pPr>
            <w:r>
              <w:rPr>
                <w:color w:val="000000"/>
                <w:sz w:val="24"/>
                <w:szCs w:val="24"/>
              </w:rPr>
              <w:t>2023-04-04</w:t>
            </w:r>
          </w:p>
        </w:tc>
        <w:tc>
          <w:tcPr>
            <w:tcW w:w="1548" w:type="dxa"/>
            <w:vAlign w:val="center"/>
          </w:tcPr>
          <w:p w:rsidR="00F12CB1" w:rsidRDefault="00667588">
            <w:pPr>
              <w:jc w:val="center"/>
            </w:pPr>
            <w:r>
              <w:rPr>
                <w:color w:val="000000"/>
                <w:sz w:val="24"/>
                <w:szCs w:val="24"/>
              </w:rPr>
              <w:t>-</w:t>
            </w:r>
          </w:p>
        </w:tc>
        <w:tc>
          <w:tcPr>
            <w:tcW w:w="1407" w:type="dxa"/>
            <w:vAlign w:val="center"/>
          </w:tcPr>
          <w:p w:rsidR="00F12CB1" w:rsidRDefault="00667588">
            <w:pPr>
              <w:jc w:val="center"/>
            </w:pPr>
            <w:r>
              <w:rPr>
                <w:color w:val="000000"/>
                <w:sz w:val="24"/>
                <w:szCs w:val="24"/>
              </w:rPr>
              <w:t>15</w:t>
            </w:r>
            <w:r>
              <w:rPr>
                <w:color w:val="000000"/>
                <w:sz w:val="24"/>
                <w:szCs w:val="24"/>
              </w:rPr>
              <w:t>年</w:t>
            </w:r>
          </w:p>
        </w:tc>
        <w:tc>
          <w:tcPr>
            <w:tcW w:w="2673" w:type="dxa"/>
            <w:vAlign w:val="center"/>
          </w:tcPr>
          <w:p w:rsidR="00F12CB1" w:rsidRDefault="00667588">
            <w:r>
              <w:rPr>
                <w:color w:val="000000"/>
                <w:sz w:val="24"/>
                <w:szCs w:val="24"/>
              </w:rPr>
              <w:t>杜习杰先生曾任长信基金任研究员。</w:t>
            </w:r>
            <w:r>
              <w:rPr>
                <w:color w:val="000000"/>
                <w:sz w:val="24"/>
                <w:szCs w:val="24"/>
              </w:rPr>
              <w:t>2011</w:t>
            </w:r>
            <w:r>
              <w:rPr>
                <w:color w:val="000000"/>
                <w:sz w:val="24"/>
                <w:szCs w:val="24"/>
              </w:rPr>
              <w:t>年</w:t>
            </w:r>
            <w:r>
              <w:rPr>
                <w:color w:val="000000"/>
                <w:sz w:val="24"/>
                <w:szCs w:val="24"/>
              </w:rPr>
              <w:t>6</w:t>
            </w:r>
            <w:r>
              <w:rPr>
                <w:color w:val="000000"/>
                <w:sz w:val="24"/>
                <w:szCs w:val="24"/>
              </w:rPr>
              <w:t>月起加入摩根基金管理（中国）有限公司（原上投摩根基金管理有限公司），历任研究员、投资经理兼研究员，现任组合基金投资部基金经理。</w:t>
            </w:r>
          </w:p>
        </w:tc>
      </w:tr>
      <w:tr w:rsidR="00F12CB1">
        <w:trPr>
          <w:jc w:val="center"/>
        </w:trPr>
        <w:tc>
          <w:tcPr>
            <w:tcW w:w="846" w:type="dxa"/>
            <w:vAlign w:val="center"/>
          </w:tcPr>
          <w:p w:rsidR="00F12CB1" w:rsidRDefault="00667588">
            <w:pPr>
              <w:jc w:val="center"/>
            </w:pPr>
            <w:r>
              <w:rPr>
                <w:color w:val="000000"/>
                <w:sz w:val="24"/>
                <w:szCs w:val="24"/>
              </w:rPr>
              <w:t>吴春杰</w:t>
            </w:r>
          </w:p>
        </w:tc>
        <w:tc>
          <w:tcPr>
            <w:tcW w:w="845" w:type="dxa"/>
            <w:vAlign w:val="center"/>
          </w:tcPr>
          <w:p w:rsidR="00F12CB1" w:rsidRDefault="00667588">
            <w:pPr>
              <w:jc w:val="center"/>
            </w:pPr>
            <w:r>
              <w:rPr>
                <w:color w:val="000000"/>
                <w:sz w:val="24"/>
                <w:szCs w:val="24"/>
              </w:rPr>
              <w:t>本基金基金经理</w:t>
            </w:r>
          </w:p>
        </w:tc>
        <w:tc>
          <w:tcPr>
            <w:tcW w:w="1549" w:type="dxa"/>
            <w:vAlign w:val="center"/>
          </w:tcPr>
          <w:p w:rsidR="00F12CB1" w:rsidRDefault="00667588">
            <w:pPr>
              <w:jc w:val="center"/>
            </w:pPr>
            <w:r>
              <w:rPr>
                <w:color w:val="000000"/>
                <w:sz w:val="24"/>
                <w:szCs w:val="24"/>
              </w:rPr>
              <w:t>2023-04-06</w:t>
            </w:r>
          </w:p>
        </w:tc>
        <w:tc>
          <w:tcPr>
            <w:tcW w:w="1548" w:type="dxa"/>
            <w:vAlign w:val="center"/>
          </w:tcPr>
          <w:p w:rsidR="00F12CB1" w:rsidRDefault="00667588">
            <w:pPr>
              <w:jc w:val="center"/>
            </w:pPr>
            <w:r>
              <w:rPr>
                <w:color w:val="000000"/>
                <w:sz w:val="24"/>
                <w:szCs w:val="24"/>
              </w:rPr>
              <w:t>-</w:t>
            </w:r>
          </w:p>
        </w:tc>
        <w:tc>
          <w:tcPr>
            <w:tcW w:w="1407" w:type="dxa"/>
            <w:vAlign w:val="center"/>
          </w:tcPr>
          <w:p w:rsidR="00F12CB1" w:rsidRDefault="00667588">
            <w:pPr>
              <w:jc w:val="center"/>
            </w:pPr>
            <w:r>
              <w:rPr>
                <w:color w:val="000000"/>
                <w:sz w:val="24"/>
                <w:szCs w:val="24"/>
              </w:rPr>
              <w:t>12</w:t>
            </w:r>
            <w:r>
              <w:rPr>
                <w:color w:val="000000"/>
                <w:sz w:val="24"/>
                <w:szCs w:val="24"/>
              </w:rPr>
              <w:t>年</w:t>
            </w:r>
          </w:p>
        </w:tc>
        <w:tc>
          <w:tcPr>
            <w:tcW w:w="2673" w:type="dxa"/>
            <w:vAlign w:val="center"/>
          </w:tcPr>
          <w:p w:rsidR="00F12CB1" w:rsidRDefault="00667588">
            <w:r>
              <w:rPr>
                <w:color w:val="000000"/>
                <w:sz w:val="24"/>
                <w:szCs w:val="24"/>
              </w:rPr>
              <w:t>吴春杰女士曾任长江证券股份有限公司宏观策略分析师，中国太平洋人寿保险有限公司资产配置中心配置策略经理，上海景熙资产管理有限公司投资经理</w:t>
            </w:r>
            <w:r>
              <w:rPr>
                <w:color w:val="000000"/>
                <w:sz w:val="24"/>
                <w:szCs w:val="24"/>
              </w:rPr>
              <w:t>/</w:t>
            </w:r>
            <w:r>
              <w:rPr>
                <w:color w:val="000000"/>
                <w:sz w:val="24"/>
                <w:szCs w:val="24"/>
              </w:rPr>
              <w:t>宏观策略研究。</w:t>
            </w:r>
            <w:r>
              <w:rPr>
                <w:color w:val="000000"/>
                <w:sz w:val="24"/>
                <w:szCs w:val="24"/>
              </w:rPr>
              <w:t>2018</w:t>
            </w:r>
            <w:r>
              <w:rPr>
                <w:color w:val="000000"/>
                <w:sz w:val="24"/>
                <w:szCs w:val="24"/>
              </w:rPr>
              <w:t>年</w:t>
            </w:r>
            <w:r>
              <w:rPr>
                <w:color w:val="000000"/>
                <w:sz w:val="24"/>
                <w:szCs w:val="24"/>
              </w:rPr>
              <w:t>7</w:t>
            </w:r>
            <w:r>
              <w:rPr>
                <w:color w:val="000000"/>
                <w:sz w:val="24"/>
                <w:szCs w:val="24"/>
              </w:rPr>
              <w:t>月加入摩根基金管理（中国）有限公司（原上投摩根基金管理有限公司），历任宏观研究员，现任高级基金经理。</w:t>
            </w:r>
          </w:p>
        </w:tc>
      </w:tr>
    </w:tbl>
    <w:p w:rsidR="00F12CB1" w:rsidRDefault="0066758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任职日期和离任日期均指根据公司决定确定的聘任日期和解聘日期。</w:t>
      </w:r>
    </w:p>
    <w:p w:rsidR="00F12CB1" w:rsidRDefault="00667588">
      <w:pPr>
        <w:autoSpaceDE w:val="0"/>
        <w:autoSpaceDN w:val="0"/>
        <w:adjustRightInd w:val="0"/>
        <w:spacing w:before="29" w:line="288" w:lineRule="auto"/>
        <w:jc w:val="left"/>
        <w:rPr>
          <w:color w:val="000000"/>
          <w:sz w:val="24"/>
          <w:szCs w:val="24"/>
        </w:rPr>
      </w:pPr>
      <w:r>
        <w:rPr>
          <w:color w:val="000000"/>
          <w:sz w:val="24"/>
          <w:szCs w:val="24"/>
        </w:rPr>
        <w:t>2.</w:t>
      </w:r>
      <w:r>
        <w:rPr>
          <w:color w:val="000000"/>
          <w:sz w:val="24"/>
          <w:szCs w:val="24"/>
        </w:rPr>
        <w:t>杜习杰先生为本基金首任基金经理，其任职日期指本基金基金合同生效之日。</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3.</w:t>
      </w:r>
      <w:r w:rsidRPr="00414345">
        <w:rPr>
          <w:color w:val="000000"/>
          <w:sz w:val="24"/>
          <w:szCs w:val="24"/>
        </w:rPr>
        <w:t>证券从业的含义遵从行业协会《证券业从业人员资格管理办法》的相关规定。</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12CB1" w:rsidRDefault="00667588">
      <w:pPr>
        <w:spacing w:before="29" w:line="288" w:lineRule="auto"/>
        <w:ind w:firstLineChars="200" w:firstLine="480"/>
        <w:rPr>
          <w:color w:val="000000"/>
          <w:sz w:val="24"/>
          <w:szCs w:val="24"/>
        </w:rPr>
      </w:pPr>
      <w:r>
        <w:rPr>
          <w:color w:val="000000"/>
          <w:sz w:val="24"/>
          <w:szCs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12CB1" w:rsidRDefault="00667588">
      <w:pPr>
        <w:spacing w:before="29" w:line="288" w:lineRule="auto"/>
        <w:ind w:firstLineChars="200" w:firstLine="480"/>
        <w:rPr>
          <w:color w:val="000000"/>
          <w:sz w:val="24"/>
          <w:szCs w:val="24"/>
        </w:rPr>
      </w:pPr>
      <w:r>
        <w:rPr>
          <w:color w:val="000000"/>
          <w:sz w:val="24"/>
          <w:szCs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报告期内，通过对不同投资组合之间的收益率差异比较、对同向交易和反向交易的交易时机和交易价差监控分析，未发现整体公平交易执行出现异常的情况。</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F12CB1" w:rsidRDefault="00667588">
      <w:pPr>
        <w:spacing w:before="29" w:line="288" w:lineRule="auto"/>
        <w:ind w:firstLineChars="200" w:firstLine="480"/>
        <w:rPr>
          <w:color w:val="000000"/>
          <w:sz w:val="24"/>
          <w:szCs w:val="24"/>
        </w:rPr>
      </w:pPr>
      <w:r>
        <w:rPr>
          <w:color w:val="000000"/>
          <w:sz w:val="24"/>
          <w:szCs w:val="24"/>
        </w:rPr>
        <w:t>报告期内，通过对交易价格、交易时间、交易方向等的分析，未发现有可能导致不公平交易和利益输送的异常交易行为。</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所有投资组合参与的交易所公开竞价同日反向交易成交较少的单边交易量超过该证券当日成交量的</w:t>
      </w:r>
      <w:r w:rsidRPr="00414345">
        <w:rPr>
          <w:color w:val="000000"/>
          <w:sz w:val="24"/>
          <w:szCs w:val="24"/>
        </w:rPr>
        <w:t>5%</w:t>
      </w:r>
      <w:r w:rsidRPr="00414345">
        <w:rPr>
          <w:color w:val="000000"/>
          <w:sz w:val="24"/>
          <w:szCs w:val="24"/>
        </w:rPr>
        <w:t>的情形：无。</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12CB1" w:rsidRDefault="00667588">
      <w:pPr>
        <w:spacing w:before="29" w:line="288" w:lineRule="auto"/>
        <w:ind w:firstLineChars="200" w:firstLine="480"/>
        <w:rPr>
          <w:color w:val="000000"/>
          <w:sz w:val="24"/>
          <w:szCs w:val="24"/>
        </w:rPr>
      </w:pPr>
      <w:r>
        <w:rPr>
          <w:color w:val="000000"/>
          <w:sz w:val="24"/>
          <w:szCs w:val="24"/>
        </w:rPr>
        <w:t>回顾前三季度，一季度国内实际</w:t>
      </w:r>
      <w:r>
        <w:rPr>
          <w:color w:val="000000"/>
          <w:sz w:val="24"/>
          <w:szCs w:val="24"/>
        </w:rPr>
        <w:t>GDP</w:t>
      </w:r>
      <w:r>
        <w:rPr>
          <w:color w:val="000000"/>
          <w:sz w:val="24"/>
          <w:szCs w:val="24"/>
        </w:rPr>
        <w:t>同比</w:t>
      </w:r>
      <w:r>
        <w:rPr>
          <w:color w:val="000000"/>
          <w:sz w:val="24"/>
          <w:szCs w:val="24"/>
        </w:rPr>
        <w:t>+4.5%</w:t>
      </w:r>
      <w:r>
        <w:rPr>
          <w:color w:val="000000"/>
          <w:sz w:val="24"/>
          <w:szCs w:val="24"/>
        </w:rPr>
        <w:t>实现了良好的开局，低基数下二季度实际</w:t>
      </w:r>
      <w:r>
        <w:rPr>
          <w:color w:val="000000"/>
          <w:sz w:val="24"/>
          <w:szCs w:val="24"/>
        </w:rPr>
        <w:t>GDP</w:t>
      </w:r>
      <w:r>
        <w:rPr>
          <w:color w:val="000000"/>
          <w:sz w:val="24"/>
          <w:szCs w:val="24"/>
        </w:rPr>
        <w:t>增速回升至</w:t>
      </w:r>
      <w:r>
        <w:rPr>
          <w:color w:val="000000"/>
          <w:sz w:val="24"/>
          <w:szCs w:val="24"/>
        </w:rPr>
        <w:t>+6.3%</w:t>
      </w:r>
      <w:r>
        <w:rPr>
          <w:color w:val="000000"/>
          <w:sz w:val="24"/>
          <w:szCs w:val="24"/>
        </w:rPr>
        <w:t>略低于预期；</w:t>
      </w:r>
      <w:r>
        <w:rPr>
          <w:color w:val="000000"/>
          <w:sz w:val="24"/>
          <w:szCs w:val="24"/>
        </w:rPr>
        <w:t>7</w:t>
      </w:r>
      <w:r>
        <w:rPr>
          <w:color w:val="000000"/>
          <w:sz w:val="24"/>
          <w:szCs w:val="24"/>
        </w:rPr>
        <w:t>月底政治局会议以来多项稳经济政策落地，包括央行操作降准与降息、以一线城市调整</w:t>
      </w:r>
      <w:r>
        <w:rPr>
          <w:color w:val="000000"/>
          <w:sz w:val="24"/>
          <w:szCs w:val="24"/>
        </w:rPr>
        <w:t>“</w:t>
      </w:r>
      <w:r>
        <w:rPr>
          <w:color w:val="000000"/>
          <w:sz w:val="24"/>
          <w:szCs w:val="24"/>
        </w:rPr>
        <w:t>认房又认贷</w:t>
      </w:r>
      <w:r>
        <w:rPr>
          <w:color w:val="000000"/>
          <w:sz w:val="24"/>
          <w:szCs w:val="24"/>
        </w:rPr>
        <w:t>”</w:t>
      </w:r>
      <w:r>
        <w:rPr>
          <w:color w:val="000000"/>
          <w:sz w:val="24"/>
          <w:szCs w:val="24"/>
        </w:rPr>
        <w:t>为标志的房地产需求端政策放松等，市场主体对经济的信心处在逐步恢复的过程中。</w:t>
      </w:r>
    </w:p>
    <w:p w:rsidR="00F12CB1" w:rsidRDefault="00667588">
      <w:pPr>
        <w:spacing w:before="29" w:line="288" w:lineRule="auto"/>
        <w:ind w:firstLineChars="200" w:firstLine="480"/>
        <w:rPr>
          <w:color w:val="000000"/>
          <w:sz w:val="24"/>
          <w:szCs w:val="24"/>
        </w:rPr>
      </w:pPr>
      <w:r>
        <w:rPr>
          <w:color w:val="000000"/>
          <w:sz w:val="24"/>
          <w:szCs w:val="24"/>
        </w:rPr>
        <w:t>在政策预期改善与经济现实偏弱的组合状态中，三季度国内股票市场震荡走弱，中证</w:t>
      </w:r>
      <w:r>
        <w:rPr>
          <w:color w:val="000000"/>
          <w:sz w:val="24"/>
          <w:szCs w:val="24"/>
        </w:rPr>
        <w:t>800</w:t>
      </w:r>
      <w:r>
        <w:rPr>
          <w:color w:val="000000"/>
          <w:sz w:val="24"/>
          <w:szCs w:val="24"/>
        </w:rPr>
        <w:t>指数下跌</w:t>
      </w:r>
      <w:r>
        <w:rPr>
          <w:color w:val="000000"/>
          <w:sz w:val="24"/>
          <w:szCs w:val="24"/>
        </w:rPr>
        <w:t>-4.3%</w:t>
      </w:r>
      <w:r>
        <w:rPr>
          <w:color w:val="000000"/>
          <w:sz w:val="24"/>
          <w:szCs w:val="24"/>
        </w:rPr>
        <w:t>；海外加息周期尾声的高利率环境也对国内资产有边际的负面影响，</w:t>
      </w:r>
      <w:r>
        <w:rPr>
          <w:color w:val="000000"/>
          <w:sz w:val="24"/>
          <w:szCs w:val="24"/>
        </w:rPr>
        <w:t>A</w:t>
      </w:r>
      <w:r>
        <w:rPr>
          <w:color w:val="000000"/>
          <w:sz w:val="24"/>
          <w:szCs w:val="24"/>
        </w:rPr>
        <w:t>股成长风格表现相对落后。国内债券收益率先下后上，</w:t>
      </w:r>
      <w:r>
        <w:rPr>
          <w:color w:val="000000"/>
          <w:sz w:val="24"/>
          <w:szCs w:val="24"/>
        </w:rPr>
        <w:t>10</w:t>
      </w:r>
      <w:r>
        <w:rPr>
          <w:color w:val="000000"/>
          <w:sz w:val="24"/>
          <w:szCs w:val="24"/>
        </w:rPr>
        <w:t>年期国债收益率一度下行至</w:t>
      </w:r>
      <w:r>
        <w:rPr>
          <w:color w:val="000000"/>
          <w:sz w:val="24"/>
          <w:szCs w:val="24"/>
        </w:rPr>
        <w:t>2.54%</w:t>
      </w:r>
      <w:r>
        <w:rPr>
          <w:color w:val="000000"/>
          <w:sz w:val="24"/>
          <w:szCs w:val="24"/>
        </w:rPr>
        <w:t>，随着</w:t>
      </w:r>
      <w:r>
        <w:rPr>
          <w:color w:val="000000"/>
          <w:sz w:val="24"/>
          <w:szCs w:val="24"/>
        </w:rPr>
        <w:t>8</w:t>
      </w:r>
      <w:r>
        <w:rPr>
          <w:color w:val="000000"/>
          <w:sz w:val="24"/>
          <w:szCs w:val="24"/>
        </w:rPr>
        <w:t>月底地产政策调整落地、短端流动性边际趋紧反弹至</w:t>
      </w:r>
      <w:r>
        <w:rPr>
          <w:color w:val="000000"/>
          <w:sz w:val="24"/>
          <w:szCs w:val="24"/>
        </w:rPr>
        <w:t>2.67%</w:t>
      </w:r>
      <w:r>
        <w:rPr>
          <w:color w:val="000000"/>
          <w:sz w:val="24"/>
          <w:szCs w:val="24"/>
        </w:rPr>
        <w:t>。</w:t>
      </w:r>
    </w:p>
    <w:p w:rsidR="00F12CB1" w:rsidRDefault="00667588">
      <w:pPr>
        <w:spacing w:before="29" w:line="288" w:lineRule="auto"/>
        <w:ind w:firstLineChars="200" w:firstLine="480"/>
        <w:rPr>
          <w:color w:val="000000"/>
          <w:sz w:val="24"/>
          <w:szCs w:val="24"/>
        </w:rPr>
      </w:pPr>
      <w:r>
        <w:rPr>
          <w:color w:val="000000"/>
          <w:sz w:val="24"/>
          <w:szCs w:val="24"/>
        </w:rPr>
        <w:t>海外资产方面，美国就业市场韧性强于预期，市场对于美国经济软着陆的预期升温，同时对于美联储在更长时间内维持高利率的预期上升，标普</w:t>
      </w:r>
      <w:r>
        <w:rPr>
          <w:color w:val="000000"/>
          <w:sz w:val="24"/>
          <w:szCs w:val="24"/>
        </w:rPr>
        <w:t>500</w:t>
      </w:r>
      <w:r>
        <w:rPr>
          <w:color w:val="000000"/>
          <w:sz w:val="24"/>
          <w:szCs w:val="24"/>
        </w:rPr>
        <w:t>指数震荡下跌</w:t>
      </w:r>
      <w:r>
        <w:rPr>
          <w:color w:val="000000"/>
          <w:sz w:val="24"/>
          <w:szCs w:val="24"/>
        </w:rPr>
        <w:t>-3.6%</w:t>
      </w:r>
      <w:r>
        <w:rPr>
          <w:color w:val="000000"/>
          <w:sz w:val="24"/>
          <w:szCs w:val="24"/>
        </w:rPr>
        <w:t>，</w:t>
      </w:r>
      <w:r>
        <w:rPr>
          <w:color w:val="000000"/>
          <w:sz w:val="24"/>
          <w:szCs w:val="24"/>
        </w:rPr>
        <w:t>10</w:t>
      </w:r>
      <w:r>
        <w:rPr>
          <w:color w:val="000000"/>
          <w:sz w:val="24"/>
          <w:szCs w:val="24"/>
        </w:rPr>
        <w:t>年期美债收益率升至</w:t>
      </w:r>
      <w:r>
        <w:rPr>
          <w:color w:val="000000"/>
          <w:sz w:val="24"/>
          <w:szCs w:val="24"/>
        </w:rPr>
        <w:t>4.58%</w:t>
      </w:r>
      <w:r>
        <w:rPr>
          <w:color w:val="000000"/>
          <w:sz w:val="24"/>
          <w:szCs w:val="24"/>
        </w:rPr>
        <w:t>，黄金价格震荡为主，季末小幅收跌。</w:t>
      </w:r>
    </w:p>
    <w:p w:rsidR="00F12CB1" w:rsidRDefault="00667588">
      <w:pPr>
        <w:spacing w:before="29" w:line="288" w:lineRule="auto"/>
        <w:ind w:firstLineChars="200" w:firstLine="480"/>
        <w:rPr>
          <w:color w:val="000000"/>
          <w:sz w:val="24"/>
          <w:szCs w:val="24"/>
        </w:rPr>
      </w:pPr>
      <w:r>
        <w:rPr>
          <w:color w:val="000000"/>
          <w:sz w:val="24"/>
          <w:szCs w:val="24"/>
        </w:rPr>
        <w:t>对于国内权益来讲，当前历史估值分位、相对债券资产的估值均处在较高吸引力的水平，为长期投资提供一定安全边际。近期稳内需政策的逐步落地对于市场信心有所提振，</w:t>
      </w:r>
      <w:r>
        <w:rPr>
          <w:color w:val="000000"/>
          <w:sz w:val="24"/>
          <w:szCs w:val="24"/>
        </w:rPr>
        <w:t>8</w:t>
      </w:r>
      <w:r>
        <w:rPr>
          <w:color w:val="000000"/>
          <w:sz w:val="24"/>
          <w:szCs w:val="24"/>
        </w:rPr>
        <w:t>月以来政府财政支出边际加速、房地产需求端政策加码，叠加大多数行业当前库存处在历史偏低水平，年底前稳经济政策效果能够在数据改善中有所验证的概率较高。结构上，关注受益于稳内需政策加码的领域，包括地产后周期与基建，以及信创与自主可控等领域。</w:t>
      </w:r>
    </w:p>
    <w:p w:rsidR="00F12CB1" w:rsidRDefault="00667588">
      <w:pPr>
        <w:spacing w:before="29" w:line="288" w:lineRule="auto"/>
        <w:ind w:firstLineChars="200" w:firstLine="480"/>
        <w:rPr>
          <w:color w:val="000000"/>
          <w:sz w:val="24"/>
          <w:szCs w:val="24"/>
        </w:rPr>
      </w:pPr>
      <w:r>
        <w:rPr>
          <w:color w:val="000000"/>
          <w:sz w:val="24"/>
          <w:szCs w:val="24"/>
        </w:rPr>
        <w:t>对于国内债券来讲，国内托底经济增长发力，内外利差仍为负值，相对配置价值处在偏低的位置。考虑到央行宽松操作延续概率较高，国内债券的下行风险也相对可控。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海外加息周期接近尾声，美债中期机会逐步显现。海外权益面临的盈利下调风险在增大，银行风险事件以及可能持续更久的高利率会导致一定程度的信用收缩，并向需求传导。因此，可等待更好的时机配置发达国家权益资产。对于港股，来自国内经济基本面、海外高利率环境的压力均有望在四季度边际缓和。</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本报告期摩根锦颐养老目标日期</w:t>
      </w:r>
      <w:r w:rsidRPr="00414345">
        <w:rPr>
          <w:color w:val="000000"/>
          <w:sz w:val="24"/>
          <w:szCs w:val="24"/>
        </w:rPr>
        <w:t>2035</w:t>
      </w:r>
      <w:r w:rsidRPr="00414345">
        <w:rPr>
          <w:color w:val="000000"/>
          <w:sz w:val="24"/>
          <w:szCs w:val="24"/>
        </w:rPr>
        <w:t>三年份额净值增长率为</w:t>
      </w:r>
      <w:r w:rsidRPr="00414345">
        <w:rPr>
          <w:color w:val="000000"/>
          <w:sz w:val="24"/>
          <w:szCs w:val="24"/>
        </w:rPr>
        <w:t>:-4.19%</w:t>
      </w:r>
      <w:r w:rsidRPr="00414345">
        <w:rPr>
          <w:color w:val="000000"/>
          <w:sz w:val="24"/>
          <w:szCs w:val="24"/>
        </w:rPr>
        <w:t>，同期业绩比较基准收益率为</w:t>
      </w:r>
      <w:r w:rsidRPr="00414345">
        <w:rPr>
          <w:color w:val="000000"/>
          <w:sz w:val="24"/>
          <w:szCs w:val="24"/>
        </w:rPr>
        <w:t>:-</w:t>
      </w:r>
      <w:r w:rsidR="0097259E" w:rsidRPr="0097259E">
        <w:rPr>
          <w:color w:val="000000"/>
          <w:sz w:val="24"/>
          <w:szCs w:val="24"/>
        </w:rPr>
        <w:t xml:space="preserve"> </w:t>
      </w:r>
      <w:r w:rsidR="0097259E" w:rsidRPr="00356A8C">
        <w:rPr>
          <w:color w:val="000000"/>
          <w:sz w:val="24"/>
          <w:szCs w:val="24"/>
        </w:rPr>
        <w:t>1.76</w:t>
      </w:r>
      <w:r w:rsidRPr="00414345">
        <w:rPr>
          <w:color w:val="000000"/>
          <w:sz w:val="24"/>
          <w:szCs w:val="24"/>
        </w:rPr>
        <w:t>%</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无。</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f2"/>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264,027.00</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0.57</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264,027.00</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0.57</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43,647,265.50</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94.00</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2,433,030.58</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5.24</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2,433,030.58</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5.24</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4C0877">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86,555.85</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0.19</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4C0877">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3,853.59</w:t>
            </w:r>
          </w:p>
        </w:tc>
        <w:tc>
          <w:tcPr>
            <w:tcW w:w="2801" w:type="dxa"/>
            <w:vAlign w:val="center"/>
          </w:tcPr>
          <w:p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0.01</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4C0877">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46,434,732.52</w:t>
            </w:r>
          </w:p>
        </w:tc>
        <w:tc>
          <w:tcPr>
            <w:tcW w:w="2801" w:type="dxa"/>
            <w:vAlign w:val="center"/>
          </w:tcPr>
          <w:p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264,027.00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264,027.00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0.57</w:t>
            </w:r>
          </w:p>
        </w:tc>
      </w:tr>
    </w:tbl>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E133DE" w:rsidRDefault="00E133DE" w:rsidP="00C15CAC">
      <w:pPr>
        <w:autoSpaceDE w:val="0"/>
        <w:autoSpaceDN w:val="0"/>
        <w:adjustRightInd w:val="0"/>
        <w:spacing w:before="29" w:line="288" w:lineRule="auto"/>
        <w:jc w:val="left"/>
        <w:rPr>
          <w:b/>
          <w:bCs/>
          <w:kern w:val="0"/>
          <w:sz w:val="24"/>
          <w:szCs w:val="24"/>
        </w:rPr>
      </w:pPr>
      <w:r w:rsidRPr="00E133DE">
        <w:rPr>
          <w:rFonts w:eastAsiaTheme="minorEastAsia"/>
          <w:b/>
          <w:bCs/>
          <w:kern w:val="0"/>
          <w:sz w:val="24"/>
          <w:szCs w:val="24"/>
        </w:rPr>
        <w:t xml:space="preserve">5.3 </w:t>
      </w:r>
      <w:r w:rsidR="004061AC" w:rsidRPr="00E133DE">
        <w:rPr>
          <w:b/>
          <w:bCs/>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E133DE" w:rsidRPr="00E133DE" w:rsidTr="00A324F4">
        <w:trPr>
          <w:jc w:val="center"/>
        </w:trPr>
        <w:tc>
          <w:tcPr>
            <w:tcW w:w="869" w:type="dxa"/>
            <w:vAlign w:val="center"/>
          </w:tcPr>
          <w:p w:rsidR="00853140" w:rsidRPr="00E133DE" w:rsidRDefault="00853140" w:rsidP="00C15CAC">
            <w:pPr>
              <w:spacing w:before="29" w:line="288" w:lineRule="auto"/>
              <w:ind w:left="17"/>
              <w:jc w:val="center"/>
              <w:rPr>
                <w:sz w:val="24"/>
                <w:szCs w:val="24"/>
              </w:rPr>
            </w:pPr>
            <w:r w:rsidRPr="00E133DE">
              <w:rPr>
                <w:sz w:val="24"/>
                <w:szCs w:val="24"/>
              </w:rPr>
              <w:t>序号</w:t>
            </w:r>
          </w:p>
        </w:tc>
        <w:tc>
          <w:tcPr>
            <w:tcW w:w="1357" w:type="dxa"/>
            <w:vAlign w:val="center"/>
          </w:tcPr>
          <w:p w:rsidR="00853140" w:rsidRPr="00E133DE" w:rsidRDefault="00853140" w:rsidP="00C15CAC">
            <w:pPr>
              <w:spacing w:before="29" w:line="288" w:lineRule="auto"/>
              <w:ind w:left="17"/>
              <w:jc w:val="center"/>
              <w:rPr>
                <w:sz w:val="24"/>
                <w:szCs w:val="24"/>
              </w:rPr>
            </w:pPr>
            <w:r w:rsidRPr="00E133DE">
              <w:rPr>
                <w:sz w:val="24"/>
                <w:szCs w:val="24"/>
              </w:rPr>
              <w:t>股票代码</w:t>
            </w:r>
          </w:p>
        </w:tc>
        <w:tc>
          <w:tcPr>
            <w:tcW w:w="1810" w:type="dxa"/>
            <w:vAlign w:val="center"/>
          </w:tcPr>
          <w:p w:rsidR="00853140" w:rsidRPr="00E133DE" w:rsidRDefault="00853140" w:rsidP="00C15CAC">
            <w:pPr>
              <w:spacing w:before="29" w:line="288" w:lineRule="auto"/>
              <w:ind w:left="17"/>
              <w:jc w:val="center"/>
              <w:rPr>
                <w:sz w:val="24"/>
                <w:szCs w:val="24"/>
              </w:rPr>
            </w:pPr>
            <w:r w:rsidRPr="00E133DE">
              <w:rPr>
                <w:sz w:val="24"/>
                <w:szCs w:val="24"/>
              </w:rPr>
              <w:t>股票名称</w:t>
            </w:r>
          </w:p>
        </w:tc>
        <w:tc>
          <w:tcPr>
            <w:tcW w:w="1357" w:type="dxa"/>
            <w:vAlign w:val="center"/>
          </w:tcPr>
          <w:p w:rsidR="00853140" w:rsidRPr="00E133DE" w:rsidRDefault="00853140" w:rsidP="00C15CAC">
            <w:pPr>
              <w:spacing w:before="29" w:line="288" w:lineRule="auto"/>
              <w:ind w:left="17"/>
              <w:jc w:val="center"/>
              <w:rPr>
                <w:sz w:val="24"/>
                <w:szCs w:val="24"/>
              </w:rPr>
            </w:pPr>
            <w:r w:rsidRPr="00E133DE">
              <w:rPr>
                <w:sz w:val="24"/>
                <w:szCs w:val="24"/>
              </w:rPr>
              <w:t>数量</w:t>
            </w:r>
            <w:r w:rsidR="00B47982" w:rsidRPr="00E133DE">
              <w:rPr>
                <w:sz w:val="24"/>
              </w:rPr>
              <w:t>（股）</w:t>
            </w:r>
          </w:p>
        </w:tc>
        <w:tc>
          <w:tcPr>
            <w:tcW w:w="1960" w:type="dxa"/>
            <w:vAlign w:val="center"/>
          </w:tcPr>
          <w:p w:rsidR="00853140" w:rsidRPr="00E133DE" w:rsidRDefault="00853140" w:rsidP="00C15CAC">
            <w:pPr>
              <w:autoSpaceDE w:val="0"/>
              <w:autoSpaceDN w:val="0"/>
              <w:adjustRightInd w:val="0"/>
              <w:spacing w:before="29" w:line="288" w:lineRule="auto"/>
              <w:ind w:left="17"/>
              <w:jc w:val="center"/>
              <w:rPr>
                <w:sz w:val="24"/>
                <w:szCs w:val="24"/>
              </w:rPr>
            </w:pPr>
            <w:r w:rsidRPr="00E133DE">
              <w:rPr>
                <w:sz w:val="24"/>
                <w:szCs w:val="24"/>
              </w:rPr>
              <w:t>公允价值</w:t>
            </w:r>
            <w:r w:rsidRPr="00E133DE">
              <w:rPr>
                <w:sz w:val="24"/>
                <w:szCs w:val="24"/>
              </w:rPr>
              <w:t>(</w:t>
            </w:r>
            <w:r w:rsidRPr="00E133DE">
              <w:rPr>
                <w:sz w:val="24"/>
                <w:szCs w:val="24"/>
              </w:rPr>
              <w:t>元</w:t>
            </w:r>
            <w:r w:rsidRPr="00E133DE">
              <w:rPr>
                <w:sz w:val="24"/>
                <w:szCs w:val="24"/>
              </w:rPr>
              <w:t>)</w:t>
            </w:r>
          </w:p>
        </w:tc>
        <w:tc>
          <w:tcPr>
            <w:tcW w:w="1674" w:type="dxa"/>
            <w:vAlign w:val="center"/>
          </w:tcPr>
          <w:p w:rsidR="00853140" w:rsidRPr="00E133DE" w:rsidRDefault="00853140" w:rsidP="00C15CAC">
            <w:pPr>
              <w:spacing w:before="29" w:line="288" w:lineRule="auto"/>
              <w:ind w:left="17"/>
              <w:jc w:val="center"/>
              <w:rPr>
                <w:sz w:val="24"/>
                <w:szCs w:val="24"/>
              </w:rPr>
            </w:pPr>
            <w:r w:rsidRPr="00E133DE">
              <w:rPr>
                <w:sz w:val="24"/>
                <w:szCs w:val="24"/>
              </w:rPr>
              <w:t>占基金资产净值比例</w:t>
            </w:r>
            <w:r w:rsidR="00B47982" w:rsidRPr="00E133DE">
              <w:rPr>
                <w:sz w:val="24"/>
              </w:rPr>
              <w:t>（％）</w:t>
            </w:r>
          </w:p>
        </w:tc>
      </w:tr>
      <w:tr w:rsidR="00F12CB1">
        <w:trPr>
          <w:jc w:val="center"/>
        </w:trPr>
        <w:tc>
          <w:tcPr>
            <w:tcW w:w="855" w:type="dxa"/>
            <w:vAlign w:val="center"/>
          </w:tcPr>
          <w:p w:rsidR="00F12CB1" w:rsidRDefault="00667588">
            <w:pPr>
              <w:jc w:val="center"/>
            </w:pPr>
            <w:r>
              <w:rPr>
                <w:sz w:val="24"/>
                <w:szCs w:val="24"/>
              </w:rPr>
              <w:t>1</w:t>
            </w:r>
          </w:p>
        </w:tc>
        <w:tc>
          <w:tcPr>
            <w:tcW w:w="1334" w:type="dxa"/>
            <w:vAlign w:val="center"/>
          </w:tcPr>
          <w:p w:rsidR="00F12CB1" w:rsidRDefault="00667588">
            <w:pPr>
              <w:jc w:val="center"/>
            </w:pPr>
            <w:r>
              <w:rPr>
                <w:sz w:val="24"/>
                <w:szCs w:val="24"/>
              </w:rPr>
              <w:t>601688</w:t>
            </w:r>
          </w:p>
        </w:tc>
        <w:tc>
          <w:tcPr>
            <w:tcW w:w="1777" w:type="dxa"/>
            <w:vAlign w:val="center"/>
          </w:tcPr>
          <w:p w:rsidR="00F12CB1" w:rsidRDefault="00667588">
            <w:pPr>
              <w:jc w:val="center"/>
            </w:pPr>
            <w:r>
              <w:rPr>
                <w:sz w:val="24"/>
                <w:szCs w:val="24"/>
              </w:rPr>
              <w:t>华泰证券</w:t>
            </w:r>
          </w:p>
        </w:tc>
        <w:tc>
          <w:tcPr>
            <w:tcW w:w="1334" w:type="dxa"/>
            <w:vAlign w:val="center"/>
          </w:tcPr>
          <w:p w:rsidR="00F12CB1" w:rsidRDefault="00667588">
            <w:pPr>
              <w:jc w:val="right"/>
            </w:pPr>
            <w:r>
              <w:rPr>
                <w:sz w:val="24"/>
                <w:szCs w:val="24"/>
              </w:rPr>
              <w:t>16,700.00</w:t>
            </w:r>
          </w:p>
        </w:tc>
        <w:tc>
          <w:tcPr>
            <w:tcW w:w="1924" w:type="dxa"/>
            <w:vAlign w:val="center"/>
          </w:tcPr>
          <w:p w:rsidR="00F12CB1" w:rsidRDefault="00667588">
            <w:pPr>
              <w:jc w:val="right"/>
            </w:pPr>
            <w:r>
              <w:rPr>
                <w:sz w:val="24"/>
                <w:szCs w:val="24"/>
              </w:rPr>
              <w:t>264,027.00</w:t>
            </w:r>
          </w:p>
        </w:tc>
        <w:tc>
          <w:tcPr>
            <w:tcW w:w="1644" w:type="dxa"/>
            <w:vAlign w:val="center"/>
          </w:tcPr>
          <w:p w:rsidR="00F12CB1" w:rsidRDefault="00667588">
            <w:pPr>
              <w:jc w:val="right"/>
            </w:pPr>
            <w:r>
              <w:rPr>
                <w:sz w:val="24"/>
                <w:szCs w:val="24"/>
              </w:rPr>
              <w:t>0.57</w:t>
            </w:r>
          </w:p>
        </w:tc>
      </w:tr>
    </w:tbl>
    <w:p w:rsidR="00E133DE" w:rsidRPr="00975DED" w:rsidRDefault="00E133DE"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2,433,030.58</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4C0877">
        <w:trPr>
          <w:jc w:val="center"/>
        </w:trPr>
        <w:tc>
          <w:tcPr>
            <w:tcW w:w="828" w:type="dxa"/>
            <w:vAlign w:val="center"/>
          </w:tcPr>
          <w:p w:rsidR="00F323FF" w:rsidRPr="007A70C2" w:rsidRDefault="00F323FF" w:rsidP="004C0877">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4C0877">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4C0877">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4C0877">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2,433,030.58</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12CB1">
        <w:trPr>
          <w:jc w:val="center"/>
        </w:trPr>
        <w:tc>
          <w:tcPr>
            <w:tcW w:w="850" w:type="dxa"/>
            <w:vAlign w:val="center"/>
          </w:tcPr>
          <w:p w:rsidR="00F12CB1" w:rsidRDefault="00667588">
            <w:pPr>
              <w:jc w:val="center"/>
            </w:pPr>
            <w:r>
              <w:rPr>
                <w:color w:val="000000"/>
                <w:sz w:val="24"/>
                <w:szCs w:val="24"/>
              </w:rPr>
              <w:t>1</w:t>
            </w:r>
          </w:p>
        </w:tc>
        <w:tc>
          <w:tcPr>
            <w:tcW w:w="1475" w:type="dxa"/>
            <w:vAlign w:val="center"/>
          </w:tcPr>
          <w:p w:rsidR="00F12CB1" w:rsidRDefault="00667588">
            <w:pPr>
              <w:jc w:val="center"/>
            </w:pPr>
            <w:r>
              <w:rPr>
                <w:color w:val="000000"/>
                <w:sz w:val="24"/>
                <w:szCs w:val="24"/>
              </w:rPr>
              <w:t>019694</w:t>
            </w:r>
          </w:p>
        </w:tc>
        <w:tc>
          <w:tcPr>
            <w:tcW w:w="1769" w:type="dxa"/>
            <w:vAlign w:val="center"/>
          </w:tcPr>
          <w:p w:rsidR="00F12CB1" w:rsidRDefault="00667588">
            <w:pPr>
              <w:jc w:val="center"/>
            </w:pPr>
            <w:r>
              <w:rPr>
                <w:color w:val="000000"/>
                <w:sz w:val="24"/>
                <w:szCs w:val="24"/>
              </w:rPr>
              <w:t>23</w:t>
            </w:r>
            <w:r>
              <w:rPr>
                <w:color w:val="000000"/>
                <w:sz w:val="24"/>
                <w:szCs w:val="24"/>
              </w:rPr>
              <w:t>国债</w:t>
            </w:r>
            <w:r>
              <w:rPr>
                <w:color w:val="000000"/>
                <w:sz w:val="24"/>
                <w:szCs w:val="24"/>
              </w:rPr>
              <w:t>01</w:t>
            </w:r>
          </w:p>
        </w:tc>
        <w:tc>
          <w:tcPr>
            <w:tcW w:w="1387" w:type="dxa"/>
            <w:vAlign w:val="center"/>
          </w:tcPr>
          <w:p w:rsidR="00F12CB1" w:rsidRDefault="00667588">
            <w:pPr>
              <w:jc w:val="right"/>
            </w:pPr>
            <w:r>
              <w:rPr>
                <w:color w:val="000000"/>
                <w:sz w:val="24"/>
                <w:szCs w:val="24"/>
              </w:rPr>
              <w:t>24,000</w:t>
            </w:r>
          </w:p>
        </w:tc>
        <w:tc>
          <w:tcPr>
            <w:tcW w:w="2150" w:type="dxa"/>
            <w:vAlign w:val="center"/>
          </w:tcPr>
          <w:p w:rsidR="00F12CB1" w:rsidRDefault="00667588">
            <w:pPr>
              <w:jc w:val="right"/>
            </w:pPr>
            <w:r>
              <w:rPr>
                <w:color w:val="000000"/>
                <w:sz w:val="24"/>
                <w:szCs w:val="24"/>
              </w:rPr>
              <w:t>2,433,030.58</w:t>
            </w:r>
          </w:p>
        </w:tc>
        <w:tc>
          <w:tcPr>
            <w:tcW w:w="1237" w:type="dxa"/>
            <w:vAlign w:val="center"/>
          </w:tcPr>
          <w:p w:rsidR="00F12CB1" w:rsidRDefault="00667588">
            <w:pPr>
              <w:jc w:val="right"/>
            </w:pPr>
            <w:r>
              <w:rPr>
                <w:color w:val="000000"/>
                <w:sz w:val="24"/>
                <w:szCs w:val="24"/>
              </w:rPr>
              <w:t>5.25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报告期内本基金投资的前十名证券的发行主体本期没有出现被监管部门立案调查，或在报告编制日前一年内受到公开谴责、处罚的情形。</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报告期内本基金投资的前十名股票中没有在基金合同规定备选股票库之外的股票。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3,852.60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0.99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3,853.59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因四舍五入原因，投资组合报告中分项之和与合计可能存在尾差。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f2"/>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1F3E2A" w:rsidRPr="00575270" w:rsidTr="004C0877">
        <w:tc>
          <w:tcPr>
            <w:tcW w:w="452"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1F3E2A" w:rsidRPr="00575270" w:rsidRDefault="001F3E2A" w:rsidP="004C087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1F3E2A" w:rsidRPr="00575270" w:rsidRDefault="001F3E2A" w:rsidP="004C087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F12CB1">
        <w:tc>
          <w:tcPr>
            <w:tcW w:w="835" w:type="dxa"/>
            <w:vAlign w:val="center"/>
          </w:tcPr>
          <w:p w:rsidR="00F12CB1" w:rsidRDefault="00667588">
            <w:pPr>
              <w:jc w:val="center"/>
            </w:pPr>
            <w:r>
              <w:rPr>
                <w:sz w:val="24"/>
                <w:szCs w:val="24"/>
              </w:rPr>
              <w:t>1</w:t>
            </w:r>
          </w:p>
        </w:tc>
        <w:tc>
          <w:tcPr>
            <w:tcW w:w="1159" w:type="dxa"/>
            <w:vAlign w:val="center"/>
          </w:tcPr>
          <w:p w:rsidR="00F12CB1" w:rsidRDefault="00667588">
            <w:pPr>
              <w:jc w:val="center"/>
            </w:pPr>
            <w:r>
              <w:rPr>
                <w:sz w:val="24"/>
                <w:szCs w:val="24"/>
              </w:rPr>
              <w:t>968050</w:t>
            </w:r>
          </w:p>
        </w:tc>
        <w:tc>
          <w:tcPr>
            <w:tcW w:w="1161" w:type="dxa"/>
            <w:vAlign w:val="center"/>
          </w:tcPr>
          <w:p w:rsidR="00F12CB1" w:rsidRDefault="00667588">
            <w:pPr>
              <w:jc w:val="center"/>
            </w:pPr>
            <w:r>
              <w:rPr>
                <w:sz w:val="24"/>
                <w:szCs w:val="24"/>
              </w:rPr>
              <w:t>摩根国际债券人民币对冲累计</w:t>
            </w:r>
          </w:p>
        </w:tc>
        <w:tc>
          <w:tcPr>
            <w:tcW w:w="1161" w:type="dxa"/>
            <w:vAlign w:val="center"/>
          </w:tcPr>
          <w:p w:rsidR="00F12CB1" w:rsidRDefault="00667588">
            <w:pPr>
              <w:jc w:val="center"/>
            </w:pPr>
            <w:r>
              <w:rPr>
                <w:sz w:val="24"/>
                <w:szCs w:val="24"/>
              </w:rPr>
              <w:t>契约型开放式</w:t>
            </w:r>
          </w:p>
        </w:tc>
        <w:tc>
          <w:tcPr>
            <w:tcW w:w="1159" w:type="dxa"/>
            <w:vAlign w:val="center"/>
          </w:tcPr>
          <w:p w:rsidR="00F12CB1" w:rsidRDefault="00667588">
            <w:pPr>
              <w:jc w:val="center"/>
            </w:pPr>
            <w:r>
              <w:rPr>
                <w:sz w:val="24"/>
                <w:szCs w:val="24"/>
              </w:rPr>
              <w:t>189,772.73</w:t>
            </w:r>
          </w:p>
        </w:tc>
        <w:tc>
          <w:tcPr>
            <w:tcW w:w="1305" w:type="dxa"/>
            <w:vAlign w:val="center"/>
          </w:tcPr>
          <w:p w:rsidR="00F12CB1" w:rsidRDefault="00667588">
            <w:pPr>
              <w:jc w:val="center"/>
            </w:pPr>
            <w:r>
              <w:rPr>
                <w:sz w:val="24"/>
                <w:szCs w:val="24"/>
              </w:rPr>
              <w:t>1,916,704.57</w:t>
            </w:r>
          </w:p>
        </w:tc>
        <w:tc>
          <w:tcPr>
            <w:tcW w:w="1161" w:type="dxa"/>
            <w:vAlign w:val="center"/>
          </w:tcPr>
          <w:p w:rsidR="00F12CB1" w:rsidRDefault="00667588">
            <w:pPr>
              <w:jc w:val="center"/>
            </w:pPr>
            <w:r>
              <w:rPr>
                <w:sz w:val="24"/>
                <w:szCs w:val="24"/>
              </w:rPr>
              <w:t>4.14%</w:t>
            </w:r>
          </w:p>
        </w:tc>
        <w:tc>
          <w:tcPr>
            <w:tcW w:w="1301" w:type="dxa"/>
            <w:vAlign w:val="center"/>
          </w:tcPr>
          <w:p w:rsidR="00F12CB1" w:rsidRDefault="00667588">
            <w:pPr>
              <w:jc w:val="center"/>
            </w:pPr>
            <w:r>
              <w:rPr>
                <w:sz w:val="24"/>
                <w:szCs w:val="24"/>
              </w:rPr>
              <w:t>是</w:t>
            </w:r>
          </w:p>
        </w:tc>
      </w:tr>
      <w:tr w:rsidR="00F12CB1">
        <w:tc>
          <w:tcPr>
            <w:tcW w:w="835" w:type="dxa"/>
            <w:vAlign w:val="center"/>
          </w:tcPr>
          <w:p w:rsidR="00F12CB1" w:rsidRDefault="00667588">
            <w:pPr>
              <w:jc w:val="center"/>
            </w:pPr>
            <w:r>
              <w:rPr>
                <w:sz w:val="24"/>
                <w:szCs w:val="24"/>
              </w:rPr>
              <w:t>2</w:t>
            </w:r>
          </w:p>
        </w:tc>
        <w:tc>
          <w:tcPr>
            <w:tcW w:w="1159" w:type="dxa"/>
            <w:vAlign w:val="center"/>
          </w:tcPr>
          <w:p w:rsidR="00F12CB1" w:rsidRDefault="00667588">
            <w:pPr>
              <w:jc w:val="center"/>
            </w:pPr>
            <w:r>
              <w:rPr>
                <w:sz w:val="24"/>
                <w:szCs w:val="24"/>
              </w:rPr>
              <w:t>003949</w:t>
            </w:r>
          </w:p>
        </w:tc>
        <w:tc>
          <w:tcPr>
            <w:tcW w:w="1161" w:type="dxa"/>
            <w:vAlign w:val="center"/>
          </w:tcPr>
          <w:p w:rsidR="00F12CB1" w:rsidRDefault="00667588">
            <w:pPr>
              <w:jc w:val="center"/>
            </w:pPr>
            <w:r>
              <w:rPr>
                <w:sz w:val="24"/>
                <w:szCs w:val="24"/>
              </w:rPr>
              <w:t>兴全稳泰债券</w:t>
            </w:r>
            <w:r>
              <w:rPr>
                <w:sz w:val="24"/>
                <w:szCs w:val="24"/>
              </w:rPr>
              <w:t>A</w:t>
            </w:r>
          </w:p>
        </w:tc>
        <w:tc>
          <w:tcPr>
            <w:tcW w:w="1161" w:type="dxa"/>
            <w:vAlign w:val="center"/>
          </w:tcPr>
          <w:p w:rsidR="00F12CB1" w:rsidRDefault="00667588">
            <w:pPr>
              <w:jc w:val="center"/>
            </w:pPr>
            <w:r>
              <w:rPr>
                <w:sz w:val="24"/>
                <w:szCs w:val="24"/>
              </w:rPr>
              <w:t>契约型开放式</w:t>
            </w:r>
          </w:p>
        </w:tc>
        <w:tc>
          <w:tcPr>
            <w:tcW w:w="1159" w:type="dxa"/>
            <w:vAlign w:val="center"/>
          </w:tcPr>
          <w:p w:rsidR="00F12CB1" w:rsidRDefault="00667588">
            <w:pPr>
              <w:jc w:val="center"/>
            </w:pPr>
            <w:r>
              <w:rPr>
                <w:sz w:val="24"/>
                <w:szCs w:val="24"/>
              </w:rPr>
              <w:t>1,547,576.47</w:t>
            </w:r>
          </w:p>
        </w:tc>
        <w:tc>
          <w:tcPr>
            <w:tcW w:w="1305" w:type="dxa"/>
            <w:vAlign w:val="center"/>
          </w:tcPr>
          <w:p w:rsidR="00F12CB1" w:rsidRDefault="00667588">
            <w:pPr>
              <w:jc w:val="center"/>
            </w:pPr>
            <w:r>
              <w:rPr>
                <w:sz w:val="24"/>
                <w:szCs w:val="24"/>
              </w:rPr>
              <w:t>1,763,927.66</w:t>
            </w:r>
          </w:p>
        </w:tc>
        <w:tc>
          <w:tcPr>
            <w:tcW w:w="1161" w:type="dxa"/>
            <w:vAlign w:val="center"/>
          </w:tcPr>
          <w:p w:rsidR="00F12CB1" w:rsidRDefault="00667588">
            <w:pPr>
              <w:jc w:val="center"/>
            </w:pPr>
            <w:r>
              <w:rPr>
                <w:sz w:val="24"/>
                <w:szCs w:val="24"/>
              </w:rPr>
              <w:t>3.81%</w:t>
            </w:r>
          </w:p>
        </w:tc>
        <w:tc>
          <w:tcPr>
            <w:tcW w:w="1301" w:type="dxa"/>
            <w:vAlign w:val="center"/>
          </w:tcPr>
          <w:p w:rsidR="00F12CB1" w:rsidRDefault="00667588">
            <w:pPr>
              <w:jc w:val="center"/>
            </w:pPr>
            <w:r>
              <w:rPr>
                <w:sz w:val="24"/>
                <w:szCs w:val="24"/>
              </w:rPr>
              <w:t>否</w:t>
            </w:r>
          </w:p>
        </w:tc>
      </w:tr>
      <w:tr w:rsidR="00F12CB1">
        <w:tc>
          <w:tcPr>
            <w:tcW w:w="835" w:type="dxa"/>
            <w:vAlign w:val="center"/>
          </w:tcPr>
          <w:p w:rsidR="00F12CB1" w:rsidRDefault="00667588">
            <w:pPr>
              <w:jc w:val="center"/>
            </w:pPr>
            <w:r>
              <w:rPr>
                <w:sz w:val="24"/>
                <w:szCs w:val="24"/>
              </w:rPr>
              <w:t>3</w:t>
            </w:r>
          </w:p>
        </w:tc>
        <w:tc>
          <w:tcPr>
            <w:tcW w:w="1159" w:type="dxa"/>
            <w:vAlign w:val="center"/>
          </w:tcPr>
          <w:p w:rsidR="00F12CB1" w:rsidRDefault="00667588">
            <w:pPr>
              <w:jc w:val="center"/>
            </w:pPr>
            <w:r>
              <w:rPr>
                <w:sz w:val="24"/>
                <w:szCs w:val="24"/>
              </w:rPr>
              <w:t>004200</w:t>
            </w:r>
          </w:p>
        </w:tc>
        <w:tc>
          <w:tcPr>
            <w:tcW w:w="1161" w:type="dxa"/>
            <w:vAlign w:val="center"/>
          </w:tcPr>
          <w:p w:rsidR="00F12CB1" w:rsidRDefault="00667588">
            <w:pPr>
              <w:jc w:val="center"/>
            </w:pPr>
            <w:r>
              <w:rPr>
                <w:sz w:val="24"/>
                <w:szCs w:val="24"/>
              </w:rPr>
              <w:t>博时富瑞纯债债券</w:t>
            </w:r>
            <w:r>
              <w:rPr>
                <w:sz w:val="24"/>
                <w:szCs w:val="24"/>
              </w:rPr>
              <w:t>A</w:t>
            </w:r>
          </w:p>
        </w:tc>
        <w:tc>
          <w:tcPr>
            <w:tcW w:w="1161" w:type="dxa"/>
            <w:vAlign w:val="center"/>
          </w:tcPr>
          <w:p w:rsidR="00F12CB1" w:rsidRDefault="00667588">
            <w:pPr>
              <w:jc w:val="center"/>
            </w:pPr>
            <w:r>
              <w:rPr>
                <w:sz w:val="24"/>
                <w:szCs w:val="24"/>
              </w:rPr>
              <w:t>契约型开放式</w:t>
            </w:r>
          </w:p>
        </w:tc>
        <w:tc>
          <w:tcPr>
            <w:tcW w:w="1159" w:type="dxa"/>
            <w:vAlign w:val="center"/>
          </w:tcPr>
          <w:p w:rsidR="00F12CB1" w:rsidRDefault="00667588">
            <w:pPr>
              <w:jc w:val="center"/>
            </w:pPr>
            <w:r>
              <w:rPr>
                <w:sz w:val="24"/>
                <w:szCs w:val="24"/>
              </w:rPr>
              <w:t>1,618,250.90</w:t>
            </w:r>
          </w:p>
        </w:tc>
        <w:tc>
          <w:tcPr>
            <w:tcW w:w="1305" w:type="dxa"/>
            <w:vAlign w:val="center"/>
          </w:tcPr>
          <w:p w:rsidR="00F12CB1" w:rsidRDefault="00667588">
            <w:pPr>
              <w:jc w:val="center"/>
            </w:pPr>
            <w:r>
              <w:rPr>
                <w:sz w:val="24"/>
                <w:szCs w:val="24"/>
              </w:rPr>
              <w:t>1,713,404.05</w:t>
            </w:r>
          </w:p>
        </w:tc>
        <w:tc>
          <w:tcPr>
            <w:tcW w:w="1161" w:type="dxa"/>
            <w:vAlign w:val="center"/>
          </w:tcPr>
          <w:p w:rsidR="00F12CB1" w:rsidRDefault="00667588">
            <w:pPr>
              <w:jc w:val="center"/>
            </w:pPr>
            <w:r>
              <w:rPr>
                <w:sz w:val="24"/>
                <w:szCs w:val="24"/>
              </w:rPr>
              <w:t>3.70%</w:t>
            </w:r>
          </w:p>
        </w:tc>
        <w:tc>
          <w:tcPr>
            <w:tcW w:w="1301" w:type="dxa"/>
            <w:vAlign w:val="center"/>
          </w:tcPr>
          <w:p w:rsidR="00F12CB1" w:rsidRDefault="00667588">
            <w:pPr>
              <w:jc w:val="center"/>
            </w:pPr>
            <w:r>
              <w:rPr>
                <w:sz w:val="24"/>
                <w:szCs w:val="24"/>
              </w:rPr>
              <w:t>否</w:t>
            </w:r>
          </w:p>
        </w:tc>
      </w:tr>
      <w:tr w:rsidR="00F12CB1">
        <w:tc>
          <w:tcPr>
            <w:tcW w:w="835" w:type="dxa"/>
            <w:vAlign w:val="center"/>
          </w:tcPr>
          <w:p w:rsidR="00F12CB1" w:rsidRDefault="00667588">
            <w:pPr>
              <w:jc w:val="center"/>
            </w:pPr>
            <w:r>
              <w:rPr>
                <w:sz w:val="24"/>
                <w:szCs w:val="24"/>
              </w:rPr>
              <w:t>4</w:t>
            </w:r>
          </w:p>
        </w:tc>
        <w:tc>
          <w:tcPr>
            <w:tcW w:w="1159" w:type="dxa"/>
            <w:vAlign w:val="center"/>
          </w:tcPr>
          <w:p w:rsidR="00F12CB1" w:rsidRDefault="00667588">
            <w:pPr>
              <w:jc w:val="center"/>
            </w:pPr>
            <w:r>
              <w:rPr>
                <w:sz w:val="24"/>
                <w:szCs w:val="24"/>
              </w:rPr>
              <w:t>100018</w:t>
            </w:r>
          </w:p>
        </w:tc>
        <w:tc>
          <w:tcPr>
            <w:tcW w:w="1161" w:type="dxa"/>
            <w:vAlign w:val="center"/>
          </w:tcPr>
          <w:p w:rsidR="00F12CB1" w:rsidRDefault="00667588">
            <w:pPr>
              <w:jc w:val="center"/>
            </w:pPr>
            <w:r>
              <w:rPr>
                <w:sz w:val="24"/>
                <w:szCs w:val="24"/>
              </w:rPr>
              <w:t>富国天利增长债券</w:t>
            </w:r>
            <w:r>
              <w:rPr>
                <w:sz w:val="24"/>
                <w:szCs w:val="24"/>
              </w:rPr>
              <w:t>A</w:t>
            </w:r>
          </w:p>
        </w:tc>
        <w:tc>
          <w:tcPr>
            <w:tcW w:w="1161" w:type="dxa"/>
            <w:vAlign w:val="center"/>
          </w:tcPr>
          <w:p w:rsidR="00F12CB1" w:rsidRDefault="00667588">
            <w:pPr>
              <w:jc w:val="center"/>
            </w:pPr>
            <w:r>
              <w:rPr>
                <w:sz w:val="24"/>
                <w:szCs w:val="24"/>
              </w:rPr>
              <w:t>契约型开放式</w:t>
            </w:r>
          </w:p>
        </w:tc>
        <w:tc>
          <w:tcPr>
            <w:tcW w:w="1159" w:type="dxa"/>
            <w:vAlign w:val="center"/>
          </w:tcPr>
          <w:p w:rsidR="00F12CB1" w:rsidRDefault="00667588">
            <w:pPr>
              <w:jc w:val="center"/>
            </w:pPr>
            <w:r>
              <w:rPr>
                <w:sz w:val="24"/>
                <w:szCs w:val="24"/>
              </w:rPr>
              <w:t>1,133,664.65</w:t>
            </w:r>
          </w:p>
        </w:tc>
        <w:tc>
          <w:tcPr>
            <w:tcW w:w="1305" w:type="dxa"/>
            <w:vAlign w:val="center"/>
          </w:tcPr>
          <w:p w:rsidR="00F12CB1" w:rsidRDefault="00667588">
            <w:pPr>
              <w:jc w:val="center"/>
            </w:pPr>
            <w:r>
              <w:rPr>
                <w:sz w:val="24"/>
                <w:szCs w:val="24"/>
              </w:rPr>
              <w:t>1,527,386.38</w:t>
            </w:r>
          </w:p>
        </w:tc>
        <w:tc>
          <w:tcPr>
            <w:tcW w:w="1161" w:type="dxa"/>
            <w:vAlign w:val="center"/>
          </w:tcPr>
          <w:p w:rsidR="00F12CB1" w:rsidRDefault="00667588">
            <w:pPr>
              <w:jc w:val="center"/>
            </w:pPr>
            <w:r>
              <w:rPr>
                <w:sz w:val="24"/>
                <w:szCs w:val="24"/>
              </w:rPr>
              <w:t>3.30%</w:t>
            </w:r>
          </w:p>
        </w:tc>
        <w:tc>
          <w:tcPr>
            <w:tcW w:w="1301" w:type="dxa"/>
            <w:vAlign w:val="center"/>
          </w:tcPr>
          <w:p w:rsidR="00F12CB1" w:rsidRDefault="00667588">
            <w:pPr>
              <w:jc w:val="center"/>
            </w:pPr>
            <w:r>
              <w:rPr>
                <w:sz w:val="24"/>
                <w:szCs w:val="24"/>
              </w:rPr>
              <w:t>否</w:t>
            </w:r>
          </w:p>
        </w:tc>
      </w:tr>
      <w:tr w:rsidR="00F12CB1">
        <w:tc>
          <w:tcPr>
            <w:tcW w:w="835" w:type="dxa"/>
            <w:vAlign w:val="center"/>
          </w:tcPr>
          <w:p w:rsidR="00F12CB1" w:rsidRDefault="00667588">
            <w:pPr>
              <w:jc w:val="center"/>
            </w:pPr>
            <w:r>
              <w:rPr>
                <w:sz w:val="24"/>
                <w:szCs w:val="24"/>
              </w:rPr>
              <w:t>5</w:t>
            </w:r>
          </w:p>
        </w:tc>
        <w:tc>
          <w:tcPr>
            <w:tcW w:w="1159" w:type="dxa"/>
            <w:vAlign w:val="center"/>
          </w:tcPr>
          <w:p w:rsidR="00F12CB1" w:rsidRDefault="00667588">
            <w:pPr>
              <w:jc w:val="center"/>
            </w:pPr>
            <w:r>
              <w:rPr>
                <w:sz w:val="24"/>
                <w:szCs w:val="24"/>
              </w:rPr>
              <w:t>002701</w:t>
            </w:r>
          </w:p>
        </w:tc>
        <w:tc>
          <w:tcPr>
            <w:tcW w:w="1161" w:type="dxa"/>
            <w:vAlign w:val="center"/>
          </w:tcPr>
          <w:p w:rsidR="00F12CB1" w:rsidRDefault="00667588">
            <w:pPr>
              <w:jc w:val="center"/>
            </w:pPr>
            <w:r>
              <w:rPr>
                <w:sz w:val="24"/>
                <w:szCs w:val="24"/>
              </w:rPr>
              <w:t>东方红汇阳债券</w:t>
            </w:r>
            <w:r>
              <w:rPr>
                <w:sz w:val="24"/>
                <w:szCs w:val="24"/>
              </w:rPr>
              <w:t>A</w:t>
            </w:r>
          </w:p>
        </w:tc>
        <w:tc>
          <w:tcPr>
            <w:tcW w:w="1161" w:type="dxa"/>
            <w:vAlign w:val="center"/>
          </w:tcPr>
          <w:p w:rsidR="00F12CB1" w:rsidRDefault="00667588">
            <w:pPr>
              <w:jc w:val="center"/>
            </w:pPr>
            <w:r>
              <w:rPr>
                <w:sz w:val="24"/>
                <w:szCs w:val="24"/>
              </w:rPr>
              <w:t>契约型开放式</w:t>
            </w:r>
          </w:p>
        </w:tc>
        <w:tc>
          <w:tcPr>
            <w:tcW w:w="1159" w:type="dxa"/>
            <w:vAlign w:val="center"/>
          </w:tcPr>
          <w:p w:rsidR="00F12CB1" w:rsidRDefault="00667588">
            <w:pPr>
              <w:jc w:val="center"/>
            </w:pPr>
            <w:r>
              <w:rPr>
                <w:sz w:val="24"/>
                <w:szCs w:val="24"/>
              </w:rPr>
              <w:t>1,380,920.62</w:t>
            </w:r>
          </w:p>
        </w:tc>
        <w:tc>
          <w:tcPr>
            <w:tcW w:w="1305" w:type="dxa"/>
            <w:vAlign w:val="center"/>
          </w:tcPr>
          <w:p w:rsidR="00F12CB1" w:rsidRDefault="00667588">
            <w:pPr>
              <w:jc w:val="center"/>
            </w:pPr>
            <w:r>
              <w:rPr>
                <w:sz w:val="24"/>
                <w:szCs w:val="24"/>
              </w:rPr>
              <w:t>1,493,051.37</w:t>
            </w:r>
          </w:p>
        </w:tc>
        <w:tc>
          <w:tcPr>
            <w:tcW w:w="1161" w:type="dxa"/>
            <w:vAlign w:val="center"/>
          </w:tcPr>
          <w:p w:rsidR="00F12CB1" w:rsidRDefault="00667588">
            <w:pPr>
              <w:jc w:val="center"/>
            </w:pPr>
            <w:r>
              <w:rPr>
                <w:sz w:val="24"/>
                <w:szCs w:val="24"/>
              </w:rPr>
              <w:t>3.22%</w:t>
            </w:r>
          </w:p>
        </w:tc>
        <w:tc>
          <w:tcPr>
            <w:tcW w:w="1301" w:type="dxa"/>
            <w:vAlign w:val="center"/>
          </w:tcPr>
          <w:p w:rsidR="00F12CB1" w:rsidRDefault="00667588">
            <w:pPr>
              <w:jc w:val="center"/>
            </w:pPr>
            <w:r>
              <w:rPr>
                <w:sz w:val="24"/>
                <w:szCs w:val="24"/>
              </w:rPr>
              <w:t>否</w:t>
            </w:r>
          </w:p>
        </w:tc>
      </w:tr>
      <w:tr w:rsidR="00F12CB1">
        <w:tc>
          <w:tcPr>
            <w:tcW w:w="835" w:type="dxa"/>
            <w:vAlign w:val="center"/>
          </w:tcPr>
          <w:p w:rsidR="00F12CB1" w:rsidRDefault="00667588">
            <w:pPr>
              <w:jc w:val="center"/>
            </w:pPr>
            <w:r>
              <w:rPr>
                <w:sz w:val="24"/>
                <w:szCs w:val="24"/>
              </w:rPr>
              <w:t>6</w:t>
            </w:r>
          </w:p>
        </w:tc>
        <w:tc>
          <w:tcPr>
            <w:tcW w:w="1159" w:type="dxa"/>
            <w:vAlign w:val="center"/>
          </w:tcPr>
          <w:p w:rsidR="00F12CB1" w:rsidRDefault="00667588">
            <w:pPr>
              <w:jc w:val="center"/>
            </w:pPr>
            <w:r>
              <w:rPr>
                <w:sz w:val="24"/>
                <w:szCs w:val="24"/>
              </w:rPr>
              <w:t>006102</w:t>
            </w:r>
          </w:p>
        </w:tc>
        <w:tc>
          <w:tcPr>
            <w:tcW w:w="1161" w:type="dxa"/>
            <w:vAlign w:val="center"/>
          </w:tcPr>
          <w:p w:rsidR="00F12CB1" w:rsidRDefault="00667588">
            <w:pPr>
              <w:jc w:val="center"/>
            </w:pPr>
            <w:r>
              <w:rPr>
                <w:sz w:val="24"/>
                <w:szCs w:val="24"/>
              </w:rPr>
              <w:t>浙商丰利增强债券</w:t>
            </w:r>
          </w:p>
        </w:tc>
        <w:tc>
          <w:tcPr>
            <w:tcW w:w="1161" w:type="dxa"/>
            <w:vAlign w:val="center"/>
          </w:tcPr>
          <w:p w:rsidR="00F12CB1" w:rsidRDefault="00667588">
            <w:pPr>
              <w:jc w:val="center"/>
            </w:pPr>
            <w:r>
              <w:rPr>
                <w:sz w:val="24"/>
                <w:szCs w:val="24"/>
              </w:rPr>
              <w:t>契约型开放式</w:t>
            </w:r>
          </w:p>
        </w:tc>
        <w:tc>
          <w:tcPr>
            <w:tcW w:w="1159" w:type="dxa"/>
            <w:vAlign w:val="center"/>
          </w:tcPr>
          <w:p w:rsidR="00F12CB1" w:rsidRDefault="00667588">
            <w:pPr>
              <w:jc w:val="center"/>
            </w:pPr>
            <w:r>
              <w:rPr>
                <w:sz w:val="24"/>
                <w:szCs w:val="24"/>
              </w:rPr>
              <w:t>776,639.25</w:t>
            </w:r>
          </w:p>
        </w:tc>
        <w:tc>
          <w:tcPr>
            <w:tcW w:w="1305" w:type="dxa"/>
            <w:vAlign w:val="center"/>
          </w:tcPr>
          <w:p w:rsidR="00F12CB1" w:rsidRDefault="00667588">
            <w:pPr>
              <w:jc w:val="center"/>
            </w:pPr>
            <w:r>
              <w:rPr>
                <w:sz w:val="24"/>
                <w:szCs w:val="24"/>
              </w:rPr>
              <w:t>1,362,768.89</w:t>
            </w:r>
          </w:p>
        </w:tc>
        <w:tc>
          <w:tcPr>
            <w:tcW w:w="1161" w:type="dxa"/>
            <w:vAlign w:val="center"/>
          </w:tcPr>
          <w:p w:rsidR="00F12CB1" w:rsidRDefault="00667588">
            <w:pPr>
              <w:jc w:val="center"/>
            </w:pPr>
            <w:r>
              <w:rPr>
                <w:sz w:val="24"/>
                <w:szCs w:val="24"/>
              </w:rPr>
              <w:t>2.94%</w:t>
            </w:r>
          </w:p>
        </w:tc>
        <w:tc>
          <w:tcPr>
            <w:tcW w:w="1301" w:type="dxa"/>
            <w:vAlign w:val="center"/>
          </w:tcPr>
          <w:p w:rsidR="00F12CB1" w:rsidRDefault="00667588">
            <w:pPr>
              <w:jc w:val="center"/>
            </w:pPr>
            <w:r>
              <w:rPr>
                <w:sz w:val="24"/>
                <w:szCs w:val="24"/>
              </w:rPr>
              <w:t>否</w:t>
            </w:r>
          </w:p>
        </w:tc>
      </w:tr>
      <w:tr w:rsidR="00F12CB1">
        <w:tc>
          <w:tcPr>
            <w:tcW w:w="835" w:type="dxa"/>
            <w:vAlign w:val="center"/>
          </w:tcPr>
          <w:p w:rsidR="00F12CB1" w:rsidRDefault="00667588">
            <w:pPr>
              <w:jc w:val="center"/>
            </w:pPr>
            <w:r>
              <w:rPr>
                <w:sz w:val="24"/>
                <w:szCs w:val="24"/>
              </w:rPr>
              <w:t>7</w:t>
            </w:r>
          </w:p>
        </w:tc>
        <w:tc>
          <w:tcPr>
            <w:tcW w:w="1159" w:type="dxa"/>
            <w:vAlign w:val="center"/>
          </w:tcPr>
          <w:p w:rsidR="00F12CB1" w:rsidRDefault="00667588">
            <w:pPr>
              <w:jc w:val="center"/>
            </w:pPr>
            <w:r>
              <w:rPr>
                <w:sz w:val="24"/>
                <w:szCs w:val="24"/>
              </w:rPr>
              <w:t>006466</w:t>
            </w:r>
          </w:p>
        </w:tc>
        <w:tc>
          <w:tcPr>
            <w:tcW w:w="1161" w:type="dxa"/>
            <w:vAlign w:val="center"/>
          </w:tcPr>
          <w:p w:rsidR="00F12CB1" w:rsidRDefault="00667588">
            <w:pPr>
              <w:jc w:val="center"/>
            </w:pPr>
            <w:r>
              <w:rPr>
                <w:sz w:val="24"/>
                <w:szCs w:val="24"/>
              </w:rPr>
              <w:t>浦银安盛双债增强债券</w:t>
            </w:r>
            <w:r>
              <w:rPr>
                <w:sz w:val="24"/>
                <w:szCs w:val="24"/>
              </w:rPr>
              <w:t>A</w:t>
            </w:r>
          </w:p>
        </w:tc>
        <w:tc>
          <w:tcPr>
            <w:tcW w:w="1161" w:type="dxa"/>
            <w:vAlign w:val="center"/>
          </w:tcPr>
          <w:p w:rsidR="00F12CB1" w:rsidRDefault="00667588">
            <w:pPr>
              <w:jc w:val="center"/>
            </w:pPr>
            <w:r>
              <w:rPr>
                <w:sz w:val="24"/>
                <w:szCs w:val="24"/>
              </w:rPr>
              <w:t>契约型开放式</w:t>
            </w:r>
          </w:p>
        </w:tc>
        <w:tc>
          <w:tcPr>
            <w:tcW w:w="1159" w:type="dxa"/>
            <w:vAlign w:val="center"/>
          </w:tcPr>
          <w:p w:rsidR="00F12CB1" w:rsidRDefault="00667588">
            <w:pPr>
              <w:jc w:val="center"/>
            </w:pPr>
            <w:r>
              <w:rPr>
                <w:sz w:val="24"/>
                <w:szCs w:val="24"/>
              </w:rPr>
              <w:t>1,056,361.12</w:t>
            </w:r>
          </w:p>
        </w:tc>
        <w:tc>
          <w:tcPr>
            <w:tcW w:w="1305" w:type="dxa"/>
            <w:vAlign w:val="center"/>
          </w:tcPr>
          <w:p w:rsidR="00F12CB1" w:rsidRDefault="00667588">
            <w:pPr>
              <w:jc w:val="center"/>
            </w:pPr>
            <w:r>
              <w:rPr>
                <w:sz w:val="24"/>
                <w:szCs w:val="24"/>
              </w:rPr>
              <w:t>1,250,731.57</w:t>
            </w:r>
          </w:p>
        </w:tc>
        <w:tc>
          <w:tcPr>
            <w:tcW w:w="1161" w:type="dxa"/>
            <w:vAlign w:val="center"/>
          </w:tcPr>
          <w:p w:rsidR="00F12CB1" w:rsidRDefault="00667588">
            <w:pPr>
              <w:jc w:val="center"/>
            </w:pPr>
            <w:r>
              <w:rPr>
                <w:sz w:val="24"/>
                <w:szCs w:val="24"/>
              </w:rPr>
              <w:t>2.70%</w:t>
            </w:r>
          </w:p>
        </w:tc>
        <w:tc>
          <w:tcPr>
            <w:tcW w:w="1301" w:type="dxa"/>
            <w:vAlign w:val="center"/>
          </w:tcPr>
          <w:p w:rsidR="00F12CB1" w:rsidRDefault="00667588">
            <w:pPr>
              <w:jc w:val="center"/>
            </w:pPr>
            <w:r>
              <w:rPr>
                <w:sz w:val="24"/>
                <w:szCs w:val="24"/>
              </w:rPr>
              <w:t>否</w:t>
            </w:r>
          </w:p>
        </w:tc>
      </w:tr>
      <w:tr w:rsidR="00F12CB1">
        <w:tc>
          <w:tcPr>
            <w:tcW w:w="835" w:type="dxa"/>
            <w:vAlign w:val="center"/>
          </w:tcPr>
          <w:p w:rsidR="00F12CB1" w:rsidRDefault="00667588">
            <w:pPr>
              <w:jc w:val="center"/>
            </w:pPr>
            <w:r>
              <w:rPr>
                <w:sz w:val="24"/>
                <w:szCs w:val="24"/>
              </w:rPr>
              <w:t>8</w:t>
            </w:r>
          </w:p>
        </w:tc>
        <w:tc>
          <w:tcPr>
            <w:tcW w:w="1159" w:type="dxa"/>
            <w:vAlign w:val="center"/>
          </w:tcPr>
          <w:p w:rsidR="00F12CB1" w:rsidRDefault="00667588">
            <w:pPr>
              <w:jc w:val="center"/>
            </w:pPr>
            <w:r>
              <w:rPr>
                <w:sz w:val="24"/>
                <w:szCs w:val="24"/>
              </w:rPr>
              <w:t>004571</w:t>
            </w:r>
          </w:p>
        </w:tc>
        <w:tc>
          <w:tcPr>
            <w:tcW w:w="1161" w:type="dxa"/>
            <w:vAlign w:val="center"/>
          </w:tcPr>
          <w:p w:rsidR="00F12CB1" w:rsidRDefault="00667588">
            <w:pPr>
              <w:jc w:val="center"/>
            </w:pPr>
            <w:r>
              <w:rPr>
                <w:sz w:val="24"/>
                <w:szCs w:val="24"/>
              </w:rPr>
              <w:t>万家家瑞债券</w:t>
            </w:r>
            <w:r>
              <w:rPr>
                <w:sz w:val="24"/>
                <w:szCs w:val="24"/>
              </w:rPr>
              <w:t>A</w:t>
            </w:r>
          </w:p>
        </w:tc>
        <w:tc>
          <w:tcPr>
            <w:tcW w:w="1161" w:type="dxa"/>
            <w:vAlign w:val="center"/>
          </w:tcPr>
          <w:p w:rsidR="00F12CB1" w:rsidRDefault="00667588">
            <w:pPr>
              <w:jc w:val="center"/>
            </w:pPr>
            <w:r>
              <w:rPr>
                <w:sz w:val="24"/>
                <w:szCs w:val="24"/>
              </w:rPr>
              <w:t>契约型开放式</w:t>
            </w:r>
          </w:p>
        </w:tc>
        <w:tc>
          <w:tcPr>
            <w:tcW w:w="1159" w:type="dxa"/>
            <w:vAlign w:val="center"/>
          </w:tcPr>
          <w:p w:rsidR="00F12CB1" w:rsidRDefault="00667588">
            <w:pPr>
              <w:jc w:val="center"/>
            </w:pPr>
            <w:r>
              <w:rPr>
                <w:sz w:val="24"/>
                <w:szCs w:val="24"/>
              </w:rPr>
              <w:t>1,097,942.52</w:t>
            </w:r>
          </w:p>
        </w:tc>
        <w:tc>
          <w:tcPr>
            <w:tcW w:w="1305" w:type="dxa"/>
            <w:vAlign w:val="center"/>
          </w:tcPr>
          <w:p w:rsidR="00F12CB1" w:rsidRDefault="00667588">
            <w:pPr>
              <w:jc w:val="center"/>
            </w:pPr>
            <w:r>
              <w:rPr>
                <w:sz w:val="24"/>
                <w:szCs w:val="24"/>
              </w:rPr>
              <w:t>1,237,491.01</w:t>
            </w:r>
          </w:p>
        </w:tc>
        <w:tc>
          <w:tcPr>
            <w:tcW w:w="1161" w:type="dxa"/>
            <w:vAlign w:val="center"/>
          </w:tcPr>
          <w:p w:rsidR="00F12CB1" w:rsidRDefault="00667588">
            <w:pPr>
              <w:jc w:val="center"/>
            </w:pPr>
            <w:r>
              <w:rPr>
                <w:sz w:val="24"/>
                <w:szCs w:val="24"/>
              </w:rPr>
              <w:t>2.67%</w:t>
            </w:r>
          </w:p>
        </w:tc>
        <w:tc>
          <w:tcPr>
            <w:tcW w:w="1301" w:type="dxa"/>
            <w:vAlign w:val="center"/>
          </w:tcPr>
          <w:p w:rsidR="00F12CB1" w:rsidRDefault="00667588">
            <w:pPr>
              <w:jc w:val="center"/>
            </w:pPr>
            <w:r>
              <w:rPr>
                <w:sz w:val="24"/>
                <w:szCs w:val="24"/>
              </w:rPr>
              <w:t>否</w:t>
            </w:r>
          </w:p>
        </w:tc>
      </w:tr>
      <w:tr w:rsidR="00F12CB1">
        <w:tc>
          <w:tcPr>
            <w:tcW w:w="835" w:type="dxa"/>
            <w:vAlign w:val="center"/>
          </w:tcPr>
          <w:p w:rsidR="00F12CB1" w:rsidRDefault="00667588">
            <w:pPr>
              <w:jc w:val="center"/>
            </w:pPr>
            <w:r>
              <w:rPr>
                <w:sz w:val="24"/>
                <w:szCs w:val="24"/>
              </w:rPr>
              <w:t>9</w:t>
            </w:r>
          </w:p>
        </w:tc>
        <w:tc>
          <w:tcPr>
            <w:tcW w:w="1159" w:type="dxa"/>
            <w:vAlign w:val="center"/>
          </w:tcPr>
          <w:p w:rsidR="00F12CB1" w:rsidRDefault="00667588">
            <w:pPr>
              <w:jc w:val="center"/>
            </w:pPr>
            <w:r>
              <w:rPr>
                <w:sz w:val="24"/>
                <w:szCs w:val="24"/>
              </w:rPr>
              <w:t>006567</w:t>
            </w:r>
          </w:p>
        </w:tc>
        <w:tc>
          <w:tcPr>
            <w:tcW w:w="1161" w:type="dxa"/>
            <w:vAlign w:val="center"/>
          </w:tcPr>
          <w:p w:rsidR="00F12CB1" w:rsidRDefault="00667588">
            <w:pPr>
              <w:jc w:val="center"/>
            </w:pPr>
            <w:r>
              <w:rPr>
                <w:sz w:val="24"/>
                <w:szCs w:val="24"/>
              </w:rPr>
              <w:t>中泰星元灵活配置混合</w:t>
            </w:r>
            <w:r>
              <w:rPr>
                <w:sz w:val="24"/>
                <w:szCs w:val="24"/>
              </w:rPr>
              <w:t>A</w:t>
            </w:r>
          </w:p>
        </w:tc>
        <w:tc>
          <w:tcPr>
            <w:tcW w:w="1161" w:type="dxa"/>
            <w:vAlign w:val="center"/>
          </w:tcPr>
          <w:p w:rsidR="00F12CB1" w:rsidRDefault="00667588">
            <w:pPr>
              <w:jc w:val="center"/>
            </w:pPr>
            <w:r>
              <w:rPr>
                <w:sz w:val="24"/>
                <w:szCs w:val="24"/>
              </w:rPr>
              <w:t>契约型开放式</w:t>
            </w:r>
          </w:p>
        </w:tc>
        <w:tc>
          <w:tcPr>
            <w:tcW w:w="1159" w:type="dxa"/>
            <w:vAlign w:val="center"/>
          </w:tcPr>
          <w:p w:rsidR="00F12CB1" w:rsidRDefault="00667588">
            <w:pPr>
              <w:jc w:val="center"/>
            </w:pPr>
            <w:r>
              <w:rPr>
                <w:sz w:val="24"/>
                <w:szCs w:val="24"/>
              </w:rPr>
              <w:t>500,622.24</w:t>
            </w:r>
          </w:p>
        </w:tc>
        <w:tc>
          <w:tcPr>
            <w:tcW w:w="1305" w:type="dxa"/>
            <w:vAlign w:val="center"/>
          </w:tcPr>
          <w:p w:rsidR="00F12CB1" w:rsidRDefault="00667588">
            <w:pPr>
              <w:jc w:val="center"/>
            </w:pPr>
            <w:r>
              <w:rPr>
                <w:sz w:val="24"/>
                <w:szCs w:val="24"/>
              </w:rPr>
              <w:t>1,218,915.03</w:t>
            </w:r>
          </w:p>
        </w:tc>
        <w:tc>
          <w:tcPr>
            <w:tcW w:w="1161" w:type="dxa"/>
            <w:vAlign w:val="center"/>
          </w:tcPr>
          <w:p w:rsidR="00F12CB1" w:rsidRDefault="00667588">
            <w:pPr>
              <w:jc w:val="center"/>
            </w:pPr>
            <w:r>
              <w:rPr>
                <w:sz w:val="24"/>
                <w:szCs w:val="24"/>
              </w:rPr>
              <w:t>2.63%</w:t>
            </w:r>
          </w:p>
        </w:tc>
        <w:tc>
          <w:tcPr>
            <w:tcW w:w="1301" w:type="dxa"/>
            <w:vAlign w:val="center"/>
          </w:tcPr>
          <w:p w:rsidR="00F12CB1" w:rsidRDefault="00667588">
            <w:pPr>
              <w:jc w:val="center"/>
            </w:pPr>
            <w:r>
              <w:rPr>
                <w:sz w:val="24"/>
                <w:szCs w:val="24"/>
              </w:rPr>
              <w:t>否</w:t>
            </w:r>
          </w:p>
        </w:tc>
      </w:tr>
      <w:tr w:rsidR="00F12CB1">
        <w:tc>
          <w:tcPr>
            <w:tcW w:w="835" w:type="dxa"/>
            <w:vAlign w:val="center"/>
          </w:tcPr>
          <w:p w:rsidR="00F12CB1" w:rsidRDefault="00667588">
            <w:pPr>
              <w:jc w:val="center"/>
            </w:pPr>
            <w:r>
              <w:rPr>
                <w:sz w:val="24"/>
                <w:szCs w:val="24"/>
              </w:rPr>
              <w:t>10</w:t>
            </w:r>
          </w:p>
        </w:tc>
        <w:tc>
          <w:tcPr>
            <w:tcW w:w="1159" w:type="dxa"/>
            <w:vAlign w:val="center"/>
          </w:tcPr>
          <w:p w:rsidR="00F12CB1" w:rsidRDefault="00667588">
            <w:pPr>
              <w:jc w:val="center"/>
            </w:pPr>
            <w:r>
              <w:rPr>
                <w:sz w:val="24"/>
                <w:szCs w:val="24"/>
              </w:rPr>
              <w:t>512760</w:t>
            </w:r>
          </w:p>
        </w:tc>
        <w:tc>
          <w:tcPr>
            <w:tcW w:w="1161" w:type="dxa"/>
            <w:vAlign w:val="center"/>
          </w:tcPr>
          <w:p w:rsidR="00F12CB1" w:rsidRDefault="00667588">
            <w:pPr>
              <w:jc w:val="center"/>
            </w:pPr>
            <w:r>
              <w:rPr>
                <w:sz w:val="24"/>
                <w:szCs w:val="24"/>
              </w:rPr>
              <w:t>国泰</w:t>
            </w:r>
            <w:r>
              <w:rPr>
                <w:sz w:val="24"/>
                <w:szCs w:val="24"/>
              </w:rPr>
              <w:t>CES</w:t>
            </w:r>
            <w:r>
              <w:rPr>
                <w:sz w:val="24"/>
                <w:szCs w:val="24"/>
              </w:rPr>
              <w:t>半导体芯片</w:t>
            </w:r>
            <w:r>
              <w:rPr>
                <w:sz w:val="24"/>
                <w:szCs w:val="24"/>
              </w:rPr>
              <w:t>ETF</w:t>
            </w:r>
          </w:p>
        </w:tc>
        <w:tc>
          <w:tcPr>
            <w:tcW w:w="1161" w:type="dxa"/>
            <w:vAlign w:val="center"/>
          </w:tcPr>
          <w:p w:rsidR="00F12CB1" w:rsidRDefault="00A04ADA">
            <w:pPr>
              <w:jc w:val="center"/>
            </w:pPr>
            <w:r>
              <w:rPr>
                <w:rFonts w:hint="eastAsia"/>
                <w:sz w:val="24"/>
              </w:rPr>
              <w:t>交易</w:t>
            </w:r>
            <w:r>
              <w:rPr>
                <w:sz w:val="24"/>
              </w:rPr>
              <w:t>型开放式</w:t>
            </w:r>
          </w:p>
        </w:tc>
        <w:tc>
          <w:tcPr>
            <w:tcW w:w="1159" w:type="dxa"/>
            <w:vAlign w:val="center"/>
          </w:tcPr>
          <w:p w:rsidR="00F12CB1" w:rsidRDefault="00667588">
            <w:pPr>
              <w:jc w:val="center"/>
            </w:pPr>
            <w:r>
              <w:rPr>
                <w:sz w:val="24"/>
                <w:szCs w:val="24"/>
              </w:rPr>
              <w:t>1,300,800.00</w:t>
            </w:r>
          </w:p>
        </w:tc>
        <w:tc>
          <w:tcPr>
            <w:tcW w:w="1305" w:type="dxa"/>
            <w:vAlign w:val="center"/>
          </w:tcPr>
          <w:p w:rsidR="00F12CB1" w:rsidRDefault="00667588">
            <w:pPr>
              <w:jc w:val="center"/>
            </w:pPr>
            <w:r>
              <w:rPr>
                <w:sz w:val="24"/>
                <w:szCs w:val="24"/>
              </w:rPr>
              <w:t>1,186,329.60</w:t>
            </w:r>
          </w:p>
        </w:tc>
        <w:tc>
          <w:tcPr>
            <w:tcW w:w="1161" w:type="dxa"/>
            <w:vAlign w:val="center"/>
          </w:tcPr>
          <w:p w:rsidR="00F12CB1" w:rsidRDefault="00667588">
            <w:pPr>
              <w:jc w:val="center"/>
            </w:pPr>
            <w:r>
              <w:rPr>
                <w:sz w:val="24"/>
                <w:szCs w:val="24"/>
              </w:rPr>
              <w:t>2.56%</w:t>
            </w:r>
          </w:p>
        </w:tc>
        <w:tc>
          <w:tcPr>
            <w:tcW w:w="1301" w:type="dxa"/>
            <w:vAlign w:val="center"/>
          </w:tcPr>
          <w:p w:rsidR="00F12CB1" w:rsidRDefault="00667588">
            <w:pPr>
              <w:jc w:val="center"/>
            </w:pPr>
            <w:r>
              <w:rPr>
                <w:sz w:val="24"/>
                <w:szCs w:val="24"/>
              </w:rPr>
              <w:t>否</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f2"/>
        <w:tblW w:w="0" w:type="auto"/>
        <w:tblLayout w:type="fixed"/>
        <w:tblLook w:val="04A0" w:firstRow="1" w:lastRow="0" w:firstColumn="1" w:lastColumn="0" w:noHBand="0" w:noVBand="1"/>
      </w:tblPr>
      <w:tblGrid>
        <w:gridCol w:w="3012"/>
        <w:gridCol w:w="3012"/>
        <w:gridCol w:w="3012"/>
      </w:tblGrid>
      <w:tr w:rsidR="001F3E2A" w:rsidRPr="00575270" w:rsidTr="004C0877">
        <w:tc>
          <w:tcPr>
            <w:tcW w:w="3012" w:type="dxa"/>
            <w:vAlign w:val="center"/>
          </w:tcPr>
          <w:p w:rsidR="001F3E2A" w:rsidRPr="00575270" w:rsidRDefault="001F3E2A" w:rsidP="0011537B">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1F3E2A" w:rsidRPr="00575270" w:rsidRDefault="001F3E2A" w:rsidP="004C0877">
            <w:pPr>
              <w:spacing w:line="276" w:lineRule="auto"/>
              <w:jc w:val="center"/>
              <w:rPr>
                <w:sz w:val="24"/>
                <w:szCs w:val="24"/>
              </w:rPr>
            </w:pPr>
            <w:r w:rsidRPr="00575270">
              <w:rPr>
                <w:sz w:val="24"/>
                <w:szCs w:val="24"/>
              </w:rPr>
              <w:t>本期费用</w:t>
            </w:r>
          </w:p>
        </w:tc>
        <w:tc>
          <w:tcPr>
            <w:tcW w:w="3012" w:type="dxa"/>
            <w:vAlign w:val="center"/>
          </w:tcPr>
          <w:p w:rsidR="001F3E2A" w:rsidRPr="00575270" w:rsidRDefault="001F3E2A" w:rsidP="004C0877">
            <w:pPr>
              <w:spacing w:line="276" w:lineRule="auto"/>
              <w:jc w:val="center"/>
              <w:rPr>
                <w:sz w:val="24"/>
                <w:szCs w:val="24"/>
              </w:rPr>
            </w:pPr>
            <w:r w:rsidRPr="00575270">
              <w:rPr>
                <w:sz w:val="24"/>
                <w:szCs w:val="24"/>
              </w:rPr>
              <w:t>其中：交易及持有基金管理人以及管理人关联方所管理基金产生的费用</w:t>
            </w:r>
          </w:p>
        </w:tc>
      </w:tr>
      <w:tr w:rsidR="001F3E2A" w:rsidRPr="00575270" w:rsidTr="004C0877">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当期交易基金产生的申购费</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1F3E2A" w:rsidRPr="00575270" w:rsidTr="004C0877">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1F3E2A" w:rsidRPr="00575270" w:rsidRDefault="00D438E6" w:rsidP="0011537B">
            <w:pPr>
              <w:adjustRightInd w:val="0"/>
              <w:snapToGrid w:val="0"/>
              <w:spacing w:beforeLines="50" w:before="156" w:line="276" w:lineRule="auto"/>
              <w:jc w:val="right"/>
              <w:rPr>
                <w:rFonts w:eastAsiaTheme="minorEastAsia"/>
                <w:color w:val="000000" w:themeColor="text1"/>
                <w:sz w:val="24"/>
                <w:szCs w:val="24"/>
              </w:rPr>
            </w:pPr>
            <w:r>
              <w:rPr>
                <w:rFonts w:eastAsiaTheme="minorEastAsia"/>
                <w:color w:val="000000" w:themeColor="text1"/>
                <w:sz w:val="24"/>
                <w:szCs w:val="24"/>
              </w:rPr>
              <w:t>1,485.38</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1F3E2A" w:rsidRPr="00575270" w:rsidTr="004C0877">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1F3E2A" w:rsidRPr="00575270" w:rsidRDefault="00D438E6" w:rsidP="0011537B">
            <w:pPr>
              <w:adjustRightInd w:val="0"/>
              <w:snapToGrid w:val="0"/>
              <w:spacing w:beforeLines="50" w:before="156" w:line="276" w:lineRule="auto"/>
              <w:jc w:val="right"/>
              <w:rPr>
                <w:rFonts w:eastAsiaTheme="minorEastAsia"/>
                <w:color w:val="000000" w:themeColor="text1"/>
                <w:sz w:val="24"/>
                <w:szCs w:val="24"/>
              </w:rPr>
            </w:pPr>
            <w:r>
              <w:rPr>
                <w:rFonts w:eastAsiaTheme="minorEastAsia"/>
                <w:color w:val="000000" w:themeColor="text1"/>
                <w:sz w:val="24"/>
                <w:szCs w:val="24"/>
              </w:rPr>
              <w:t>636.47</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1F3E2A" w:rsidRPr="00575270" w:rsidTr="004C0877">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1F3E2A" w:rsidRPr="00575270" w:rsidRDefault="002500FD" w:rsidP="0011537B">
            <w:pPr>
              <w:adjustRightInd w:val="0"/>
              <w:snapToGrid w:val="0"/>
              <w:spacing w:beforeLines="50" w:before="156" w:line="276" w:lineRule="auto"/>
              <w:jc w:val="right"/>
              <w:rPr>
                <w:rFonts w:eastAsiaTheme="minorEastAsia"/>
                <w:color w:val="000000" w:themeColor="text1"/>
                <w:sz w:val="24"/>
                <w:szCs w:val="24"/>
              </w:rPr>
            </w:pPr>
            <w:r>
              <w:rPr>
                <w:rFonts w:eastAsiaTheme="minorEastAsia"/>
                <w:color w:val="000000" w:themeColor="text1"/>
                <w:sz w:val="24"/>
                <w:szCs w:val="24"/>
              </w:rPr>
              <w:t>93</w:t>
            </w:r>
            <w:r w:rsidR="00D438E6">
              <w:rPr>
                <w:rFonts w:eastAsiaTheme="minorEastAsia"/>
                <w:color w:val="000000" w:themeColor="text1"/>
                <w:sz w:val="24"/>
                <w:szCs w:val="24"/>
              </w:rPr>
              <w:t>,</w:t>
            </w:r>
            <w:r>
              <w:rPr>
                <w:rFonts w:eastAsiaTheme="minorEastAsia"/>
                <w:color w:val="000000" w:themeColor="text1"/>
                <w:sz w:val="24"/>
                <w:szCs w:val="24"/>
              </w:rPr>
              <w:t>996</w:t>
            </w:r>
            <w:r w:rsidR="00D438E6">
              <w:rPr>
                <w:rFonts w:eastAsiaTheme="minorEastAsia"/>
                <w:color w:val="000000" w:themeColor="text1"/>
                <w:sz w:val="24"/>
                <w:szCs w:val="24"/>
              </w:rPr>
              <w:t>.</w:t>
            </w:r>
            <w:r>
              <w:rPr>
                <w:rFonts w:eastAsiaTheme="minorEastAsia"/>
                <w:color w:val="000000" w:themeColor="text1"/>
                <w:sz w:val="24"/>
                <w:szCs w:val="24"/>
              </w:rPr>
              <w:t>19</w:t>
            </w:r>
          </w:p>
        </w:tc>
        <w:tc>
          <w:tcPr>
            <w:tcW w:w="3012" w:type="dxa"/>
            <w:vAlign w:val="center"/>
          </w:tcPr>
          <w:p w:rsidR="001F3E2A" w:rsidRPr="00575270" w:rsidRDefault="00D438E6" w:rsidP="0011537B">
            <w:pPr>
              <w:adjustRightInd w:val="0"/>
              <w:snapToGrid w:val="0"/>
              <w:spacing w:beforeLines="50" w:before="156" w:line="276" w:lineRule="auto"/>
              <w:jc w:val="right"/>
              <w:rPr>
                <w:rFonts w:eastAsiaTheme="minorEastAsia"/>
                <w:color w:val="000000" w:themeColor="text1"/>
                <w:sz w:val="24"/>
                <w:szCs w:val="24"/>
              </w:rPr>
            </w:pPr>
            <w:r>
              <w:rPr>
                <w:rFonts w:eastAsiaTheme="minorEastAsia"/>
                <w:color w:val="000000" w:themeColor="text1"/>
                <w:sz w:val="24"/>
                <w:szCs w:val="24"/>
              </w:rPr>
              <w:t>8,841.98</w:t>
            </w:r>
          </w:p>
        </w:tc>
      </w:tr>
      <w:tr w:rsidR="001F3E2A" w:rsidRPr="00575270" w:rsidTr="004C0877">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1F3E2A" w:rsidRPr="00575270" w:rsidRDefault="002500FD" w:rsidP="0011537B">
            <w:pPr>
              <w:adjustRightInd w:val="0"/>
              <w:snapToGrid w:val="0"/>
              <w:spacing w:beforeLines="50" w:before="156" w:line="276" w:lineRule="auto"/>
              <w:jc w:val="right"/>
              <w:rPr>
                <w:rFonts w:eastAsiaTheme="minorEastAsia"/>
                <w:color w:val="000000" w:themeColor="text1"/>
                <w:sz w:val="24"/>
                <w:szCs w:val="24"/>
              </w:rPr>
            </w:pPr>
            <w:r>
              <w:rPr>
                <w:rFonts w:eastAsiaTheme="minorEastAsia"/>
                <w:color w:val="000000" w:themeColor="text1"/>
                <w:sz w:val="24"/>
                <w:szCs w:val="24"/>
              </w:rPr>
              <w:t>18</w:t>
            </w:r>
            <w:r w:rsidR="00D438E6">
              <w:rPr>
                <w:rFonts w:eastAsiaTheme="minorEastAsia"/>
                <w:color w:val="000000" w:themeColor="text1"/>
                <w:sz w:val="24"/>
                <w:szCs w:val="24"/>
              </w:rPr>
              <w:t>,</w:t>
            </w:r>
            <w:r>
              <w:rPr>
                <w:rFonts w:eastAsiaTheme="minorEastAsia"/>
                <w:color w:val="000000" w:themeColor="text1"/>
                <w:sz w:val="24"/>
                <w:szCs w:val="24"/>
              </w:rPr>
              <w:t>124</w:t>
            </w:r>
            <w:r w:rsidR="00571139">
              <w:rPr>
                <w:rFonts w:eastAsiaTheme="minorEastAsia"/>
                <w:color w:val="000000" w:themeColor="text1"/>
                <w:sz w:val="24"/>
                <w:szCs w:val="24"/>
              </w:rPr>
              <w:t>.</w:t>
            </w:r>
            <w:r>
              <w:rPr>
                <w:rFonts w:eastAsiaTheme="minorEastAsia"/>
                <w:color w:val="000000" w:themeColor="text1"/>
                <w:sz w:val="24"/>
                <w:szCs w:val="24"/>
              </w:rPr>
              <w:t>93</w:t>
            </w:r>
          </w:p>
        </w:tc>
        <w:tc>
          <w:tcPr>
            <w:tcW w:w="3012" w:type="dxa"/>
            <w:vAlign w:val="center"/>
          </w:tcPr>
          <w:p w:rsidR="001F3E2A" w:rsidRPr="00575270" w:rsidRDefault="00D438E6" w:rsidP="0011537B">
            <w:pPr>
              <w:adjustRightInd w:val="0"/>
              <w:snapToGrid w:val="0"/>
              <w:spacing w:beforeLines="50" w:before="156" w:line="276" w:lineRule="auto"/>
              <w:jc w:val="right"/>
              <w:rPr>
                <w:rFonts w:eastAsiaTheme="minorEastAsia"/>
                <w:color w:val="000000" w:themeColor="text1"/>
                <w:sz w:val="24"/>
                <w:szCs w:val="24"/>
              </w:rPr>
            </w:pPr>
            <w:r>
              <w:rPr>
                <w:rFonts w:eastAsiaTheme="minorEastAsia"/>
                <w:color w:val="000000" w:themeColor="text1"/>
                <w:sz w:val="24"/>
                <w:szCs w:val="24"/>
              </w:rPr>
              <w:t>1,089.43</w:t>
            </w:r>
          </w:p>
        </w:tc>
      </w:tr>
      <w:tr w:rsidR="00F12CB1">
        <w:tc>
          <w:tcPr>
            <w:tcW w:w="3012" w:type="dxa"/>
            <w:vAlign w:val="center"/>
          </w:tcPr>
          <w:p w:rsidR="00F12CB1" w:rsidRDefault="00667588">
            <w:pPr>
              <w:jc w:val="left"/>
            </w:pPr>
            <w:r>
              <w:rPr>
                <w:rFonts w:eastAsiaTheme="minorEastAsia"/>
                <w:color w:val="000000" w:themeColor="text1"/>
                <w:sz w:val="24"/>
                <w:szCs w:val="24"/>
              </w:rPr>
              <w:t>当期交易基金产生的交易费（元）</w:t>
            </w:r>
          </w:p>
        </w:tc>
        <w:tc>
          <w:tcPr>
            <w:tcW w:w="3012" w:type="dxa"/>
            <w:vAlign w:val="center"/>
          </w:tcPr>
          <w:p w:rsidR="00F12CB1" w:rsidRDefault="00667588">
            <w:pPr>
              <w:jc w:val="right"/>
            </w:pPr>
            <w:r>
              <w:rPr>
                <w:rFonts w:eastAsiaTheme="minorEastAsia"/>
                <w:color w:val="000000" w:themeColor="text1"/>
                <w:sz w:val="24"/>
                <w:szCs w:val="24"/>
              </w:rPr>
              <w:t>508.61</w:t>
            </w:r>
          </w:p>
        </w:tc>
        <w:tc>
          <w:tcPr>
            <w:tcW w:w="3012" w:type="dxa"/>
            <w:vAlign w:val="center"/>
          </w:tcPr>
          <w:p w:rsidR="00F12CB1" w:rsidRDefault="00667588">
            <w:pPr>
              <w:jc w:val="right"/>
            </w:pPr>
            <w:r>
              <w:rPr>
                <w:rFonts w:eastAsiaTheme="minorEastAsia"/>
                <w:color w:val="000000" w:themeColor="text1"/>
                <w:sz w:val="24"/>
                <w:szCs w:val="24"/>
              </w:rPr>
              <w:t>7.72</w:t>
            </w:r>
          </w:p>
        </w:tc>
      </w:tr>
      <w:tr w:rsidR="00D438E6">
        <w:tc>
          <w:tcPr>
            <w:tcW w:w="3012" w:type="dxa"/>
            <w:vAlign w:val="center"/>
          </w:tcPr>
          <w:p w:rsidR="00D438E6" w:rsidRDefault="00D438E6">
            <w:pPr>
              <w:jc w:val="left"/>
              <w:rPr>
                <w:rFonts w:eastAsiaTheme="minorEastAsia"/>
                <w:color w:val="000000" w:themeColor="text1"/>
                <w:sz w:val="24"/>
                <w:szCs w:val="24"/>
              </w:rPr>
            </w:pPr>
            <w:r>
              <w:rPr>
                <w:rFonts w:eastAsiaTheme="minorEastAsia"/>
                <w:color w:val="000000" w:themeColor="text1"/>
                <w:sz w:val="24"/>
                <w:szCs w:val="24"/>
              </w:rPr>
              <w:t>当期交易基金产生的</w:t>
            </w:r>
            <w:r>
              <w:rPr>
                <w:rFonts w:eastAsiaTheme="minorEastAsia" w:hint="eastAsia"/>
                <w:color w:val="000000" w:themeColor="text1"/>
                <w:sz w:val="24"/>
                <w:szCs w:val="24"/>
              </w:rPr>
              <w:t>转换</w:t>
            </w:r>
            <w:r>
              <w:rPr>
                <w:rFonts w:eastAsiaTheme="minorEastAsia"/>
                <w:color w:val="000000" w:themeColor="text1"/>
                <w:sz w:val="24"/>
                <w:szCs w:val="24"/>
              </w:rPr>
              <w:t>费（元）</w:t>
            </w:r>
          </w:p>
        </w:tc>
        <w:tc>
          <w:tcPr>
            <w:tcW w:w="3012" w:type="dxa"/>
            <w:vAlign w:val="center"/>
          </w:tcPr>
          <w:p w:rsidR="00D438E6" w:rsidRDefault="00D438E6">
            <w:pPr>
              <w:jc w:val="right"/>
              <w:rPr>
                <w:rFonts w:eastAsiaTheme="minorEastAsia"/>
                <w:color w:val="000000" w:themeColor="text1"/>
                <w:sz w:val="24"/>
                <w:szCs w:val="24"/>
              </w:rPr>
            </w:pPr>
            <w:r>
              <w:rPr>
                <w:rFonts w:eastAsiaTheme="minorEastAsia" w:hint="eastAsia"/>
                <w:color w:val="000000" w:themeColor="text1"/>
                <w:sz w:val="24"/>
                <w:szCs w:val="24"/>
              </w:rPr>
              <w:t>1</w:t>
            </w:r>
            <w:r>
              <w:rPr>
                <w:rFonts w:eastAsiaTheme="minorEastAsia"/>
                <w:color w:val="000000" w:themeColor="text1"/>
                <w:sz w:val="24"/>
                <w:szCs w:val="24"/>
              </w:rPr>
              <w:t>4,383.49</w:t>
            </w:r>
          </w:p>
        </w:tc>
        <w:tc>
          <w:tcPr>
            <w:tcW w:w="3012" w:type="dxa"/>
            <w:vAlign w:val="center"/>
          </w:tcPr>
          <w:p w:rsidR="00D438E6" w:rsidRDefault="00D438E6">
            <w:pPr>
              <w:jc w:val="right"/>
              <w:rPr>
                <w:rFonts w:eastAsiaTheme="minorEastAsia"/>
                <w:color w:val="000000" w:themeColor="text1"/>
                <w:sz w:val="24"/>
                <w:szCs w:val="24"/>
              </w:rPr>
            </w:pP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50,105,049.32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289.19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50,105,338.51</w:t>
            </w:r>
          </w:p>
        </w:tc>
      </w:tr>
    </w:tbl>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f2"/>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50,005,944.44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50,005,944.44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99.80</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无</w:t>
      </w:r>
    </w:p>
    <w:p w:rsidR="00480B35" w:rsidRPr="00414345" w:rsidRDefault="00480B35" w:rsidP="00C15CAC">
      <w:pPr>
        <w:autoSpaceDE w:val="0"/>
        <w:autoSpaceDN w:val="0"/>
        <w:adjustRightInd w:val="0"/>
        <w:spacing w:before="29" w:line="288" w:lineRule="auto"/>
        <w:jc w:val="left"/>
        <w:rPr>
          <w:color w:val="000000"/>
          <w:sz w:val="24"/>
        </w:rPr>
      </w:pPr>
    </w:p>
    <w:p w:rsidR="00D21FFF" w:rsidRPr="00414345" w:rsidRDefault="00D21FFF"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423B9" w:rsidRPr="00414345">
        <w:rPr>
          <w:color w:val="000000"/>
          <w:kern w:val="0"/>
          <w:sz w:val="24"/>
          <w:szCs w:val="24"/>
        </w:rPr>
        <w:t>9</w:t>
      </w:r>
      <w:r w:rsidR="00834E74">
        <w:rPr>
          <w:color w:val="000000"/>
          <w:kern w:val="0"/>
          <w:sz w:val="24"/>
          <w:szCs w:val="24"/>
        </w:rPr>
        <w:t xml:space="preserve">  </w:t>
      </w:r>
      <w:r w:rsidR="003307FE" w:rsidRPr="00414345">
        <w:rPr>
          <w:color w:val="000000"/>
          <w:kern w:val="0"/>
          <w:sz w:val="24"/>
          <w:szCs w:val="24"/>
        </w:rPr>
        <w:t>报告期末</w:t>
      </w:r>
      <w:r w:rsidRPr="00414345">
        <w:rPr>
          <w:color w:val="000000"/>
          <w:kern w:val="0"/>
          <w:sz w:val="24"/>
          <w:szCs w:val="24"/>
        </w:rPr>
        <w:t>发起式基金发起资金持有份额情况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2387"/>
        <w:gridCol w:w="1156"/>
        <w:gridCol w:w="1312"/>
        <w:gridCol w:w="1064"/>
        <w:gridCol w:w="1456"/>
        <w:gridCol w:w="1493"/>
      </w:tblGrid>
      <w:tr w:rsidR="00D21FFF" w:rsidRPr="00414345" w:rsidTr="00AB4DB6">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widowControl/>
              <w:spacing w:before="29" w:line="288" w:lineRule="auto"/>
              <w:jc w:val="center"/>
              <w:rPr>
                <w:color w:val="000000"/>
                <w:sz w:val="24"/>
                <w:szCs w:val="24"/>
              </w:rPr>
            </w:pPr>
            <w:r w:rsidRPr="00414345">
              <w:rPr>
                <w:color w:val="000000"/>
                <w:sz w:val="24"/>
                <w:szCs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widowControl/>
              <w:spacing w:before="29" w:line="288" w:lineRule="auto"/>
              <w:jc w:val="center"/>
              <w:rPr>
                <w:color w:val="000000"/>
                <w:sz w:val="24"/>
                <w:szCs w:val="24"/>
              </w:rPr>
            </w:pPr>
            <w:r w:rsidRPr="00414345">
              <w:rPr>
                <w:color w:val="000000"/>
                <w:sz w:val="24"/>
                <w:szCs w:val="24"/>
              </w:rPr>
              <w:t>发起份额承诺持有期限</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50,005,944.44</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99.80%</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10,001,388.92</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19.96%</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r w:rsidR="00D21FFF" w:rsidRPr="00414345" w:rsidTr="00AB4DB6">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385.52</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0.00%</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50,006,329.96</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99.80%</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10,001,388.92</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19.96%</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bl>
    <w:p w:rsidR="005B09FA" w:rsidRPr="00414345" w:rsidRDefault="005B09FA" w:rsidP="00C15CAC">
      <w:pPr>
        <w:autoSpaceDE w:val="0"/>
        <w:autoSpaceDN w:val="0"/>
        <w:adjustRightInd w:val="0"/>
        <w:spacing w:before="29" w:line="288" w:lineRule="auto"/>
        <w:jc w:val="left"/>
        <w:rPr>
          <w:color w:val="000000"/>
          <w:sz w:val="24"/>
          <w:szCs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§10</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10.</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C0877">
        <w:tc>
          <w:tcPr>
            <w:tcW w:w="993" w:type="dxa"/>
            <w:vMerge w:val="restart"/>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C0877">
        <w:tc>
          <w:tcPr>
            <w:tcW w:w="993" w:type="dxa"/>
            <w:vMerge/>
            <w:vAlign w:val="center"/>
          </w:tcPr>
          <w:p w:rsidR="003C50AD" w:rsidRPr="004F4D27" w:rsidRDefault="003C50AD" w:rsidP="004C0877">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C0877">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C0877">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C0877">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F12CB1">
        <w:tc>
          <w:tcPr>
            <w:tcW w:w="993" w:type="dxa"/>
            <w:vAlign w:val="center"/>
          </w:tcPr>
          <w:p w:rsidR="00F12CB1" w:rsidRDefault="00667588">
            <w:r>
              <w:rPr>
                <w:rFonts w:ascii="宋体" w:hAnsi="宋体" w:hint="eastAsia"/>
                <w:bCs/>
                <w:color w:val="000000"/>
                <w:kern w:val="0"/>
              </w:rPr>
              <w:t>机构</w:t>
            </w:r>
          </w:p>
        </w:tc>
        <w:tc>
          <w:tcPr>
            <w:tcW w:w="992" w:type="dxa"/>
            <w:vAlign w:val="center"/>
          </w:tcPr>
          <w:p w:rsidR="00F12CB1" w:rsidRDefault="00667588">
            <w:pPr>
              <w:jc w:val="center"/>
            </w:pPr>
            <w:r>
              <w:rPr>
                <w:rFonts w:ascii="宋体" w:hAnsi="宋体"/>
                <w:color w:val="000000"/>
                <w:kern w:val="0"/>
              </w:rPr>
              <w:t>1</w:t>
            </w:r>
          </w:p>
        </w:tc>
        <w:tc>
          <w:tcPr>
            <w:tcW w:w="1843" w:type="dxa"/>
            <w:vAlign w:val="center"/>
          </w:tcPr>
          <w:p w:rsidR="00F12CB1" w:rsidRDefault="00667588">
            <w:pPr>
              <w:jc w:val="center"/>
            </w:pPr>
            <w:r>
              <w:rPr>
                <w:rFonts w:ascii="宋体" w:hAnsi="宋体"/>
                <w:color w:val="000000"/>
                <w:kern w:val="0"/>
              </w:rPr>
              <w:t>20230701-20230930</w:t>
            </w:r>
          </w:p>
        </w:tc>
        <w:tc>
          <w:tcPr>
            <w:tcW w:w="851" w:type="dxa"/>
            <w:vAlign w:val="center"/>
          </w:tcPr>
          <w:p w:rsidR="00F12CB1" w:rsidRDefault="00667588">
            <w:pPr>
              <w:jc w:val="center"/>
            </w:pPr>
            <w:r>
              <w:rPr>
                <w:rFonts w:ascii="宋体" w:hAnsi="宋体"/>
                <w:color w:val="000000"/>
                <w:kern w:val="0"/>
              </w:rPr>
              <w:t>50,005,944.44</w:t>
            </w:r>
          </w:p>
        </w:tc>
        <w:tc>
          <w:tcPr>
            <w:tcW w:w="850" w:type="dxa"/>
            <w:vAlign w:val="center"/>
          </w:tcPr>
          <w:p w:rsidR="00F12CB1" w:rsidRDefault="00667588">
            <w:pPr>
              <w:jc w:val="center"/>
            </w:pPr>
            <w:r>
              <w:rPr>
                <w:rFonts w:ascii="宋体" w:hAnsi="宋体"/>
                <w:color w:val="000000"/>
                <w:kern w:val="0"/>
              </w:rPr>
              <w:t>0.00</w:t>
            </w:r>
          </w:p>
        </w:tc>
        <w:tc>
          <w:tcPr>
            <w:tcW w:w="1134" w:type="dxa"/>
            <w:vAlign w:val="center"/>
          </w:tcPr>
          <w:p w:rsidR="00F12CB1" w:rsidRDefault="00667588">
            <w:pPr>
              <w:jc w:val="center"/>
            </w:pPr>
            <w:r>
              <w:rPr>
                <w:rFonts w:ascii="宋体" w:hAnsi="宋体"/>
                <w:color w:val="000000"/>
                <w:kern w:val="0"/>
              </w:rPr>
              <w:t>0.00</w:t>
            </w:r>
          </w:p>
        </w:tc>
        <w:tc>
          <w:tcPr>
            <w:tcW w:w="1419" w:type="dxa"/>
            <w:vAlign w:val="center"/>
          </w:tcPr>
          <w:p w:rsidR="00F12CB1" w:rsidRDefault="00667588">
            <w:pPr>
              <w:jc w:val="center"/>
            </w:pPr>
            <w:r>
              <w:rPr>
                <w:rFonts w:ascii="宋体" w:hAnsi="宋体"/>
                <w:color w:val="000000"/>
                <w:kern w:val="0"/>
              </w:rPr>
              <w:t>50,005,944.44</w:t>
            </w:r>
          </w:p>
        </w:tc>
        <w:tc>
          <w:tcPr>
            <w:tcW w:w="1130" w:type="dxa"/>
            <w:vAlign w:val="center"/>
          </w:tcPr>
          <w:p w:rsidR="00F12CB1" w:rsidRDefault="00667588">
            <w:pPr>
              <w:jc w:val="center"/>
            </w:pPr>
            <w:r>
              <w:rPr>
                <w:rFonts w:ascii="宋体" w:hAnsi="宋体"/>
                <w:color w:val="000000"/>
                <w:kern w:val="0"/>
              </w:rPr>
              <w:t>99.80%</w:t>
            </w:r>
          </w:p>
        </w:tc>
      </w:tr>
      <w:tr w:rsidR="003C50AD" w:rsidRPr="004F4D27" w:rsidTr="004C0877">
        <w:tc>
          <w:tcPr>
            <w:tcW w:w="9212" w:type="dxa"/>
            <w:gridSpan w:val="8"/>
            <w:vAlign w:val="center"/>
          </w:tcPr>
          <w:p w:rsidR="003C50AD" w:rsidRPr="004F4D27" w:rsidRDefault="003C50AD" w:rsidP="004C0877">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C0877">
        <w:tc>
          <w:tcPr>
            <w:tcW w:w="9212" w:type="dxa"/>
            <w:gridSpan w:val="8"/>
            <w:vAlign w:val="center"/>
          </w:tcPr>
          <w:p w:rsidR="003C50AD" w:rsidRPr="004F4D27" w:rsidRDefault="003C50AD" w:rsidP="004C0877">
            <w:pPr>
              <w:autoSpaceDE w:val="0"/>
              <w:autoSpaceDN w:val="0"/>
              <w:adjustRightInd w:val="0"/>
              <w:jc w:val="left"/>
              <w:rPr>
                <w:rFonts w:ascii="宋体" w:hAnsi="宋体"/>
                <w:kern w:val="0"/>
              </w:rPr>
            </w:pPr>
            <w:r w:rsidRPr="004F4D27">
              <w:rPr>
                <w:rFonts w:ascii="宋体" w:hAnsi="宋体" w:hint="eastAsia"/>
                <w:kern w:val="0"/>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11</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12CB1" w:rsidRDefault="00667588">
      <w:pPr>
        <w:spacing w:before="29" w:line="288" w:lineRule="auto"/>
        <w:ind w:firstLineChars="200" w:firstLine="480"/>
        <w:rPr>
          <w:color w:val="000000"/>
          <w:sz w:val="24"/>
          <w:szCs w:val="24"/>
        </w:rPr>
      </w:pPr>
      <w:r>
        <w:rPr>
          <w:color w:val="000000"/>
          <w:sz w:val="24"/>
          <w:szCs w:val="24"/>
        </w:rPr>
        <w:t>(</w:t>
      </w:r>
      <w:r>
        <w:rPr>
          <w:color w:val="000000"/>
          <w:sz w:val="24"/>
          <w:szCs w:val="24"/>
        </w:rPr>
        <w:t>一</w:t>
      </w:r>
      <w:r>
        <w:rPr>
          <w:color w:val="000000"/>
          <w:sz w:val="24"/>
          <w:szCs w:val="24"/>
        </w:rPr>
        <w:t>)</w:t>
      </w:r>
      <w:r>
        <w:rPr>
          <w:color w:val="000000"/>
          <w:sz w:val="24"/>
          <w:szCs w:val="24"/>
        </w:rPr>
        <w:t>中国证监会准予本基金募集注册的文件</w:t>
      </w:r>
    </w:p>
    <w:p w:rsidR="00F12CB1" w:rsidRDefault="00667588">
      <w:pPr>
        <w:spacing w:before="29" w:line="288" w:lineRule="auto"/>
        <w:ind w:firstLineChars="200" w:firstLine="480"/>
        <w:rPr>
          <w:color w:val="000000"/>
          <w:sz w:val="24"/>
          <w:szCs w:val="24"/>
        </w:rPr>
      </w:pPr>
      <w:r>
        <w:rPr>
          <w:color w:val="000000"/>
          <w:sz w:val="24"/>
          <w:szCs w:val="24"/>
        </w:rPr>
        <w:t>(</w:t>
      </w:r>
      <w:r>
        <w:rPr>
          <w:color w:val="000000"/>
          <w:sz w:val="24"/>
          <w:szCs w:val="24"/>
        </w:rPr>
        <w:t>二</w:t>
      </w:r>
      <w:r>
        <w:rPr>
          <w:color w:val="000000"/>
          <w:sz w:val="24"/>
          <w:szCs w:val="24"/>
        </w:rPr>
        <w:t>)</w:t>
      </w:r>
      <w:r>
        <w:rPr>
          <w:color w:val="000000"/>
          <w:sz w:val="24"/>
          <w:szCs w:val="24"/>
        </w:rPr>
        <w:t>摩根锦颐养老目标日期</w:t>
      </w:r>
      <w:r>
        <w:rPr>
          <w:color w:val="000000"/>
          <w:sz w:val="24"/>
          <w:szCs w:val="24"/>
        </w:rPr>
        <w:t>2035</w:t>
      </w:r>
      <w:r>
        <w:rPr>
          <w:color w:val="000000"/>
          <w:sz w:val="24"/>
          <w:szCs w:val="24"/>
        </w:rPr>
        <w:t>三年持有期混合型发起式基金中基金</w:t>
      </w:r>
      <w:r>
        <w:rPr>
          <w:color w:val="000000"/>
          <w:sz w:val="24"/>
          <w:szCs w:val="24"/>
        </w:rPr>
        <w:t>(FOF)</w:t>
      </w:r>
      <w:r>
        <w:rPr>
          <w:color w:val="000000"/>
          <w:sz w:val="24"/>
          <w:szCs w:val="24"/>
        </w:rPr>
        <w:t>基金合同</w:t>
      </w:r>
    </w:p>
    <w:p w:rsidR="00F12CB1" w:rsidRDefault="00667588">
      <w:pPr>
        <w:spacing w:before="29" w:line="288" w:lineRule="auto"/>
        <w:ind w:firstLineChars="200" w:firstLine="480"/>
        <w:rPr>
          <w:color w:val="000000"/>
          <w:sz w:val="24"/>
          <w:szCs w:val="24"/>
        </w:rPr>
      </w:pPr>
      <w:r>
        <w:rPr>
          <w:color w:val="000000"/>
          <w:sz w:val="24"/>
          <w:szCs w:val="24"/>
        </w:rPr>
        <w:t>(</w:t>
      </w:r>
      <w:r>
        <w:rPr>
          <w:color w:val="000000"/>
          <w:sz w:val="24"/>
          <w:szCs w:val="24"/>
        </w:rPr>
        <w:t>三</w:t>
      </w:r>
      <w:r>
        <w:rPr>
          <w:color w:val="000000"/>
          <w:sz w:val="24"/>
          <w:szCs w:val="24"/>
        </w:rPr>
        <w:t>)</w:t>
      </w:r>
      <w:r>
        <w:rPr>
          <w:color w:val="000000"/>
          <w:sz w:val="24"/>
          <w:szCs w:val="24"/>
        </w:rPr>
        <w:t>摩根锦颐养老目标日期</w:t>
      </w:r>
      <w:r>
        <w:rPr>
          <w:color w:val="000000"/>
          <w:sz w:val="24"/>
          <w:szCs w:val="24"/>
        </w:rPr>
        <w:t>2035</w:t>
      </w:r>
      <w:r>
        <w:rPr>
          <w:color w:val="000000"/>
          <w:sz w:val="24"/>
          <w:szCs w:val="24"/>
        </w:rPr>
        <w:t>三年持有期混合型发起式基金中基金</w:t>
      </w:r>
      <w:r>
        <w:rPr>
          <w:color w:val="000000"/>
          <w:sz w:val="24"/>
          <w:szCs w:val="24"/>
        </w:rPr>
        <w:t>(FOF)</w:t>
      </w:r>
      <w:r>
        <w:rPr>
          <w:color w:val="000000"/>
          <w:sz w:val="24"/>
          <w:szCs w:val="24"/>
        </w:rPr>
        <w:t>托管协议</w:t>
      </w:r>
    </w:p>
    <w:p w:rsidR="00F12CB1" w:rsidRDefault="00667588">
      <w:pPr>
        <w:spacing w:before="29" w:line="288" w:lineRule="auto"/>
        <w:ind w:firstLineChars="200" w:firstLine="480"/>
        <w:rPr>
          <w:color w:val="000000"/>
          <w:sz w:val="24"/>
          <w:szCs w:val="24"/>
        </w:rPr>
      </w:pPr>
      <w:r>
        <w:rPr>
          <w:color w:val="000000"/>
          <w:sz w:val="24"/>
          <w:szCs w:val="24"/>
        </w:rPr>
        <w:t>(</w:t>
      </w:r>
      <w:r>
        <w:rPr>
          <w:color w:val="000000"/>
          <w:sz w:val="24"/>
          <w:szCs w:val="24"/>
        </w:rPr>
        <w:t>四</w:t>
      </w:r>
      <w:r>
        <w:rPr>
          <w:color w:val="000000"/>
          <w:sz w:val="24"/>
          <w:szCs w:val="24"/>
        </w:rPr>
        <w:t>)</w:t>
      </w:r>
      <w:r>
        <w:rPr>
          <w:color w:val="000000"/>
          <w:sz w:val="24"/>
          <w:szCs w:val="24"/>
        </w:rPr>
        <w:t>法律意见书</w:t>
      </w:r>
    </w:p>
    <w:p w:rsidR="00F12CB1" w:rsidRDefault="00667588">
      <w:pPr>
        <w:spacing w:before="29" w:line="288" w:lineRule="auto"/>
        <w:ind w:firstLineChars="200" w:firstLine="480"/>
        <w:rPr>
          <w:color w:val="000000"/>
          <w:sz w:val="24"/>
          <w:szCs w:val="24"/>
        </w:rPr>
      </w:pPr>
      <w:r>
        <w:rPr>
          <w:color w:val="000000"/>
          <w:sz w:val="24"/>
          <w:szCs w:val="24"/>
        </w:rPr>
        <w:t>(</w:t>
      </w:r>
      <w:r>
        <w:rPr>
          <w:color w:val="000000"/>
          <w:sz w:val="24"/>
          <w:szCs w:val="24"/>
        </w:rPr>
        <w:t>五</w:t>
      </w:r>
      <w:r>
        <w:rPr>
          <w:color w:val="000000"/>
          <w:sz w:val="24"/>
          <w:szCs w:val="24"/>
        </w:rPr>
        <w:t>)</w:t>
      </w:r>
      <w:r>
        <w:rPr>
          <w:color w:val="000000"/>
          <w:sz w:val="24"/>
          <w:szCs w:val="24"/>
        </w:rPr>
        <w:t>基金管理人业务资格批件、营业执照</w:t>
      </w:r>
    </w:p>
    <w:p w:rsidR="00F12CB1" w:rsidRDefault="00667588">
      <w:pPr>
        <w:spacing w:before="29" w:line="288" w:lineRule="auto"/>
        <w:ind w:firstLineChars="200" w:firstLine="480"/>
        <w:rPr>
          <w:color w:val="000000"/>
          <w:sz w:val="24"/>
          <w:szCs w:val="24"/>
        </w:rPr>
      </w:pPr>
      <w:r>
        <w:rPr>
          <w:color w:val="000000"/>
          <w:sz w:val="24"/>
          <w:szCs w:val="24"/>
        </w:rPr>
        <w:t>(</w:t>
      </w:r>
      <w:r>
        <w:rPr>
          <w:color w:val="000000"/>
          <w:sz w:val="24"/>
          <w:szCs w:val="24"/>
        </w:rPr>
        <w:t>六</w:t>
      </w:r>
      <w:r>
        <w:rPr>
          <w:color w:val="000000"/>
          <w:sz w:val="24"/>
          <w:szCs w:val="24"/>
        </w:rPr>
        <w:t>)</w:t>
      </w:r>
      <w:r>
        <w:rPr>
          <w:color w:val="000000"/>
          <w:sz w:val="24"/>
          <w:szCs w:val="24"/>
        </w:rPr>
        <w:t>基金托管人业务资格批件、营业执照</w:t>
      </w:r>
    </w:p>
    <w:p w:rsidR="00F12CB1" w:rsidRDefault="00667588">
      <w:pPr>
        <w:spacing w:before="29" w:line="288" w:lineRule="auto"/>
        <w:ind w:firstLineChars="200" w:firstLine="480"/>
        <w:rPr>
          <w:color w:val="000000"/>
          <w:sz w:val="24"/>
          <w:szCs w:val="24"/>
        </w:rPr>
      </w:pPr>
      <w:r>
        <w:rPr>
          <w:color w:val="000000"/>
          <w:sz w:val="24"/>
          <w:szCs w:val="24"/>
        </w:rPr>
        <w:t>(</w:t>
      </w:r>
      <w:r>
        <w:rPr>
          <w:color w:val="000000"/>
          <w:sz w:val="24"/>
          <w:szCs w:val="24"/>
        </w:rPr>
        <w:t>七</w:t>
      </w:r>
      <w:r>
        <w:rPr>
          <w:color w:val="000000"/>
          <w:sz w:val="24"/>
          <w:szCs w:val="24"/>
        </w:rPr>
        <w:t>)</w:t>
      </w:r>
      <w:r>
        <w:rPr>
          <w:color w:val="000000"/>
          <w:sz w:val="24"/>
          <w:szCs w:val="24"/>
        </w:rPr>
        <w:t>摩根基金管理（中国）有限公司开放式基金业务规则</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w:t>
      </w:r>
      <w:r w:rsidRPr="00414345">
        <w:rPr>
          <w:color w:val="000000"/>
          <w:sz w:val="24"/>
          <w:szCs w:val="24"/>
        </w:rPr>
        <w:t>八</w:t>
      </w:r>
      <w:r w:rsidRPr="00414345">
        <w:rPr>
          <w:color w:val="000000"/>
          <w:sz w:val="24"/>
          <w:szCs w:val="24"/>
        </w:rPr>
        <w:t>)</w:t>
      </w:r>
      <w:r w:rsidRPr="00414345">
        <w:rPr>
          <w:color w:val="000000"/>
          <w:sz w:val="24"/>
          <w:szCs w:val="24"/>
        </w:rPr>
        <w:t>中国证监会要求的其他文件</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基金管理人或基金托管人处。</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投资者可在营业时间免费查阅，也可按工本费购买复印件。</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770" w:rsidRDefault="00880770" w:rsidP="00876D65">
      <w:r>
        <w:separator/>
      </w:r>
    </w:p>
  </w:endnote>
  <w:endnote w:type="continuationSeparator" w:id="0">
    <w:p w:rsidR="00880770" w:rsidRDefault="0088077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微软雅黑"/>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Default="004C087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Pr="001D0DB0" w:rsidRDefault="004C0877" w:rsidP="004D340C">
    <w:pPr>
      <w:pStyle w:val="a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86603">
      <w:rPr>
        <w:noProof/>
        <w:kern w:val="0"/>
        <w:szCs w:val="21"/>
      </w:rPr>
      <w:t>15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86603">
      <w:rPr>
        <w:noProof/>
        <w:kern w:val="0"/>
        <w:szCs w:val="21"/>
      </w:rPr>
      <w:t>15</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Default="004C08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770" w:rsidRDefault="00880770" w:rsidP="00876D65">
      <w:r>
        <w:separator/>
      </w:r>
    </w:p>
  </w:footnote>
  <w:footnote w:type="continuationSeparator" w:id="0">
    <w:p w:rsidR="00880770" w:rsidRDefault="00880770"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Default="004C087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Pr="00DC456F" w:rsidRDefault="004C0877" w:rsidP="00090A26">
    <w:pPr>
      <w:pStyle w:val="ac"/>
      <w:pBdr>
        <w:bottom w:val="single" w:sz="6" w:space="0" w:color="auto"/>
      </w:pBdr>
      <w:jc w:val="right"/>
      <w:rPr>
        <w:sz w:val="24"/>
        <w:szCs w:val="24"/>
      </w:rPr>
    </w:pPr>
    <w:r w:rsidRPr="003E676C">
      <w:rPr>
        <w:sz w:val="24"/>
        <w:szCs w:val="24"/>
      </w:rPr>
      <w:t>摩根锦颐养老目标日期</w:t>
    </w:r>
    <w:r w:rsidRPr="003E676C">
      <w:rPr>
        <w:sz w:val="24"/>
        <w:szCs w:val="24"/>
      </w:rPr>
      <w:t>2035</w:t>
    </w:r>
    <w:r w:rsidRPr="003E676C">
      <w:rPr>
        <w:sz w:val="24"/>
        <w:szCs w:val="24"/>
      </w:rPr>
      <w:t>三年持有期混合型发起式基金中基金</w:t>
    </w:r>
    <w:r w:rsidRPr="003E676C">
      <w:rPr>
        <w:sz w:val="24"/>
        <w:szCs w:val="24"/>
      </w:rPr>
      <w:t>(FOF)2023</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Default="004C087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777B"/>
    <w:rsid w:val="000815C0"/>
    <w:rsid w:val="000824E7"/>
    <w:rsid w:val="0008313A"/>
    <w:rsid w:val="00085E78"/>
    <w:rsid w:val="0008689B"/>
    <w:rsid w:val="00086D4E"/>
    <w:rsid w:val="000907D2"/>
    <w:rsid w:val="00090A26"/>
    <w:rsid w:val="00092C86"/>
    <w:rsid w:val="000A2B53"/>
    <w:rsid w:val="000A2FC0"/>
    <w:rsid w:val="000A4173"/>
    <w:rsid w:val="000B1D21"/>
    <w:rsid w:val="000B1EB7"/>
    <w:rsid w:val="000B5C78"/>
    <w:rsid w:val="000B624F"/>
    <w:rsid w:val="000B73C6"/>
    <w:rsid w:val="000C190B"/>
    <w:rsid w:val="000C1E17"/>
    <w:rsid w:val="000C5216"/>
    <w:rsid w:val="000D0728"/>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5D02"/>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03D29"/>
    <w:rsid w:val="00213821"/>
    <w:rsid w:val="00213DFB"/>
    <w:rsid w:val="00217B92"/>
    <w:rsid w:val="0022165B"/>
    <w:rsid w:val="0022309F"/>
    <w:rsid w:val="00224294"/>
    <w:rsid w:val="002279D3"/>
    <w:rsid w:val="00240248"/>
    <w:rsid w:val="0024363B"/>
    <w:rsid w:val="00246049"/>
    <w:rsid w:val="00247332"/>
    <w:rsid w:val="002500FD"/>
    <w:rsid w:val="00253578"/>
    <w:rsid w:val="00261111"/>
    <w:rsid w:val="00264E55"/>
    <w:rsid w:val="00270744"/>
    <w:rsid w:val="002731EC"/>
    <w:rsid w:val="00275745"/>
    <w:rsid w:val="0027688F"/>
    <w:rsid w:val="00276E44"/>
    <w:rsid w:val="00285DB3"/>
    <w:rsid w:val="00285F38"/>
    <w:rsid w:val="00286603"/>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25F48"/>
    <w:rsid w:val="003307FE"/>
    <w:rsid w:val="00333AD0"/>
    <w:rsid w:val="00336EAF"/>
    <w:rsid w:val="003470E2"/>
    <w:rsid w:val="0035076C"/>
    <w:rsid w:val="00352719"/>
    <w:rsid w:val="0035383E"/>
    <w:rsid w:val="00355364"/>
    <w:rsid w:val="00356A8C"/>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877"/>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1139"/>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67588"/>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0B06"/>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2138"/>
    <w:rsid w:val="00843513"/>
    <w:rsid w:val="008442C4"/>
    <w:rsid w:val="00844DB2"/>
    <w:rsid w:val="00846739"/>
    <w:rsid w:val="00853140"/>
    <w:rsid w:val="00854537"/>
    <w:rsid w:val="00855F31"/>
    <w:rsid w:val="008606B6"/>
    <w:rsid w:val="00861E6D"/>
    <w:rsid w:val="008700EC"/>
    <w:rsid w:val="008749A7"/>
    <w:rsid w:val="00875DAC"/>
    <w:rsid w:val="00876D65"/>
    <w:rsid w:val="00880770"/>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65745"/>
    <w:rsid w:val="0097259E"/>
    <w:rsid w:val="009730B8"/>
    <w:rsid w:val="009734BB"/>
    <w:rsid w:val="0097424F"/>
    <w:rsid w:val="00975DED"/>
    <w:rsid w:val="0098122D"/>
    <w:rsid w:val="00986596"/>
    <w:rsid w:val="00990685"/>
    <w:rsid w:val="009A0ABE"/>
    <w:rsid w:val="009A4E5D"/>
    <w:rsid w:val="009B2D4B"/>
    <w:rsid w:val="009C5186"/>
    <w:rsid w:val="009C60F7"/>
    <w:rsid w:val="009D0952"/>
    <w:rsid w:val="009D10B9"/>
    <w:rsid w:val="009E19A9"/>
    <w:rsid w:val="009E31DA"/>
    <w:rsid w:val="009E402C"/>
    <w:rsid w:val="009E7C6A"/>
    <w:rsid w:val="009F3659"/>
    <w:rsid w:val="009F4861"/>
    <w:rsid w:val="009F61BE"/>
    <w:rsid w:val="009F7ED4"/>
    <w:rsid w:val="00A03AAC"/>
    <w:rsid w:val="00A047D1"/>
    <w:rsid w:val="00A04ADA"/>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22AB"/>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34AA"/>
    <w:rsid w:val="00AB4DB6"/>
    <w:rsid w:val="00AB6E79"/>
    <w:rsid w:val="00AC063D"/>
    <w:rsid w:val="00AC592E"/>
    <w:rsid w:val="00AC5FC0"/>
    <w:rsid w:val="00AC6C10"/>
    <w:rsid w:val="00AC7BC6"/>
    <w:rsid w:val="00AD24AA"/>
    <w:rsid w:val="00AE02BF"/>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60EE"/>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1323"/>
    <w:rsid w:val="00D346D9"/>
    <w:rsid w:val="00D438E6"/>
    <w:rsid w:val="00D43AFB"/>
    <w:rsid w:val="00D44EE8"/>
    <w:rsid w:val="00D57B7C"/>
    <w:rsid w:val="00D65B44"/>
    <w:rsid w:val="00D75E69"/>
    <w:rsid w:val="00D8099B"/>
    <w:rsid w:val="00D817AE"/>
    <w:rsid w:val="00D866A8"/>
    <w:rsid w:val="00D91E06"/>
    <w:rsid w:val="00D9393A"/>
    <w:rsid w:val="00D94B8D"/>
    <w:rsid w:val="00D96C8D"/>
    <w:rsid w:val="00D974EF"/>
    <w:rsid w:val="00DA0C61"/>
    <w:rsid w:val="00DA14B0"/>
    <w:rsid w:val="00DA2876"/>
    <w:rsid w:val="00DA5572"/>
    <w:rsid w:val="00DA66D0"/>
    <w:rsid w:val="00DC0B51"/>
    <w:rsid w:val="00DC141F"/>
    <w:rsid w:val="00DC28F1"/>
    <w:rsid w:val="00DC39D7"/>
    <w:rsid w:val="00DC456F"/>
    <w:rsid w:val="00DC6B55"/>
    <w:rsid w:val="00DE21C3"/>
    <w:rsid w:val="00DE27F7"/>
    <w:rsid w:val="00DE4B43"/>
    <w:rsid w:val="00DF25D5"/>
    <w:rsid w:val="00E02660"/>
    <w:rsid w:val="00E04BE1"/>
    <w:rsid w:val="00E12DBF"/>
    <w:rsid w:val="00E133DE"/>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2CB1"/>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65A4E32-8CFF-46CF-A377-E39D56DA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qFormat/>
    <w:rsid w:val="004061AC"/>
    <w:rPr>
      <w:rFonts w:ascii="宋体" w:hAnsi="Courier New" w:cs="宋体"/>
    </w:rPr>
  </w:style>
  <w:style w:type="character" w:customStyle="1" w:styleId="a7">
    <w:name w:val="纯文本 字符"/>
    <w:basedOn w:val="a1"/>
    <w:link w:val="a6"/>
    <w:uiPriority w:val="99"/>
    <w:qFormat/>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qFormat/>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uiPriority w:val="99"/>
    <w:qFormat/>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qForma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 w:type="character" w:customStyle="1" w:styleId="x-btn-inner">
    <w:name w:val="x-btn-inner"/>
    <w:basedOn w:val="a1"/>
    <w:rsid w:val="004C0877"/>
  </w:style>
  <w:style w:type="character" w:customStyle="1" w:styleId="x-btn-icon-el">
    <w:name w:val="x-btn-icon-el"/>
    <w:basedOn w:val="a1"/>
    <w:rsid w:val="004C0877"/>
  </w:style>
  <w:style w:type="character" w:customStyle="1" w:styleId="12">
    <w:name w:val="脚注文本 字符1"/>
    <w:qFormat/>
    <w:rsid w:val="004C087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04018532">
      <w:bodyDiv w:val="1"/>
      <w:marLeft w:val="0"/>
      <w:marRight w:val="0"/>
      <w:marTop w:val="0"/>
      <w:marBottom w:val="0"/>
      <w:divBdr>
        <w:top w:val="none" w:sz="0" w:space="0" w:color="auto"/>
        <w:left w:val="none" w:sz="0" w:space="0" w:color="auto"/>
        <w:bottom w:val="none" w:sz="0" w:space="0" w:color="auto"/>
        <w:right w:val="none" w:sz="0" w:space="0" w:color="auto"/>
      </w:divBdr>
    </w:div>
    <w:div w:id="1052463783">
      <w:bodyDiv w:val="1"/>
      <w:marLeft w:val="0"/>
      <w:marRight w:val="0"/>
      <w:marTop w:val="0"/>
      <w:marBottom w:val="0"/>
      <w:divBdr>
        <w:top w:val="none" w:sz="0" w:space="0" w:color="auto"/>
        <w:left w:val="none" w:sz="0" w:space="0" w:color="auto"/>
        <w:bottom w:val="none" w:sz="0" w:space="0" w:color="auto"/>
        <w:right w:val="none" w:sz="0" w:space="0" w:color="auto"/>
      </w:divBdr>
    </w:div>
    <w:div w:id="1100219347">
      <w:bodyDiv w:val="1"/>
      <w:marLeft w:val="0"/>
      <w:marRight w:val="0"/>
      <w:marTop w:val="0"/>
      <w:marBottom w:val="0"/>
      <w:divBdr>
        <w:top w:val="none" w:sz="0" w:space="0" w:color="auto"/>
        <w:left w:val="none" w:sz="0" w:space="0" w:color="auto"/>
        <w:bottom w:val="none" w:sz="0" w:space="0" w:color="auto"/>
        <w:right w:val="none" w:sz="0" w:space="0" w:color="auto"/>
      </w:divBdr>
    </w:div>
    <w:div w:id="1373310729">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5928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18F9B-47F8-47E1-9530-3E28832C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15</Pages>
  <Words>1352</Words>
  <Characters>7707</Characters>
  <Application>Microsoft Office Word</Application>
  <DocSecurity>0</DocSecurity>
  <Lines>64</Lines>
  <Paragraphs>18</Paragraphs>
  <ScaleCrop>false</ScaleCrop>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604</cp:revision>
  <dcterms:created xsi:type="dcterms:W3CDTF">2012-10-16T06:07:00Z</dcterms:created>
  <dcterms:modified xsi:type="dcterms:W3CDTF">2023-10-24T09:18:00Z</dcterms:modified>
</cp:coreProperties>
</file>