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摩根锦颐养老目标日期</w:t>
      </w:r>
      <w:r w:rsidRPr="0081286B">
        <w:rPr>
          <w:b/>
          <w:sz w:val="36"/>
          <w:szCs w:val="36"/>
        </w:rPr>
        <w:t>2035</w:t>
      </w:r>
      <w:r w:rsidRPr="0081286B">
        <w:rPr>
          <w:b/>
          <w:sz w:val="36"/>
          <w:szCs w:val="36"/>
        </w:rPr>
        <w:t>三年持有期混合型发起式基金中基金</w:t>
      </w:r>
      <w:r w:rsidRPr="0081286B">
        <w:rPr>
          <w:b/>
          <w:sz w:val="36"/>
          <w:szCs w:val="36"/>
        </w:rPr>
        <w:t>(FOF)</w:t>
      </w:r>
    </w:p>
    <w:p w:rsidR="002279D3" w:rsidRPr="0081286B" w:rsidRDefault="002279D3" w:rsidP="00C15CAC">
      <w:pPr>
        <w:spacing w:before="29" w:line="288" w:lineRule="auto"/>
        <w:jc w:val="center"/>
        <w:rPr>
          <w:b/>
          <w:sz w:val="36"/>
          <w:szCs w:val="36"/>
        </w:rPr>
      </w:pPr>
      <w:r w:rsidRPr="0081286B">
        <w:rPr>
          <w:b/>
          <w:sz w:val="36"/>
          <w:szCs w:val="36"/>
        </w:rPr>
        <w:t>2023</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2023</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基金管理人：摩根基金管理（中国）有限公司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二〇二四年一月二十二日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81A86" w:rsidRDefault="00B0578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81A86" w:rsidRDefault="00B05788">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2024</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81A86" w:rsidRDefault="00B0578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81A86" w:rsidRDefault="00B0578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81A86" w:rsidRDefault="00B0578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2023</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摩根锦颐养老目标日期</w:t>
            </w:r>
            <w:r w:rsidRPr="00414345">
              <w:rPr>
                <w:color w:val="000000"/>
                <w:kern w:val="0"/>
                <w:sz w:val="24"/>
                <w:szCs w:val="24"/>
              </w:rPr>
              <w:t>2035</w:t>
            </w:r>
            <w:r w:rsidRPr="00414345">
              <w:rPr>
                <w:color w:val="000000"/>
                <w:kern w:val="0"/>
                <w:sz w:val="24"/>
                <w:szCs w:val="24"/>
              </w:rPr>
              <w:t>三年持有混合</w:t>
            </w:r>
            <w:r w:rsidRPr="00414345">
              <w:rPr>
                <w:color w:val="000000"/>
                <w:kern w:val="0"/>
                <w:sz w:val="24"/>
                <w:szCs w:val="24"/>
              </w:rPr>
              <w:t>(FOF)</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017788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017788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50,105,338.51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本基金通过资产配置及优选基金，并结合严格的风险控制，力争实现基金资产的长期稳健增值。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581A86" w:rsidRDefault="00B05788">
            <w:pPr>
              <w:adjustRightInd w:val="0"/>
              <w:spacing w:before="29" w:line="288" w:lineRule="auto"/>
              <w:ind w:left="17"/>
              <w:jc w:val="left"/>
              <w:rPr>
                <w:color w:val="000000"/>
                <w:sz w:val="24"/>
                <w:szCs w:val="24"/>
              </w:rPr>
            </w:pPr>
            <w:r>
              <w:rPr>
                <w:color w:val="000000"/>
                <w:kern w:val="0"/>
                <w:sz w:val="24"/>
                <w:szCs w:val="24"/>
              </w:rPr>
              <w:t>本基金属于养老目标日期基金，采用目标日期投资策略。本基金的目标日期为</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日。随着目标日期的临近，本基金逐步降低所投资的权益类资产的比例，以使基金的风险收益水平与投资者所处的生命周期相匹配。</w:t>
            </w:r>
          </w:p>
          <w:p w:rsidR="00581A86" w:rsidRDefault="00B05788">
            <w:pPr>
              <w:adjustRightInd w:val="0"/>
              <w:spacing w:before="29" w:line="288" w:lineRule="auto"/>
              <w:ind w:left="17"/>
              <w:jc w:val="left"/>
              <w:rPr>
                <w:color w:val="000000"/>
                <w:sz w:val="24"/>
                <w:szCs w:val="24"/>
              </w:rPr>
            </w:pPr>
            <w:r>
              <w:rPr>
                <w:color w:val="000000"/>
                <w:kern w:val="0"/>
                <w:sz w:val="24"/>
                <w:szCs w:val="24"/>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w:t>
            </w:r>
            <w:r>
              <w:rPr>
                <w:color w:val="000000"/>
                <w:kern w:val="0"/>
                <w:sz w:val="24"/>
                <w:szCs w:val="24"/>
              </w:rPr>
              <w:lastRenderedPageBreak/>
              <w:t>险的能力提升。本基金通过下滑曲线设计，使得投资者在整个生命周期中动态配置权益类资产，平衡投资者承担风险的意愿和能力，优化投资者效用。</w:t>
            </w:r>
          </w:p>
          <w:p w:rsidR="00581A86" w:rsidRDefault="00B05788">
            <w:pPr>
              <w:adjustRightInd w:val="0"/>
              <w:spacing w:before="29" w:line="288" w:lineRule="auto"/>
              <w:ind w:left="17"/>
              <w:jc w:val="left"/>
              <w:rPr>
                <w:color w:val="000000"/>
                <w:sz w:val="24"/>
                <w:szCs w:val="24"/>
              </w:rPr>
            </w:pPr>
            <w:r>
              <w:rPr>
                <w:color w:val="000000"/>
                <w:kern w:val="0"/>
                <w:sz w:val="24"/>
                <w:szCs w:val="24"/>
              </w:rPr>
              <w:t>本基金在目标日期</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日之前（含当日），权益类资产投资比例如下表所示：</w:t>
            </w:r>
          </w:p>
          <w:p w:rsidR="00581A86" w:rsidRDefault="00B05788">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rsidR="00581A86" w:rsidRDefault="00B05788">
            <w:pPr>
              <w:adjustRightInd w:val="0"/>
              <w:spacing w:before="29" w:line="288" w:lineRule="auto"/>
              <w:ind w:left="17"/>
              <w:jc w:val="left"/>
              <w:rPr>
                <w:color w:val="000000"/>
                <w:sz w:val="24"/>
                <w:szCs w:val="24"/>
              </w:rPr>
            </w:pPr>
            <w:r>
              <w:rPr>
                <w:color w:val="000000"/>
                <w:kern w:val="0"/>
                <w:sz w:val="24"/>
                <w:szCs w:val="24"/>
              </w:rPr>
              <w:t>基金合同生效日</w:t>
            </w:r>
            <w:r>
              <w:rPr>
                <w:color w:val="000000"/>
                <w:kern w:val="0"/>
                <w:sz w:val="24"/>
                <w:szCs w:val="24"/>
              </w:rPr>
              <w:t>-2024/12/31 25%-55%</w:t>
            </w:r>
          </w:p>
          <w:p w:rsidR="00581A86" w:rsidRDefault="00B05788">
            <w:pPr>
              <w:adjustRightInd w:val="0"/>
              <w:spacing w:before="29" w:line="288" w:lineRule="auto"/>
              <w:ind w:left="17"/>
              <w:jc w:val="left"/>
              <w:rPr>
                <w:color w:val="000000"/>
                <w:sz w:val="24"/>
                <w:szCs w:val="24"/>
              </w:rPr>
            </w:pPr>
            <w:r>
              <w:rPr>
                <w:color w:val="000000"/>
                <w:kern w:val="0"/>
                <w:sz w:val="24"/>
                <w:szCs w:val="24"/>
              </w:rPr>
              <w:t>2025/01/01-2027/12/31 19%-48%</w:t>
            </w:r>
          </w:p>
          <w:p w:rsidR="00581A86" w:rsidRDefault="00B05788">
            <w:pPr>
              <w:adjustRightInd w:val="0"/>
              <w:spacing w:before="29" w:line="288" w:lineRule="auto"/>
              <w:ind w:left="17"/>
              <w:jc w:val="left"/>
              <w:rPr>
                <w:color w:val="000000"/>
                <w:sz w:val="24"/>
                <w:szCs w:val="24"/>
              </w:rPr>
            </w:pPr>
            <w:r>
              <w:rPr>
                <w:color w:val="000000"/>
                <w:kern w:val="0"/>
                <w:sz w:val="24"/>
                <w:szCs w:val="24"/>
              </w:rPr>
              <w:t>2028/01/01-2031/12/31 12%-42%</w:t>
            </w:r>
          </w:p>
          <w:p w:rsidR="00581A86" w:rsidRDefault="00B05788">
            <w:pPr>
              <w:adjustRightInd w:val="0"/>
              <w:spacing w:before="29" w:line="288" w:lineRule="auto"/>
              <w:ind w:left="17"/>
              <w:jc w:val="left"/>
              <w:rPr>
                <w:color w:val="000000"/>
                <w:sz w:val="24"/>
                <w:szCs w:val="24"/>
              </w:rPr>
            </w:pPr>
            <w:r>
              <w:rPr>
                <w:color w:val="000000"/>
                <w:kern w:val="0"/>
                <w:sz w:val="24"/>
                <w:szCs w:val="24"/>
              </w:rPr>
              <w:t>2032/01/01-2035/12/31 8%-36%</w:t>
            </w:r>
          </w:p>
          <w:p w:rsidR="00581A86" w:rsidRDefault="00B05788">
            <w:pPr>
              <w:adjustRightInd w:val="0"/>
              <w:spacing w:before="29" w:line="288" w:lineRule="auto"/>
              <w:ind w:left="17"/>
              <w:jc w:val="left"/>
              <w:rPr>
                <w:color w:val="000000"/>
                <w:sz w:val="24"/>
                <w:szCs w:val="24"/>
              </w:rPr>
            </w:pPr>
            <w:r>
              <w:rPr>
                <w:color w:val="000000"/>
                <w:kern w:val="0"/>
                <w:sz w:val="24"/>
                <w:szCs w:val="24"/>
              </w:rPr>
              <w:t>本基金</w:t>
            </w:r>
            <w:r>
              <w:rPr>
                <w:color w:val="000000"/>
                <w:kern w:val="0"/>
                <w:sz w:val="24"/>
                <w:szCs w:val="24"/>
              </w:rPr>
              <w:t>2036</w:t>
            </w:r>
            <w:r>
              <w:rPr>
                <w:color w:val="000000"/>
                <w:kern w:val="0"/>
                <w:sz w:val="24"/>
                <w:szCs w:val="24"/>
              </w:rPr>
              <w:t>年</w:t>
            </w:r>
            <w:r>
              <w:rPr>
                <w:color w:val="000000"/>
                <w:kern w:val="0"/>
                <w:sz w:val="24"/>
                <w:szCs w:val="24"/>
              </w:rPr>
              <w:t>1</w:t>
            </w:r>
            <w:r>
              <w:rPr>
                <w:color w:val="000000"/>
                <w:kern w:val="0"/>
                <w:sz w:val="24"/>
                <w:szCs w:val="24"/>
              </w:rPr>
              <w:t>月</w:t>
            </w:r>
            <w:r>
              <w:rPr>
                <w:color w:val="000000"/>
                <w:kern w:val="0"/>
                <w:sz w:val="24"/>
                <w:szCs w:val="24"/>
              </w:rPr>
              <w:t>1</w:t>
            </w:r>
            <w:r>
              <w:rPr>
                <w:color w:val="000000"/>
                <w:kern w:val="0"/>
                <w:sz w:val="24"/>
                <w:szCs w:val="24"/>
              </w:rPr>
              <w:t>日转型为</w:t>
            </w:r>
            <w:r>
              <w:rPr>
                <w:color w:val="000000"/>
                <w:kern w:val="0"/>
                <w:sz w:val="24"/>
                <w:szCs w:val="24"/>
              </w:rPr>
              <w:t>“</w:t>
            </w:r>
            <w:r>
              <w:rPr>
                <w:color w:val="000000"/>
                <w:kern w:val="0"/>
                <w:sz w:val="24"/>
                <w:szCs w:val="24"/>
              </w:rPr>
              <w:t>摩根丰盈混合型基金中基金</w:t>
            </w:r>
            <w:r>
              <w:rPr>
                <w:color w:val="000000"/>
                <w:kern w:val="0"/>
                <w:sz w:val="24"/>
                <w:szCs w:val="24"/>
              </w:rPr>
              <w:t>(FOF)”</w:t>
            </w:r>
            <w:r>
              <w:rPr>
                <w:color w:val="000000"/>
                <w:kern w:val="0"/>
                <w:sz w:val="24"/>
                <w:szCs w:val="24"/>
              </w:rPr>
              <w:t>后，本基金将在较低的权益类资产配置比例下投资运作，权益类资产投资比例如下表所示：</w:t>
            </w:r>
          </w:p>
          <w:p w:rsidR="00581A86" w:rsidRDefault="00B05788">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rsidR="00581A86" w:rsidRDefault="00B05788">
            <w:pPr>
              <w:adjustRightInd w:val="0"/>
              <w:spacing w:before="29" w:line="288" w:lineRule="auto"/>
              <w:ind w:left="17"/>
              <w:jc w:val="left"/>
              <w:rPr>
                <w:color w:val="000000"/>
                <w:sz w:val="24"/>
                <w:szCs w:val="24"/>
              </w:rPr>
            </w:pPr>
            <w:r>
              <w:rPr>
                <w:color w:val="000000"/>
                <w:kern w:val="0"/>
                <w:sz w:val="24"/>
                <w:szCs w:val="24"/>
              </w:rPr>
              <w:t>2036/01/01</w:t>
            </w:r>
            <w:r>
              <w:rPr>
                <w:color w:val="000000"/>
                <w:kern w:val="0"/>
                <w:sz w:val="24"/>
                <w:szCs w:val="24"/>
              </w:rPr>
              <w:t>起</w:t>
            </w:r>
            <w:r>
              <w:rPr>
                <w:color w:val="000000"/>
                <w:kern w:val="0"/>
                <w:sz w:val="24"/>
                <w:szCs w:val="24"/>
              </w:rPr>
              <w:t xml:space="preserve"> 0%-30%</w:t>
            </w:r>
          </w:p>
          <w:p w:rsidR="00581A86" w:rsidRDefault="00B05788">
            <w:pPr>
              <w:adjustRightInd w:val="0"/>
              <w:spacing w:before="29" w:line="288" w:lineRule="auto"/>
              <w:ind w:left="17"/>
              <w:jc w:val="left"/>
              <w:rPr>
                <w:color w:val="000000"/>
                <w:sz w:val="24"/>
                <w:szCs w:val="24"/>
              </w:rPr>
            </w:pPr>
            <w:r>
              <w:rPr>
                <w:color w:val="000000"/>
                <w:kern w:val="0"/>
                <w:sz w:val="24"/>
                <w:szCs w:val="24"/>
              </w:rPr>
              <w:t>权益类资产指股票、股票型基金、应计入权益类资产的混合型基金；应计入权益类资产的混合型基金应符合以下两种情况之一：基金合同中明确约定股票投资占基金资产的比例为</w:t>
            </w:r>
            <w:r>
              <w:rPr>
                <w:color w:val="000000"/>
                <w:kern w:val="0"/>
                <w:sz w:val="24"/>
                <w:szCs w:val="24"/>
              </w:rPr>
              <w:t>60%</w:t>
            </w:r>
            <w:r>
              <w:rPr>
                <w:color w:val="000000"/>
                <w:kern w:val="0"/>
                <w:sz w:val="24"/>
                <w:szCs w:val="24"/>
              </w:rPr>
              <w:t>以上或者根据定期报告最近</w:t>
            </w:r>
            <w:r>
              <w:rPr>
                <w:color w:val="000000"/>
                <w:kern w:val="0"/>
                <w:sz w:val="24"/>
                <w:szCs w:val="24"/>
              </w:rPr>
              <w:t>4</w:t>
            </w:r>
            <w:r>
              <w:rPr>
                <w:color w:val="000000"/>
                <w:kern w:val="0"/>
                <w:sz w:val="24"/>
                <w:szCs w:val="24"/>
              </w:rPr>
              <w:t>个季度披露的股票投资占基金资产的比例均在</w:t>
            </w:r>
            <w:r>
              <w:rPr>
                <w:color w:val="000000"/>
                <w:kern w:val="0"/>
                <w:sz w:val="24"/>
                <w:szCs w:val="24"/>
              </w:rPr>
              <w:t>60%</w:t>
            </w:r>
            <w:r>
              <w:rPr>
                <w:color w:val="000000"/>
                <w:kern w:val="0"/>
                <w:sz w:val="24"/>
                <w:szCs w:val="24"/>
              </w:rPr>
              <w:t>以上的混合型基金。</w:t>
            </w:r>
          </w:p>
          <w:p w:rsidR="00581A86" w:rsidRDefault="00B05788">
            <w:pPr>
              <w:adjustRightInd w:val="0"/>
              <w:spacing w:before="29" w:line="288" w:lineRule="auto"/>
              <w:ind w:left="17"/>
              <w:jc w:val="left"/>
              <w:rPr>
                <w:color w:val="000000"/>
                <w:sz w:val="24"/>
                <w:szCs w:val="24"/>
              </w:rPr>
            </w:pPr>
            <w:r>
              <w:rPr>
                <w:color w:val="000000"/>
                <w:kern w:val="0"/>
                <w:sz w:val="24"/>
                <w:szCs w:val="24"/>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比范围及权益类资产的配置中枢（即下滑曲线值）。本基金在目标日期之前（含当日），权益类资产的投资比例在下滑曲线值的基础上向上偏离不超过</w:t>
            </w:r>
            <w:r>
              <w:rPr>
                <w:color w:val="000000"/>
                <w:kern w:val="0"/>
                <w:sz w:val="24"/>
                <w:szCs w:val="24"/>
              </w:rPr>
              <w:t>10%</w:t>
            </w:r>
            <w:r>
              <w:rPr>
                <w:color w:val="000000"/>
                <w:kern w:val="0"/>
                <w:sz w:val="24"/>
                <w:szCs w:val="24"/>
              </w:rPr>
              <w:t>，向下偏离不超过</w:t>
            </w:r>
            <w:r>
              <w:rPr>
                <w:color w:val="000000"/>
                <w:kern w:val="0"/>
                <w:sz w:val="24"/>
                <w:szCs w:val="24"/>
              </w:rPr>
              <w:t>15%</w:t>
            </w:r>
            <w:r>
              <w:rPr>
                <w:color w:val="000000"/>
                <w:kern w:val="0"/>
                <w:sz w:val="24"/>
                <w:szCs w:val="24"/>
              </w:rPr>
              <w:t>。如权益类资产配置比例超过上下限，基金管理人应当在</w:t>
            </w:r>
            <w:r>
              <w:rPr>
                <w:color w:val="000000"/>
                <w:kern w:val="0"/>
                <w:sz w:val="24"/>
                <w:szCs w:val="24"/>
              </w:rPr>
              <w:t>10</w:t>
            </w:r>
            <w:r>
              <w:rPr>
                <w:color w:val="000000"/>
                <w:kern w:val="0"/>
                <w:sz w:val="24"/>
                <w:szCs w:val="24"/>
              </w:rPr>
              <w:t>个交易日内进行调整。</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本基金采用的投资策略包括：</w:t>
            </w:r>
            <w:r w:rsidRPr="00414345">
              <w:rPr>
                <w:color w:val="000000"/>
                <w:kern w:val="0"/>
                <w:sz w:val="24"/>
                <w:szCs w:val="24"/>
              </w:rPr>
              <w:t>1</w:t>
            </w:r>
            <w:r w:rsidRPr="00414345">
              <w:rPr>
                <w:color w:val="000000"/>
                <w:kern w:val="0"/>
                <w:sz w:val="24"/>
                <w:szCs w:val="24"/>
              </w:rPr>
              <w:t>、资产配置策略；</w:t>
            </w:r>
            <w:r w:rsidRPr="00414345">
              <w:rPr>
                <w:color w:val="000000"/>
                <w:kern w:val="0"/>
                <w:sz w:val="24"/>
                <w:szCs w:val="24"/>
              </w:rPr>
              <w:t>2</w:t>
            </w:r>
            <w:r w:rsidRPr="00414345">
              <w:rPr>
                <w:color w:val="000000"/>
                <w:kern w:val="0"/>
                <w:sz w:val="24"/>
                <w:szCs w:val="24"/>
              </w:rPr>
              <w:t>、主动管理型基金投资策略；</w:t>
            </w:r>
            <w:r w:rsidRPr="00414345">
              <w:rPr>
                <w:color w:val="000000"/>
                <w:kern w:val="0"/>
                <w:sz w:val="24"/>
                <w:szCs w:val="24"/>
              </w:rPr>
              <w:t>3</w:t>
            </w:r>
            <w:r w:rsidRPr="00414345">
              <w:rPr>
                <w:color w:val="000000"/>
                <w:kern w:val="0"/>
                <w:sz w:val="24"/>
                <w:szCs w:val="24"/>
              </w:rPr>
              <w:t>、指数基金投资策略；</w:t>
            </w:r>
            <w:r w:rsidRPr="00414345">
              <w:rPr>
                <w:color w:val="000000"/>
                <w:kern w:val="0"/>
                <w:sz w:val="24"/>
                <w:szCs w:val="24"/>
              </w:rPr>
              <w:t>4</w:t>
            </w:r>
            <w:r w:rsidRPr="00414345">
              <w:rPr>
                <w:color w:val="000000"/>
                <w:kern w:val="0"/>
                <w:sz w:val="24"/>
                <w:szCs w:val="24"/>
              </w:rPr>
              <w:t>、股票投资策略；</w:t>
            </w:r>
            <w:r w:rsidRPr="00414345">
              <w:rPr>
                <w:color w:val="000000"/>
                <w:kern w:val="0"/>
                <w:sz w:val="24"/>
                <w:szCs w:val="24"/>
              </w:rPr>
              <w:t>5</w:t>
            </w:r>
            <w:r w:rsidRPr="00414345">
              <w:rPr>
                <w:color w:val="000000"/>
                <w:kern w:val="0"/>
                <w:sz w:val="24"/>
                <w:szCs w:val="24"/>
              </w:rPr>
              <w:t>、港股投资策略；</w:t>
            </w:r>
            <w:r w:rsidRPr="00414345">
              <w:rPr>
                <w:color w:val="000000"/>
                <w:kern w:val="0"/>
                <w:sz w:val="24"/>
                <w:szCs w:val="24"/>
              </w:rPr>
              <w:t>6</w:t>
            </w:r>
            <w:r w:rsidRPr="00414345">
              <w:rPr>
                <w:color w:val="000000"/>
                <w:kern w:val="0"/>
                <w:sz w:val="24"/>
                <w:szCs w:val="24"/>
              </w:rPr>
              <w:t>、债券投资策略；</w:t>
            </w:r>
            <w:r w:rsidRPr="00414345">
              <w:rPr>
                <w:color w:val="000000"/>
                <w:kern w:val="0"/>
                <w:sz w:val="24"/>
                <w:szCs w:val="24"/>
              </w:rPr>
              <w:t>7</w:t>
            </w:r>
            <w:r w:rsidRPr="00414345">
              <w:rPr>
                <w:color w:val="000000"/>
                <w:kern w:val="0"/>
                <w:sz w:val="24"/>
                <w:szCs w:val="24"/>
              </w:rPr>
              <w:t>、证券公司短期公司债投资策略；</w:t>
            </w:r>
            <w:r w:rsidRPr="00414345">
              <w:rPr>
                <w:color w:val="000000"/>
                <w:kern w:val="0"/>
                <w:sz w:val="24"/>
                <w:szCs w:val="24"/>
              </w:rPr>
              <w:t>8</w:t>
            </w:r>
            <w:r w:rsidRPr="00414345">
              <w:rPr>
                <w:color w:val="000000"/>
                <w:kern w:val="0"/>
                <w:sz w:val="24"/>
                <w:szCs w:val="24"/>
              </w:rPr>
              <w:t>、资产支持证券</w:t>
            </w:r>
            <w:r w:rsidRPr="00414345">
              <w:rPr>
                <w:color w:val="000000"/>
                <w:kern w:val="0"/>
                <w:sz w:val="24"/>
                <w:szCs w:val="24"/>
              </w:rPr>
              <w:lastRenderedPageBreak/>
              <w:t>投资策略；</w:t>
            </w:r>
            <w:r w:rsidRPr="00414345">
              <w:rPr>
                <w:color w:val="000000"/>
                <w:kern w:val="0"/>
                <w:sz w:val="24"/>
                <w:szCs w:val="24"/>
              </w:rPr>
              <w:t>9</w:t>
            </w:r>
            <w:r w:rsidRPr="00414345">
              <w:rPr>
                <w:color w:val="000000"/>
                <w:kern w:val="0"/>
                <w:sz w:val="24"/>
                <w:szCs w:val="24"/>
              </w:rPr>
              <w:t>、存托凭证投资策略。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*X*95%</w:t>
            </w:r>
            <w:r w:rsidRPr="00414345">
              <w:rPr>
                <w:color w:val="000000"/>
                <w:kern w:val="0"/>
                <w:sz w:val="24"/>
                <w:szCs w:val="24"/>
              </w:rPr>
              <w:t>＋中证港股通综合指数（人民币）收益率</w:t>
            </w:r>
            <w:r w:rsidRPr="00414345">
              <w:rPr>
                <w:color w:val="000000"/>
                <w:kern w:val="0"/>
                <w:sz w:val="24"/>
                <w:szCs w:val="24"/>
              </w:rPr>
              <w:t>*X*5%</w:t>
            </w:r>
            <w:r w:rsidRPr="00414345">
              <w:rPr>
                <w:color w:val="000000"/>
                <w:kern w:val="0"/>
                <w:sz w:val="24"/>
                <w:szCs w:val="24"/>
              </w:rPr>
              <w:t>＋中债</w:t>
            </w:r>
            <w:r w:rsidRPr="00414345">
              <w:rPr>
                <w:color w:val="000000"/>
                <w:kern w:val="0"/>
                <w:sz w:val="24"/>
                <w:szCs w:val="24"/>
              </w:rPr>
              <w:t>-</w:t>
            </w:r>
            <w:r w:rsidRPr="00414345">
              <w:rPr>
                <w:color w:val="000000"/>
                <w:kern w:val="0"/>
                <w:sz w:val="24"/>
                <w:szCs w:val="24"/>
              </w:rPr>
              <w:t>综合全价（总值）指数收益率</w:t>
            </w:r>
            <w:r w:rsidRPr="00414345">
              <w:rPr>
                <w:color w:val="000000"/>
                <w:kern w:val="0"/>
                <w:sz w:val="24"/>
                <w:szCs w:val="24"/>
              </w:rPr>
              <w:t>*(90%-X)+</w:t>
            </w:r>
            <w:r w:rsidRPr="00414345">
              <w:rPr>
                <w:color w:val="000000"/>
                <w:kern w:val="0"/>
                <w:sz w:val="24"/>
                <w:szCs w:val="24"/>
              </w:rPr>
              <w:t>活期存款利率（税后）</w:t>
            </w:r>
            <w:r w:rsidRPr="00414345">
              <w:rPr>
                <w:color w:val="000000"/>
                <w:kern w:val="0"/>
                <w:sz w:val="24"/>
                <w:szCs w:val="24"/>
              </w:rPr>
              <w:t>*10%</w:t>
            </w:r>
            <w:r w:rsidRPr="00414345">
              <w:rPr>
                <w:color w:val="000000"/>
                <w:kern w:val="0"/>
                <w:sz w:val="24"/>
                <w:szCs w:val="24"/>
              </w:rPr>
              <w:t>，其中</w:t>
            </w:r>
            <w:r w:rsidRPr="00414345">
              <w:rPr>
                <w:color w:val="000000"/>
                <w:kern w:val="0"/>
                <w:sz w:val="24"/>
                <w:szCs w:val="24"/>
              </w:rPr>
              <w:t>X</w:t>
            </w:r>
            <w:r w:rsidRPr="00414345">
              <w:rPr>
                <w:color w:val="000000"/>
                <w:kern w:val="0"/>
                <w:sz w:val="24"/>
                <w:szCs w:val="24"/>
              </w:rPr>
              <w:t>即本基金各年的下滑曲线值，按招募说明书的规定执行。</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摩根基金管理（中国）有限公司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05788" w:rsidRPr="00414345" w:rsidTr="00B0578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(2023</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-2023</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05788" w:rsidRPr="00414345" w:rsidTr="00B057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-964,201.67</w:t>
            </w:r>
          </w:p>
        </w:tc>
      </w:tr>
      <w:tr w:rsidR="00B05788" w:rsidRPr="00414345" w:rsidTr="00B057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-1,447,172.20</w:t>
            </w:r>
          </w:p>
        </w:tc>
      </w:tr>
      <w:tr w:rsidR="00B05788" w:rsidRPr="00414345" w:rsidTr="00B057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-0.0289</w:t>
            </w:r>
          </w:p>
        </w:tc>
      </w:tr>
      <w:tr w:rsidR="00B05788" w:rsidRPr="00414345" w:rsidTr="00B0578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44,865,364.16</w:t>
            </w:r>
          </w:p>
        </w:tc>
      </w:tr>
      <w:tr w:rsidR="00B05788" w:rsidRPr="00414345" w:rsidTr="00B0578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0.8954</w:t>
            </w:r>
          </w:p>
        </w:tc>
      </w:tr>
    </w:tbl>
    <w:p w:rsidR="00581A86" w:rsidRDefault="00B05788">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lastRenderedPageBreak/>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w:t>
            </w:r>
            <w:r w:rsidRPr="00414345">
              <w:rPr>
                <w:color w:val="000000"/>
                <w:sz w:val="24"/>
                <w:szCs w:val="24"/>
              </w:rPr>
              <w:lastRenderedPageBreak/>
              <w:t>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业绩比较基准收益率标</w:t>
            </w:r>
            <w:r w:rsidRPr="00414345">
              <w:rPr>
                <w:color w:val="000000"/>
                <w:sz w:val="24"/>
                <w:szCs w:val="24"/>
              </w:rPr>
              <w:lastRenderedPageBreak/>
              <w:t>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81A86">
        <w:trPr>
          <w:jc w:val="center"/>
        </w:trPr>
        <w:tc>
          <w:tcPr>
            <w:tcW w:w="1701" w:type="dxa"/>
            <w:vAlign w:val="center"/>
          </w:tcPr>
          <w:p w:rsidR="00581A86" w:rsidRDefault="00B05788">
            <w:pPr>
              <w:jc w:val="left"/>
            </w:pPr>
            <w:r>
              <w:rPr>
                <w:color w:val="000000"/>
                <w:sz w:val="24"/>
                <w:szCs w:val="24"/>
              </w:rPr>
              <w:t>过去三个月</w:t>
            </w:r>
          </w:p>
        </w:tc>
        <w:tc>
          <w:tcPr>
            <w:tcW w:w="1045" w:type="dxa"/>
            <w:vAlign w:val="center"/>
          </w:tcPr>
          <w:p w:rsidR="00581A86" w:rsidRDefault="00B05788">
            <w:pPr>
              <w:jc w:val="center"/>
            </w:pPr>
            <w:r>
              <w:rPr>
                <w:color w:val="000000"/>
                <w:sz w:val="24"/>
                <w:szCs w:val="24"/>
              </w:rPr>
              <w:t>-3.13%</w:t>
            </w:r>
          </w:p>
        </w:tc>
        <w:tc>
          <w:tcPr>
            <w:tcW w:w="1344" w:type="dxa"/>
            <w:vAlign w:val="center"/>
          </w:tcPr>
          <w:p w:rsidR="00581A86" w:rsidRDefault="00B05788">
            <w:pPr>
              <w:jc w:val="center"/>
            </w:pPr>
            <w:r>
              <w:rPr>
                <w:color w:val="000000"/>
                <w:sz w:val="24"/>
                <w:szCs w:val="24"/>
              </w:rPr>
              <w:t>0.49%</w:t>
            </w:r>
          </w:p>
        </w:tc>
        <w:tc>
          <w:tcPr>
            <w:tcW w:w="1194" w:type="dxa"/>
            <w:vAlign w:val="center"/>
          </w:tcPr>
          <w:p w:rsidR="00581A86" w:rsidRDefault="00B05788">
            <w:pPr>
              <w:jc w:val="center"/>
            </w:pPr>
            <w:r>
              <w:rPr>
                <w:color w:val="000000"/>
                <w:sz w:val="24"/>
                <w:szCs w:val="24"/>
              </w:rPr>
              <w:t>-2.32%</w:t>
            </w:r>
          </w:p>
        </w:tc>
        <w:tc>
          <w:tcPr>
            <w:tcW w:w="1492" w:type="dxa"/>
            <w:vAlign w:val="center"/>
          </w:tcPr>
          <w:p w:rsidR="00581A86" w:rsidRDefault="00B05788">
            <w:pPr>
              <w:jc w:val="center"/>
            </w:pPr>
            <w:r>
              <w:rPr>
                <w:color w:val="000000"/>
                <w:sz w:val="24"/>
                <w:szCs w:val="24"/>
              </w:rPr>
              <w:t>0.33%</w:t>
            </w:r>
          </w:p>
        </w:tc>
        <w:tc>
          <w:tcPr>
            <w:tcW w:w="1194" w:type="dxa"/>
            <w:vAlign w:val="center"/>
          </w:tcPr>
          <w:p w:rsidR="00581A86" w:rsidRDefault="00B05788">
            <w:pPr>
              <w:jc w:val="center"/>
            </w:pPr>
            <w:r>
              <w:rPr>
                <w:color w:val="000000"/>
                <w:sz w:val="24"/>
                <w:szCs w:val="24"/>
              </w:rPr>
              <w:t>-0.81%</w:t>
            </w:r>
          </w:p>
        </w:tc>
        <w:tc>
          <w:tcPr>
            <w:tcW w:w="898" w:type="dxa"/>
            <w:vAlign w:val="center"/>
          </w:tcPr>
          <w:p w:rsidR="00581A86" w:rsidRDefault="00B05788">
            <w:pPr>
              <w:jc w:val="center"/>
            </w:pPr>
            <w:r>
              <w:rPr>
                <w:color w:val="000000"/>
                <w:sz w:val="24"/>
                <w:szCs w:val="24"/>
              </w:rPr>
              <w:t>0.16%</w:t>
            </w:r>
          </w:p>
        </w:tc>
      </w:tr>
      <w:tr w:rsidR="00581A86">
        <w:trPr>
          <w:jc w:val="center"/>
        </w:trPr>
        <w:tc>
          <w:tcPr>
            <w:tcW w:w="1701" w:type="dxa"/>
            <w:vAlign w:val="center"/>
          </w:tcPr>
          <w:p w:rsidR="00581A86" w:rsidRDefault="00B05788">
            <w:pPr>
              <w:jc w:val="left"/>
            </w:pPr>
            <w:r>
              <w:rPr>
                <w:color w:val="000000"/>
                <w:sz w:val="24"/>
                <w:szCs w:val="24"/>
              </w:rPr>
              <w:t>过去六个月</w:t>
            </w:r>
          </w:p>
        </w:tc>
        <w:tc>
          <w:tcPr>
            <w:tcW w:w="1045" w:type="dxa"/>
            <w:vAlign w:val="center"/>
          </w:tcPr>
          <w:p w:rsidR="00581A86" w:rsidRDefault="00B05788">
            <w:pPr>
              <w:jc w:val="center"/>
            </w:pPr>
            <w:r>
              <w:rPr>
                <w:color w:val="000000"/>
                <w:sz w:val="24"/>
                <w:szCs w:val="24"/>
              </w:rPr>
              <w:t>-7.18%</w:t>
            </w:r>
          </w:p>
        </w:tc>
        <w:tc>
          <w:tcPr>
            <w:tcW w:w="1344" w:type="dxa"/>
            <w:vAlign w:val="center"/>
          </w:tcPr>
          <w:p w:rsidR="00581A86" w:rsidRDefault="00B05788">
            <w:pPr>
              <w:jc w:val="center"/>
            </w:pPr>
            <w:r>
              <w:rPr>
                <w:color w:val="000000"/>
                <w:sz w:val="24"/>
                <w:szCs w:val="24"/>
              </w:rPr>
              <w:t>0.49%</w:t>
            </w:r>
          </w:p>
        </w:tc>
        <w:tc>
          <w:tcPr>
            <w:tcW w:w="1194" w:type="dxa"/>
            <w:vAlign w:val="center"/>
          </w:tcPr>
          <w:p w:rsidR="00581A86" w:rsidRDefault="00B05788">
            <w:pPr>
              <w:jc w:val="center"/>
            </w:pPr>
            <w:r>
              <w:rPr>
                <w:color w:val="000000"/>
                <w:sz w:val="24"/>
                <w:szCs w:val="24"/>
              </w:rPr>
              <w:t>-4.05%</w:t>
            </w:r>
          </w:p>
        </w:tc>
        <w:tc>
          <w:tcPr>
            <w:tcW w:w="1492" w:type="dxa"/>
            <w:vAlign w:val="center"/>
          </w:tcPr>
          <w:p w:rsidR="00581A86" w:rsidRDefault="00B05788">
            <w:pPr>
              <w:jc w:val="center"/>
            </w:pPr>
            <w:r>
              <w:rPr>
                <w:color w:val="000000"/>
                <w:sz w:val="24"/>
                <w:szCs w:val="24"/>
              </w:rPr>
              <w:t>0.34%</w:t>
            </w:r>
          </w:p>
        </w:tc>
        <w:tc>
          <w:tcPr>
            <w:tcW w:w="1194" w:type="dxa"/>
            <w:vAlign w:val="center"/>
          </w:tcPr>
          <w:p w:rsidR="00581A86" w:rsidRDefault="00B05788">
            <w:pPr>
              <w:jc w:val="center"/>
            </w:pPr>
            <w:r>
              <w:rPr>
                <w:color w:val="000000"/>
                <w:sz w:val="24"/>
                <w:szCs w:val="24"/>
              </w:rPr>
              <w:t>-3.13%</w:t>
            </w:r>
          </w:p>
        </w:tc>
        <w:tc>
          <w:tcPr>
            <w:tcW w:w="898" w:type="dxa"/>
            <w:vAlign w:val="center"/>
          </w:tcPr>
          <w:p w:rsidR="00581A86" w:rsidRDefault="00B05788">
            <w:pPr>
              <w:jc w:val="center"/>
            </w:pPr>
            <w:r>
              <w:rPr>
                <w:color w:val="000000"/>
                <w:sz w:val="24"/>
                <w:szCs w:val="24"/>
              </w:rPr>
              <w:t>0.15%</w:t>
            </w:r>
          </w:p>
        </w:tc>
      </w:tr>
      <w:tr w:rsidR="00581A86">
        <w:trPr>
          <w:jc w:val="center"/>
        </w:trPr>
        <w:tc>
          <w:tcPr>
            <w:tcW w:w="1701" w:type="dxa"/>
            <w:vAlign w:val="center"/>
          </w:tcPr>
          <w:p w:rsidR="00581A86" w:rsidRDefault="00B05788">
            <w:pPr>
              <w:jc w:val="left"/>
            </w:pPr>
            <w:r>
              <w:rPr>
                <w:color w:val="000000"/>
                <w:sz w:val="24"/>
                <w:szCs w:val="24"/>
              </w:rPr>
              <w:t>过去一年</w:t>
            </w:r>
          </w:p>
        </w:tc>
        <w:tc>
          <w:tcPr>
            <w:tcW w:w="1045" w:type="dxa"/>
            <w:vAlign w:val="center"/>
          </w:tcPr>
          <w:p w:rsidR="00581A86" w:rsidRDefault="00B05788">
            <w:pPr>
              <w:jc w:val="center"/>
            </w:pPr>
            <w:r>
              <w:rPr>
                <w:color w:val="000000"/>
                <w:sz w:val="24"/>
                <w:szCs w:val="24"/>
              </w:rPr>
              <w:t>-</w:t>
            </w:r>
          </w:p>
        </w:tc>
        <w:tc>
          <w:tcPr>
            <w:tcW w:w="1344" w:type="dxa"/>
            <w:vAlign w:val="center"/>
          </w:tcPr>
          <w:p w:rsidR="00581A86" w:rsidRDefault="00B05788">
            <w:pPr>
              <w:jc w:val="center"/>
            </w:pPr>
            <w:r>
              <w:rPr>
                <w:color w:val="000000"/>
                <w:sz w:val="24"/>
                <w:szCs w:val="24"/>
              </w:rPr>
              <w:t>-</w:t>
            </w:r>
          </w:p>
        </w:tc>
        <w:tc>
          <w:tcPr>
            <w:tcW w:w="1194" w:type="dxa"/>
            <w:vAlign w:val="center"/>
          </w:tcPr>
          <w:p w:rsidR="00581A86" w:rsidRDefault="00B05788">
            <w:pPr>
              <w:jc w:val="center"/>
            </w:pPr>
            <w:r>
              <w:rPr>
                <w:color w:val="000000"/>
                <w:sz w:val="24"/>
                <w:szCs w:val="24"/>
              </w:rPr>
              <w:t>-</w:t>
            </w:r>
          </w:p>
        </w:tc>
        <w:tc>
          <w:tcPr>
            <w:tcW w:w="1492" w:type="dxa"/>
            <w:vAlign w:val="center"/>
          </w:tcPr>
          <w:p w:rsidR="00581A86" w:rsidRDefault="00B05788">
            <w:pPr>
              <w:jc w:val="center"/>
            </w:pPr>
            <w:r>
              <w:rPr>
                <w:color w:val="000000"/>
                <w:sz w:val="24"/>
                <w:szCs w:val="24"/>
              </w:rPr>
              <w:t>-</w:t>
            </w:r>
          </w:p>
        </w:tc>
        <w:tc>
          <w:tcPr>
            <w:tcW w:w="1194" w:type="dxa"/>
            <w:vAlign w:val="center"/>
          </w:tcPr>
          <w:p w:rsidR="00581A86" w:rsidRDefault="00B05788">
            <w:pPr>
              <w:jc w:val="center"/>
            </w:pPr>
            <w:r>
              <w:rPr>
                <w:color w:val="000000"/>
                <w:sz w:val="24"/>
                <w:szCs w:val="24"/>
              </w:rPr>
              <w:t>-</w:t>
            </w:r>
          </w:p>
        </w:tc>
        <w:tc>
          <w:tcPr>
            <w:tcW w:w="898" w:type="dxa"/>
            <w:vAlign w:val="center"/>
          </w:tcPr>
          <w:p w:rsidR="00581A86" w:rsidRDefault="00B05788">
            <w:pPr>
              <w:jc w:val="center"/>
            </w:pPr>
            <w:r>
              <w:rPr>
                <w:color w:val="000000"/>
                <w:sz w:val="24"/>
                <w:szCs w:val="24"/>
              </w:rPr>
              <w:t>-</w:t>
            </w:r>
          </w:p>
        </w:tc>
      </w:tr>
      <w:tr w:rsidR="00581A86">
        <w:trPr>
          <w:jc w:val="center"/>
        </w:trPr>
        <w:tc>
          <w:tcPr>
            <w:tcW w:w="1701" w:type="dxa"/>
            <w:vAlign w:val="center"/>
          </w:tcPr>
          <w:p w:rsidR="00581A86" w:rsidRDefault="00B05788">
            <w:pPr>
              <w:jc w:val="left"/>
            </w:pPr>
            <w:r>
              <w:rPr>
                <w:color w:val="000000"/>
                <w:sz w:val="24"/>
                <w:szCs w:val="24"/>
              </w:rPr>
              <w:t>过去三年</w:t>
            </w:r>
          </w:p>
        </w:tc>
        <w:tc>
          <w:tcPr>
            <w:tcW w:w="1045" w:type="dxa"/>
            <w:vAlign w:val="center"/>
          </w:tcPr>
          <w:p w:rsidR="00581A86" w:rsidRDefault="00B05788">
            <w:pPr>
              <w:jc w:val="center"/>
            </w:pPr>
            <w:r>
              <w:rPr>
                <w:color w:val="000000"/>
                <w:sz w:val="24"/>
                <w:szCs w:val="24"/>
              </w:rPr>
              <w:t>-</w:t>
            </w:r>
          </w:p>
        </w:tc>
        <w:tc>
          <w:tcPr>
            <w:tcW w:w="1344" w:type="dxa"/>
            <w:vAlign w:val="center"/>
          </w:tcPr>
          <w:p w:rsidR="00581A86" w:rsidRDefault="00B05788">
            <w:pPr>
              <w:jc w:val="center"/>
            </w:pPr>
            <w:r>
              <w:rPr>
                <w:color w:val="000000"/>
                <w:sz w:val="24"/>
                <w:szCs w:val="24"/>
              </w:rPr>
              <w:t>-</w:t>
            </w:r>
          </w:p>
        </w:tc>
        <w:tc>
          <w:tcPr>
            <w:tcW w:w="1194" w:type="dxa"/>
            <w:vAlign w:val="center"/>
          </w:tcPr>
          <w:p w:rsidR="00581A86" w:rsidRDefault="00B05788">
            <w:pPr>
              <w:jc w:val="center"/>
            </w:pPr>
            <w:r>
              <w:rPr>
                <w:color w:val="000000"/>
                <w:sz w:val="24"/>
                <w:szCs w:val="24"/>
              </w:rPr>
              <w:t>-</w:t>
            </w:r>
          </w:p>
        </w:tc>
        <w:tc>
          <w:tcPr>
            <w:tcW w:w="1492" w:type="dxa"/>
            <w:vAlign w:val="center"/>
          </w:tcPr>
          <w:p w:rsidR="00581A86" w:rsidRDefault="00B05788">
            <w:pPr>
              <w:jc w:val="center"/>
            </w:pPr>
            <w:r>
              <w:rPr>
                <w:color w:val="000000"/>
                <w:sz w:val="24"/>
                <w:szCs w:val="24"/>
              </w:rPr>
              <w:t>-</w:t>
            </w:r>
          </w:p>
        </w:tc>
        <w:tc>
          <w:tcPr>
            <w:tcW w:w="1194" w:type="dxa"/>
            <w:vAlign w:val="center"/>
          </w:tcPr>
          <w:p w:rsidR="00581A86" w:rsidRDefault="00B05788">
            <w:pPr>
              <w:jc w:val="center"/>
            </w:pPr>
            <w:r>
              <w:rPr>
                <w:color w:val="000000"/>
                <w:sz w:val="24"/>
                <w:szCs w:val="24"/>
              </w:rPr>
              <w:t>-</w:t>
            </w:r>
          </w:p>
        </w:tc>
        <w:tc>
          <w:tcPr>
            <w:tcW w:w="898" w:type="dxa"/>
            <w:vAlign w:val="center"/>
          </w:tcPr>
          <w:p w:rsidR="00581A86" w:rsidRDefault="00B05788">
            <w:pPr>
              <w:jc w:val="center"/>
            </w:pPr>
            <w:r>
              <w:rPr>
                <w:color w:val="000000"/>
                <w:sz w:val="24"/>
                <w:szCs w:val="24"/>
              </w:rPr>
              <w:t>-</w:t>
            </w:r>
          </w:p>
        </w:tc>
      </w:tr>
      <w:tr w:rsidR="00581A86">
        <w:trPr>
          <w:jc w:val="center"/>
        </w:trPr>
        <w:tc>
          <w:tcPr>
            <w:tcW w:w="1701" w:type="dxa"/>
            <w:vAlign w:val="center"/>
          </w:tcPr>
          <w:p w:rsidR="00581A86" w:rsidRDefault="00B05788">
            <w:pPr>
              <w:jc w:val="left"/>
            </w:pPr>
            <w:r>
              <w:rPr>
                <w:color w:val="000000"/>
                <w:sz w:val="24"/>
                <w:szCs w:val="24"/>
              </w:rPr>
              <w:t>过去五年</w:t>
            </w:r>
          </w:p>
        </w:tc>
        <w:tc>
          <w:tcPr>
            <w:tcW w:w="1045" w:type="dxa"/>
            <w:vAlign w:val="center"/>
          </w:tcPr>
          <w:p w:rsidR="00581A86" w:rsidRDefault="00B05788">
            <w:pPr>
              <w:jc w:val="center"/>
            </w:pPr>
            <w:r>
              <w:rPr>
                <w:color w:val="000000"/>
                <w:sz w:val="24"/>
                <w:szCs w:val="24"/>
              </w:rPr>
              <w:t>-</w:t>
            </w:r>
          </w:p>
        </w:tc>
        <w:tc>
          <w:tcPr>
            <w:tcW w:w="1344" w:type="dxa"/>
            <w:vAlign w:val="center"/>
          </w:tcPr>
          <w:p w:rsidR="00581A86" w:rsidRDefault="00B05788">
            <w:pPr>
              <w:jc w:val="center"/>
            </w:pPr>
            <w:r>
              <w:rPr>
                <w:color w:val="000000"/>
                <w:sz w:val="24"/>
                <w:szCs w:val="24"/>
              </w:rPr>
              <w:t>-</w:t>
            </w:r>
          </w:p>
        </w:tc>
        <w:tc>
          <w:tcPr>
            <w:tcW w:w="1194" w:type="dxa"/>
            <w:vAlign w:val="center"/>
          </w:tcPr>
          <w:p w:rsidR="00581A86" w:rsidRDefault="00B05788">
            <w:pPr>
              <w:jc w:val="center"/>
            </w:pPr>
            <w:r>
              <w:rPr>
                <w:color w:val="000000"/>
                <w:sz w:val="24"/>
                <w:szCs w:val="24"/>
              </w:rPr>
              <w:t>-</w:t>
            </w:r>
          </w:p>
        </w:tc>
        <w:tc>
          <w:tcPr>
            <w:tcW w:w="1492" w:type="dxa"/>
            <w:vAlign w:val="center"/>
          </w:tcPr>
          <w:p w:rsidR="00581A86" w:rsidRDefault="00B05788">
            <w:pPr>
              <w:jc w:val="center"/>
            </w:pPr>
            <w:r>
              <w:rPr>
                <w:color w:val="000000"/>
                <w:sz w:val="24"/>
                <w:szCs w:val="24"/>
              </w:rPr>
              <w:t>-</w:t>
            </w:r>
          </w:p>
        </w:tc>
        <w:tc>
          <w:tcPr>
            <w:tcW w:w="1194" w:type="dxa"/>
            <w:vAlign w:val="center"/>
          </w:tcPr>
          <w:p w:rsidR="00581A86" w:rsidRDefault="00B05788">
            <w:pPr>
              <w:jc w:val="center"/>
            </w:pPr>
            <w:r>
              <w:rPr>
                <w:color w:val="000000"/>
                <w:sz w:val="24"/>
                <w:szCs w:val="24"/>
              </w:rPr>
              <w:t>-</w:t>
            </w:r>
          </w:p>
        </w:tc>
        <w:tc>
          <w:tcPr>
            <w:tcW w:w="898" w:type="dxa"/>
            <w:vAlign w:val="center"/>
          </w:tcPr>
          <w:p w:rsidR="00581A86" w:rsidRDefault="00B05788">
            <w:pPr>
              <w:jc w:val="center"/>
            </w:pPr>
            <w:r>
              <w:rPr>
                <w:color w:val="000000"/>
                <w:sz w:val="24"/>
                <w:szCs w:val="24"/>
              </w:rPr>
              <w:t>-</w:t>
            </w:r>
          </w:p>
        </w:tc>
      </w:tr>
      <w:tr w:rsidR="00581A86">
        <w:trPr>
          <w:jc w:val="center"/>
        </w:trPr>
        <w:tc>
          <w:tcPr>
            <w:tcW w:w="1701" w:type="dxa"/>
            <w:vAlign w:val="center"/>
          </w:tcPr>
          <w:p w:rsidR="00581A86" w:rsidRDefault="00B05788">
            <w:pPr>
              <w:jc w:val="left"/>
            </w:pPr>
            <w:r>
              <w:rPr>
                <w:color w:val="000000"/>
                <w:sz w:val="24"/>
                <w:szCs w:val="24"/>
              </w:rPr>
              <w:t>自基金合同生效起至今</w:t>
            </w:r>
          </w:p>
        </w:tc>
        <w:tc>
          <w:tcPr>
            <w:tcW w:w="1045" w:type="dxa"/>
            <w:vAlign w:val="center"/>
          </w:tcPr>
          <w:p w:rsidR="00581A86" w:rsidRDefault="00B05788">
            <w:pPr>
              <w:jc w:val="center"/>
            </w:pPr>
            <w:r>
              <w:rPr>
                <w:color w:val="000000"/>
                <w:sz w:val="24"/>
                <w:szCs w:val="24"/>
              </w:rPr>
              <w:t>-10.46%</w:t>
            </w:r>
          </w:p>
        </w:tc>
        <w:tc>
          <w:tcPr>
            <w:tcW w:w="1344" w:type="dxa"/>
            <w:vAlign w:val="center"/>
          </w:tcPr>
          <w:p w:rsidR="00581A86" w:rsidRDefault="00B05788">
            <w:pPr>
              <w:jc w:val="center"/>
            </w:pPr>
            <w:r>
              <w:rPr>
                <w:color w:val="000000"/>
                <w:sz w:val="24"/>
                <w:szCs w:val="24"/>
              </w:rPr>
              <w:t>0.46%</w:t>
            </w:r>
          </w:p>
        </w:tc>
        <w:tc>
          <w:tcPr>
            <w:tcW w:w="1194" w:type="dxa"/>
            <w:vAlign w:val="center"/>
          </w:tcPr>
          <w:p w:rsidR="00581A86" w:rsidRDefault="00B05788">
            <w:pPr>
              <w:jc w:val="center"/>
            </w:pPr>
            <w:r>
              <w:rPr>
                <w:color w:val="000000"/>
                <w:sz w:val="24"/>
                <w:szCs w:val="24"/>
              </w:rPr>
              <w:t>-6.02%</w:t>
            </w:r>
          </w:p>
        </w:tc>
        <w:tc>
          <w:tcPr>
            <w:tcW w:w="1492" w:type="dxa"/>
            <w:vAlign w:val="center"/>
          </w:tcPr>
          <w:p w:rsidR="00581A86" w:rsidRDefault="00B05788">
            <w:pPr>
              <w:jc w:val="center"/>
            </w:pPr>
            <w:r>
              <w:rPr>
                <w:color w:val="000000"/>
                <w:sz w:val="24"/>
                <w:szCs w:val="24"/>
              </w:rPr>
              <w:t>0.34%</w:t>
            </w:r>
          </w:p>
        </w:tc>
        <w:tc>
          <w:tcPr>
            <w:tcW w:w="1194" w:type="dxa"/>
            <w:vAlign w:val="center"/>
          </w:tcPr>
          <w:p w:rsidR="00581A86" w:rsidRDefault="00B05788">
            <w:pPr>
              <w:jc w:val="center"/>
            </w:pPr>
            <w:r>
              <w:rPr>
                <w:color w:val="000000"/>
                <w:sz w:val="24"/>
                <w:szCs w:val="24"/>
              </w:rPr>
              <w:t>-4.44%</w:t>
            </w:r>
          </w:p>
        </w:tc>
        <w:tc>
          <w:tcPr>
            <w:tcW w:w="898" w:type="dxa"/>
            <w:vAlign w:val="center"/>
          </w:tcPr>
          <w:p w:rsidR="00581A86" w:rsidRDefault="00B05788">
            <w:pPr>
              <w:jc w:val="center"/>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摩根锦颐养老目标日期</w:t>
      </w:r>
      <w:r w:rsidRPr="00414345">
        <w:rPr>
          <w:color w:val="000000"/>
          <w:sz w:val="24"/>
          <w:szCs w:val="24"/>
        </w:rPr>
        <w:t>2035</w:t>
      </w:r>
      <w:r w:rsidRPr="00414345">
        <w:rPr>
          <w:color w:val="000000"/>
          <w:sz w:val="24"/>
          <w:szCs w:val="24"/>
        </w:rPr>
        <w:t>三年持有期混合型发起式基金中基金</w:t>
      </w:r>
      <w:r w:rsidRPr="00414345">
        <w:rPr>
          <w:color w:val="000000"/>
          <w:sz w:val="24"/>
          <w:szCs w:val="24"/>
        </w:rPr>
        <w:t>(FOF)</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2023</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EE165" wp14:editId="6BB9C99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581A86" w:rsidRDefault="00B05788">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2023</w:t>
      </w:r>
      <w:r>
        <w:rPr>
          <w:color w:val="000000"/>
          <w:sz w:val="24"/>
          <w:szCs w:val="24"/>
        </w:rPr>
        <w:t>年</w:t>
      </w:r>
      <w:r>
        <w:rPr>
          <w:color w:val="000000"/>
          <w:sz w:val="24"/>
          <w:szCs w:val="24"/>
        </w:rPr>
        <w:t>4</w:t>
      </w:r>
      <w:r>
        <w:rPr>
          <w:color w:val="000000"/>
          <w:sz w:val="24"/>
          <w:szCs w:val="24"/>
        </w:rPr>
        <w:t>月</w:t>
      </w:r>
      <w:r>
        <w:rPr>
          <w:color w:val="000000"/>
          <w:sz w:val="24"/>
          <w:szCs w:val="24"/>
        </w:rPr>
        <w:t>4</w:t>
      </w:r>
      <w:r>
        <w:rPr>
          <w:color w:val="000000"/>
          <w:sz w:val="24"/>
          <w:szCs w:val="24"/>
        </w:rPr>
        <w:t>日，截至本报告期末本基金合同生效未满一年。</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个月，建仓期结束时资产配置比例符合本基金基金合同规定。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627E2D" w:rsidRPr="00414345" w:rsidRDefault="00627E2D" w:rsidP="00C15CAC">
      <w:pPr>
        <w:autoSpaceDE w:val="0"/>
        <w:autoSpaceDN w:val="0"/>
        <w:adjustRightInd w:val="0"/>
        <w:spacing w:before="29" w:line="288" w:lineRule="auto"/>
        <w:jc w:val="left"/>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81A86">
        <w:trPr>
          <w:jc w:val="center"/>
        </w:trPr>
        <w:tc>
          <w:tcPr>
            <w:tcW w:w="846" w:type="dxa"/>
            <w:vAlign w:val="center"/>
          </w:tcPr>
          <w:p w:rsidR="00581A86" w:rsidRDefault="00B05788">
            <w:pPr>
              <w:jc w:val="center"/>
            </w:pPr>
            <w:r>
              <w:rPr>
                <w:color w:val="000000"/>
                <w:sz w:val="24"/>
                <w:szCs w:val="24"/>
              </w:rPr>
              <w:t>杜习杰</w:t>
            </w:r>
          </w:p>
        </w:tc>
        <w:tc>
          <w:tcPr>
            <w:tcW w:w="845" w:type="dxa"/>
            <w:vAlign w:val="center"/>
          </w:tcPr>
          <w:p w:rsidR="00581A86" w:rsidRDefault="00B05788">
            <w:pPr>
              <w:jc w:val="center"/>
            </w:pPr>
            <w:r>
              <w:rPr>
                <w:color w:val="000000"/>
                <w:sz w:val="24"/>
                <w:szCs w:val="24"/>
              </w:rPr>
              <w:t>本基金基金经理</w:t>
            </w:r>
          </w:p>
        </w:tc>
        <w:tc>
          <w:tcPr>
            <w:tcW w:w="1549" w:type="dxa"/>
            <w:vAlign w:val="center"/>
          </w:tcPr>
          <w:p w:rsidR="00581A86" w:rsidRDefault="00B05788">
            <w:pPr>
              <w:jc w:val="center"/>
            </w:pPr>
            <w:r>
              <w:rPr>
                <w:color w:val="000000"/>
                <w:sz w:val="24"/>
                <w:szCs w:val="24"/>
              </w:rPr>
              <w:t>2023-04-04</w:t>
            </w:r>
          </w:p>
        </w:tc>
        <w:tc>
          <w:tcPr>
            <w:tcW w:w="1548" w:type="dxa"/>
            <w:vAlign w:val="center"/>
          </w:tcPr>
          <w:p w:rsidR="00581A86" w:rsidRDefault="00B05788">
            <w:pPr>
              <w:jc w:val="center"/>
            </w:pPr>
            <w:r>
              <w:rPr>
                <w:color w:val="000000"/>
                <w:sz w:val="24"/>
                <w:szCs w:val="24"/>
              </w:rPr>
              <w:t>-</w:t>
            </w:r>
          </w:p>
        </w:tc>
        <w:tc>
          <w:tcPr>
            <w:tcW w:w="1407" w:type="dxa"/>
            <w:vAlign w:val="center"/>
          </w:tcPr>
          <w:p w:rsidR="00581A86" w:rsidRDefault="00B05788">
            <w:pPr>
              <w:jc w:val="center"/>
            </w:pPr>
            <w:r>
              <w:rPr>
                <w:color w:val="000000"/>
                <w:sz w:val="24"/>
                <w:szCs w:val="24"/>
              </w:rPr>
              <w:t>15</w:t>
            </w:r>
            <w:r>
              <w:rPr>
                <w:color w:val="000000"/>
                <w:sz w:val="24"/>
                <w:szCs w:val="24"/>
              </w:rPr>
              <w:t>年</w:t>
            </w:r>
          </w:p>
        </w:tc>
        <w:tc>
          <w:tcPr>
            <w:tcW w:w="2673" w:type="dxa"/>
            <w:vAlign w:val="center"/>
          </w:tcPr>
          <w:p w:rsidR="00581A86" w:rsidRDefault="00B05788">
            <w:r>
              <w:rPr>
                <w:color w:val="000000"/>
                <w:sz w:val="24"/>
                <w:szCs w:val="24"/>
              </w:rPr>
              <w:t>杜习杰先生曾任长信基金任研究员。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月起加入摩根基金管理（中国）有限公司（原上投摩根基金管理有限公司），历任研究员、投资经理兼研究员，现任组合基金投资部基金经理。</w:t>
            </w:r>
          </w:p>
        </w:tc>
      </w:tr>
      <w:tr w:rsidR="00581A86">
        <w:trPr>
          <w:jc w:val="center"/>
        </w:trPr>
        <w:tc>
          <w:tcPr>
            <w:tcW w:w="846" w:type="dxa"/>
            <w:vAlign w:val="center"/>
          </w:tcPr>
          <w:p w:rsidR="00581A86" w:rsidRDefault="00B05788">
            <w:pPr>
              <w:jc w:val="center"/>
            </w:pPr>
            <w:r>
              <w:rPr>
                <w:color w:val="000000"/>
                <w:sz w:val="24"/>
                <w:szCs w:val="24"/>
              </w:rPr>
              <w:t>吴春杰</w:t>
            </w:r>
          </w:p>
        </w:tc>
        <w:tc>
          <w:tcPr>
            <w:tcW w:w="845" w:type="dxa"/>
            <w:vAlign w:val="center"/>
          </w:tcPr>
          <w:p w:rsidR="00581A86" w:rsidRDefault="00B05788">
            <w:pPr>
              <w:jc w:val="center"/>
            </w:pPr>
            <w:r>
              <w:rPr>
                <w:color w:val="000000"/>
                <w:sz w:val="24"/>
                <w:szCs w:val="24"/>
              </w:rPr>
              <w:t>本基金基金经理</w:t>
            </w:r>
          </w:p>
        </w:tc>
        <w:tc>
          <w:tcPr>
            <w:tcW w:w="1549" w:type="dxa"/>
            <w:vAlign w:val="center"/>
          </w:tcPr>
          <w:p w:rsidR="00581A86" w:rsidRDefault="00B05788">
            <w:pPr>
              <w:jc w:val="center"/>
            </w:pPr>
            <w:r>
              <w:rPr>
                <w:color w:val="000000"/>
                <w:sz w:val="24"/>
                <w:szCs w:val="24"/>
              </w:rPr>
              <w:t>2023-04-06</w:t>
            </w:r>
          </w:p>
        </w:tc>
        <w:tc>
          <w:tcPr>
            <w:tcW w:w="1548" w:type="dxa"/>
            <w:vAlign w:val="center"/>
          </w:tcPr>
          <w:p w:rsidR="00581A86" w:rsidRDefault="00B05788">
            <w:pPr>
              <w:jc w:val="center"/>
            </w:pPr>
            <w:r>
              <w:rPr>
                <w:color w:val="000000"/>
                <w:sz w:val="24"/>
                <w:szCs w:val="24"/>
              </w:rPr>
              <w:t>-</w:t>
            </w:r>
          </w:p>
        </w:tc>
        <w:tc>
          <w:tcPr>
            <w:tcW w:w="1407" w:type="dxa"/>
            <w:vAlign w:val="center"/>
          </w:tcPr>
          <w:p w:rsidR="00581A86" w:rsidRDefault="00B05788">
            <w:pPr>
              <w:jc w:val="center"/>
            </w:pPr>
            <w:r>
              <w:rPr>
                <w:color w:val="000000"/>
                <w:sz w:val="24"/>
                <w:szCs w:val="24"/>
              </w:rPr>
              <w:t>13</w:t>
            </w:r>
            <w:r>
              <w:rPr>
                <w:color w:val="000000"/>
                <w:sz w:val="24"/>
                <w:szCs w:val="24"/>
              </w:rPr>
              <w:t>年</w:t>
            </w:r>
          </w:p>
        </w:tc>
        <w:tc>
          <w:tcPr>
            <w:tcW w:w="2673" w:type="dxa"/>
            <w:vAlign w:val="center"/>
          </w:tcPr>
          <w:p w:rsidR="00581A86" w:rsidRDefault="00B05788">
            <w:r>
              <w:rPr>
                <w:color w:val="000000"/>
                <w:sz w:val="24"/>
                <w:szCs w:val="24"/>
              </w:rPr>
              <w:t>吴春杰女士曾任长江证券股份有限公司宏观策略分析师，中国太平洋人寿保险有限公司资产配置中心配置策略经理，上海景熙资产管理有限公司投资经理</w:t>
            </w:r>
            <w:r>
              <w:rPr>
                <w:color w:val="000000"/>
                <w:sz w:val="24"/>
                <w:szCs w:val="24"/>
              </w:rPr>
              <w:t>/</w:t>
            </w:r>
            <w:r>
              <w:rPr>
                <w:color w:val="000000"/>
                <w:sz w:val="24"/>
                <w:szCs w:val="24"/>
              </w:rPr>
              <w:t>宏观策略研究。</w:t>
            </w:r>
            <w:r>
              <w:rPr>
                <w:color w:val="000000"/>
                <w:sz w:val="24"/>
                <w:szCs w:val="24"/>
              </w:rPr>
              <w:t>2018</w:t>
            </w:r>
            <w:r>
              <w:rPr>
                <w:color w:val="000000"/>
                <w:sz w:val="24"/>
                <w:szCs w:val="24"/>
              </w:rPr>
              <w:t>年</w:t>
            </w:r>
            <w:r>
              <w:rPr>
                <w:color w:val="000000"/>
                <w:sz w:val="24"/>
                <w:szCs w:val="24"/>
              </w:rPr>
              <w:t>7</w:t>
            </w:r>
            <w:r>
              <w:rPr>
                <w:color w:val="000000"/>
                <w:sz w:val="24"/>
                <w:szCs w:val="24"/>
              </w:rPr>
              <w:t>月加入摩根基金管理（中国）有限公司（原上投摩根基金管理有限公司），历任宏观研究员，现任高级基金经理。</w:t>
            </w:r>
          </w:p>
        </w:tc>
      </w:tr>
    </w:tbl>
    <w:p w:rsidR="00581A86" w:rsidRDefault="00B0578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任职日期和离任日期均指根据公司决定确定的聘任日期和解聘日期。</w:t>
      </w:r>
    </w:p>
    <w:p w:rsidR="00581A86" w:rsidRDefault="00B05788">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杜习杰先生为本基金首任基金经理，其任职日期指本基金基金合同生效之日。</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证券从业的含义遵从行业协会《证券业从业人员资格管理办法》的相关规定。</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81A86" w:rsidRDefault="00B05788">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报告期内，本公司继续贯彻落实《证券投资基金管理公司公平交易制度指导意见》等相关法律法规和公司内部公平交易流程的各项要求，严格规范境内上市股票、债券的</w:t>
      </w:r>
      <w:r>
        <w:rPr>
          <w:color w:val="000000"/>
          <w:sz w:val="24"/>
          <w:szCs w:val="24"/>
        </w:rPr>
        <w:lastRenderedPageBreak/>
        <w:t>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81A86" w:rsidRDefault="00B05788">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581A86" w:rsidRDefault="00B05788">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81A86" w:rsidRDefault="00B05788">
      <w:pPr>
        <w:spacing w:before="29" w:line="288" w:lineRule="auto"/>
        <w:ind w:firstLineChars="200" w:firstLine="480"/>
        <w:rPr>
          <w:color w:val="000000"/>
          <w:sz w:val="24"/>
          <w:szCs w:val="24"/>
        </w:rPr>
      </w:pPr>
      <w:r>
        <w:rPr>
          <w:color w:val="000000"/>
          <w:sz w:val="24"/>
          <w:szCs w:val="24"/>
        </w:rPr>
        <w:t>进入四季度，国内经济总体平稳运行，结构上，工业生产同比回升，消费数据在去年低基数下反弹，但同时，部分投资与新开工进入季节性淡季；出口增速负值修复，通胀低位震荡略不及预期，反映出当前内、外需存在的压力。随着金融工作会议、中央经济工作会议的召开，政策面发力扩内需、防范化解风险的信号更加明朗，包括财政方面超</w:t>
      </w:r>
      <w:r>
        <w:rPr>
          <w:color w:val="000000"/>
          <w:sz w:val="24"/>
          <w:szCs w:val="24"/>
        </w:rPr>
        <w:t>1.3</w:t>
      </w:r>
      <w:r>
        <w:rPr>
          <w:color w:val="000000"/>
          <w:sz w:val="24"/>
          <w:szCs w:val="24"/>
        </w:rPr>
        <w:t>万亿的特别再融资债发行、增发</w:t>
      </w:r>
      <w:r>
        <w:rPr>
          <w:color w:val="000000"/>
          <w:sz w:val="24"/>
          <w:szCs w:val="24"/>
        </w:rPr>
        <w:t>1</w:t>
      </w:r>
      <w:r>
        <w:rPr>
          <w:color w:val="000000"/>
          <w:sz w:val="24"/>
          <w:szCs w:val="24"/>
        </w:rPr>
        <w:t>万亿特别国债，以及货币政策在量、价工具上的积极操作等，总体来讲，有助于</w:t>
      </w:r>
      <w:r>
        <w:rPr>
          <w:color w:val="000000"/>
          <w:sz w:val="24"/>
          <w:szCs w:val="24"/>
        </w:rPr>
        <w:t>2024</w:t>
      </w:r>
      <w:r>
        <w:rPr>
          <w:color w:val="000000"/>
          <w:sz w:val="24"/>
          <w:szCs w:val="24"/>
        </w:rPr>
        <w:t>年经济修复动力的积蓄。</w:t>
      </w:r>
    </w:p>
    <w:p w:rsidR="00581A86" w:rsidRDefault="00B05788">
      <w:pPr>
        <w:spacing w:before="29" w:line="288" w:lineRule="auto"/>
        <w:ind w:firstLineChars="200" w:firstLine="480"/>
        <w:rPr>
          <w:color w:val="000000"/>
          <w:sz w:val="24"/>
          <w:szCs w:val="24"/>
        </w:rPr>
      </w:pPr>
      <w:r>
        <w:rPr>
          <w:color w:val="000000"/>
          <w:sz w:val="24"/>
          <w:szCs w:val="24"/>
        </w:rPr>
        <w:t>国内股票市场震荡走弱，中证</w:t>
      </w:r>
      <w:r>
        <w:rPr>
          <w:color w:val="000000"/>
          <w:sz w:val="24"/>
          <w:szCs w:val="24"/>
        </w:rPr>
        <w:t>800</w:t>
      </w:r>
      <w:r>
        <w:rPr>
          <w:color w:val="000000"/>
          <w:sz w:val="24"/>
          <w:szCs w:val="24"/>
        </w:rPr>
        <w:t>指数全季下跌</w:t>
      </w:r>
      <w:r>
        <w:rPr>
          <w:color w:val="000000"/>
          <w:sz w:val="24"/>
          <w:szCs w:val="24"/>
        </w:rPr>
        <w:t>6.4%</w:t>
      </w:r>
      <w:r>
        <w:rPr>
          <w:color w:val="000000"/>
          <w:sz w:val="24"/>
          <w:szCs w:val="24"/>
        </w:rPr>
        <w:t>。一方面，市场在经济基本面数据未出现持续改善前，对政策面持续加码的预期强于现实；另一方面，北上资金仍延续了三季度的流出态势。市场对于央行后续继续降准、降息保持乐观预期下，国内债券收益率曲线整体下移，</w:t>
      </w:r>
      <w:r>
        <w:rPr>
          <w:color w:val="000000"/>
          <w:sz w:val="24"/>
          <w:szCs w:val="24"/>
        </w:rPr>
        <w:t>10</w:t>
      </w:r>
      <w:r>
        <w:rPr>
          <w:color w:val="000000"/>
          <w:sz w:val="24"/>
          <w:szCs w:val="24"/>
        </w:rPr>
        <w:t>年国债到期收益率下降</w:t>
      </w:r>
      <w:r>
        <w:rPr>
          <w:color w:val="000000"/>
          <w:sz w:val="24"/>
          <w:szCs w:val="24"/>
        </w:rPr>
        <w:t>12BP</w:t>
      </w:r>
      <w:r>
        <w:rPr>
          <w:color w:val="000000"/>
          <w:sz w:val="24"/>
          <w:szCs w:val="24"/>
        </w:rPr>
        <w:t>至</w:t>
      </w:r>
      <w:r>
        <w:rPr>
          <w:color w:val="000000"/>
          <w:sz w:val="24"/>
          <w:szCs w:val="24"/>
        </w:rPr>
        <w:t>2.56%</w:t>
      </w:r>
      <w:r>
        <w:rPr>
          <w:color w:val="000000"/>
          <w:sz w:val="24"/>
          <w:szCs w:val="24"/>
        </w:rPr>
        <w:t>。</w:t>
      </w:r>
    </w:p>
    <w:p w:rsidR="00581A86" w:rsidRDefault="00B05788">
      <w:pPr>
        <w:spacing w:before="29" w:line="288" w:lineRule="auto"/>
        <w:ind w:firstLineChars="200" w:firstLine="480"/>
        <w:rPr>
          <w:color w:val="000000"/>
          <w:sz w:val="24"/>
          <w:szCs w:val="24"/>
        </w:rPr>
      </w:pPr>
      <w:r>
        <w:rPr>
          <w:color w:val="000000"/>
          <w:sz w:val="24"/>
          <w:szCs w:val="24"/>
        </w:rPr>
        <w:t>海外方面，四季度美国通胀回落、就业市场指标边际弱化，美债收益率由</w:t>
      </w:r>
      <w:r>
        <w:rPr>
          <w:color w:val="000000"/>
          <w:sz w:val="24"/>
          <w:szCs w:val="24"/>
        </w:rPr>
        <w:t>5%</w:t>
      </w:r>
      <w:r>
        <w:rPr>
          <w:color w:val="000000"/>
          <w:sz w:val="24"/>
          <w:szCs w:val="24"/>
        </w:rPr>
        <w:t>的高位快速下行至</w:t>
      </w:r>
      <w:r>
        <w:rPr>
          <w:color w:val="000000"/>
          <w:sz w:val="24"/>
          <w:szCs w:val="24"/>
        </w:rPr>
        <w:t>3.87%</w:t>
      </w:r>
      <w:r>
        <w:rPr>
          <w:color w:val="000000"/>
          <w:sz w:val="24"/>
          <w:szCs w:val="24"/>
        </w:rPr>
        <w:t>，有利于提振风险资产的估值水平，标普</w:t>
      </w:r>
      <w:r>
        <w:rPr>
          <w:color w:val="000000"/>
          <w:sz w:val="24"/>
          <w:szCs w:val="24"/>
        </w:rPr>
        <w:t>500</w:t>
      </w:r>
      <w:r>
        <w:rPr>
          <w:color w:val="000000"/>
          <w:sz w:val="24"/>
          <w:szCs w:val="24"/>
        </w:rPr>
        <w:t>指数震荡上涨</w:t>
      </w:r>
      <w:r>
        <w:rPr>
          <w:color w:val="000000"/>
          <w:sz w:val="24"/>
          <w:szCs w:val="24"/>
        </w:rPr>
        <w:t>11.2%</w:t>
      </w:r>
      <w:r>
        <w:rPr>
          <w:color w:val="000000"/>
          <w:sz w:val="24"/>
          <w:szCs w:val="24"/>
        </w:rPr>
        <w:t>。另类资产方面，</w:t>
      </w:r>
      <w:r>
        <w:rPr>
          <w:color w:val="000000"/>
          <w:sz w:val="24"/>
          <w:szCs w:val="24"/>
        </w:rPr>
        <w:t>COMEX</w:t>
      </w:r>
      <w:r>
        <w:rPr>
          <w:color w:val="000000"/>
          <w:sz w:val="24"/>
          <w:szCs w:val="24"/>
        </w:rPr>
        <w:t>黄金上涨</w:t>
      </w:r>
      <w:r>
        <w:rPr>
          <w:color w:val="000000"/>
          <w:sz w:val="24"/>
          <w:szCs w:val="24"/>
        </w:rPr>
        <w:t>11%</w:t>
      </w:r>
      <w:r>
        <w:rPr>
          <w:color w:val="000000"/>
          <w:sz w:val="24"/>
          <w:szCs w:val="24"/>
        </w:rPr>
        <w:t>，海外发达市场</w:t>
      </w:r>
      <w:r>
        <w:rPr>
          <w:color w:val="000000"/>
          <w:sz w:val="24"/>
          <w:szCs w:val="24"/>
        </w:rPr>
        <w:t>Reits</w:t>
      </w:r>
      <w:r>
        <w:rPr>
          <w:color w:val="000000"/>
          <w:sz w:val="24"/>
          <w:szCs w:val="24"/>
        </w:rPr>
        <w:t>亦有较好表现。</w:t>
      </w:r>
    </w:p>
    <w:p w:rsidR="00581A86" w:rsidRDefault="00B05788">
      <w:pPr>
        <w:spacing w:before="29" w:line="288" w:lineRule="auto"/>
        <w:ind w:firstLineChars="200" w:firstLine="480"/>
        <w:rPr>
          <w:color w:val="000000"/>
          <w:sz w:val="24"/>
          <w:szCs w:val="24"/>
        </w:rPr>
      </w:pPr>
      <w:r>
        <w:rPr>
          <w:color w:val="000000"/>
          <w:sz w:val="24"/>
          <w:szCs w:val="24"/>
        </w:rPr>
        <w:t>12</w:t>
      </w:r>
      <w:r>
        <w:rPr>
          <w:color w:val="000000"/>
          <w:sz w:val="24"/>
          <w:szCs w:val="24"/>
        </w:rPr>
        <w:t>月中央经济工作会议已经释放了进一步推动经济回升向好的预期，后续关注</w:t>
      </w:r>
      <w:r>
        <w:rPr>
          <w:color w:val="000000"/>
          <w:sz w:val="24"/>
          <w:szCs w:val="24"/>
        </w:rPr>
        <w:t>2024</w:t>
      </w:r>
      <w:r>
        <w:rPr>
          <w:color w:val="000000"/>
          <w:sz w:val="24"/>
          <w:szCs w:val="24"/>
        </w:rPr>
        <w:t>年初两会将制定的各项经济目标以及财政、货币政策发力的力度，其对各类资产的潜在回报与市场信心的恢复均较为重要。新旧经济动能的结构调整过程中，</w:t>
      </w:r>
      <w:r>
        <w:rPr>
          <w:color w:val="000000"/>
          <w:sz w:val="24"/>
          <w:szCs w:val="24"/>
        </w:rPr>
        <w:t>“</w:t>
      </w:r>
      <w:r>
        <w:rPr>
          <w:color w:val="000000"/>
          <w:sz w:val="24"/>
          <w:szCs w:val="24"/>
        </w:rPr>
        <w:t>先立后破</w:t>
      </w:r>
      <w:r>
        <w:rPr>
          <w:color w:val="000000"/>
          <w:sz w:val="24"/>
          <w:szCs w:val="24"/>
        </w:rPr>
        <w:t>”</w:t>
      </w:r>
      <w:r>
        <w:rPr>
          <w:color w:val="000000"/>
          <w:sz w:val="24"/>
          <w:szCs w:val="24"/>
        </w:rPr>
        <w:t>的定调有望为旧经济托住下行的底，同时，经济内生的修复动力在经历疫后第一年的曲折后，一些适应国内需求升级的科技创新领域也有望迎来较好的增长。</w:t>
      </w:r>
    </w:p>
    <w:p w:rsidR="00581A86" w:rsidRDefault="00B05788">
      <w:pPr>
        <w:spacing w:before="29" w:line="288" w:lineRule="auto"/>
        <w:ind w:firstLineChars="200" w:firstLine="480"/>
        <w:rPr>
          <w:color w:val="000000"/>
          <w:sz w:val="24"/>
          <w:szCs w:val="24"/>
        </w:rPr>
      </w:pPr>
      <w:r>
        <w:rPr>
          <w:color w:val="000000"/>
          <w:sz w:val="24"/>
          <w:szCs w:val="24"/>
        </w:rPr>
        <w:t>对于国内权益来讲，当前历史绝对估值分位、相对债券资产的估值均处在较高吸引</w:t>
      </w:r>
      <w:r>
        <w:rPr>
          <w:color w:val="000000"/>
          <w:sz w:val="24"/>
          <w:szCs w:val="24"/>
        </w:rPr>
        <w:lastRenderedPageBreak/>
        <w:t>力的水平，具备长期配置价值。临近年底，企业盈利预期指标有所企稳，并有望逐步修复。进入</w:t>
      </w:r>
      <w:r>
        <w:rPr>
          <w:color w:val="000000"/>
          <w:sz w:val="24"/>
          <w:szCs w:val="24"/>
        </w:rPr>
        <w:t>2024</w:t>
      </w:r>
      <w:r>
        <w:rPr>
          <w:color w:val="000000"/>
          <w:sz w:val="24"/>
          <w:szCs w:val="24"/>
        </w:rPr>
        <w:t>年，关注市场能否有增量资金流入，以打破存量资金博弈的格局。对于国内债券来讲，托底经济增长的政策在发力中，内外利差仍为负值，相对</w:t>
      </w:r>
      <w:r>
        <w:rPr>
          <w:color w:val="000000"/>
          <w:sz w:val="24"/>
          <w:szCs w:val="24"/>
        </w:rPr>
        <w:t>A</w:t>
      </w:r>
      <w:r>
        <w:rPr>
          <w:color w:val="000000"/>
          <w:sz w:val="24"/>
          <w:szCs w:val="24"/>
        </w:rPr>
        <w:t>股配置价值处在偏低的位置。但考虑到当前处在地方化债进程中、实际利率高位下，货币政策仍有进一步宽松的空间，国内债券的下行风险相对可控。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海外方面，美债、美股延续过去一个季度的同时大幅上涨，依赖美国经济软着陆且美联储快速进入降息周期的预期叠加。中期来看，前期高利率对企业、居民部门的冲击在逐步上升，对美债收益率下行的逻辑有支撑；经济增长趋弱对股权回报的影响相对负面，可等待更好的时机配置发达国家权益资产。对于港股，来自国内经济基本面、海外高利率环境的压力均有望逐步缓和。</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本报告期摩根锦颐养老目标日期</w:t>
      </w:r>
      <w:r w:rsidRPr="00414345">
        <w:rPr>
          <w:color w:val="000000"/>
          <w:sz w:val="24"/>
          <w:szCs w:val="24"/>
        </w:rPr>
        <w:t>2035</w:t>
      </w:r>
      <w:r w:rsidRPr="00414345">
        <w:rPr>
          <w:color w:val="000000"/>
          <w:sz w:val="24"/>
          <w:szCs w:val="24"/>
        </w:rPr>
        <w:t>三年份额净值增长率为</w:t>
      </w:r>
      <w:r w:rsidRPr="00414345">
        <w:rPr>
          <w:color w:val="000000"/>
          <w:sz w:val="24"/>
          <w:szCs w:val="24"/>
        </w:rPr>
        <w:t>:-3.13%</w:t>
      </w:r>
      <w:r w:rsidRPr="00414345">
        <w:rPr>
          <w:color w:val="000000"/>
          <w:sz w:val="24"/>
          <w:szCs w:val="24"/>
        </w:rPr>
        <w:t>，同期业绩比较基准收益率为</w:t>
      </w:r>
      <w:r w:rsidRPr="00414345">
        <w:rPr>
          <w:color w:val="000000"/>
          <w:sz w:val="24"/>
          <w:szCs w:val="24"/>
        </w:rPr>
        <w:t>:-2.32%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无。</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42,537,233.82</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94.46</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2,344,686.79</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5.21</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2,344,686.79</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5.21</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4C0877">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w:t>
            </w:r>
            <w:r w:rsidRPr="007B5F21">
              <w:rPr>
                <w:rFonts w:eastAsiaTheme="minorEastAsia"/>
                <w:color w:val="000000" w:themeColor="text1"/>
                <w:sz w:val="24"/>
                <w:szCs w:val="24"/>
              </w:rPr>
              <w:lastRenderedPageBreak/>
              <w:t>返售金融资产</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147,051.41</w:t>
            </w:r>
          </w:p>
        </w:tc>
        <w:tc>
          <w:tcPr>
            <w:tcW w:w="2801" w:type="dxa"/>
            <w:vAlign w:val="center"/>
          </w:tcPr>
          <w:p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0.33</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2,366.02</w:t>
            </w:r>
          </w:p>
        </w:tc>
        <w:tc>
          <w:tcPr>
            <w:tcW w:w="2801"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C0877">
        <w:tc>
          <w:tcPr>
            <w:tcW w:w="720" w:type="dxa"/>
            <w:vAlign w:val="center"/>
          </w:tcPr>
          <w:p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45,031,338.04</w:t>
            </w:r>
          </w:p>
        </w:tc>
        <w:tc>
          <w:tcPr>
            <w:tcW w:w="2801" w:type="dxa"/>
            <w:vAlign w:val="center"/>
          </w:tcPr>
          <w:p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 </w:t>
      </w:r>
      <w:r w:rsidR="004061AC" w:rsidRPr="00E133DE">
        <w:rPr>
          <w:b/>
          <w:bCs/>
          <w:kern w:val="0"/>
          <w:sz w:val="24"/>
          <w:szCs w:val="24"/>
        </w:rPr>
        <w:t>报告期末按公允价值占基金资产净值比例大小排序的前十名股票投资明细</w:t>
      </w:r>
    </w:p>
    <w:p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rsidR="00E133DE" w:rsidRPr="00975DED" w:rsidRDefault="00E133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2,344,686.79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4C0877">
        <w:trPr>
          <w:jc w:val="center"/>
        </w:trPr>
        <w:tc>
          <w:tcPr>
            <w:tcW w:w="828" w:type="dxa"/>
            <w:vAlign w:val="center"/>
          </w:tcPr>
          <w:p w:rsidR="00F323FF" w:rsidRPr="007A70C2" w:rsidRDefault="00F323FF" w:rsidP="004C0877">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4C0877">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2,344,686.79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81A86">
        <w:trPr>
          <w:jc w:val="center"/>
        </w:trPr>
        <w:tc>
          <w:tcPr>
            <w:tcW w:w="850" w:type="dxa"/>
            <w:vAlign w:val="center"/>
          </w:tcPr>
          <w:p w:rsidR="00581A86" w:rsidRDefault="00B05788">
            <w:pPr>
              <w:jc w:val="center"/>
            </w:pPr>
            <w:r>
              <w:rPr>
                <w:color w:val="000000"/>
                <w:sz w:val="24"/>
                <w:szCs w:val="24"/>
              </w:rPr>
              <w:t>1</w:t>
            </w:r>
          </w:p>
        </w:tc>
        <w:tc>
          <w:tcPr>
            <w:tcW w:w="1475" w:type="dxa"/>
            <w:vAlign w:val="center"/>
          </w:tcPr>
          <w:p w:rsidR="00581A86" w:rsidRDefault="00B05788">
            <w:pPr>
              <w:jc w:val="center"/>
            </w:pPr>
            <w:r>
              <w:rPr>
                <w:color w:val="000000"/>
                <w:sz w:val="24"/>
                <w:szCs w:val="24"/>
              </w:rPr>
              <w:t>019694</w:t>
            </w:r>
          </w:p>
        </w:tc>
        <w:tc>
          <w:tcPr>
            <w:tcW w:w="1769" w:type="dxa"/>
            <w:vAlign w:val="center"/>
          </w:tcPr>
          <w:p w:rsidR="00581A86" w:rsidRDefault="00B05788">
            <w:pPr>
              <w:jc w:val="center"/>
            </w:pPr>
            <w:r>
              <w:rPr>
                <w:color w:val="000000"/>
                <w:sz w:val="24"/>
                <w:szCs w:val="24"/>
              </w:rPr>
              <w:t>23</w:t>
            </w:r>
            <w:r>
              <w:rPr>
                <w:color w:val="000000"/>
                <w:sz w:val="24"/>
                <w:szCs w:val="24"/>
              </w:rPr>
              <w:t>国债</w:t>
            </w:r>
            <w:r>
              <w:rPr>
                <w:color w:val="000000"/>
                <w:sz w:val="24"/>
                <w:szCs w:val="24"/>
              </w:rPr>
              <w:t>01</w:t>
            </w:r>
          </w:p>
        </w:tc>
        <w:tc>
          <w:tcPr>
            <w:tcW w:w="1387" w:type="dxa"/>
            <w:vAlign w:val="center"/>
          </w:tcPr>
          <w:p w:rsidR="00581A86" w:rsidRDefault="00B05788">
            <w:pPr>
              <w:jc w:val="right"/>
            </w:pPr>
            <w:r>
              <w:rPr>
                <w:color w:val="000000"/>
                <w:sz w:val="24"/>
                <w:szCs w:val="24"/>
              </w:rPr>
              <w:t>23,000</w:t>
            </w:r>
          </w:p>
        </w:tc>
        <w:tc>
          <w:tcPr>
            <w:tcW w:w="2150" w:type="dxa"/>
            <w:vAlign w:val="center"/>
          </w:tcPr>
          <w:p w:rsidR="00581A86" w:rsidRDefault="00B05788">
            <w:pPr>
              <w:jc w:val="right"/>
            </w:pPr>
            <w:r>
              <w:rPr>
                <w:color w:val="000000"/>
                <w:sz w:val="24"/>
                <w:szCs w:val="24"/>
              </w:rPr>
              <w:t>2,344,686.79</w:t>
            </w:r>
          </w:p>
        </w:tc>
        <w:tc>
          <w:tcPr>
            <w:tcW w:w="1237" w:type="dxa"/>
            <w:vAlign w:val="center"/>
          </w:tcPr>
          <w:p w:rsidR="00581A86" w:rsidRDefault="00B05788">
            <w:pPr>
              <w:jc w:val="right"/>
            </w:pPr>
            <w:r>
              <w:rPr>
                <w:color w:val="000000"/>
                <w:sz w:val="24"/>
                <w:szCs w:val="24"/>
              </w:rPr>
              <w:t>5.23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报告期内本基金投资的前十名证券的发行主体本期没有出现被监管部门立案调查，或在报告编制日前一年内受到公开谴责、处罚的情形。</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2,366.02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2,366.02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因四舍五入原因，投资组合报告中分项之和与合计可能存在尾差。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rsidTr="004C0877">
        <w:tc>
          <w:tcPr>
            <w:tcW w:w="452"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581A86">
        <w:tc>
          <w:tcPr>
            <w:tcW w:w="835" w:type="dxa"/>
            <w:vAlign w:val="center"/>
          </w:tcPr>
          <w:p w:rsidR="00581A86" w:rsidRDefault="00B05788">
            <w:pPr>
              <w:jc w:val="center"/>
            </w:pPr>
            <w:r>
              <w:rPr>
                <w:sz w:val="24"/>
                <w:szCs w:val="24"/>
              </w:rPr>
              <w:t>1</w:t>
            </w:r>
          </w:p>
        </w:tc>
        <w:tc>
          <w:tcPr>
            <w:tcW w:w="1159" w:type="dxa"/>
            <w:vAlign w:val="center"/>
          </w:tcPr>
          <w:p w:rsidR="00581A86" w:rsidRDefault="00B05788">
            <w:pPr>
              <w:jc w:val="center"/>
            </w:pPr>
            <w:r>
              <w:rPr>
                <w:sz w:val="24"/>
                <w:szCs w:val="24"/>
              </w:rPr>
              <w:t>968050</w:t>
            </w:r>
          </w:p>
        </w:tc>
        <w:tc>
          <w:tcPr>
            <w:tcW w:w="1161" w:type="dxa"/>
            <w:vAlign w:val="center"/>
          </w:tcPr>
          <w:p w:rsidR="00581A86" w:rsidRDefault="00B05788">
            <w:pPr>
              <w:jc w:val="center"/>
            </w:pPr>
            <w:r>
              <w:rPr>
                <w:sz w:val="24"/>
                <w:szCs w:val="24"/>
              </w:rPr>
              <w:t>摩根国际债券人民币对冲累计</w:t>
            </w:r>
          </w:p>
        </w:tc>
        <w:tc>
          <w:tcPr>
            <w:tcW w:w="1161" w:type="dxa"/>
            <w:vAlign w:val="center"/>
          </w:tcPr>
          <w:p w:rsidR="00581A86" w:rsidRDefault="00B05788">
            <w:pPr>
              <w:jc w:val="center"/>
            </w:pPr>
            <w:r>
              <w:rPr>
                <w:sz w:val="24"/>
                <w:szCs w:val="24"/>
              </w:rPr>
              <w:t>契约型开放式</w:t>
            </w:r>
          </w:p>
        </w:tc>
        <w:tc>
          <w:tcPr>
            <w:tcW w:w="1159" w:type="dxa"/>
            <w:vAlign w:val="center"/>
          </w:tcPr>
          <w:p w:rsidR="00581A86" w:rsidRDefault="00B05788">
            <w:pPr>
              <w:jc w:val="center"/>
            </w:pPr>
            <w:r>
              <w:rPr>
                <w:sz w:val="24"/>
                <w:szCs w:val="24"/>
              </w:rPr>
              <w:t>189,772.73</w:t>
            </w:r>
          </w:p>
        </w:tc>
        <w:tc>
          <w:tcPr>
            <w:tcW w:w="1305" w:type="dxa"/>
            <w:vAlign w:val="center"/>
          </w:tcPr>
          <w:p w:rsidR="00581A86" w:rsidRDefault="00B05788">
            <w:pPr>
              <w:jc w:val="center"/>
            </w:pPr>
            <w:r>
              <w:rPr>
                <w:sz w:val="24"/>
                <w:szCs w:val="24"/>
              </w:rPr>
              <w:t>2,024,875.03</w:t>
            </w:r>
          </w:p>
        </w:tc>
        <w:tc>
          <w:tcPr>
            <w:tcW w:w="1161" w:type="dxa"/>
            <w:vAlign w:val="center"/>
          </w:tcPr>
          <w:p w:rsidR="00581A86" w:rsidRDefault="00B05788">
            <w:pPr>
              <w:jc w:val="center"/>
            </w:pPr>
            <w:r>
              <w:rPr>
                <w:sz w:val="24"/>
                <w:szCs w:val="24"/>
              </w:rPr>
              <w:t>4.51%</w:t>
            </w:r>
          </w:p>
        </w:tc>
        <w:tc>
          <w:tcPr>
            <w:tcW w:w="1301" w:type="dxa"/>
            <w:vAlign w:val="center"/>
          </w:tcPr>
          <w:p w:rsidR="00581A86" w:rsidRDefault="00B05788">
            <w:pPr>
              <w:jc w:val="center"/>
            </w:pPr>
            <w:r>
              <w:rPr>
                <w:sz w:val="24"/>
                <w:szCs w:val="24"/>
              </w:rPr>
              <w:t>是</w:t>
            </w:r>
          </w:p>
        </w:tc>
      </w:tr>
      <w:tr w:rsidR="00581A86">
        <w:tc>
          <w:tcPr>
            <w:tcW w:w="835" w:type="dxa"/>
            <w:vAlign w:val="center"/>
          </w:tcPr>
          <w:p w:rsidR="00581A86" w:rsidRDefault="00B05788">
            <w:pPr>
              <w:jc w:val="center"/>
            </w:pPr>
            <w:r>
              <w:rPr>
                <w:sz w:val="24"/>
                <w:szCs w:val="24"/>
              </w:rPr>
              <w:t>2</w:t>
            </w:r>
          </w:p>
        </w:tc>
        <w:tc>
          <w:tcPr>
            <w:tcW w:w="1159" w:type="dxa"/>
            <w:vAlign w:val="center"/>
          </w:tcPr>
          <w:p w:rsidR="00581A86" w:rsidRDefault="00B05788">
            <w:pPr>
              <w:jc w:val="center"/>
            </w:pPr>
            <w:r>
              <w:rPr>
                <w:sz w:val="24"/>
                <w:szCs w:val="24"/>
              </w:rPr>
              <w:t>100018</w:t>
            </w:r>
          </w:p>
        </w:tc>
        <w:tc>
          <w:tcPr>
            <w:tcW w:w="1161" w:type="dxa"/>
            <w:vAlign w:val="center"/>
          </w:tcPr>
          <w:p w:rsidR="00581A86" w:rsidRDefault="00B05788">
            <w:pPr>
              <w:jc w:val="center"/>
            </w:pPr>
            <w:r>
              <w:rPr>
                <w:sz w:val="24"/>
                <w:szCs w:val="24"/>
              </w:rPr>
              <w:t>富国天利增长债券</w:t>
            </w:r>
            <w:r>
              <w:rPr>
                <w:sz w:val="24"/>
                <w:szCs w:val="24"/>
              </w:rPr>
              <w:t>A</w:t>
            </w:r>
          </w:p>
        </w:tc>
        <w:tc>
          <w:tcPr>
            <w:tcW w:w="1161" w:type="dxa"/>
            <w:vAlign w:val="center"/>
          </w:tcPr>
          <w:p w:rsidR="00581A86" w:rsidRDefault="00B05788">
            <w:pPr>
              <w:jc w:val="center"/>
            </w:pPr>
            <w:r>
              <w:rPr>
                <w:sz w:val="24"/>
                <w:szCs w:val="24"/>
              </w:rPr>
              <w:t>契约型开放式</w:t>
            </w:r>
          </w:p>
        </w:tc>
        <w:tc>
          <w:tcPr>
            <w:tcW w:w="1159" w:type="dxa"/>
            <w:vAlign w:val="center"/>
          </w:tcPr>
          <w:p w:rsidR="00581A86" w:rsidRDefault="00B05788">
            <w:pPr>
              <w:jc w:val="center"/>
            </w:pPr>
            <w:r>
              <w:rPr>
                <w:sz w:val="24"/>
                <w:szCs w:val="24"/>
              </w:rPr>
              <w:t>1,133,664.65</w:t>
            </w:r>
          </w:p>
        </w:tc>
        <w:tc>
          <w:tcPr>
            <w:tcW w:w="1305" w:type="dxa"/>
            <w:vAlign w:val="center"/>
          </w:tcPr>
          <w:p w:rsidR="00581A86" w:rsidRDefault="00B05788">
            <w:pPr>
              <w:jc w:val="center"/>
            </w:pPr>
            <w:r>
              <w:rPr>
                <w:sz w:val="24"/>
                <w:szCs w:val="24"/>
              </w:rPr>
              <w:t>1,538,042.83</w:t>
            </w:r>
          </w:p>
        </w:tc>
        <w:tc>
          <w:tcPr>
            <w:tcW w:w="1161" w:type="dxa"/>
            <w:vAlign w:val="center"/>
          </w:tcPr>
          <w:p w:rsidR="00581A86" w:rsidRDefault="00B05788">
            <w:pPr>
              <w:jc w:val="center"/>
            </w:pPr>
            <w:r>
              <w:rPr>
                <w:sz w:val="24"/>
                <w:szCs w:val="24"/>
              </w:rPr>
              <w:t>3.43%</w:t>
            </w:r>
          </w:p>
        </w:tc>
        <w:tc>
          <w:tcPr>
            <w:tcW w:w="1301" w:type="dxa"/>
            <w:vAlign w:val="center"/>
          </w:tcPr>
          <w:p w:rsidR="00581A86" w:rsidRDefault="00B05788">
            <w:pPr>
              <w:jc w:val="center"/>
            </w:pPr>
            <w:r>
              <w:rPr>
                <w:sz w:val="24"/>
                <w:szCs w:val="24"/>
              </w:rPr>
              <w:t>否</w:t>
            </w:r>
          </w:p>
        </w:tc>
      </w:tr>
      <w:tr w:rsidR="00581A86">
        <w:tc>
          <w:tcPr>
            <w:tcW w:w="835" w:type="dxa"/>
            <w:vAlign w:val="center"/>
          </w:tcPr>
          <w:p w:rsidR="00581A86" w:rsidRDefault="00B05788">
            <w:pPr>
              <w:jc w:val="center"/>
            </w:pPr>
            <w:r>
              <w:rPr>
                <w:sz w:val="24"/>
                <w:szCs w:val="24"/>
              </w:rPr>
              <w:t>3</w:t>
            </w:r>
          </w:p>
        </w:tc>
        <w:tc>
          <w:tcPr>
            <w:tcW w:w="1159" w:type="dxa"/>
            <w:vAlign w:val="center"/>
          </w:tcPr>
          <w:p w:rsidR="00581A86" w:rsidRDefault="00B05788">
            <w:pPr>
              <w:jc w:val="center"/>
            </w:pPr>
            <w:r>
              <w:rPr>
                <w:sz w:val="24"/>
                <w:szCs w:val="24"/>
              </w:rPr>
              <w:t>004571</w:t>
            </w:r>
          </w:p>
        </w:tc>
        <w:tc>
          <w:tcPr>
            <w:tcW w:w="1161" w:type="dxa"/>
            <w:vAlign w:val="center"/>
          </w:tcPr>
          <w:p w:rsidR="00581A86" w:rsidRDefault="00B05788">
            <w:pPr>
              <w:jc w:val="center"/>
            </w:pPr>
            <w:r>
              <w:rPr>
                <w:sz w:val="24"/>
                <w:szCs w:val="24"/>
              </w:rPr>
              <w:t>万家家瑞债券</w:t>
            </w:r>
            <w:r>
              <w:rPr>
                <w:sz w:val="24"/>
                <w:szCs w:val="24"/>
              </w:rPr>
              <w:t>A</w:t>
            </w:r>
          </w:p>
        </w:tc>
        <w:tc>
          <w:tcPr>
            <w:tcW w:w="1161" w:type="dxa"/>
            <w:vAlign w:val="center"/>
          </w:tcPr>
          <w:p w:rsidR="00581A86" w:rsidRDefault="00B05788">
            <w:pPr>
              <w:jc w:val="center"/>
            </w:pPr>
            <w:r>
              <w:rPr>
                <w:sz w:val="24"/>
                <w:szCs w:val="24"/>
              </w:rPr>
              <w:t>契约型开放式</w:t>
            </w:r>
          </w:p>
        </w:tc>
        <w:tc>
          <w:tcPr>
            <w:tcW w:w="1159" w:type="dxa"/>
            <w:vAlign w:val="center"/>
          </w:tcPr>
          <w:p w:rsidR="00581A86" w:rsidRDefault="00B05788">
            <w:pPr>
              <w:jc w:val="center"/>
            </w:pPr>
            <w:r>
              <w:rPr>
                <w:sz w:val="24"/>
                <w:szCs w:val="24"/>
              </w:rPr>
              <w:t>1,367,257.90</w:t>
            </w:r>
          </w:p>
        </w:tc>
        <w:tc>
          <w:tcPr>
            <w:tcW w:w="1305" w:type="dxa"/>
            <w:vAlign w:val="center"/>
          </w:tcPr>
          <w:p w:rsidR="00581A86" w:rsidRDefault="00B05788">
            <w:pPr>
              <w:jc w:val="center"/>
            </w:pPr>
            <w:r>
              <w:rPr>
                <w:sz w:val="24"/>
                <w:szCs w:val="24"/>
              </w:rPr>
              <w:t>1,530,235.04</w:t>
            </w:r>
          </w:p>
        </w:tc>
        <w:tc>
          <w:tcPr>
            <w:tcW w:w="1161" w:type="dxa"/>
            <w:vAlign w:val="center"/>
          </w:tcPr>
          <w:p w:rsidR="00581A86" w:rsidRDefault="00B05788">
            <w:pPr>
              <w:jc w:val="center"/>
            </w:pPr>
            <w:r>
              <w:rPr>
                <w:sz w:val="24"/>
                <w:szCs w:val="24"/>
              </w:rPr>
              <w:t>3.41%</w:t>
            </w:r>
          </w:p>
        </w:tc>
        <w:tc>
          <w:tcPr>
            <w:tcW w:w="1301" w:type="dxa"/>
            <w:vAlign w:val="center"/>
          </w:tcPr>
          <w:p w:rsidR="00581A86" w:rsidRDefault="00B05788">
            <w:pPr>
              <w:jc w:val="center"/>
            </w:pPr>
            <w:r>
              <w:rPr>
                <w:sz w:val="24"/>
                <w:szCs w:val="24"/>
              </w:rPr>
              <w:t>否</w:t>
            </w:r>
          </w:p>
        </w:tc>
      </w:tr>
      <w:tr w:rsidR="00581A86">
        <w:tc>
          <w:tcPr>
            <w:tcW w:w="835" w:type="dxa"/>
            <w:vAlign w:val="center"/>
          </w:tcPr>
          <w:p w:rsidR="00581A86" w:rsidRDefault="00B05788">
            <w:pPr>
              <w:jc w:val="center"/>
            </w:pPr>
            <w:r>
              <w:rPr>
                <w:sz w:val="24"/>
                <w:szCs w:val="24"/>
              </w:rPr>
              <w:t>4</w:t>
            </w:r>
          </w:p>
        </w:tc>
        <w:tc>
          <w:tcPr>
            <w:tcW w:w="1159" w:type="dxa"/>
            <w:vAlign w:val="center"/>
          </w:tcPr>
          <w:p w:rsidR="00581A86" w:rsidRDefault="00B05788">
            <w:pPr>
              <w:jc w:val="center"/>
            </w:pPr>
            <w:r>
              <w:rPr>
                <w:sz w:val="24"/>
                <w:szCs w:val="24"/>
              </w:rPr>
              <w:t>002701</w:t>
            </w:r>
          </w:p>
        </w:tc>
        <w:tc>
          <w:tcPr>
            <w:tcW w:w="1161" w:type="dxa"/>
            <w:vAlign w:val="center"/>
          </w:tcPr>
          <w:p w:rsidR="00581A86" w:rsidRDefault="00B05788">
            <w:pPr>
              <w:jc w:val="center"/>
            </w:pPr>
            <w:r>
              <w:rPr>
                <w:sz w:val="24"/>
                <w:szCs w:val="24"/>
              </w:rPr>
              <w:t>东方红汇阳债券</w:t>
            </w:r>
            <w:r>
              <w:rPr>
                <w:sz w:val="24"/>
                <w:szCs w:val="24"/>
              </w:rPr>
              <w:t>A</w:t>
            </w:r>
          </w:p>
        </w:tc>
        <w:tc>
          <w:tcPr>
            <w:tcW w:w="1161" w:type="dxa"/>
            <w:vAlign w:val="center"/>
          </w:tcPr>
          <w:p w:rsidR="00581A86" w:rsidRDefault="00B05788">
            <w:pPr>
              <w:jc w:val="center"/>
            </w:pPr>
            <w:r>
              <w:rPr>
                <w:sz w:val="24"/>
                <w:szCs w:val="24"/>
              </w:rPr>
              <w:t>契约型开放式</w:t>
            </w:r>
          </w:p>
        </w:tc>
        <w:tc>
          <w:tcPr>
            <w:tcW w:w="1159" w:type="dxa"/>
            <w:vAlign w:val="center"/>
          </w:tcPr>
          <w:p w:rsidR="00581A86" w:rsidRDefault="00B05788">
            <w:pPr>
              <w:jc w:val="center"/>
            </w:pPr>
            <w:r>
              <w:rPr>
                <w:sz w:val="24"/>
                <w:szCs w:val="24"/>
              </w:rPr>
              <w:t>1,380,920.62</w:t>
            </w:r>
          </w:p>
        </w:tc>
        <w:tc>
          <w:tcPr>
            <w:tcW w:w="1305" w:type="dxa"/>
            <w:vAlign w:val="center"/>
          </w:tcPr>
          <w:p w:rsidR="00581A86" w:rsidRDefault="00B05788">
            <w:pPr>
              <w:jc w:val="center"/>
            </w:pPr>
            <w:r>
              <w:rPr>
                <w:sz w:val="24"/>
                <w:szCs w:val="24"/>
              </w:rPr>
              <w:t>1,483,246.84</w:t>
            </w:r>
          </w:p>
        </w:tc>
        <w:tc>
          <w:tcPr>
            <w:tcW w:w="1161" w:type="dxa"/>
            <w:vAlign w:val="center"/>
          </w:tcPr>
          <w:p w:rsidR="00581A86" w:rsidRDefault="00B05788">
            <w:pPr>
              <w:jc w:val="center"/>
            </w:pPr>
            <w:r>
              <w:rPr>
                <w:sz w:val="24"/>
                <w:szCs w:val="24"/>
              </w:rPr>
              <w:t>3.31%</w:t>
            </w:r>
          </w:p>
        </w:tc>
        <w:tc>
          <w:tcPr>
            <w:tcW w:w="1301" w:type="dxa"/>
            <w:vAlign w:val="center"/>
          </w:tcPr>
          <w:p w:rsidR="00581A86" w:rsidRDefault="00B05788">
            <w:pPr>
              <w:jc w:val="center"/>
            </w:pPr>
            <w:r>
              <w:rPr>
                <w:sz w:val="24"/>
                <w:szCs w:val="24"/>
              </w:rPr>
              <w:t>否</w:t>
            </w:r>
          </w:p>
        </w:tc>
      </w:tr>
      <w:tr w:rsidR="00581A86">
        <w:tc>
          <w:tcPr>
            <w:tcW w:w="835" w:type="dxa"/>
            <w:vAlign w:val="center"/>
          </w:tcPr>
          <w:p w:rsidR="00581A86" w:rsidRDefault="00B05788">
            <w:pPr>
              <w:jc w:val="center"/>
            </w:pPr>
            <w:r>
              <w:rPr>
                <w:sz w:val="24"/>
                <w:szCs w:val="24"/>
              </w:rPr>
              <w:t>5</w:t>
            </w:r>
          </w:p>
        </w:tc>
        <w:tc>
          <w:tcPr>
            <w:tcW w:w="1159" w:type="dxa"/>
            <w:vAlign w:val="center"/>
          </w:tcPr>
          <w:p w:rsidR="00581A86" w:rsidRDefault="00B05788">
            <w:pPr>
              <w:jc w:val="center"/>
            </w:pPr>
            <w:r>
              <w:rPr>
                <w:sz w:val="24"/>
                <w:szCs w:val="24"/>
              </w:rPr>
              <w:t>001751</w:t>
            </w:r>
          </w:p>
        </w:tc>
        <w:tc>
          <w:tcPr>
            <w:tcW w:w="1161" w:type="dxa"/>
            <w:vAlign w:val="center"/>
          </w:tcPr>
          <w:p w:rsidR="00581A86" w:rsidRDefault="00B05788">
            <w:pPr>
              <w:jc w:val="center"/>
            </w:pPr>
            <w:r>
              <w:rPr>
                <w:sz w:val="24"/>
                <w:szCs w:val="24"/>
              </w:rPr>
              <w:t>华商信用增强债券</w:t>
            </w:r>
            <w:r>
              <w:rPr>
                <w:sz w:val="24"/>
                <w:szCs w:val="24"/>
              </w:rPr>
              <w:t>A</w:t>
            </w:r>
          </w:p>
        </w:tc>
        <w:tc>
          <w:tcPr>
            <w:tcW w:w="1161" w:type="dxa"/>
            <w:vAlign w:val="center"/>
          </w:tcPr>
          <w:p w:rsidR="00581A86" w:rsidRDefault="00B05788">
            <w:pPr>
              <w:jc w:val="center"/>
            </w:pPr>
            <w:r>
              <w:rPr>
                <w:sz w:val="24"/>
                <w:szCs w:val="24"/>
              </w:rPr>
              <w:t>契约型开放式</w:t>
            </w:r>
          </w:p>
        </w:tc>
        <w:tc>
          <w:tcPr>
            <w:tcW w:w="1159" w:type="dxa"/>
            <w:vAlign w:val="center"/>
          </w:tcPr>
          <w:p w:rsidR="00581A86" w:rsidRDefault="00B05788">
            <w:pPr>
              <w:jc w:val="center"/>
            </w:pPr>
            <w:r>
              <w:rPr>
                <w:sz w:val="24"/>
                <w:szCs w:val="24"/>
              </w:rPr>
              <w:t>957,667.63</w:t>
            </w:r>
          </w:p>
        </w:tc>
        <w:tc>
          <w:tcPr>
            <w:tcW w:w="1305" w:type="dxa"/>
            <w:vAlign w:val="center"/>
          </w:tcPr>
          <w:p w:rsidR="00581A86" w:rsidRDefault="00B05788">
            <w:pPr>
              <w:jc w:val="center"/>
            </w:pPr>
            <w:r>
              <w:rPr>
                <w:sz w:val="24"/>
                <w:szCs w:val="24"/>
              </w:rPr>
              <w:t>1,329,242.67</w:t>
            </w:r>
          </w:p>
        </w:tc>
        <w:tc>
          <w:tcPr>
            <w:tcW w:w="1161" w:type="dxa"/>
            <w:vAlign w:val="center"/>
          </w:tcPr>
          <w:p w:rsidR="00581A86" w:rsidRDefault="00B05788">
            <w:pPr>
              <w:jc w:val="center"/>
            </w:pPr>
            <w:r>
              <w:rPr>
                <w:sz w:val="24"/>
                <w:szCs w:val="24"/>
              </w:rPr>
              <w:t>2.96%</w:t>
            </w:r>
          </w:p>
        </w:tc>
        <w:tc>
          <w:tcPr>
            <w:tcW w:w="1301" w:type="dxa"/>
            <w:vAlign w:val="center"/>
          </w:tcPr>
          <w:p w:rsidR="00581A86" w:rsidRDefault="00B05788">
            <w:pPr>
              <w:jc w:val="center"/>
            </w:pPr>
            <w:r>
              <w:rPr>
                <w:sz w:val="24"/>
                <w:szCs w:val="24"/>
              </w:rPr>
              <w:t>否</w:t>
            </w:r>
          </w:p>
        </w:tc>
      </w:tr>
      <w:tr w:rsidR="00581A86">
        <w:tc>
          <w:tcPr>
            <w:tcW w:w="835" w:type="dxa"/>
            <w:vAlign w:val="center"/>
          </w:tcPr>
          <w:p w:rsidR="00581A86" w:rsidRDefault="00B05788">
            <w:pPr>
              <w:jc w:val="center"/>
            </w:pPr>
            <w:r>
              <w:rPr>
                <w:sz w:val="24"/>
                <w:szCs w:val="24"/>
              </w:rPr>
              <w:t>6</w:t>
            </w:r>
          </w:p>
        </w:tc>
        <w:tc>
          <w:tcPr>
            <w:tcW w:w="1159" w:type="dxa"/>
            <w:vAlign w:val="center"/>
          </w:tcPr>
          <w:p w:rsidR="00581A86" w:rsidRDefault="00B05788">
            <w:pPr>
              <w:jc w:val="center"/>
            </w:pPr>
            <w:r>
              <w:rPr>
                <w:sz w:val="24"/>
                <w:szCs w:val="24"/>
              </w:rPr>
              <w:t>006102</w:t>
            </w:r>
          </w:p>
        </w:tc>
        <w:tc>
          <w:tcPr>
            <w:tcW w:w="1161" w:type="dxa"/>
            <w:vAlign w:val="center"/>
          </w:tcPr>
          <w:p w:rsidR="00581A86" w:rsidRDefault="00B05788">
            <w:pPr>
              <w:jc w:val="center"/>
            </w:pPr>
            <w:r>
              <w:rPr>
                <w:sz w:val="24"/>
                <w:szCs w:val="24"/>
              </w:rPr>
              <w:t>浙商丰利增强债券</w:t>
            </w:r>
          </w:p>
        </w:tc>
        <w:tc>
          <w:tcPr>
            <w:tcW w:w="1161" w:type="dxa"/>
            <w:vAlign w:val="center"/>
          </w:tcPr>
          <w:p w:rsidR="00581A86" w:rsidRDefault="00B05788">
            <w:pPr>
              <w:jc w:val="center"/>
            </w:pPr>
            <w:r>
              <w:rPr>
                <w:sz w:val="24"/>
                <w:szCs w:val="24"/>
              </w:rPr>
              <w:t>契约型开放式</w:t>
            </w:r>
          </w:p>
        </w:tc>
        <w:tc>
          <w:tcPr>
            <w:tcW w:w="1159" w:type="dxa"/>
            <w:vAlign w:val="center"/>
          </w:tcPr>
          <w:p w:rsidR="00581A86" w:rsidRDefault="00B05788">
            <w:pPr>
              <w:jc w:val="center"/>
            </w:pPr>
            <w:r>
              <w:rPr>
                <w:sz w:val="24"/>
                <w:szCs w:val="24"/>
              </w:rPr>
              <w:t>776,639.25</w:t>
            </w:r>
          </w:p>
        </w:tc>
        <w:tc>
          <w:tcPr>
            <w:tcW w:w="1305" w:type="dxa"/>
            <w:vAlign w:val="center"/>
          </w:tcPr>
          <w:p w:rsidR="00581A86" w:rsidRDefault="00B05788">
            <w:pPr>
              <w:jc w:val="center"/>
            </w:pPr>
            <w:r>
              <w:rPr>
                <w:sz w:val="24"/>
                <w:szCs w:val="24"/>
              </w:rPr>
              <w:t>1,255,981.00</w:t>
            </w:r>
          </w:p>
        </w:tc>
        <w:tc>
          <w:tcPr>
            <w:tcW w:w="1161" w:type="dxa"/>
            <w:vAlign w:val="center"/>
          </w:tcPr>
          <w:p w:rsidR="00581A86" w:rsidRDefault="00B05788">
            <w:pPr>
              <w:jc w:val="center"/>
            </w:pPr>
            <w:r>
              <w:rPr>
                <w:sz w:val="24"/>
                <w:szCs w:val="24"/>
              </w:rPr>
              <w:t>2.80%</w:t>
            </w:r>
          </w:p>
        </w:tc>
        <w:tc>
          <w:tcPr>
            <w:tcW w:w="1301" w:type="dxa"/>
            <w:vAlign w:val="center"/>
          </w:tcPr>
          <w:p w:rsidR="00581A86" w:rsidRDefault="00B05788">
            <w:pPr>
              <w:jc w:val="center"/>
            </w:pPr>
            <w:r>
              <w:rPr>
                <w:sz w:val="24"/>
                <w:szCs w:val="24"/>
              </w:rPr>
              <w:t>否</w:t>
            </w:r>
          </w:p>
        </w:tc>
      </w:tr>
      <w:tr w:rsidR="00581A86">
        <w:tc>
          <w:tcPr>
            <w:tcW w:w="835" w:type="dxa"/>
            <w:vAlign w:val="center"/>
          </w:tcPr>
          <w:p w:rsidR="00581A86" w:rsidRDefault="00B05788">
            <w:pPr>
              <w:jc w:val="center"/>
            </w:pPr>
            <w:r>
              <w:rPr>
                <w:sz w:val="24"/>
                <w:szCs w:val="24"/>
              </w:rPr>
              <w:t>7</w:t>
            </w:r>
          </w:p>
        </w:tc>
        <w:tc>
          <w:tcPr>
            <w:tcW w:w="1159" w:type="dxa"/>
            <w:vAlign w:val="center"/>
          </w:tcPr>
          <w:p w:rsidR="00581A86" w:rsidRDefault="00B05788">
            <w:pPr>
              <w:jc w:val="center"/>
            </w:pPr>
            <w:r>
              <w:rPr>
                <w:sz w:val="24"/>
                <w:szCs w:val="24"/>
              </w:rPr>
              <w:t>006466</w:t>
            </w:r>
          </w:p>
        </w:tc>
        <w:tc>
          <w:tcPr>
            <w:tcW w:w="1161" w:type="dxa"/>
            <w:vAlign w:val="center"/>
          </w:tcPr>
          <w:p w:rsidR="00581A86" w:rsidRDefault="00B05788">
            <w:pPr>
              <w:jc w:val="center"/>
            </w:pPr>
            <w:r>
              <w:rPr>
                <w:sz w:val="24"/>
                <w:szCs w:val="24"/>
              </w:rPr>
              <w:t>浦银安</w:t>
            </w:r>
            <w:r>
              <w:rPr>
                <w:sz w:val="24"/>
                <w:szCs w:val="24"/>
              </w:rPr>
              <w:lastRenderedPageBreak/>
              <w:t>盛双债增强债券</w:t>
            </w:r>
            <w:r>
              <w:rPr>
                <w:sz w:val="24"/>
                <w:szCs w:val="24"/>
              </w:rPr>
              <w:t>A</w:t>
            </w:r>
          </w:p>
        </w:tc>
        <w:tc>
          <w:tcPr>
            <w:tcW w:w="1161" w:type="dxa"/>
            <w:vAlign w:val="center"/>
          </w:tcPr>
          <w:p w:rsidR="00581A86" w:rsidRDefault="00B05788">
            <w:pPr>
              <w:jc w:val="center"/>
            </w:pPr>
            <w:r>
              <w:rPr>
                <w:sz w:val="24"/>
                <w:szCs w:val="24"/>
              </w:rPr>
              <w:lastRenderedPageBreak/>
              <w:t>契约型</w:t>
            </w:r>
            <w:r>
              <w:rPr>
                <w:sz w:val="24"/>
                <w:szCs w:val="24"/>
              </w:rPr>
              <w:lastRenderedPageBreak/>
              <w:t>开放式</w:t>
            </w:r>
          </w:p>
        </w:tc>
        <w:tc>
          <w:tcPr>
            <w:tcW w:w="1159" w:type="dxa"/>
            <w:vAlign w:val="center"/>
          </w:tcPr>
          <w:p w:rsidR="00581A86" w:rsidRDefault="00B05788">
            <w:pPr>
              <w:jc w:val="center"/>
            </w:pPr>
            <w:r>
              <w:rPr>
                <w:sz w:val="24"/>
                <w:szCs w:val="24"/>
              </w:rPr>
              <w:lastRenderedPageBreak/>
              <w:t>1,056,36</w:t>
            </w:r>
            <w:r>
              <w:rPr>
                <w:sz w:val="24"/>
                <w:szCs w:val="24"/>
              </w:rPr>
              <w:lastRenderedPageBreak/>
              <w:t>1.12</w:t>
            </w:r>
          </w:p>
        </w:tc>
        <w:tc>
          <w:tcPr>
            <w:tcW w:w="1305" w:type="dxa"/>
            <w:vAlign w:val="center"/>
          </w:tcPr>
          <w:p w:rsidR="00581A86" w:rsidRDefault="00B05788">
            <w:pPr>
              <w:jc w:val="center"/>
            </w:pPr>
            <w:r>
              <w:rPr>
                <w:sz w:val="24"/>
                <w:szCs w:val="24"/>
              </w:rPr>
              <w:lastRenderedPageBreak/>
              <w:t>1,241,963.</w:t>
            </w:r>
            <w:r>
              <w:rPr>
                <w:sz w:val="24"/>
                <w:szCs w:val="24"/>
              </w:rPr>
              <w:lastRenderedPageBreak/>
              <w:t>77</w:t>
            </w:r>
          </w:p>
        </w:tc>
        <w:tc>
          <w:tcPr>
            <w:tcW w:w="1161" w:type="dxa"/>
            <w:vAlign w:val="center"/>
          </w:tcPr>
          <w:p w:rsidR="00581A86" w:rsidRDefault="00B05788">
            <w:pPr>
              <w:jc w:val="center"/>
            </w:pPr>
            <w:r>
              <w:rPr>
                <w:sz w:val="24"/>
                <w:szCs w:val="24"/>
              </w:rPr>
              <w:lastRenderedPageBreak/>
              <w:t>2.77%</w:t>
            </w:r>
          </w:p>
        </w:tc>
        <w:tc>
          <w:tcPr>
            <w:tcW w:w="1301" w:type="dxa"/>
            <w:vAlign w:val="center"/>
          </w:tcPr>
          <w:p w:rsidR="00581A86" w:rsidRDefault="00B05788">
            <w:pPr>
              <w:jc w:val="center"/>
            </w:pPr>
            <w:r>
              <w:rPr>
                <w:sz w:val="24"/>
                <w:szCs w:val="24"/>
              </w:rPr>
              <w:t>否</w:t>
            </w:r>
          </w:p>
        </w:tc>
      </w:tr>
      <w:tr w:rsidR="00581A86">
        <w:tc>
          <w:tcPr>
            <w:tcW w:w="835" w:type="dxa"/>
            <w:vAlign w:val="center"/>
          </w:tcPr>
          <w:p w:rsidR="00581A86" w:rsidRDefault="00B05788">
            <w:pPr>
              <w:jc w:val="center"/>
            </w:pPr>
            <w:r>
              <w:rPr>
                <w:sz w:val="24"/>
                <w:szCs w:val="24"/>
              </w:rPr>
              <w:t>8</w:t>
            </w:r>
          </w:p>
        </w:tc>
        <w:tc>
          <w:tcPr>
            <w:tcW w:w="1159" w:type="dxa"/>
            <w:vAlign w:val="center"/>
          </w:tcPr>
          <w:p w:rsidR="00581A86" w:rsidRDefault="00B05788">
            <w:pPr>
              <w:jc w:val="center"/>
            </w:pPr>
            <w:r>
              <w:rPr>
                <w:sz w:val="24"/>
                <w:szCs w:val="24"/>
              </w:rPr>
              <w:t>512760</w:t>
            </w:r>
          </w:p>
        </w:tc>
        <w:tc>
          <w:tcPr>
            <w:tcW w:w="1161" w:type="dxa"/>
            <w:vAlign w:val="center"/>
          </w:tcPr>
          <w:p w:rsidR="00581A86" w:rsidRDefault="00B05788">
            <w:pPr>
              <w:jc w:val="center"/>
            </w:pPr>
            <w:r>
              <w:rPr>
                <w:sz w:val="24"/>
                <w:szCs w:val="24"/>
              </w:rPr>
              <w:t>国泰</w:t>
            </w:r>
            <w:r>
              <w:rPr>
                <w:sz w:val="24"/>
                <w:szCs w:val="24"/>
              </w:rPr>
              <w:t>CES</w:t>
            </w:r>
            <w:r>
              <w:rPr>
                <w:sz w:val="24"/>
                <w:szCs w:val="24"/>
              </w:rPr>
              <w:t>半导体芯片行业</w:t>
            </w:r>
            <w:r>
              <w:rPr>
                <w:sz w:val="24"/>
                <w:szCs w:val="24"/>
              </w:rPr>
              <w:t>ETF</w:t>
            </w:r>
          </w:p>
        </w:tc>
        <w:tc>
          <w:tcPr>
            <w:tcW w:w="1161" w:type="dxa"/>
            <w:vAlign w:val="center"/>
          </w:tcPr>
          <w:p w:rsidR="00581A86" w:rsidRDefault="00B05788">
            <w:pPr>
              <w:jc w:val="center"/>
            </w:pPr>
            <w:r>
              <w:rPr>
                <w:rFonts w:hint="eastAsia"/>
                <w:sz w:val="24"/>
              </w:rPr>
              <w:t>交易型开放式</w:t>
            </w:r>
          </w:p>
        </w:tc>
        <w:tc>
          <w:tcPr>
            <w:tcW w:w="1159" w:type="dxa"/>
            <w:vAlign w:val="center"/>
          </w:tcPr>
          <w:p w:rsidR="00581A86" w:rsidRDefault="00B05788">
            <w:pPr>
              <w:jc w:val="center"/>
            </w:pPr>
            <w:r>
              <w:rPr>
                <w:sz w:val="24"/>
                <w:szCs w:val="24"/>
              </w:rPr>
              <w:t>1,300,800.00</w:t>
            </w:r>
          </w:p>
        </w:tc>
        <w:tc>
          <w:tcPr>
            <w:tcW w:w="1305" w:type="dxa"/>
            <w:vAlign w:val="center"/>
          </w:tcPr>
          <w:p w:rsidR="00581A86" w:rsidRDefault="00B05788">
            <w:pPr>
              <w:jc w:val="center"/>
            </w:pPr>
            <w:r>
              <w:rPr>
                <w:sz w:val="24"/>
                <w:szCs w:val="24"/>
              </w:rPr>
              <w:t>1,166,817.60</w:t>
            </w:r>
          </w:p>
        </w:tc>
        <w:tc>
          <w:tcPr>
            <w:tcW w:w="1161" w:type="dxa"/>
            <w:vAlign w:val="center"/>
          </w:tcPr>
          <w:p w:rsidR="00581A86" w:rsidRDefault="00B05788">
            <w:pPr>
              <w:jc w:val="center"/>
            </w:pPr>
            <w:r>
              <w:rPr>
                <w:sz w:val="24"/>
                <w:szCs w:val="24"/>
              </w:rPr>
              <w:t>2.60%</w:t>
            </w:r>
          </w:p>
        </w:tc>
        <w:tc>
          <w:tcPr>
            <w:tcW w:w="1301" w:type="dxa"/>
            <w:vAlign w:val="center"/>
          </w:tcPr>
          <w:p w:rsidR="00581A86" w:rsidRDefault="00B05788">
            <w:pPr>
              <w:jc w:val="center"/>
            </w:pPr>
            <w:r>
              <w:rPr>
                <w:sz w:val="24"/>
                <w:szCs w:val="24"/>
              </w:rPr>
              <w:t>否</w:t>
            </w:r>
          </w:p>
        </w:tc>
      </w:tr>
      <w:tr w:rsidR="00581A86">
        <w:tc>
          <w:tcPr>
            <w:tcW w:w="835" w:type="dxa"/>
            <w:vAlign w:val="center"/>
          </w:tcPr>
          <w:p w:rsidR="00581A86" w:rsidRDefault="00B05788">
            <w:pPr>
              <w:jc w:val="center"/>
            </w:pPr>
            <w:r>
              <w:rPr>
                <w:sz w:val="24"/>
                <w:szCs w:val="24"/>
              </w:rPr>
              <w:t>9</w:t>
            </w:r>
          </w:p>
        </w:tc>
        <w:tc>
          <w:tcPr>
            <w:tcW w:w="1159" w:type="dxa"/>
            <w:vAlign w:val="center"/>
          </w:tcPr>
          <w:p w:rsidR="00581A86" w:rsidRDefault="00B05788">
            <w:pPr>
              <w:jc w:val="center"/>
            </w:pPr>
            <w:r>
              <w:rPr>
                <w:sz w:val="24"/>
                <w:szCs w:val="24"/>
              </w:rPr>
              <w:t>003949</w:t>
            </w:r>
          </w:p>
        </w:tc>
        <w:tc>
          <w:tcPr>
            <w:tcW w:w="1161" w:type="dxa"/>
            <w:vAlign w:val="center"/>
          </w:tcPr>
          <w:p w:rsidR="00581A86" w:rsidRDefault="00B05788">
            <w:pPr>
              <w:jc w:val="center"/>
            </w:pPr>
            <w:r>
              <w:rPr>
                <w:sz w:val="24"/>
                <w:szCs w:val="24"/>
              </w:rPr>
              <w:t>兴全稳泰债券</w:t>
            </w:r>
            <w:r>
              <w:rPr>
                <w:sz w:val="24"/>
                <w:szCs w:val="24"/>
              </w:rPr>
              <w:t>A</w:t>
            </w:r>
          </w:p>
        </w:tc>
        <w:tc>
          <w:tcPr>
            <w:tcW w:w="1161" w:type="dxa"/>
            <w:vAlign w:val="center"/>
          </w:tcPr>
          <w:p w:rsidR="00581A86" w:rsidRDefault="00B05788">
            <w:pPr>
              <w:jc w:val="center"/>
            </w:pPr>
            <w:r>
              <w:rPr>
                <w:sz w:val="24"/>
                <w:szCs w:val="24"/>
              </w:rPr>
              <w:t>契约型开放式</w:t>
            </w:r>
          </w:p>
        </w:tc>
        <w:tc>
          <w:tcPr>
            <w:tcW w:w="1159" w:type="dxa"/>
            <w:vAlign w:val="center"/>
          </w:tcPr>
          <w:p w:rsidR="00581A86" w:rsidRDefault="00B05788">
            <w:pPr>
              <w:jc w:val="center"/>
            </w:pPr>
            <w:r>
              <w:rPr>
                <w:sz w:val="24"/>
                <w:szCs w:val="24"/>
              </w:rPr>
              <w:t>967,576.47</w:t>
            </w:r>
          </w:p>
        </w:tc>
        <w:tc>
          <w:tcPr>
            <w:tcW w:w="1305" w:type="dxa"/>
            <w:vAlign w:val="center"/>
          </w:tcPr>
          <w:p w:rsidR="00581A86" w:rsidRDefault="00B05788">
            <w:pPr>
              <w:jc w:val="center"/>
            </w:pPr>
            <w:r>
              <w:rPr>
                <w:sz w:val="24"/>
                <w:szCs w:val="24"/>
              </w:rPr>
              <w:t>1,116,002.70</w:t>
            </w:r>
          </w:p>
        </w:tc>
        <w:tc>
          <w:tcPr>
            <w:tcW w:w="1161" w:type="dxa"/>
            <w:vAlign w:val="center"/>
          </w:tcPr>
          <w:p w:rsidR="00581A86" w:rsidRDefault="00B05788">
            <w:pPr>
              <w:jc w:val="center"/>
            </w:pPr>
            <w:r>
              <w:rPr>
                <w:sz w:val="24"/>
                <w:szCs w:val="24"/>
              </w:rPr>
              <w:t>2.49%</w:t>
            </w:r>
          </w:p>
        </w:tc>
        <w:tc>
          <w:tcPr>
            <w:tcW w:w="1301" w:type="dxa"/>
            <w:vAlign w:val="center"/>
          </w:tcPr>
          <w:p w:rsidR="00581A86" w:rsidRDefault="00B05788">
            <w:pPr>
              <w:jc w:val="center"/>
            </w:pPr>
            <w:r>
              <w:rPr>
                <w:sz w:val="24"/>
                <w:szCs w:val="24"/>
              </w:rPr>
              <w:t>否</w:t>
            </w:r>
          </w:p>
        </w:tc>
      </w:tr>
      <w:tr w:rsidR="00581A86">
        <w:tc>
          <w:tcPr>
            <w:tcW w:w="835" w:type="dxa"/>
            <w:vAlign w:val="center"/>
          </w:tcPr>
          <w:p w:rsidR="00581A86" w:rsidRDefault="00B05788">
            <w:pPr>
              <w:jc w:val="center"/>
            </w:pPr>
            <w:r>
              <w:rPr>
                <w:sz w:val="24"/>
                <w:szCs w:val="24"/>
              </w:rPr>
              <w:t>10</w:t>
            </w:r>
          </w:p>
        </w:tc>
        <w:tc>
          <w:tcPr>
            <w:tcW w:w="1159" w:type="dxa"/>
            <w:vAlign w:val="center"/>
          </w:tcPr>
          <w:p w:rsidR="00581A86" w:rsidRDefault="00B05788">
            <w:pPr>
              <w:jc w:val="center"/>
            </w:pPr>
            <w:r>
              <w:rPr>
                <w:sz w:val="24"/>
                <w:szCs w:val="24"/>
              </w:rPr>
              <w:t>000107</w:t>
            </w:r>
          </w:p>
        </w:tc>
        <w:tc>
          <w:tcPr>
            <w:tcW w:w="1161" w:type="dxa"/>
            <w:vAlign w:val="center"/>
          </w:tcPr>
          <w:p w:rsidR="00581A86" w:rsidRDefault="00B05788">
            <w:pPr>
              <w:jc w:val="center"/>
            </w:pPr>
            <w:r>
              <w:rPr>
                <w:sz w:val="24"/>
                <w:szCs w:val="24"/>
              </w:rPr>
              <w:t>富国稳健增强债券</w:t>
            </w:r>
            <w:r>
              <w:rPr>
                <w:sz w:val="24"/>
                <w:szCs w:val="24"/>
              </w:rPr>
              <w:t>A/B</w:t>
            </w:r>
          </w:p>
        </w:tc>
        <w:tc>
          <w:tcPr>
            <w:tcW w:w="1161" w:type="dxa"/>
            <w:vAlign w:val="center"/>
          </w:tcPr>
          <w:p w:rsidR="00581A86" w:rsidRDefault="00B05788">
            <w:pPr>
              <w:jc w:val="center"/>
            </w:pPr>
            <w:r>
              <w:rPr>
                <w:sz w:val="24"/>
                <w:szCs w:val="24"/>
              </w:rPr>
              <w:t>契约型开放式</w:t>
            </w:r>
          </w:p>
        </w:tc>
        <w:tc>
          <w:tcPr>
            <w:tcW w:w="1159" w:type="dxa"/>
            <w:vAlign w:val="center"/>
          </w:tcPr>
          <w:p w:rsidR="00581A86" w:rsidRDefault="00B05788">
            <w:pPr>
              <w:jc w:val="center"/>
            </w:pPr>
            <w:r>
              <w:rPr>
                <w:sz w:val="24"/>
                <w:szCs w:val="24"/>
              </w:rPr>
              <w:t>901,519.63</w:t>
            </w:r>
          </w:p>
        </w:tc>
        <w:tc>
          <w:tcPr>
            <w:tcW w:w="1305" w:type="dxa"/>
            <w:vAlign w:val="center"/>
          </w:tcPr>
          <w:p w:rsidR="00581A86" w:rsidRDefault="00B05788">
            <w:pPr>
              <w:jc w:val="center"/>
            </w:pPr>
            <w:r>
              <w:rPr>
                <w:sz w:val="24"/>
                <w:szCs w:val="24"/>
              </w:rPr>
              <w:t>1,109,770.66</w:t>
            </w:r>
          </w:p>
        </w:tc>
        <w:tc>
          <w:tcPr>
            <w:tcW w:w="1161" w:type="dxa"/>
            <w:vAlign w:val="center"/>
          </w:tcPr>
          <w:p w:rsidR="00581A86" w:rsidRDefault="00B05788">
            <w:pPr>
              <w:jc w:val="center"/>
            </w:pPr>
            <w:r>
              <w:rPr>
                <w:sz w:val="24"/>
                <w:szCs w:val="24"/>
              </w:rPr>
              <w:t>2.47%</w:t>
            </w:r>
          </w:p>
        </w:tc>
        <w:tc>
          <w:tcPr>
            <w:tcW w:w="1301" w:type="dxa"/>
            <w:vAlign w:val="center"/>
          </w:tcPr>
          <w:p w:rsidR="00581A86" w:rsidRDefault="00B05788">
            <w:pPr>
              <w:jc w:val="center"/>
            </w:pPr>
            <w:r>
              <w:rPr>
                <w:sz w:val="24"/>
                <w:szCs w:val="24"/>
              </w:rPr>
              <w:t>否</w:t>
            </w:r>
          </w:p>
        </w:tc>
      </w:tr>
    </w:tbl>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1F3E2A" w:rsidRPr="00575270" w:rsidRDefault="001F3E2A" w:rsidP="004C0877">
            <w:pPr>
              <w:spacing w:line="276" w:lineRule="auto"/>
              <w:jc w:val="center"/>
              <w:rPr>
                <w:sz w:val="24"/>
                <w:szCs w:val="24"/>
              </w:rPr>
            </w:pPr>
            <w:r w:rsidRPr="00575270">
              <w:rPr>
                <w:sz w:val="24"/>
                <w:szCs w:val="24"/>
              </w:rPr>
              <w:t>本期费用</w:t>
            </w:r>
          </w:p>
        </w:tc>
        <w:tc>
          <w:tcPr>
            <w:tcW w:w="3012" w:type="dxa"/>
            <w:vAlign w:val="center"/>
          </w:tcPr>
          <w:p w:rsidR="001F3E2A" w:rsidRPr="00575270" w:rsidRDefault="001F3E2A" w:rsidP="004C0877">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3,240.37</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635.32</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90,116.37</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8,373.05</w:t>
            </w:r>
          </w:p>
        </w:tc>
      </w:tr>
      <w:tr w:rsidR="001F3E2A" w:rsidRPr="00575270" w:rsidTr="004C0877">
        <w:tc>
          <w:tcPr>
            <w:tcW w:w="3012" w:type="dxa"/>
            <w:vAlign w:val="center"/>
          </w:tcPr>
          <w:p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17,531.66</w:t>
            </w:r>
          </w:p>
        </w:tc>
        <w:tc>
          <w:tcPr>
            <w:tcW w:w="3012" w:type="dxa"/>
            <w:vAlign w:val="center"/>
          </w:tcPr>
          <w:p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1,003.22</w:t>
            </w:r>
          </w:p>
        </w:tc>
      </w:tr>
      <w:tr w:rsidR="00581A86">
        <w:tc>
          <w:tcPr>
            <w:tcW w:w="3012" w:type="dxa"/>
            <w:vAlign w:val="center"/>
          </w:tcPr>
          <w:p w:rsidR="00581A86" w:rsidRDefault="00B05788">
            <w:pPr>
              <w:jc w:val="left"/>
            </w:pPr>
            <w:r>
              <w:rPr>
                <w:rFonts w:eastAsiaTheme="minorEastAsia"/>
                <w:color w:val="000000" w:themeColor="text1"/>
                <w:sz w:val="24"/>
                <w:szCs w:val="24"/>
              </w:rPr>
              <w:t>当期交易基金产生的交易费（元）</w:t>
            </w:r>
          </w:p>
        </w:tc>
        <w:tc>
          <w:tcPr>
            <w:tcW w:w="3012" w:type="dxa"/>
            <w:vAlign w:val="center"/>
          </w:tcPr>
          <w:p w:rsidR="00581A86" w:rsidRDefault="00B05788">
            <w:pPr>
              <w:jc w:val="right"/>
            </w:pPr>
            <w:r>
              <w:rPr>
                <w:rFonts w:eastAsiaTheme="minorEastAsia"/>
                <w:color w:val="000000" w:themeColor="text1"/>
                <w:sz w:val="24"/>
                <w:szCs w:val="24"/>
              </w:rPr>
              <w:t>198.27</w:t>
            </w:r>
          </w:p>
        </w:tc>
        <w:tc>
          <w:tcPr>
            <w:tcW w:w="3012" w:type="dxa"/>
            <w:vAlign w:val="center"/>
          </w:tcPr>
          <w:p w:rsidR="00581A86" w:rsidRDefault="00B05788">
            <w:pPr>
              <w:jc w:val="right"/>
            </w:pPr>
            <w:r>
              <w:rPr>
                <w:rFonts w:eastAsiaTheme="minorEastAsia"/>
                <w:color w:val="000000" w:themeColor="text1"/>
                <w:sz w:val="24"/>
                <w:szCs w:val="24"/>
              </w:rPr>
              <w:t>-</w:t>
            </w:r>
          </w:p>
        </w:tc>
      </w:tr>
      <w:tr w:rsidR="00581A86">
        <w:tc>
          <w:tcPr>
            <w:tcW w:w="3012" w:type="dxa"/>
            <w:vAlign w:val="center"/>
          </w:tcPr>
          <w:p w:rsidR="00581A86" w:rsidRDefault="00B05788">
            <w:pPr>
              <w:jc w:val="left"/>
            </w:pPr>
            <w:r>
              <w:rPr>
                <w:rFonts w:eastAsiaTheme="minorEastAsia"/>
                <w:color w:val="000000" w:themeColor="text1"/>
                <w:sz w:val="24"/>
                <w:szCs w:val="24"/>
              </w:rPr>
              <w:t>当期交易基金产生的转换费（元）</w:t>
            </w:r>
          </w:p>
        </w:tc>
        <w:tc>
          <w:tcPr>
            <w:tcW w:w="3012" w:type="dxa"/>
            <w:vAlign w:val="center"/>
          </w:tcPr>
          <w:p w:rsidR="00581A86" w:rsidRDefault="00B05788">
            <w:pPr>
              <w:jc w:val="right"/>
            </w:pPr>
            <w:r>
              <w:rPr>
                <w:rFonts w:eastAsiaTheme="minorEastAsia"/>
                <w:color w:val="000000" w:themeColor="text1"/>
                <w:sz w:val="24"/>
                <w:szCs w:val="24"/>
              </w:rPr>
              <w:t>19,785.94</w:t>
            </w:r>
          </w:p>
        </w:tc>
        <w:tc>
          <w:tcPr>
            <w:tcW w:w="3012" w:type="dxa"/>
            <w:vAlign w:val="center"/>
          </w:tcPr>
          <w:p w:rsidR="00581A86" w:rsidRDefault="00B05788">
            <w:pPr>
              <w:jc w:val="right"/>
            </w:pPr>
            <w:r>
              <w:rPr>
                <w:rFonts w:eastAsiaTheme="minorEastAsia"/>
                <w:color w:val="000000" w:themeColor="text1"/>
                <w:sz w:val="24"/>
                <w:szCs w:val="24"/>
              </w:rPr>
              <w:t>-</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50,105,338.51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50,105,338.51</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99.80</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50,005,944.44</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385.52</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0.00%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50,006,329.96</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C0877">
        <w:tc>
          <w:tcPr>
            <w:tcW w:w="993" w:type="dxa"/>
            <w:vMerge w:val="restart"/>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C0877">
        <w:tc>
          <w:tcPr>
            <w:tcW w:w="993" w:type="dxa"/>
            <w:vMerge/>
            <w:vAlign w:val="center"/>
          </w:tcPr>
          <w:p w:rsidR="003C50AD" w:rsidRPr="004F4D27" w:rsidRDefault="003C50AD" w:rsidP="004C0877">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81A86">
        <w:tc>
          <w:tcPr>
            <w:tcW w:w="993" w:type="dxa"/>
            <w:vAlign w:val="center"/>
          </w:tcPr>
          <w:p w:rsidR="00581A86" w:rsidRDefault="00B05788">
            <w:r>
              <w:rPr>
                <w:rFonts w:ascii="宋体" w:hAnsi="宋体" w:hint="eastAsia"/>
                <w:bCs/>
                <w:color w:val="000000"/>
                <w:kern w:val="0"/>
              </w:rPr>
              <w:t>机构</w:t>
            </w:r>
          </w:p>
        </w:tc>
        <w:tc>
          <w:tcPr>
            <w:tcW w:w="992" w:type="dxa"/>
            <w:vAlign w:val="center"/>
          </w:tcPr>
          <w:p w:rsidR="00581A86" w:rsidRDefault="00B05788">
            <w:pPr>
              <w:jc w:val="center"/>
            </w:pPr>
            <w:r>
              <w:rPr>
                <w:rFonts w:ascii="宋体" w:hAnsi="宋体"/>
                <w:color w:val="000000"/>
                <w:kern w:val="0"/>
              </w:rPr>
              <w:t>1</w:t>
            </w:r>
          </w:p>
        </w:tc>
        <w:tc>
          <w:tcPr>
            <w:tcW w:w="1843" w:type="dxa"/>
            <w:vAlign w:val="center"/>
          </w:tcPr>
          <w:p w:rsidR="00581A86" w:rsidRDefault="00B05788">
            <w:pPr>
              <w:jc w:val="center"/>
            </w:pPr>
            <w:r>
              <w:rPr>
                <w:rFonts w:ascii="宋体" w:hAnsi="宋体"/>
                <w:color w:val="000000"/>
                <w:kern w:val="0"/>
              </w:rPr>
              <w:t>20231001-20231231</w:t>
            </w:r>
          </w:p>
        </w:tc>
        <w:tc>
          <w:tcPr>
            <w:tcW w:w="851" w:type="dxa"/>
            <w:vAlign w:val="center"/>
          </w:tcPr>
          <w:p w:rsidR="00581A86" w:rsidRDefault="00B05788">
            <w:pPr>
              <w:jc w:val="center"/>
            </w:pPr>
            <w:r>
              <w:rPr>
                <w:rFonts w:ascii="宋体" w:hAnsi="宋体"/>
                <w:color w:val="000000"/>
                <w:kern w:val="0"/>
              </w:rPr>
              <w:t>50,005,944.44</w:t>
            </w:r>
          </w:p>
        </w:tc>
        <w:tc>
          <w:tcPr>
            <w:tcW w:w="850" w:type="dxa"/>
            <w:vAlign w:val="center"/>
          </w:tcPr>
          <w:p w:rsidR="00581A86" w:rsidRDefault="00B05788">
            <w:pPr>
              <w:jc w:val="center"/>
            </w:pPr>
            <w:r>
              <w:rPr>
                <w:rFonts w:ascii="宋体" w:hAnsi="宋体"/>
                <w:color w:val="000000"/>
                <w:kern w:val="0"/>
              </w:rPr>
              <w:t>0.00</w:t>
            </w:r>
          </w:p>
        </w:tc>
        <w:tc>
          <w:tcPr>
            <w:tcW w:w="1134" w:type="dxa"/>
            <w:vAlign w:val="center"/>
          </w:tcPr>
          <w:p w:rsidR="00581A86" w:rsidRDefault="00B05788">
            <w:pPr>
              <w:jc w:val="center"/>
            </w:pPr>
            <w:r>
              <w:rPr>
                <w:rFonts w:ascii="宋体" w:hAnsi="宋体"/>
                <w:color w:val="000000"/>
                <w:kern w:val="0"/>
              </w:rPr>
              <w:t>0.00</w:t>
            </w:r>
          </w:p>
        </w:tc>
        <w:tc>
          <w:tcPr>
            <w:tcW w:w="1419" w:type="dxa"/>
            <w:vAlign w:val="center"/>
          </w:tcPr>
          <w:p w:rsidR="00581A86" w:rsidRDefault="00B05788">
            <w:pPr>
              <w:jc w:val="center"/>
            </w:pPr>
            <w:r>
              <w:rPr>
                <w:rFonts w:ascii="宋体" w:hAnsi="宋体"/>
                <w:color w:val="000000"/>
                <w:kern w:val="0"/>
              </w:rPr>
              <w:t>50,005,944.44</w:t>
            </w:r>
          </w:p>
        </w:tc>
        <w:tc>
          <w:tcPr>
            <w:tcW w:w="1130" w:type="dxa"/>
            <w:vAlign w:val="center"/>
          </w:tcPr>
          <w:p w:rsidR="00581A86" w:rsidRDefault="00B05788">
            <w:pPr>
              <w:jc w:val="center"/>
            </w:pPr>
            <w:r>
              <w:rPr>
                <w:rFonts w:ascii="宋体" w:hAnsi="宋体"/>
                <w:color w:val="000000"/>
                <w:kern w:val="0"/>
              </w:rPr>
              <w:t>99.80%</w:t>
            </w:r>
          </w:p>
        </w:tc>
      </w:tr>
      <w:tr w:rsidR="003C50AD" w:rsidRPr="004F4D27" w:rsidTr="004C0877">
        <w:tc>
          <w:tcPr>
            <w:tcW w:w="9212" w:type="dxa"/>
            <w:gridSpan w:val="8"/>
            <w:vAlign w:val="center"/>
          </w:tcPr>
          <w:p w:rsidR="003C50AD" w:rsidRPr="004F4D27" w:rsidRDefault="003C50AD" w:rsidP="004C0877">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C0877">
        <w:tc>
          <w:tcPr>
            <w:tcW w:w="9212" w:type="dxa"/>
            <w:gridSpan w:val="8"/>
            <w:vAlign w:val="center"/>
          </w:tcPr>
          <w:p w:rsidR="003C50AD" w:rsidRPr="004F4D27" w:rsidRDefault="003C50AD" w:rsidP="004C0877">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81A86" w:rsidRDefault="00B05788">
      <w:pPr>
        <w:spacing w:before="29" w:line="288" w:lineRule="auto"/>
        <w:ind w:firstLineChars="200" w:firstLine="480"/>
        <w:rPr>
          <w:color w:val="000000"/>
          <w:sz w:val="24"/>
          <w:szCs w:val="24"/>
        </w:rPr>
      </w:pPr>
      <w:r>
        <w:rPr>
          <w:color w:val="000000"/>
          <w:sz w:val="24"/>
          <w:szCs w:val="24"/>
        </w:rPr>
        <w:t>(</w:t>
      </w:r>
      <w:r>
        <w:rPr>
          <w:color w:val="000000"/>
          <w:sz w:val="24"/>
          <w:szCs w:val="24"/>
        </w:rPr>
        <w:t>一</w:t>
      </w:r>
      <w:r>
        <w:rPr>
          <w:color w:val="000000"/>
          <w:sz w:val="24"/>
          <w:szCs w:val="24"/>
        </w:rPr>
        <w:t>)</w:t>
      </w:r>
      <w:r>
        <w:rPr>
          <w:color w:val="000000"/>
          <w:sz w:val="24"/>
          <w:szCs w:val="24"/>
        </w:rPr>
        <w:t>中国证监会准予本基金募集注册的文件</w:t>
      </w:r>
    </w:p>
    <w:p w:rsidR="00581A86" w:rsidRDefault="00B05788">
      <w:pPr>
        <w:spacing w:before="29" w:line="288" w:lineRule="auto"/>
        <w:ind w:firstLineChars="200" w:firstLine="480"/>
        <w:rPr>
          <w:color w:val="000000"/>
          <w:sz w:val="24"/>
          <w:szCs w:val="24"/>
        </w:rPr>
      </w:pPr>
      <w:r>
        <w:rPr>
          <w:color w:val="000000"/>
          <w:sz w:val="24"/>
          <w:szCs w:val="24"/>
        </w:rPr>
        <w:t>(</w:t>
      </w:r>
      <w:r>
        <w:rPr>
          <w:color w:val="000000"/>
          <w:sz w:val="24"/>
          <w:szCs w:val="24"/>
        </w:rPr>
        <w:t>二</w:t>
      </w:r>
      <w:r>
        <w:rPr>
          <w:color w:val="000000"/>
          <w:sz w:val="24"/>
          <w:szCs w:val="24"/>
        </w:rPr>
        <w:t>)</w:t>
      </w:r>
      <w:r>
        <w:rPr>
          <w:color w:val="000000"/>
          <w:sz w:val="24"/>
          <w:szCs w:val="24"/>
        </w:rPr>
        <w:t>摩根锦颐养老目标日期</w:t>
      </w:r>
      <w:r>
        <w:rPr>
          <w:color w:val="000000"/>
          <w:sz w:val="24"/>
          <w:szCs w:val="24"/>
        </w:rPr>
        <w:t>2035</w:t>
      </w:r>
      <w:r>
        <w:rPr>
          <w:color w:val="000000"/>
          <w:sz w:val="24"/>
          <w:szCs w:val="24"/>
        </w:rPr>
        <w:t>三年持有期混合型发起式基金中基金</w:t>
      </w:r>
      <w:r>
        <w:rPr>
          <w:color w:val="000000"/>
          <w:sz w:val="24"/>
          <w:szCs w:val="24"/>
        </w:rPr>
        <w:t>(FOF)</w:t>
      </w:r>
      <w:r>
        <w:rPr>
          <w:color w:val="000000"/>
          <w:sz w:val="24"/>
          <w:szCs w:val="24"/>
        </w:rPr>
        <w:t>基金合同</w:t>
      </w:r>
    </w:p>
    <w:p w:rsidR="00581A86" w:rsidRDefault="00B05788">
      <w:pPr>
        <w:spacing w:before="29" w:line="288" w:lineRule="auto"/>
        <w:ind w:firstLineChars="200" w:firstLine="480"/>
        <w:rPr>
          <w:color w:val="000000"/>
          <w:sz w:val="24"/>
          <w:szCs w:val="24"/>
        </w:rPr>
      </w:pPr>
      <w:r>
        <w:rPr>
          <w:color w:val="000000"/>
          <w:sz w:val="24"/>
          <w:szCs w:val="24"/>
        </w:rPr>
        <w:t>(</w:t>
      </w:r>
      <w:r>
        <w:rPr>
          <w:color w:val="000000"/>
          <w:sz w:val="24"/>
          <w:szCs w:val="24"/>
        </w:rPr>
        <w:t>三</w:t>
      </w:r>
      <w:r>
        <w:rPr>
          <w:color w:val="000000"/>
          <w:sz w:val="24"/>
          <w:szCs w:val="24"/>
        </w:rPr>
        <w:t>)</w:t>
      </w:r>
      <w:r>
        <w:rPr>
          <w:color w:val="000000"/>
          <w:sz w:val="24"/>
          <w:szCs w:val="24"/>
        </w:rPr>
        <w:t>摩根锦颐养老目标日期</w:t>
      </w:r>
      <w:r>
        <w:rPr>
          <w:color w:val="000000"/>
          <w:sz w:val="24"/>
          <w:szCs w:val="24"/>
        </w:rPr>
        <w:t>2035</w:t>
      </w:r>
      <w:r>
        <w:rPr>
          <w:color w:val="000000"/>
          <w:sz w:val="24"/>
          <w:szCs w:val="24"/>
        </w:rPr>
        <w:t>三年持有期混合型发起式基金中基金</w:t>
      </w:r>
      <w:r>
        <w:rPr>
          <w:color w:val="000000"/>
          <w:sz w:val="24"/>
          <w:szCs w:val="24"/>
        </w:rPr>
        <w:t>(FOF)</w:t>
      </w:r>
      <w:r>
        <w:rPr>
          <w:color w:val="000000"/>
          <w:sz w:val="24"/>
          <w:szCs w:val="24"/>
        </w:rPr>
        <w:t>托管协议</w:t>
      </w:r>
    </w:p>
    <w:p w:rsidR="00581A86" w:rsidRDefault="00B05788">
      <w:pPr>
        <w:spacing w:before="29" w:line="288" w:lineRule="auto"/>
        <w:ind w:firstLineChars="200" w:firstLine="480"/>
        <w:rPr>
          <w:color w:val="000000"/>
          <w:sz w:val="24"/>
          <w:szCs w:val="24"/>
        </w:rPr>
      </w:pPr>
      <w:r>
        <w:rPr>
          <w:color w:val="000000"/>
          <w:sz w:val="24"/>
          <w:szCs w:val="24"/>
        </w:rPr>
        <w:t>(</w:t>
      </w:r>
      <w:r>
        <w:rPr>
          <w:color w:val="000000"/>
          <w:sz w:val="24"/>
          <w:szCs w:val="24"/>
        </w:rPr>
        <w:t>四</w:t>
      </w:r>
      <w:r>
        <w:rPr>
          <w:color w:val="000000"/>
          <w:sz w:val="24"/>
          <w:szCs w:val="24"/>
        </w:rPr>
        <w:t>)</w:t>
      </w:r>
      <w:r>
        <w:rPr>
          <w:color w:val="000000"/>
          <w:sz w:val="24"/>
          <w:szCs w:val="24"/>
        </w:rPr>
        <w:t>法律意见书</w:t>
      </w:r>
    </w:p>
    <w:p w:rsidR="00581A86" w:rsidRDefault="00B05788">
      <w:pPr>
        <w:spacing w:before="29" w:line="288" w:lineRule="auto"/>
        <w:ind w:firstLineChars="200" w:firstLine="480"/>
        <w:rPr>
          <w:color w:val="000000"/>
          <w:sz w:val="24"/>
          <w:szCs w:val="24"/>
        </w:rPr>
      </w:pPr>
      <w:r>
        <w:rPr>
          <w:color w:val="000000"/>
          <w:sz w:val="24"/>
          <w:szCs w:val="24"/>
        </w:rPr>
        <w:t>(</w:t>
      </w:r>
      <w:r>
        <w:rPr>
          <w:color w:val="000000"/>
          <w:sz w:val="24"/>
          <w:szCs w:val="24"/>
        </w:rPr>
        <w:t>五</w:t>
      </w:r>
      <w:r>
        <w:rPr>
          <w:color w:val="000000"/>
          <w:sz w:val="24"/>
          <w:szCs w:val="24"/>
        </w:rPr>
        <w:t>)</w:t>
      </w:r>
      <w:r>
        <w:rPr>
          <w:color w:val="000000"/>
          <w:sz w:val="24"/>
          <w:szCs w:val="24"/>
        </w:rPr>
        <w:t>基金管理人业务资格批件、营业执照</w:t>
      </w:r>
    </w:p>
    <w:p w:rsidR="00581A86" w:rsidRDefault="00B05788">
      <w:pPr>
        <w:spacing w:before="29" w:line="288" w:lineRule="auto"/>
        <w:ind w:firstLineChars="200" w:firstLine="480"/>
        <w:rPr>
          <w:color w:val="000000"/>
          <w:sz w:val="24"/>
          <w:szCs w:val="24"/>
        </w:rPr>
      </w:pPr>
      <w:r>
        <w:rPr>
          <w:color w:val="000000"/>
          <w:sz w:val="24"/>
          <w:szCs w:val="24"/>
        </w:rPr>
        <w:t>(</w:t>
      </w:r>
      <w:r>
        <w:rPr>
          <w:color w:val="000000"/>
          <w:sz w:val="24"/>
          <w:szCs w:val="24"/>
        </w:rPr>
        <w:t>六</w:t>
      </w:r>
      <w:r>
        <w:rPr>
          <w:color w:val="000000"/>
          <w:sz w:val="24"/>
          <w:szCs w:val="24"/>
        </w:rPr>
        <w:t>)</w:t>
      </w:r>
      <w:r>
        <w:rPr>
          <w:color w:val="000000"/>
          <w:sz w:val="24"/>
          <w:szCs w:val="24"/>
        </w:rPr>
        <w:t>基金托管人业务资格批件、营业执照</w:t>
      </w:r>
    </w:p>
    <w:p w:rsidR="00581A86" w:rsidRDefault="00B05788">
      <w:pPr>
        <w:spacing w:before="29" w:line="288" w:lineRule="auto"/>
        <w:ind w:firstLineChars="200" w:firstLine="480"/>
        <w:rPr>
          <w:color w:val="000000"/>
          <w:sz w:val="24"/>
          <w:szCs w:val="24"/>
        </w:rPr>
      </w:pPr>
      <w:r>
        <w:rPr>
          <w:color w:val="000000"/>
          <w:sz w:val="24"/>
          <w:szCs w:val="24"/>
        </w:rPr>
        <w:t>(</w:t>
      </w:r>
      <w:r>
        <w:rPr>
          <w:color w:val="000000"/>
          <w:sz w:val="24"/>
          <w:szCs w:val="24"/>
        </w:rPr>
        <w:t>七</w:t>
      </w:r>
      <w:r>
        <w:rPr>
          <w:color w:val="000000"/>
          <w:sz w:val="24"/>
          <w:szCs w:val="24"/>
        </w:rPr>
        <w:t>)</w:t>
      </w:r>
      <w:r>
        <w:rPr>
          <w:color w:val="000000"/>
          <w:sz w:val="24"/>
          <w:szCs w:val="24"/>
        </w:rPr>
        <w:t>摩根基金管理（中国）有限公司开放式基金业务规则</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w:t>
      </w:r>
      <w:r w:rsidRPr="00414345">
        <w:rPr>
          <w:color w:val="000000"/>
          <w:sz w:val="24"/>
          <w:szCs w:val="24"/>
        </w:rPr>
        <w:t>八</w:t>
      </w:r>
      <w:r w:rsidRPr="00414345">
        <w:rPr>
          <w:color w:val="000000"/>
          <w:sz w:val="24"/>
          <w:szCs w:val="24"/>
        </w:rPr>
        <w:t>)</w:t>
      </w:r>
      <w:r w:rsidRPr="00414345">
        <w:rPr>
          <w:color w:val="000000"/>
          <w:sz w:val="24"/>
          <w:szCs w:val="24"/>
        </w:rPr>
        <w:t>中国证监会要求的其他文件</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770" w:rsidRDefault="00880770" w:rsidP="00876D65">
      <w:r>
        <w:separator/>
      </w:r>
    </w:p>
  </w:endnote>
  <w:endnote w:type="continuationSeparator" w:id="0">
    <w:p w:rsidR="00880770" w:rsidRDefault="008807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微软雅黑"/>
    <w:charset w:val="86"/>
    <w:family w:val="modern"/>
    <w:pitch w:val="fixed"/>
    <w:sig w:usb0="00000000"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Pr="001D0DB0" w:rsidRDefault="004C0877"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2FEF">
      <w:rPr>
        <w:noProof/>
        <w:kern w:val="0"/>
        <w:szCs w:val="21"/>
      </w:rPr>
      <w:t>10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B2FEF">
      <w:rPr>
        <w:noProof/>
        <w:kern w:val="0"/>
        <w:szCs w:val="21"/>
      </w:rPr>
      <w:t>14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770" w:rsidRDefault="00880770" w:rsidP="00876D65">
      <w:r>
        <w:separator/>
      </w:r>
    </w:p>
  </w:footnote>
  <w:footnote w:type="continuationSeparator" w:id="0">
    <w:p w:rsidR="00880770" w:rsidRDefault="00880770"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Pr="00DC456F" w:rsidRDefault="004C0877" w:rsidP="00090A26">
    <w:pPr>
      <w:pStyle w:val="ac"/>
      <w:pBdr>
        <w:bottom w:val="single" w:sz="6" w:space="0" w:color="auto"/>
      </w:pBdr>
      <w:jc w:val="right"/>
      <w:rPr>
        <w:sz w:val="24"/>
        <w:szCs w:val="24"/>
      </w:rPr>
    </w:pPr>
    <w:r w:rsidRPr="003E676C">
      <w:rPr>
        <w:sz w:val="24"/>
        <w:szCs w:val="24"/>
      </w:rPr>
      <w:t>摩根锦颐养老目标日期</w:t>
    </w:r>
    <w:r w:rsidRPr="003E676C">
      <w:rPr>
        <w:sz w:val="24"/>
        <w:szCs w:val="24"/>
      </w:rPr>
      <w:t>2035</w:t>
    </w:r>
    <w:r w:rsidRPr="003E676C">
      <w:rPr>
        <w:sz w:val="24"/>
        <w:szCs w:val="24"/>
      </w:rPr>
      <w:t>三年持有期混合型发起式基金中基金</w:t>
    </w:r>
    <w:r w:rsidRPr="003E676C">
      <w:rPr>
        <w:sz w:val="24"/>
        <w:szCs w:val="24"/>
      </w:rPr>
      <w:t>(FOF)2023</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77" w:rsidRDefault="004C08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728"/>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5D02"/>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3D29"/>
    <w:rsid w:val="00213821"/>
    <w:rsid w:val="00213DFB"/>
    <w:rsid w:val="00217B92"/>
    <w:rsid w:val="0022165B"/>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877"/>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1A86"/>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0770"/>
    <w:rsid w:val="008837D3"/>
    <w:rsid w:val="00883B3C"/>
    <w:rsid w:val="00883D7C"/>
    <w:rsid w:val="00891261"/>
    <w:rsid w:val="008A21B2"/>
    <w:rsid w:val="008A3DAA"/>
    <w:rsid w:val="008A5B20"/>
    <w:rsid w:val="008B2FDD"/>
    <w:rsid w:val="008B2FEF"/>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65745"/>
    <w:rsid w:val="009730B8"/>
    <w:rsid w:val="009734BB"/>
    <w:rsid w:val="0097424F"/>
    <w:rsid w:val="00975DED"/>
    <w:rsid w:val="0098122D"/>
    <w:rsid w:val="00986596"/>
    <w:rsid w:val="00990685"/>
    <w:rsid w:val="009A0ABE"/>
    <w:rsid w:val="009A4E5D"/>
    <w:rsid w:val="009B2D4B"/>
    <w:rsid w:val="009C5186"/>
    <w:rsid w:val="009C60F7"/>
    <w:rsid w:val="009D0952"/>
    <w:rsid w:val="009D10B9"/>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22AB"/>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34AA"/>
    <w:rsid w:val="00AB4DB6"/>
    <w:rsid w:val="00AB6E79"/>
    <w:rsid w:val="00AC063D"/>
    <w:rsid w:val="00AC592E"/>
    <w:rsid w:val="00AC5FC0"/>
    <w:rsid w:val="00AC6C10"/>
    <w:rsid w:val="00AC7BC6"/>
    <w:rsid w:val="00AD24AA"/>
    <w:rsid w:val="00AE02BF"/>
    <w:rsid w:val="00AE7962"/>
    <w:rsid w:val="00AF0A7F"/>
    <w:rsid w:val="00AF1BA1"/>
    <w:rsid w:val="00AF3AB2"/>
    <w:rsid w:val="00B05788"/>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5572"/>
    <w:rsid w:val="00DA66D0"/>
    <w:rsid w:val="00DC0B51"/>
    <w:rsid w:val="00DC141F"/>
    <w:rsid w:val="00DC28F1"/>
    <w:rsid w:val="00DC39D7"/>
    <w:rsid w:val="00DC456F"/>
    <w:rsid w:val="00DC6B55"/>
    <w:rsid w:val="00DE21C3"/>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qFormat/>
    <w:rsid w:val="004061AC"/>
    <w:rPr>
      <w:rFonts w:ascii="宋体" w:hAnsi="Courier New" w:cs="宋体"/>
    </w:rPr>
  </w:style>
  <w:style w:type="character" w:customStyle="1" w:styleId="a7">
    <w:name w:val="纯文本 字符"/>
    <w:basedOn w:val="a1"/>
    <w:link w:val="a6"/>
    <w:uiPriority w:val="99"/>
    <w:qFormat/>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qFormat/>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uiPriority w:val="99"/>
    <w:qFormat/>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qForma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 w:type="character" w:customStyle="1" w:styleId="x-btn-inner">
    <w:name w:val="x-btn-inner"/>
    <w:basedOn w:val="a1"/>
    <w:rsid w:val="004C0877"/>
  </w:style>
  <w:style w:type="character" w:customStyle="1" w:styleId="x-btn-icon-el">
    <w:name w:val="x-btn-icon-el"/>
    <w:basedOn w:val="a1"/>
    <w:rsid w:val="004C0877"/>
  </w:style>
  <w:style w:type="character" w:customStyle="1" w:styleId="12">
    <w:name w:val="脚注文本 字符1"/>
    <w:qFormat/>
    <w:rsid w:val="004C087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100219347">
      <w:bodyDiv w:val="1"/>
      <w:marLeft w:val="0"/>
      <w:marRight w:val="0"/>
      <w:marTop w:val="0"/>
      <w:marBottom w:val="0"/>
      <w:divBdr>
        <w:top w:val="none" w:sz="0" w:space="0" w:color="auto"/>
        <w:left w:val="none" w:sz="0" w:space="0" w:color="auto"/>
        <w:bottom w:val="none" w:sz="0" w:space="0" w:color="auto"/>
        <w:right w:val="none" w:sz="0" w:space="0" w:color="auto"/>
      </w:divBdr>
    </w:div>
    <w:div w:id="137331072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5928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C2D9-BA1C-491C-AD40-500AA2A5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14</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594</cp:revision>
  <dcterms:created xsi:type="dcterms:W3CDTF">2012-10-16T06:07:00Z</dcterms:created>
  <dcterms:modified xsi:type="dcterms:W3CDTF">2024-01-19T06:01:00Z</dcterms:modified>
</cp:coreProperties>
</file>