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摩根锦颐养老目标日期</w:t>
      </w:r>
      <w:r w:rsidRPr="0081286B">
        <w:rPr>
          <w:b/>
          <w:sz w:val="36"/>
          <w:szCs w:val="36"/>
        </w:rPr>
        <w:t>2035</w:t>
      </w:r>
      <w:r w:rsidRPr="0081286B">
        <w:rPr>
          <w:b/>
          <w:sz w:val="36"/>
          <w:szCs w:val="36"/>
        </w:rPr>
        <w:t>三年持有期混合型发起式基金中基金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2024</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2024</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基金管理人：摩根基金管理（中国）有限公司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二〇二四年四月二十二日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B1B18" w:rsidRDefault="002920B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B1B18" w:rsidRDefault="002920B8">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2024</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B1B18" w:rsidRDefault="002920B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B1B18" w:rsidRDefault="002920B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B1B18" w:rsidRDefault="002920B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摩根锦颐养老目标日期</w:t>
            </w:r>
            <w:r w:rsidRPr="00414345">
              <w:rPr>
                <w:color w:val="000000"/>
                <w:kern w:val="0"/>
                <w:sz w:val="24"/>
                <w:szCs w:val="24"/>
              </w:rPr>
              <w:t>2035</w:t>
            </w:r>
            <w:r w:rsidRPr="00414345">
              <w:rPr>
                <w:color w:val="000000"/>
                <w:kern w:val="0"/>
                <w:sz w:val="24"/>
                <w:szCs w:val="24"/>
              </w:rPr>
              <w:t>三年持有混合</w:t>
            </w:r>
            <w:r w:rsidRPr="00414345">
              <w:rPr>
                <w:color w:val="000000"/>
                <w:kern w:val="0"/>
                <w:sz w:val="24"/>
                <w:szCs w:val="24"/>
              </w:rPr>
              <w:t>(FOF)</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017788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017788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50,105,409.04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本基金通过资产配置及优选基金，并结合严格的风险控制，力争实现基金资产的长期稳健增值。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2B1B18" w:rsidRDefault="002920B8">
            <w:pPr>
              <w:adjustRightInd w:val="0"/>
              <w:spacing w:before="29" w:line="288" w:lineRule="auto"/>
              <w:ind w:left="17"/>
              <w:jc w:val="left"/>
              <w:rPr>
                <w:color w:val="000000"/>
                <w:sz w:val="24"/>
                <w:szCs w:val="24"/>
              </w:rPr>
            </w:pPr>
            <w:r>
              <w:rPr>
                <w:color w:val="000000"/>
                <w:kern w:val="0"/>
                <w:sz w:val="24"/>
                <w:szCs w:val="24"/>
              </w:rPr>
              <w:t>本基金属于养老目标日期基金，采用目标日期投资策略。本基金的目标日期为</w:t>
            </w:r>
            <w:r>
              <w:rPr>
                <w:color w:val="000000"/>
                <w:kern w:val="0"/>
                <w:sz w:val="24"/>
                <w:szCs w:val="24"/>
              </w:rPr>
              <w:t>2035</w:t>
            </w:r>
            <w:r>
              <w:rPr>
                <w:color w:val="000000"/>
                <w:kern w:val="0"/>
                <w:sz w:val="24"/>
                <w:szCs w:val="24"/>
              </w:rPr>
              <w:t>年</w:t>
            </w:r>
            <w:r>
              <w:rPr>
                <w:color w:val="000000"/>
                <w:kern w:val="0"/>
                <w:sz w:val="24"/>
                <w:szCs w:val="24"/>
              </w:rPr>
              <w:t>12</w:t>
            </w:r>
            <w:r>
              <w:rPr>
                <w:color w:val="000000"/>
                <w:kern w:val="0"/>
                <w:sz w:val="24"/>
                <w:szCs w:val="24"/>
              </w:rPr>
              <w:t>月</w:t>
            </w:r>
            <w:r>
              <w:rPr>
                <w:color w:val="000000"/>
                <w:kern w:val="0"/>
                <w:sz w:val="24"/>
                <w:szCs w:val="24"/>
              </w:rPr>
              <w:t>31</w:t>
            </w:r>
            <w:r>
              <w:rPr>
                <w:color w:val="000000"/>
                <w:kern w:val="0"/>
                <w:sz w:val="24"/>
                <w:szCs w:val="24"/>
              </w:rPr>
              <w:t>日。随着目标日期的临近，本基金逐步降低所投资的权益类资产的比例，以使基金的风险收益水平与投资者所处的生命周期相匹配。</w:t>
            </w:r>
          </w:p>
          <w:p w:rsidR="002B1B18" w:rsidRDefault="002920B8">
            <w:pPr>
              <w:adjustRightInd w:val="0"/>
              <w:spacing w:before="29" w:line="288" w:lineRule="auto"/>
              <w:ind w:left="17"/>
              <w:jc w:val="left"/>
              <w:rPr>
                <w:color w:val="000000"/>
                <w:sz w:val="24"/>
                <w:szCs w:val="24"/>
              </w:rPr>
            </w:pPr>
            <w:r>
              <w:rPr>
                <w:color w:val="000000"/>
                <w:kern w:val="0"/>
                <w:sz w:val="24"/>
                <w:szCs w:val="24"/>
              </w:rPr>
              <w:t>本基金资产配置策略基于下滑曲线的设计，随着目标日期的临近，权益类资产比例逐步下降。根据生命周期和人力资本理论，在个人工作的早期阶段，承担资本市场风险的意愿强于承担投资风险的能力，随着个人退休临近，承受风险的意愿下降，但是承担投资风险的能力提升。本基金通过下滑曲线设计，使得投资者在整个生命周期中动态配置权益类资产，平衡投资者承担风险的意愿和能力，优化投资者效用。</w:t>
            </w:r>
          </w:p>
          <w:p w:rsidR="002B1B18" w:rsidRDefault="002920B8">
            <w:pPr>
              <w:adjustRightInd w:val="0"/>
              <w:spacing w:before="29" w:line="288" w:lineRule="auto"/>
              <w:ind w:left="17"/>
              <w:jc w:val="left"/>
              <w:rPr>
                <w:color w:val="000000"/>
                <w:sz w:val="24"/>
                <w:szCs w:val="24"/>
              </w:rPr>
            </w:pPr>
            <w:r>
              <w:rPr>
                <w:color w:val="000000"/>
                <w:kern w:val="0"/>
                <w:sz w:val="24"/>
                <w:szCs w:val="24"/>
              </w:rPr>
              <w:t>本基金在目标日期</w:t>
            </w:r>
            <w:r>
              <w:rPr>
                <w:color w:val="000000"/>
                <w:kern w:val="0"/>
                <w:sz w:val="24"/>
                <w:szCs w:val="24"/>
              </w:rPr>
              <w:t>2035</w:t>
            </w:r>
            <w:r>
              <w:rPr>
                <w:color w:val="000000"/>
                <w:kern w:val="0"/>
                <w:sz w:val="24"/>
                <w:szCs w:val="24"/>
              </w:rPr>
              <w:t>年</w:t>
            </w:r>
            <w:r>
              <w:rPr>
                <w:color w:val="000000"/>
                <w:kern w:val="0"/>
                <w:sz w:val="24"/>
                <w:szCs w:val="24"/>
              </w:rPr>
              <w:t>12</w:t>
            </w:r>
            <w:r>
              <w:rPr>
                <w:color w:val="000000"/>
                <w:kern w:val="0"/>
                <w:sz w:val="24"/>
                <w:szCs w:val="24"/>
              </w:rPr>
              <w:t>月</w:t>
            </w:r>
            <w:r>
              <w:rPr>
                <w:color w:val="000000"/>
                <w:kern w:val="0"/>
                <w:sz w:val="24"/>
                <w:szCs w:val="24"/>
              </w:rPr>
              <w:t>31</w:t>
            </w:r>
            <w:r>
              <w:rPr>
                <w:color w:val="000000"/>
                <w:kern w:val="0"/>
                <w:sz w:val="24"/>
                <w:szCs w:val="24"/>
              </w:rPr>
              <w:t>日之前（含当日），权益类资产投资比例如下表所示：</w:t>
            </w:r>
          </w:p>
          <w:p w:rsidR="002B1B18" w:rsidRDefault="002920B8">
            <w:pPr>
              <w:adjustRightInd w:val="0"/>
              <w:spacing w:before="29" w:line="288" w:lineRule="auto"/>
              <w:ind w:left="17"/>
              <w:jc w:val="left"/>
              <w:rPr>
                <w:color w:val="000000"/>
                <w:sz w:val="24"/>
                <w:szCs w:val="24"/>
              </w:rPr>
            </w:pPr>
            <w:r>
              <w:rPr>
                <w:color w:val="000000"/>
                <w:kern w:val="0"/>
                <w:sz w:val="24"/>
                <w:szCs w:val="24"/>
              </w:rPr>
              <w:t>时间段</w:t>
            </w:r>
            <w:r>
              <w:rPr>
                <w:color w:val="000000"/>
                <w:kern w:val="0"/>
                <w:sz w:val="24"/>
                <w:szCs w:val="24"/>
              </w:rPr>
              <w:t xml:space="preserve"> </w:t>
            </w:r>
            <w:r>
              <w:rPr>
                <w:color w:val="000000"/>
                <w:kern w:val="0"/>
                <w:sz w:val="24"/>
                <w:szCs w:val="24"/>
              </w:rPr>
              <w:t>权益类资产比例范围</w:t>
            </w:r>
          </w:p>
          <w:p w:rsidR="002B1B18" w:rsidRDefault="002920B8">
            <w:pPr>
              <w:adjustRightInd w:val="0"/>
              <w:spacing w:before="29" w:line="288" w:lineRule="auto"/>
              <w:ind w:left="17"/>
              <w:jc w:val="left"/>
              <w:rPr>
                <w:color w:val="000000"/>
                <w:sz w:val="24"/>
                <w:szCs w:val="24"/>
              </w:rPr>
            </w:pPr>
            <w:r>
              <w:rPr>
                <w:color w:val="000000"/>
                <w:kern w:val="0"/>
                <w:sz w:val="24"/>
                <w:szCs w:val="24"/>
              </w:rPr>
              <w:t>基金合同生效日</w:t>
            </w:r>
            <w:r>
              <w:rPr>
                <w:color w:val="000000"/>
                <w:kern w:val="0"/>
                <w:sz w:val="24"/>
                <w:szCs w:val="24"/>
              </w:rPr>
              <w:t>-2024/12/31 25%-55%</w:t>
            </w:r>
          </w:p>
          <w:p w:rsidR="002B1B18" w:rsidRDefault="002920B8">
            <w:pPr>
              <w:adjustRightInd w:val="0"/>
              <w:spacing w:before="29" w:line="288" w:lineRule="auto"/>
              <w:ind w:left="17"/>
              <w:jc w:val="left"/>
              <w:rPr>
                <w:color w:val="000000"/>
                <w:sz w:val="24"/>
                <w:szCs w:val="24"/>
              </w:rPr>
            </w:pPr>
            <w:r>
              <w:rPr>
                <w:color w:val="000000"/>
                <w:kern w:val="0"/>
                <w:sz w:val="24"/>
                <w:szCs w:val="24"/>
              </w:rPr>
              <w:t>2025/01/01-2027/12/31 19%-48%</w:t>
            </w:r>
          </w:p>
          <w:p w:rsidR="002B1B18" w:rsidRDefault="002920B8">
            <w:pPr>
              <w:adjustRightInd w:val="0"/>
              <w:spacing w:before="29" w:line="288" w:lineRule="auto"/>
              <w:ind w:left="17"/>
              <w:jc w:val="left"/>
              <w:rPr>
                <w:color w:val="000000"/>
                <w:sz w:val="24"/>
                <w:szCs w:val="24"/>
              </w:rPr>
            </w:pPr>
            <w:r>
              <w:rPr>
                <w:color w:val="000000"/>
                <w:kern w:val="0"/>
                <w:sz w:val="24"/>
                <w:szCs w:val="24"/>
              </w:rPr>
              <w:t>2028/01/01-2031/12/31 12%-42%</w:t>
            </w:r>
          </w:p>
          <w:p w:rsidR="002B1B18" w:rsidRDefault="002920B8">
            <w:pPr>
              <w:adjustRightInd w:val="0"/>
              <w:spacing w:before="29" w:line="288" w:lineRule="auto"/>
              <w:ind w:left="17"/>
              <w:jc w:val="left"/>
              <w:rPr>
                <w:color w:val="000000"/>
                <w:sz w:val="24"/>
                <w:szCs w:val="24"/>
              </w:rPr>
            </w:pPr>
            <w:r>
              <w:rPr>
                <w:color w:val="000000"/>
                <w:kern w:val="0"/>
                <w:sz w:val="24"/>
                <w:szCs w:val="24"/>
              </w:rPr>
              <w:t>2032/01/01-2035/12/31 8%-36%</w:t>
            </w:r>
          </w:p>
          <w:p w:rsidR="002B1B18" w:rsidRDefault="002920B8">
            <w:pPr>
              <w:adjustRightInd w:val="0"/>
              <w:spacing w:before="29" w:line="288" w:lineRule="auto"/>
              <w:ind w:left="17"/>
              <w:jc w:val="left"/>
              <w:rPr>
                <w:color w:val="000000"/>
                <w:sz w:val="24"/>
                <w:szCs w:val="24"/>
              </w:rPr>
            </w:pPr>
            <w:r>
              <w:rPr>
                <w:color w:val="000000"/>
                <w:kern w:val="0"/>
                <w:sz w:val="24"/>
                <w:szCs w:val="24"/>
              </w:rPr>
              <w:t>本基金</w:t>
            </w:r>
            <w:r>
              <w:rPr>
                <w:color w:val="000000"/>
                <w:kern w:val="0"/>
                <w:sz w:val="24"/>
                <w:szCs w:val="24"/>
              </w:rPr>
              <w:t>2036</w:t>
            </w:r>
            <w:r>
              <w:rPr>
                <w:color w:val="000000"/>
                <w:kern w:val="0"/>
                <w:sz w:val="24"/>
                <w:szCs w:val="24"/>
              </w:rPr>
              <w:t>年</w:t>
            </w:r>
            <w:r>
              <w:rPr>
                <w:color w:val="000000"/>
                <w:kern w:val="0"/>
                <w:sz w:val="24"/>
                <w:szCs w:val="24"/>
              </w:rPr>
              <w:t>1</w:t>
            </w:r>
            <w:r>
              <w:rPr>
                <w:color w:val="000000"/>
                <w:kern w:val="0"/>
                <w:sz w:val="24"/>
                <w:szCs w:val="24"/>
              </w:rPr>
              <w:t>月</w:t>
            </w:r>
            <w:r>
              <w:rPr>
                <w:color w:val="000000"/>
                <w:kern w:val="0"/>
                <w:sz w:val="24"/>
                <w:szCs w:val="24"/>
              </w:rPr>
              <w:t>1</w:t>
            </w:r>
            <w:r>
              <w:rPr>
                <w:color w:val="000000"/>
                <w:kern w:val="0"/>
                <w:sz w:val="24"/>
                <w:szCs w:val="24"/>
              </w:rPr>
              <w:t>日转型为</w:t>
            </w:r>
            <w:r>
              <w:rPr>
                <w:color w:val="000000"/>
                <w:kern w:val="0"/>
                <w:sz w:val="24"/>
                <w:szCs w:val="24"/>
              </w:rPr>
              <w:t>“</w:t>
            </w:r>
            <w:r>
              <w:rPr>
                <w:color w:val="000000"/>
                <w:kern w:val="0"/>
                <w:sz w:val="24"/>
                <w:szCs w:val="24"/>
              </w:rPr>
              <w:t>摩根丰盈混合型基金中基金</w:t>
            </w:r>
            <w:r>
              <w:rPr>
                <w:color w:val="000000"/>
                <w:kern w:val="0"/>
                <w:sz w:val="24"/>
                <w:szCs w:val="24"/>
              </w:rPr>
              <w:t>(FOF)”</w:t>
            </w:r>
            <w:r>
              <w:rPr>
                <w:color w:val="000000"/>
                <w:kern w:val="0"/>
                <w:sz w:val="24"/>
                <w:szCs w:val="24"/>
              </w:rPr>
              <w:t>后，本基金将在较低的权益类资产配置比例下投资运作，权益类资产投资比例如下表所示：</w:t>
            </w:r>
          </w:p>
          <w:p w:rsidR="002B1B18" w:rsidRDefault="002920B8">
            <w:pPr>
              <w:adjustRightInd w:val="0"/>
              <w:spacing w:before="29" w:line="288" w:lineRule="auto"/>
              <w:ind w:left="17"/>
              <w:jc w:val="left"/>
              <w:rPr>
                <w:color w:val="000000"/>
                <w:sz w:val="24"/>
                <w:szCs w:val="24"/>
              </w:rPr>
            </w:pPr>
            <w:r>
              <w:rPr>
                <w:color w:val="000000"/>
                <w:kern w:val="0"/>
                <w:sz w:val="24"/>
                <w:szCs w:val="24"/>
              </w:rPr>
              <w:t>时间段</w:t>
            </w:r>
            <w:r>
              <w:rPr>
                <w:color w:val="000000"/>
                <w:kern w:val="0"/>
                <w:sz w:val="24"/>
                <w:szCs w:val="24"/>
              </w:rPr>
              <w:t xml:space="preserve"> </w:t>
            </w:r>
            <w:r>
              <w:rPr>
                <w:color w:val="000000"/>
                <w:kern w:val="0"/>
                <w:sz w:val="24"/>
                <w:szCs w:val="24"/>
              </w:rPr>
              <w:t>权益类资产比例范围</w:t>
            </w:r>
          </w:p>
          <w:p w:rsidR="002B1B18" w:rsidRDefault="002920B8">
            <w:pPr>
              <w:adjustRightInd w:val="0"/>
              <w:spacing w:before="29" w:line="288" w:lineRule="auto"/>
              <w:ind w:left="17"/>
              <w:jc w:val="left"/>
              <w:rPr>
                <w:color w:val="000000"/>
                <w:sz w:val="24"/>
                <w:szCs w:val="24"/>
              </w:rPr>
            </w:pPr>
            <w:r>
              <w:rPr>
                <w:color w:val="000000"/>
                <w:kern w:val="0"/>
                <w:sz w:val="24"/>
                <w:szCs w:val="24"/>
              </w:rPr>
              <w:t>2036/01/01</w:t>
            </w:r>
            <w:r>
              <w:rPr>
                <w:color w:val="000000"/>
                <w:kern w:val="0"/>
                <w:sz w:val="24"/>
                <w:szCs w:val="24"/>
              </w:rPr>
              <w:t>起</w:t>
            </w:r>
            <w:r>
              <w:rPr>
                <w:color w:val="000000"/>
                <w:kern w:val="0"/>
                <w:sz w:val="24"/>
                <w:szCs w:val="24"/>
              </w:rPr>
              <w:t xml:space="preserve"> 0%-30%</w:t>
            </w:r>
          </w:p>
          <w:p w:rsidR="002B1B18" w:rsidRDefault="002920B8">
            <w:pPr>
              <w:adjustRightInd w:val="0"/>
              <w:spacing w:before="29" w:line="288" w:lineRule="auto"/>
              <w:ind w:left="17"/>
              <w:jc w:val="left"/>
              <w:rPr>
                <w:color w:val="000000"/>
                <w:sz w:val="24"/>
                <w:szCs w:val="24"/>
              </w:rPr>
            </w:pPr>
            <w:r>
              <w:rPr>
                <w:color w:val="000000"/>
                <w:kern w:val="0"/>
                <w:sz w:val="24"/>
                <w:szCs w:val="24"/>
              </w:rPr>
              <w:t>权益类资产指股票、股票型基金、应计入权益类资产的混合型基金；应计入权益类资产的混合型基金应符合以下两种情况之一：基金合同中明确约定股票投资占基金资产的比例为</w:t>
            </w:r>
            <w:r>
              <w:rPr>
                <w:color w:val="000000"/>
                <w:kern w:val="0"/>
                <w:sz w:val="24"/>
                <w:szCs w:val="24"/>
              </w:rPr>
              <w:t>60%</w:t>
            </w:r>
            <w:r>
              <w:rPr>
                <w:color w:val="000000"/>
                <w:kern w:val="0"/>
                <w:sz w:val="24"/>
                <w:szCs w:val="24"/>
              </w:rPr>
              <w:t>以上或者根据定期报告最近</w:t>
            </w:r>
            <w:r>
              <w:rPr>
                <w:color w:val="000000"/>
                <w:kern w:val="0"/>
                <w:sz w:val="24"/>
                <w:szCs w:val="24"/>
              </w:rPr>
              <w:t>4</w:t>
            </w:r>
            <w:r>
              <w:rPr>
                <w:color w:val="000000"/>
                <w:kern w:val="0"/>
                <w:sz w:val="24"/>
                <w:szCs w:val="24"/>
              </w:rPr>
              <w:t>个季度披露的股票投资占基金资产的比例均在</w:t>
            </w:r>
            <w:r>
              <w:rPr>
                <w:color w:val="000000"/>
                <w:kern w:val="0"/>
                <w:sz w:val="24"/>
                <w:szCs w:val="24"/>
              </w:rPr>
              <w:t>60%</w:t>
            </w:r>
            <w:r>
              <w:rPr>
                <w:color w:val="000000"/>
                <w:kern w:val="0"/>
                <w:sz w:val="24"/>
                <w:szCs w:val="24"/>
              </w:rPr>
              <w:t>以上的混合型基金。</w:t>
            </w:r>
          </w:p>
          <w:p w:rsidR="002B1B18" w:rsidRDefault="002920B8">
            <w:pPr>
              <w:adjustRightInd w:val="0"/>
              <w:spacing w:before="29" w:line="288" w:lineRule="auto"/>
              <w:ind w:left="17"/>
              <w:jc w:val="left"/>
              <w:rPr>
                <w:color w:val="000000"/>
                <w:sz w:val="24"/>
                <w:szCs w:val="24"/>
              </w:rPr>
            </w:pPr>
            <w:r>
              <w:rPr>
                <w:color w:val="000000"/>
                <w:kern w:val="0"/>
                <w:sz w:val="24"/>
                <w:szCs w:val="24"/>
              </w:rPr>
              <w:t>在基金实际管理过程中，本基金具体配置比例由基金管理人根据宏观经济情况和证券市场的阶段性变化做主动调整，以求基金资产在各类资产的投资中达到风险和收益的最佳平衡。具体各年份本基金的权益类资产占比按招募说明书的规定执行。基金管理人可根据政策调整、市场变化等因素调整各年权益类资产占比范围及权益类资产的配置中枢（即下滑曲线值）。本基金在目标日期之前（含当日），权益类资产的投资比例在下滑曲线值的基础上向上偏离不超过</w:t>
            </w:r>
            <w:r>
              <w:rPr>
                <w:color w:val="000000"/>
                <w:kern w:val="0"/>
                <w:sz w:val="24"/>
                <w:szCs w:val="24"/>
              </w:rPr>
              <w:t>10%</w:t>
            </w:r>
            <w:r>
              <w:rPr>
                <w:color w:val="000000"/>
                <w:kern w:val="0"/>
                <w:sz w:val="24"/>
                <w:szCs w:val="24"/>
              </w:rPr>
              <w:t>，向下偏离不超过</w:t>
            </w:r>
            <w:r>
              <w:rPr>
                <w:color w:val="000000"/>
                <w:kern w:val="0"/>
                <w:sz w:val="24"/>
                <w:szCs w:val="24"/>
              </w:rPr>
              <w:t>15%</w:t>
            </w:r>
            <w:r>
              <w:rPr>
                <w:color w:val="000000"/>
                <w:kern w:val="0"/>
                <w:sz w:val="24"/>
                <w:szCs w:val="24"/>
              </w:rPr>
              <w:t>。如权益类资产配置比例超过上下限，基金管理人应当在</w:t>
            </w:r>
            <w:r>
              <w:rPr>
                <w:color w:val="000000"/>
                <w:kern w:val="0"/>
                <w:sz w:val="24"/>
                <w:szCs w:val="24"/>
              </w:rPr>
              <w:t>10</w:t>
            </w:r>
            <w:r>
              <w:rPr>
                <w:color w:val="000000"/>
                <w:kern w:val="0"/>
                <w:sz w:val="24"/>
                <w:szCs w:val="24"/>
              </w:rPr>
              <w:t>个交易日内进行调整。</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本基金采用的投资策略包括：</w:t>
            </w:r>
            <w:r w:rsidRPr="00414345">
              <w:rPr>
                <w:color w:val="000000"/>
                <w:kern w:val="0"/>
                <w:sz w:val="24"/>
                <w:szCs w:val="24"/>
              </w:rPr>
              <w:t>1</w:t>
            </w:r>
            <w:r w:rsidRPr="00414345">
              <w:rPr>
                <w:color w:val="000000"/>
                <w:kern w:val="0"/>
                <w:sz w:val="24"/>
                <w:szCs w:val="24"/>
              </w:rPr>
              <w:t>、资产配置策略；</w:t>
            </w:r>
            <w:r w:rsidRPr="00414345">
              <w:rPr>
                <w:color w:val="000000"/>
                <w:kern w:val="0"/>
                <w:sz w:val="24"/>
                <w:szCs w:val="24"/>
              </w:rPr>
              <w:t>2</w:t>
            </w:r>
            <w:r w:rsidRPr="00414345">
              <w:rPr>
                <w:color w:val="000000"/>
                <w:kern w:val="0"/>
                <w:sz w:val="24"/>
                <w:szCs w:val="24"/>
              </w:rPr>
              <w:t>、主动管理型基金投资策略；</w:t>
            </w:r>
            <w:r w:rsidRPr="00414345">
              <w:rPr>
                <w:color w:val="000000"/>
                <w:kern w:val="0"/>
                <w:sz w:val="24"/>
                <w:szCs w:val="24"/>
              </w:rPr>
              <w:t>3</w:t>
            </w:r>
            <w:r w:rsidRPr="00414345">
              <w:rPr>
                <w:color w:val="000000"/>
                <w:kern w:val="0"/>
                <w:sz w:val="24"/>
                <w:szCs w:val="24"/>
              </w:rPr>
              <w:t>、指数基金投资策略；</w:t>
            </w:r>
            <w:r w:rsidRPr="00414345">
              <w:rPr>
                <w:color w:val="000000"/>
                <w:kern w:val="0"/>
                <w:sz w:val="24"/>
                <w:szCs w:val="24"/>
              </w:rPr>
              <w:t>4</w:t>
            </w:r>
            <w:r w:rsidRPr="00414345">
              <w:rPr>
                <w:color w:val="000000"/>
                <w:kern w:val="0"/>
                <w:sz w:val="24"/>
                <w:szCs w:val="24"/>
              </w:rPr>
              <w:t>、公募</w:t>
            </w:r>
            <w:r w:rsidRPr="00414345">
              <w:rPr>
                <w:color w:val="000000"/>
                <w:kern w:val="0"/>
                <w:sz w:val="24"/>
                <w:szCs w:val="24"/>
              </w:rPr>
              <w:t>REITs</w:t>
            </w:r>
            <w:r w:rsidRPr="00414345">
              <w:rPr>
                <w:color w:val="000000"/>
                <w:kern w:val="0"/>
                <w:sz w:val="24"/>
                <w:szCs w:val="24"/>
              </w:rPr>
              <w:t>投资策略；</w:t>
            </w:r>
            <w:r w:rsidRPr="00414345">
              <w:rPr>
                <w:color w:val="000000"/>
                <w:kern w:val="0"/>
                <w:sz w:val="24"/>
                <w:szCs w:val="24"/>
              </w:rPr>
              <w:t>5</w:t>
            </w:r>
            <w:r w:rsidRPr="00414345">
              <w:rPr>
                <w:color w:val="000000"/>
                <w:kern w:val="0"/>
                <w:sz w:val="24"/>
                <w:szCs w:val="24"/>
              </w:rPr>
              <w:t>、股票投资策略；</w:t>
            </w:r>
            <w:r w:rsidRPr="00414345">
              <w:rPr>
                <w:color w:val="000000"/>
                <w:kern w:val="0"/>
                <w:sz w:val="24"/>
                <w:szCs w:val="24"/>
              </w:rPr>
              <w:t>6</w:t>
            </w:r>
            <w:r w:rsidRPr="00414345">
              <w:rPr>
                <w:color w:val="000000"/>
                <w:kern w:val="0"/>
                <w:sz w:val="24"/>
                <w:szCs w:val="24"/>
              </w:rPr>
              <w:t>、港股投资策略；</w:t>
            </w:r>
            <w:r w:rsidRPr="00414345">
              <w:rPr>
                <w:color w:val="000000"/>
                <w:kern w:val="0"/>
                <w:sz w:val="24"/>
                <w:szCs w:val="24"/>
              </w:rPr>
              <w:t>7</w:t>
            </w:r>
            <w:r w:rsidRPr="00414345">
              <w:rPr>
                <w:color w:val="000000"/>
                <w:kern w:val="0"/>
                <w:sz w:val="24"/>
                <w:szCs w:val="24"/>
              </w:rPr>
              <w:t>、债券投资策略；</w:t>
            </w:r>
            <w:r w:rsidRPr="00414345">
              <w:rPr>
                <w:color w:val="000000"/>
                <w:kern w:val="0"/>
                <w:sz w:val="24"/>
                <w:szCs w:val="24"/>
              </w:rPr>
              <w:t>8</w:t>
            </w:r>
            <w:r w:rsidRPr="00414345">
              <w:rPr>
                <w:color w:val="000000"/>
                <w:kern w:val="0"/>
                <w:sz w:val="24"/>
                <w:szCs w:val="24"/>
              </w:rPr>
              <w:t>、证券公司短期公司债投资策略；</w:t>
            </w:r>
            <w:r w:rsidRPr="00414345">
              <w:rPr>
                <w:color w:val="000000"/>
                <w:kern w:val="0"/>
                <w:sz w:val="24"/>
                <w:szCs w:val="24"/>
              </w:rPr>
              <w:t>9</w:t>
            </w:r>
            <w:r w:rsidRPr="00414345">
              <w:rPr>
                <w:color w:val="000000"/>
                <w:kern w:val="0"/>
                <w:sz w:val="24"/>
                <w:szCs w:val="24"/>
              </w:rPr>
              <w:t>、资产支持证券投资策略；</w:t>
            </w:r>
            <w:r w:rsidRPr="00414345">
              <w:rPr>
                <w:color w:val="000000"/>
                <w:kern w:val="0"/>
                <w:sz w:val="24"/>
                <w:szCs w:val="24"/>
              </w:rPr>
              <w:t>10</w:t>
            </w:r>
            <w:r w:rsidRPr="00414345">
              <w:rPr>
                <w:color w:val="000000"/>
                <w:kern w:val="0"/>
                <w:sz w:val="24"/>
                <w:szCs w:val="24"/>
              </w:rPr>
              <w:t>、存托凭证投资策略。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*X*95%</w:t>
            </w:r>
            <w:r w:rsidRPr="00414345">
              <w:rPr>
                <w:color w:val="000000"/>
                <w:kern w:val="0"/>
                <w:sz w:val="24"/>
                <w:szCs w:val="24"/>
              </w:rPr>
              <w:t>＋中证港股通综合指数（人民币）收益率</w:t>
            </w:r>
            <w:r w:rsidRPr="00414345">
              <w:rPr>
                <w:color w:val="000000"/>
                <w:kern w:val="0"/>
                <w:sz w:val="24"/>
                <w:szCs w:val="24"/>
              </w:rPr>
              <w:t>*X*5%</w:t>
            </w:r>
            <w:r w:rsidRPr="00414345">
              <w:rPr>
                <w:color w:val="000000"/>
                <w:kern w:val="0"/>
                <w:sz w:val="24"/>
                <w:szCs w:val="24"/>
              </w:rPr>
              <w:t>＋中债</w:t>
            </w:r>
            <w:r w:rsidRPr="00414345">
              <w:rPr>
                <w:color w:val="000000"/>
                <w:kern w:val="0"/>
                <w:sz w:val="24"/>
                <w:szCs w:val="24"/>
              </w:rPr>
              <w:t>-</w:t>
            </w:r>
            <w:r w:rsidRPr="00414345">
              <w:rPr>
                <w:color w:val="000000"/>
                <w:kern w:val="0"/>
                <w:sz w:val="24"/>
                <w:szCs w:val="24"/>
              </w:rPr>
              <w:t>综合全价（总值）指数收益率</w:t>
            </w:r>
            <w:r w:rsidRPr="00414345">
              <w:rPr>
                <w:color w:val="000000"/>
                <w:kern w:val="0"/>
                <w:sz w:val="24"/>
                <w:szCs w:val="24"/>
              </w:rPr>
              <w:t>*(90%-X)+</w:t>
            </w:r>
            <w:r w:rsidRPr="00414345">
              <w:rPr>
                <w:color w:val="000000"/>
                <w:kern w:val="0"/>
                <w:sz w:val="24"/>
                <w:szCs w:val="24"/>
              </w:rPr>
              <w:t>活期存款利率（税后）</w:t>
            </w:r>
            <w:r w:rsidRPr="00414345">
              <w:rPr>
                <w:color w:val="000000"/>
                <w:kern w:val="0"/>
                <w:sz w:val="24"/>
                <w:szCs w:val="24"/>
              </w:rPr>
              <w:t>*10%</w:t>
            </w:r>
            <w:r w:rsidRPr="00414345">
              <w:rPr>
                <w:color w:val="000000"/>
                <w:kern w:val="0"/>
                <w:sz w:val="24"/>
                <w:szCs w:val="24"/>
              </w:rPr>
              <w:t>，其中</w:t>
            </w:r>
            <w:r w:rsidRPr="00414345">
              <w:rPr>
                <w:color w:val="000000"/>
                <w:kern w:val="0"/>
                <w:sz w:val="24"/>
                <w:szCs w:val="24"/>
              </w:rPr>
              <w:t>X</w:t>
            </w:r>
            <w:r w:rsidRPr="00414345">
              <w:rPr>
                <w:color w:val="000000"/>
                <w:kern w:val="0"/>
                <w:sz w:val="24"/>
                <w:szCs w:val="24"/>
              </w:rPr>
              <w:t>即本基金各年的下滑曲线值，按招募说明书的规定执行。</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混合型基金中基金，预期风险和收益水平低于股票型基金中基金，高于债券型基金中基金和货币型基金中基金。本基金可投资香港联合交易所上市的股票，将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摩根基金管理（中国）有限公司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4426D" w:rsidRPr="00414345" w:rsidTr="0064426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4426D" w:rsidRPr="00414345" w:rsidTr="0064426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-873,582.18</w:t>
            </w:r>
          </w:p>
        </w:tc>
      </w:tr>
      <w:tr w:rsidR="0064426D" w:rsidRPr="00414345" w:rsidTr="0064426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-831,062.26</w:t>
            </w:r>
          </w:p>
        </w:tc>
      </w:tr>
      <w:tr w:rsidR="0064426D" w:rsidRPr="00414345" w:rsidTr="0064426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-0.0166</w:t>
            </w:r>
          </w:p>
        </w:tc>
      </w:tr>
      <w:tr w:rsidR="0064426D" w:rsidRPr="00414345" w:rsidTr="0064426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44,034,363.81</w:t>
            </w:r>
          </w:p>
        </w:tc>
      </w:tr>
      <w:tr w:rsidR="0064426D" w:rsidRPr="00414345" w:rsidTr="0064426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0.8788</w:t>
            </w:r>
          </w:p>
        </w:tc>
      </w:tr>
    </w:tbl>
    <w:p w:rsidR="002B1B18" w:rsidRDefault="002920B8">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7C51E8">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C51E8" w:rsidTr="00084347">
        <w:trPr>
          <w:jc w:val="center"/>
        </w:trPr>
        <w:tc>
          <w:tcPr>
            <w:tcW w:w="1701" w:type="dxa"/>
          </w:tcPr>
          <w:p w:rsidR="007C51E8" w:rsidRPr="007C51E8" w:rsidRDefault="007C51E8" w:rsidP="007C51E8">
            <w:pPr>
              <w:adjustRightInd w:val="0"/>
              <w:spacing w:before="29" w:line="288" w:lineRule="auto"/>
              <w:ind w:left="17"/>
              <w:jc w:val="center"/>
              <w:rPr>
                <w:sz w:val="24"/>
                <w:szCs w:val="24"/>
              </w:rPr>
            </w:pPr>
            <w:r w:rsidRPr="007C51E8">
              <w:rPr>
                <w:rFonts w:hint="eastAsia"/>
                <w:sz w:val="24"/>
                <w:szCs w:val="24"/>
              </w:rPr>
              <w:t>过去三个月</w:t>
            </w:r>
          </w:p>
        </w:tc>
        <w:tc>
          <w:tcPr>
            <w:tcW w:w="1045"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-1.85%</w:t>
            </w:r>
          </w:p>
        </w:tc>
        <w:tc>
          <w:tcPr>
            <w:tcW w:w="134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0.86%</w:t>
            </w:r>
          </w:p>
        </w:tc>
        <w:tc>
          <w:tcPr>
            <w:tcW w:w="119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1.46%</w:t>
            </w:r>
          </w:p>
        </w:tc>
        <w:tc>
          <w:tcPr>
            <w:tcW w:w="1492"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0.48%</w:t>
            </w:r>
          </w:p>
        </w:tc>
        <w:tc>
          <w:tcPr>
            <w:tcW w:w="119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-3.31%</w:t>
            </w:r>
          </w:p>
        </w:tc>
        <w:tc>
          <w:tcPr>
            <w:tcW w:w="898"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0.38%</w:t>
            </w:r>
          </w:p>
        </w:tc>
      </w:tr>
      <w:tr w:rsidR="007C51E8" w:rsidTr="00084347">
        <w:trPr>
          <w:jc w:val="center"/>
        </w:trPr>
        <w:tc>
          <w:tcPr>
            <w:tcW w:w="1701" w:type="dxa"/>
          </w:tcPr>
          <w:p w:rsidR="007C51E8" w:rsidRPr="007C51E8" w:rsidRDefault="007C51E8" w:rsidP="007C51E8">
            <w:pPr>
              <w:adjustRightInd w:val="0"/>
              <w:spacing w:before="29" w:line="288" w:lineRule="auto"/>
              <w:ind w:left="17"/>
              <w:jc w:val="center"/>
              <w:rPr>
                <w:sz w:val="24"/>
                <w:szCs w:val="24"/>
              </w:rPr>
            </w:pPr>
            <w:r w:rsidRPr="007C51E8">
              <w:rPr>
                <w:rFonts w:hint="eastAsia"/>
                <w:sz w:val="24"/>
                <w:szCs w:val="24"/>
              </w:rPr>
              <w:t>过去六个月</w:t>
            </w:r>
          </w:p>
        </w:tc>
        <w:tc>
          <w:tcPr>
            <w:tcW w:w="1045"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-4.92%</w:t>
            </w:r>
          </w:p>
        </w:tc>
        <w:tc>
          <w:tcPr>
            <w:tcW w:w="134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0.70%</w:t>
            </w:r>
          </w:p>
        </w:tc>
        <w:tc>
          <w:tcPr>
            <w:tcW w:w="119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-0.90%</w:t>
            </w:r>
          </w:p>
        </w:tc>
        <w:tc>
          <w:tcPr>
            <w:tcW w:w="1492"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0.41%</w:t>
            </w:r>
          </w:p>
        </w:tc>
        <w:tc>
          <w:tcPr>
            <w:tcW w:w="119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-4.02%</w:t>
            </w:r>
          </w:p>
        </w:tc>
        <w:tc>
          <w:tcPr>
            <w:tcW w:w="898"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0.29%</w:t>
            </w:r>
          </w:p>
        </w:tc>
      </w:tr>
      <w:tr w:rsidR="007C51E8" w:rsidTr="00084347">
        <w:trPr>
          <w:jc w:val="center"/>
        </w:trPr>
        <w:tc>
          <w:tcPr>
            <w:tcW w:w="1701" w:type="dxa"/>
          </w:tcPr>
          <w:p w:rsidR="007C51E8" w:rsidRPr="007C51E8" w:rsidRDefault="007C51E8" w:rsidP="007C51E8">
            <w:pPr>
              <w:adjustRightInd w:val="0"/>
              <w:spacing w:before="29" w:line="288" w:lineRule="auto"/>
              <w:ind w:left="17"/>
              <w:jc w:val="center"/>
              <w:rPr>
                <w:sz w:val="24"/>
                <w:szCs w:val="24"/>
              </w:rPr>
            </w:pPr>
            <w:r w:rsidRPr="007C51E8">
              <w:rPr>
                <w:rFonts w:hint="eastAsia"/>
                <w:sz w:val="24"/>
                <w:szCs w:val="24"/>
              </w:rPr>
              <w:t>过去一年</w:t>
            </w:r>
          </w:p>
        </w:tc>
        <w:tc>
          <w:tcPr>
            <w:tcW w:w="1045"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c>
          <w:tcPr>
            <w:tcW w:w="134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c>
          <w:tcPr>
            <w:tcW w:w="119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c>
          <w:tcPr>
            <w:tcW w:w="1492"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c>
          <w:tcPr>
            <w:tcW w:w="119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c>
          <w:tcPr>
            <w:tcW w:w="898"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r>
      <w:tr w:rsidR="007C51E8" w:rsidTr="00084347">
        <w:trPr>
          <w:jc w:val="center"/>
        </w:trPr>
        <w:tc>
          <w:tcPr>
            <w:tcW w:w="1701" w:type="dxa"/>
          </w:tcPr>
          <w:p w:rsidR="007C51E8" w:rsidRPr="007C51E8" w:rsidRDefault="007C51E8" w:rsidP="007C51E8">
            <w:pPr>
              <w:adjustRightInd w:val="0"/>
              <w:spacing w:before="29" w:line="288" w:lineRule="auto"/>
              <w:ind w:left="17"/>
              <w:jc w:val="center"/>
              <w:rPr>
                <w:sz w:val="24"/>
                <w:szCs w:val="24"/>
              </w:rPr>
            </w:pPr>
            <w:r w:rsidRPr="007C51E8">
              <w:rPr>
                <w:rFonts w:hint="eastAsia"/>
                <w:sz w:val="24"/>
                <w:szCs w:val="24"/>
              </w:rPr>
              <w:t>过去三年</w:t>
            </w:r>
          </w:p>
        </w:tc>
        <w:tc>
          <w:tcPr>
            <w:tcW w:w="1045"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c>
          <w:tcPr>
            <w:tcW w:w="134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c>
          <w:tcPr>
            <w:tcW w:w="119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c>
          <w:tcPr>
            <w:tcW w:w="1492"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c>
          <w:tcPr>
            <w:tcW w:w="119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c>
          <w:tcPr>
            <w:tcW w:w="898"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r>
      <w:tr w:rsidR="007C51E8" w:rsidTr="00084347">
        <w:trPr>
          <w:jc w:val="center"/>
        </w:trPr>
        <w:tc>
          <w:tcPr>
            <w:tcW w:w="1701" w:type="dxa"/>
          </w:tcPr>
          <w:p w:rsidR="007C51E8" w:rsidRPr="007C51E8" w:rsidRDefault="007C51E8" w:rsidP="007C51E8">
            <w:pPr>
              <w:adjustRightInd w:val="0"/>
              <w:spacing w:before="29" w:line="288" w:lineRule="auto"/>
              <w:ind w:left="17"/>
              <w:jc w:val="center"/>
              <w:rPr>
                <w:sz w:val="24"/>
                <w:szCs w:val="24"/>
              </w:rPr>
            </w:pPr>
            <w:r w:rsidRPr="007C51E8">
              <w:rPr>
                <w:rFonts w:hint="eastAsia"/>
                <w:sz w:val="24"/>
                <w:szCs w:val="24"/>
              </w:rPr>
              <w:t>过去五年</w:t>
            </w:r>
          </w:p>
        </w:tc>
        <w:tc>
          <w:tcPr>
            <w:tcW w:w="1045"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c>
          <w:tcPr>
            <w:tcW w:w="134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c>
          <w:tcPr>
            <w:tcW w:w="119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c>
          <w:tcPr>
            <w:tcW w:w="1492"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c>
          <w:tcPr>
            <w:tcW w:w="119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c>
          <w:tcPr>
            <w:tcW w:w="898"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w:t>
            </w:r>
          </w:p>
        </w:tc>
      </w:tr>
      <w:tr w:rsidR="007C51E8" w:rsidTr="00084347">
        <w:trPr>
          <w:jc w:val="center"/>
        </w:trPr>
        <w:tc>
          <w:tcPr>
            <w:tcW w:w="1701" w:type="dxa"/>
          </w:tcPr>
          <w:p w:rsidR="007C51E8" w:rsidRPr="007C51E8" w:rsidRDefault="007C51E8" w:rsidP="007C51E8">
            <w:pPr>
              <w:adjustRightInd w:val="0"/>
              <w:spacing w:before="29" w:line="288" w:lineRule="auto"/>
              <w:ind w:left="17"/>
              <w:jc w:val="center"/>
              <w:rPr>
                <w:sz w:val="24"/>
                <w:szCs w:val="24"/>
              </w:rPr>
            </w:pPr>
            <w:r w:rsidRPr="007C51E8">
              <w:rPr>
                <w:rFonts w:hint="eastAsia"/>
                <w:sz w:val="24"/>
                <w:szCs w:val="24"/>
              </w:rPr>
              <w:t>自基金合同生效起至今</w:t>
            </w:r>
          </w:p>
        </w:tc>
        <w:tc>
          <w:tcPr>
            <w:tcW w:w="1045"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-12.12%</w:t>
            </w:r>
          </w:p>
        </w:tc>
        <w:tc>
          <w:tcPr>
            <w:tcW w:w="134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0.58%</w:t>
            </w:r>
          </w:p>
        </w:tc>
        <w:tc>
          <w:tcPr>
            <w:tcW w:w="119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-4.65%</w:t>
            </w:r>
          </w:p>
        </w:tc>
        <w:tc>
          <w:tcPr>
            <w:tcW w:w="1492"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0.38%</w:t>
            </w:r>
          </w:p>
        </w:tc>
        <w:tc>
          <w:tcPr>
            <w:tcW w:w="1194"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-7.47%</w:t>
            </w:r>
          </w:p>
        </w:tc>
        <w:tc>
          <w:tcPr>
            <w:tcW w:w="898" w:type="dxa"/>
            <w:vAlign w:val="center"/>
          </w:tcPr>
          <w:p w:rsidR="007C51E8" w:rsidRPr="002375EB" w:rsidRDefault="007C51E8" w:rsidP="002375EB">
            <w:pPr>
              <w:adjustRightInd w:val="0"/>
              <w:spacing w:before="29" w:line="288" w:lineRule="auto"/>
              <w:ind w:left="17"/>
              <w:jc w:val="right"/>
              <w:rPr>
                <w:color w:val="000000"/>
                <w:sz w:val="24"/>
                <w:szCs w:val="24"/>
              </w:rPr>
            </w:pPr>
            <w:r w:rsidRPr="002375EB">
              <w:rPr>
                <w:color w:val="000000"/>
                <w:sz w:val="24"/>
                <w:szCs w:val="24"/>
              </w:rPr>
              <w:t>0.20%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摩根锦颐养老目标日期</w:t>
      </w:r>
      <w:r w:rsidRPr="00414345">
        <w:rPr>
          <w:color w:val="000000"/>
          <w:sz w:val="24"/>
          <w:szCs w:val="24"/>
        </w:rPr>
        <w:t>2035</w:t>
      </w:r>
      <w:r w:rsidRPr="00414345">
        <w:rPr>
          <w:color w:val="000000"/>
          <w:sz w:val="24"/>
          <w:szCs w:val="24"/>
        </w:rPr>
        <w:t>三年持有期混合型发起式基金中基金</w:t>
      </w:r>
      <w:r w:rsidRPr="00414345">
        <w:rPr>
          <w:color w:val="000000"/>
          <w:sz w:val="24"/>
          <w:szCs w:val="24"/>
        </w:rPr>
        <w:t>(FOF)</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701EE165" wp14:editId="6BB9C99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2B1B18" w:rsidRDefault="002920B8">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2023</w:t>
      </w:r>
      <w:r>
        <w:rPr>
          <w:color w:val="000000"/>
          <w:sz w:val="24"/>
          <w:szCs w:val="24"/>
        </w:rPr>
        <w:t>年</w:t>
      </w:r>
      <w:r>
        <w:rPr>
          <w:color w:val="000000"/>
          <w:sz w:val="24"/>
          <w:szCs w:val="24"/>
        </w:rPr>
        <w:t>4</w:t>
      </w:r>
      <w:r>
        <w:rPr>
          <w:color w:val="000000"/>
          <w:sz w:val="24"/>
          <w:szCs w:val="24"/>
        </w:rPr>
        <w:t>月</w:t>
      </w:r>
      <w:r>
        <w:rPr>
          <w:color w:val="000000"/>
          <w:sz w:val="24"/>
          <w:szCs w:val="24"/>
        </w:rPr>
        <w:t>4</w:t>
      </w:r>
      <w:r>
        <w:rPr>
          <w:color w:val="000000"/>
          <w:sz w:val="24"/>
          <w:szCs w:val="24"/>
        </w:rPr>
        <w:t>日，截至本报告期末本基金合同生效未满一年。</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本基金建仓期为本基金合同生效日起</w:t>
      </w:r>
      <w:r w:rsidRPr="00414345">
        <w:rPr>
          <w:color w:val="000000"/>
          <w:sz w:val="24"/>
          <w:szCs w:val="24"/>
        </w:rPr>
        <w:t>6</w:t>
      </w:r>
      <w:r w:rsidRPr="00414345">
        <w:rPr>
          <w:color w:val="000000"/>
          <w:sz w:val="24"/>
          <w:szCs w:val="24"/>
        </w:rPr>
        <w:t>个月，建仓期结束时资产配置比例符合本基金基金合同规定。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627E2D" w:rsidRPr="00414345" w:rsidRDefault="00627E2D" w:rsidP="00C15CAC">
      <w:pPr>
        <w:autoSpaceDE w:val="0"/>
        <w:autoSpaceDN w:val="0"/>
        <w:adjustRightInd w:val="0"/>
        <w:spacing w:before="29" w:line="288" w:lineRule="auto"/>
        <w:jc w:val="left"/>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B1B18">
        <w:trPr>
          <w:jc w:val="center"/>
        </w:trPr>
        <w:tc>
          <w:tcPr>
            <w:tcW w:w="846" w:type="dxa"/>
            <w:vAlign w:val="center"/>
          </w:tcPr>
          <w:p w:rsidR="002B1B18" w:rsidRDefault="002920B8">
            <w:pPr>
              <w:jc w:val="center"/>
            </w:pPr>
            <w:r>
              <w:rPr>
                <w:color w:val="000000"/>
                <w:sz w:val="24"/>
                <w:szCs w:val="24"/>
              </w:rPr>
              <w:t>杜习杰</w:t>
            </w:r>
          </w:p>
        </w:tc>
        <w:tc>
          <w:tcPr>
            <w:tcW w:w="845" w:type="dxa"/>
            <w:vAlign w:val="center"/>
          </w:tcPr>
          <w:p w:rsidR="002B1B18" w:rsidRDefault="002920B8">
            <w:pPr>
              <w:jc w:val="center"/>
            </w:pPr>
            <w:r>
              <w:rPr>
                <w:color w:val="000000"/>
                <w:sz w:val="24"/>
                <w:szCs w:val="24"/>
              </w:rPr>
              <w:t>本基金基金经理</w:t>
            </w:r>
          </w:p>
        </w:tc>
        <w:tc>
          <w:tcPr>
            <w:tcW w:w="1549" w:type="dxa"/>
            <w:vAlign w:val="center"/>
          </w:tcPr>
          <w:p w:rsidR="002B1B18" w:rsidRDefault="002920B8">
            <w:pPr>
              <w:jc w:val="center"/>
            </w:pPr>
            <w:r>
              <w:rPr>
                <w:color w:val="000000"/>
                <w:sz w:val="24"/>
                <w:szCs w:val="24"/>
              </w:rPr>
              <w:t>2023-04-04</w:t>
            </w:r>
          </w:p>
        </w:tc>
        <w:tc>
          <w:tcPr>
            <w:tcW w:w="1548" w:type="dxa"/>
            <w:vAlign w:val="center"/>
          </w:tcPr>
          <w:p w:rsidR="002B1B18" w:rsidRDefault="002920B8">
            <w:pPr>
              <w:jc w:val="center"/>
            </w:pPr>
            <w:r>
              <w:rPr>
                <w:color w:val="000000"/>
                <w:sz w:val="24"/>
                <w:szCs w:val="24"/>
              </w:rPr>
              <w:t>-</w:t>
            </w:r>
          </w:p>
        </w:tc>
        <w:tc>
          <w:tcPr>
            <w:tcW w:w="1407" w:type="dxa"/>
            <w:vAlign w:val="center"/>
          </w:tcPr>
          <w:p w:rsidR="002B1B18" w:rsidRDefault="002920B8">
            <w:pPr>
              <w:jc w:val="center"/>
            </w:pPr>
            <w:r>
              <w:rPr>
                <w:color w:val="000000"/>
                <w:sz w:val="24"/>
                <w:szCs w:val="24"/>
              </w:rPr>
              <w:t>16</w:t>
            </w:r>
            <w:r>
              <w:rPr>
                <w:color w:val="000000"/>
                <w:sz w:val="24"/>
                <w:szCs w:val="24"/>
              </w:rPr>
              <w:t>年</w:t>
            </w:r>
          </w:p>
        </w:tc>
        <w:tc>
          <w:tcPr>
            <w:tcW w:w="2673" w:type="dxa"/>
            <w:vAlign w:val="center"/>
          </w:tcPr>
          <w:p w:rsidR="002B1B18" w:rsidRDefault="002920B8">
            <w:r>
              <w:rPr>
                <w:color w:val="000000"/>
                <w:sz w:val="24"/>
                <w:szCs w:val="24"/>
              </w:rPr>
              <w:t>杜习杰先生曾任长信基金任研究员。</w:t>
            </w:r>
            <w:r>
              <w:rPr>
                <w:color w:val="000000"/>
                <w:sz w:val="24"/>
                <w:szCs w:val="24"/>
              </w:rPr>
              <w:t>2011</w:t>
            </w:r>
            <w:r>
              <w:rPr>
                <w:color w:val="000000"/>
                <w:sz w:val="24"/>
                <w:szCs w:val="24"/>
              </w:rPr>
              <w:t>年</w:t>
            </w:r>
            <w:r>
              <w:rPr>
                <w:color w:val="000000"/>
                <w:sz w:val="24"/>
                <w:szCs w:val="24"/>
              </w:rPr>
              <w:t>6</w:t>
            </w:r>
            <w:r>
              <w:rPr>
                <w:color w:val="000000"/>
                <w:sz w:val="24"/>
                <w:szCs w:val="24"/>
              </w:rPr>
              <w:t>月起加入摩根基金管理（中国）有限公司（原上投摩根基金管理有限公司），历任研究员、投资经理兼研究员，现任组合基金投资部基金经理。</w:t>
            </w:r>
          </w:p>
        </w:tc>
      </w:tr>
      <w:tr w:rsidR="002B1B18">
        <w:trPr>
          <w:jc w:val="center"/>
        </w:trPr>
        <w:tc>
          <w:tcPr>
            <w:tcW w:w="846" w:type="dxa"/>
            <w:vAlign w:val="center"/>
          </w:tcPr>
          <w:p w:rsidR="002B1B18" w:rsidRDefault="002920B8">
            <w:pPr>
              <w:jc w:val="center"/>
            </w:pPr>
            <w:r>
              <w:rPr>
                <w:color w:val="000000"/>
                <w:sz w:val="24"/>
                <w:szCs w:val="24"/>
              </w:rPr>
              <w:t>吴春杰</w:t>
            </w:r>
          </w:p>
        </w:tc>
        <w:tc>
          <w:tcPr>
            <w:tcW w:w="845" w:type="dxa"/>
            <w:vAlign w:val="center"/>
          </w:tcPr>
          <w:p w:rsidR="002B1B18" w:rsidRDefault="002920B8">
            <w:pPr>
              <w:jc w:val="center"/>
            </w:pPr>
            <w:r>
              <w:rPr>
                <w:color w:val="000000"/>
                <w:sz w:val="24"/>
                <w:szCs w:val="24"/>
              </w:rPr>
              <w:t>本基金基金经理</w:t>
            </w:r>
          </w:p>
        </w:tc>
        <w:tc>
          <w:tcPr>
            <w:tcW w:w="1549" w:type="dxa"/>
            <w:vAlign w:val="center"/>
          </w:tcPr>
          <w:p w:rsidR="002B1B18" w:rsidRDefault="002920B8">
            <w:pPr>
              <w:jc w:val="center"/>
            </w:pPr>
            <w:r>
              <w:rPr>
                <w:color w:val="000000"/>
                <w:sz w:val="24"/>
                <w:szCs w:val="24"/>
              </w:rPr>
              <w:t>2023-04-06</w:t>
            </w:r>
          </w:p>
        </w:tc>
        <w:tc>
          <w:tcPr>
            <w:tcW w:w="1548" w:type="dxa"/>
            <w:vAlign w:val="center"/>
          </w:tcPr>
          <w:p w:rsidR="002B1B18" w:rsidRDefault="002920B8">
            <w:pPr>
              <w:jc w:val="center"/>
            </w:pPr>
            <w:r>
              <w:rPr>
                <w:color w:val="000000"/>
                <w:sz w:val="24"/>
                <w:szCs w:val="24"/>
              </w:rPr>
              <w:t>-</w:t>
            </w:r>
          </w:p>
        </w:tc>
        <w:tc>
          <w:tcPr>
            <w:tcW w:w="1407" w:type="dxa"/>
            <w:vAlign w:val="center"/>
          </w:tcPr>
          <w:p w:rsidR="002B1B18" w:rsidRDefault="002920B8">
            <w:pPr>
              <w:jc w:val="center"/>
            </w:pPr>
            <w:r>
              <w:rPr>
                <w:color w:val="000000"/>
                <w:sz w:val="24"/>
                <w:szCs w:val="24"/>
              </w:rPr>
              <w:t>13</w:t>
            </w:r>
            <w:r>
              <w:rPr>
                <w:color w:val="000000"/>
                <w:sz w:val="24"/>
                <w:szCs w:val="24"/>
              </w:rPr>
              <w:t>年</w:t>
            </w:r>
          </w:p>
        </w:tc>
        <w:tc>
          <w:tcPr>
            <w:tcW w:w="2673" w:type="dxa"/>
            <w:vAlign w:val="center"/>
          </w:tcPr>
          <w:p w:rsidR="002B1B18" w:rsidRDefault="002920B8">
            <w:r>
              <w:rPr>
                <w:color w:val="000000"/>
                <w:sz w:val="24"/>
                <w:szCs w:val="24"/>
              </w:rPr>
              <w:t>吴春杰女士曾任长江证券股份有限公司宏观策略分析师，中国太平洋人寿保险有限公司资产配置中心配置策略经理，上海景熙资产管理有限公司投资经理</w:t>
            </w:r>
            <w:r>
              <w:rPr>
                <w:color w:val="000000"/>
                <w:sz w:val="24"/>
                <w:szCs w:val="24"/>
              </w:rPr>
              <w:t>/</w:t>
            </w:r>
            <w:r>
              <w:rPr>
                <w:color w:val="000000"/>
                <w:sz w:val="24"/>
                <w:szCs w:val="24"/>
              </w:rPr>
              <w:t>宏观策略研究。</w:t>
            </w:r>
            <w:r>
              <w:rPr>
                <w:color w:val="000000"/>
                <w:sz w:val="24"/>
                <w:szCs w:val="24"/>
              </w:rPr>
              <w:t>2018</w:t>
            </w:r>
            <w:r>
              <w:rPr>
                <w:color w:val="000000"/>
                <w:sz w:val="24"/>
                <w:szCs w:val="24"/>
              </w:rPr>
              <w:t>年</w:t>
            </w:r>
            <w:r>
              <w:rPr>
                <w:color w:val="000000"/>
                <w:sz w:val="24"/>
                <w:szCs w:val="24"/>
              </w:rPr>
              <w:t>7</w:t>
            </w:r>
            <w:r>
              <w:rPr>
                <w:color w:val="000000"/>
                <w:sz w:val="24"/>
                <w:szCs w:val="24"/>
              </w:rPr>
              <w:t>月加入摩根基金管理（中国）有限公司（原上投摩根基金管理有限公司），历任宏观研究员，现任高级基金经理。</w:t>
            </w:r>
          </w:p>
        </w:tc>
      </w:tr>
    </w:tbl>
    <w:p w:rsidR="002B1B18" w:rsidRDefault="002920B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任职日期和离任日期均指根据公司决定确定的聘任日期和解聘日期。</w:t>
      </w:r>
    </w:p>
    <w:p w:rsidR="002B1B18" w:rsidRDefault="002920B8">
      <w:pPr>
        <w:autoSpaceDE w:val="0"/>
        <w:autoSpaceDN w:val="0"/>
        <w:adjustRightInd w:val="0"/>
        <w:spacing w:before="29" w:line="288" w:lineRule="auto"/>
        <w:jc w:val="left"/>
        <w:rPr>
          <w:color w:val="000000"/>
          <w:sz w:val="24"/>
          <w:szCs w:val="24"/>
        </w:rPr>
      </w:pPr>
      <w:r>
        <w:rPr>
          <w:color w:val="000000"/>
          <w:sz w:val="24"/>
          <w:szCs w:val="24"/>
        </w:rPr>
        <w:t>2.</w:t>
      </w:r>
      <w:r>
        <w:rPr>
          <w:color w:val="000000"/>
          <w:sz w:val="24"/>
          <w:szCs w:val="24"/>
        </w:rPr>
        <w:t>杜习杰先生为本基金首任基金经理，其任职日期指本基金基金合同生效之日。</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3.</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B1B18" w:rsidRDefault="002920B8">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B1B18" w:rsidRDefault="002920B8">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2B1B18" w:rsidRDefault="002920B8">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B1B18" w:rsidRDefault="002920B8">
      <w:pPr>
        <w:spacing w:before="29" w:line="288" w:lineRule="auto"/>
        <w:ind w:firstLineChars="200" w:firstLine="480"/>
        <w:rPr>
          <w:color w:val="000000"/>
          <w:sz w:val="24"/>
          <w:szCs w:val="24"/>
        </w:rPr>
      </w:pPr>
      <w:r>
        <w:rPr>
          <w:color w:val="000000"/>
          <w:sz w:val="24"/>
          <w:szCs w:val="24"/>
        </w:rPr>
        <w:t>回顾</w:t>
      </w:r>
      <w:r>
        <w:rPr>
          <w:color w:val="000000"/>
          <w:sz w:val="24"/>
          <w:szCs w:val="24"/>
        </w:rPr>
        <w:t>2024</w:t>
      </w:r>
      <w:r>
        <w:rPr>
          <w:color w:val="000000"/>
          <w:sz w:val="24"/>
          <w:szCs w:val="24"/>
        </w:rPr>
        <w:t>年一季度，国内权益市场经历了较大的波动。一季度为经济数据相对空窗的阶段，叠加春节错位使得经济数据受基数的影响较大，因此，相较经济基本面而言，流动性与情绪成为放大价格波动主要因素。进入</w:t>
      </w:r>
      <w:r>
        <w:rPr>
          <w:color w:val="000000"/>
          <w:sz w:val="24"/>
          <w:szCs w:val="24"/>
        </w:rPr>
        <w:t>2</w:t>
      </w:r>
      <w:r>
        <w:rPr>
          <w:color w:val="000000"/>
          <w:sz w:val="24"/>
          <w:szCs w:val="24"/>
        </w:rPr>
        <w:t>月份，多项政策呵护下，市场流动性逐步恢复，前期调整幅度较大的高贝塔行业反弹居前，主要指数亦在一季度小幅收涨。两会期间，央行表示后续在降准上仍有空间，国内债券收益率在一季度整体下行，</w:t>
      </w:r>
      <w:r>
        <w:rPr>
          <w:color w:val="000000"/>
          <w:sz w:val="24"/>
          <w:szCs w:val="24"/>
        </w:rPr>
        <w:t>10</w:t>
      </w:r>
      <w:r>
        <w:rPr>
          <w:color w:val="000000"/>
          <w:sz w:val="24"/>
          <w:szCs w:val="24"/>
        </w:rPr>
        <w:t>年国债收益率降至</w:t>
      </w:r>
      <w:r>
        <w:rPr>
          <w:color w:val="000000"/>
          <w:sz w:val="24"/>
          <w:szCs w:val="24"/>
        </w:rPr>
        <w:t>2.29%</w:t>
      </w:r>
      <w:r>
        <w:rPr>
          <w:color w:val="000000"/>
          <w:sz w:val="24"/>
          <w:szCs w:val="24"/>
        </w:rPr>
        <w:t>。</w:t>
      </w:r>
    </w:p>
    <w:p w:rsidR="002B1B18" w:rsidRDefault="002920B8">
      <w:pPr>
        <w:spacing w:before="29" w:line="288" w:lineRule="auto"/>
        <w:ind w:firstLineChars="200" w:firstLine="480"/>
        <w:rPr>
          <w:color w:val="000000"/>
          <w:sz w:val="24"/>
          <w:szCs w:val="24"/>
        </w:rPr>
      </w:pPr>
      <w:r>
        <w:rPr>
          <w:color w:val="000000"/>
          <w:sz w:val="24"/>
          <w:szCs w:val="24"/>
        </w:rPr>
        <w:t>海外方面，美国经济韧性强于预期，美股在一季度表现较好。美债收益率反弹至</w:t>
      </w:r>
      <w:r>
        <w:rPr>
          <w:color w:val="000000"/>
          <w:sz w:val="24"/>
          <w:szCs w:val="24"/>
        </w:rPr>
        <w:t>4.2%</w:t>
      </w:r>
      <w:r>
        <w:rPr>
          <w:color w:val="000000"/>
          <w:sz w:val="24"/>
          <w:szCs w:val="24"/>
        </w:rPr>
        <w:t>左右，</w:t>
      </w:r>
      <w:r>
        <w:rPr>
          <w:color w:val="000000"/>
          <w:sz w:val="24"/>
          <w:szCs w:val="24"/>
        </w:rPr>
        <w:t>2</w:t>
      </w:r>
      <w:r>
        <w:rPr>
          <w:color w:val="000000"/>
          <w:sz w:val="24"/>
          <w:szCs w:val="24"/>
        </w:rPr>
        <w:t>月通胀数据高于预期，对通胀顽固性的担忧有所上升。</w:t>
      </w:r>
      <w:r>
        <w:rPr>
          <w:color w:val="000000"/>
          <w:sz w:val="24"/>
          <w:szCs w:val="24"/>
        </w:rPr>
        <w:t xml:space="preserve">  </w:t>
      </w:r>
    </w:p>
    <w:p w:rsidR="002B1B18" w:rsidRDefault="002920B8">
      <w:pPr>
        <w:spacing w:before="29" w:line="288" w:lineRule="auto"/>
        <w:ind w:firstLineChars="200" w:firstLine="480"/>
        <w:rPr>
          <w:color w:val="000000"/>
          <w:sz w:val="24"/>
          <w:szCs w:val="24"/>
        </w:rPr>
      </w:pPr>
      <w:r>
        <w:rPr>
          <w:color w:val="000000"/>
          <w:sz w:val="24"/>
          <w:szCs w:val="24"/>
        </w:rPr>
        <w:t>前期总量政策的积极调整为</w:t>
      </w:r>
      <w:r>
        <w:rPr>
          <w:color w:val="000000"/>
          <w:sz w:val="24"/>
          <w:szCs w:val="24"/>
        </w:rPr>
        <w:t>2024</w:t>
      </w:r>
      <w:r>
        <w:rPr>
          <w:color w:val="000000"/>
          <w:sz w:val="24"/>
          <w:szCs w:val="24"/>
        </w:rPr>
        <w:t>年经济增长的修复积蓄了动能。两会制定的主要经济目标符合市场预期，就业目标高于往年体现对年内经济稳定运行的诉求，对新质生产力的强调也体现了中长期目标中对经济质量提升的关注。结构上，过去两年承压的传统行业面临的环境趋于改善；适应国内需求变化的科技创新、消费服务等领域在政策支持下也有望迎来较好的增长。同时，外需对出口的拉动也在逐步改善。整体供需格局的平衡，也将有利于价格从偏弱的预期中恢复，进而反映在企业的盈利水平的提升上。</w:t>
      </w:r>
    </w:p>
    <w:p w:rsidR="002B1B18" w:rsidRDefault="002920B8">
      <w:pPr>
        <w:spacing w:before="29" w:line="288" w:lineRule="auto"/>
        <w:ind w:firstLineChars="200" w:firstLine="480"/>
        <w:rPr>
          <w:color w:val="000000"/>
          <w:sz w:val="24"/>
          <w:szCs w:val="24"/>
        </w:rPr>
      </w:pPr>
      <w:r>
        <w:rPr>
          <w:color w:val="000000"/>
          <w:sz w:val="24"/>
          <w:szCs w:val="24"/>
        </w:rPr>
        <w:t>对于国内权益来讲，维持相对看好。当前历史绝对估值分位、相对债券资产的估值均处在较高吸引力的水平，具备长期配置价值。去年底以来，企业盈利预期指标有所企稳，并有望逐步修复。一季度市场资金流波动较大，近期以恢复平稳，后续关注市场增量资金流入的稳定性与负债属性。对于国内债券来讲，托底经济增长的政策在发力中，内外利差仍为负值，相对</w:t>
      </w:r>
      <w:r>
        <w:rPr>
          <w:color w:val="000000"/>
          <w:sz w:val="24"/>
          <w:szCs w:val="24"/>
        </w:rPr>
        <w:t>A</w:t>
      </w:r>
      <w:r>
        <w:rPr>
          <w:color w:val="000000"/>
          <w:sz w:val="24"/>
          <w:szCs w:val="24"/>
        </w:rPr>
        <w:t>股配置价值处在偏低的位置。但考虑到当前处在地方政府化债进程中、实际利率高位下，货币政策仍有进一步宽松的空间，国内债券的下行风险相对可控。同时，需关注二季度政府债券发行节奏的阶段性影响。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海外方面，市场预期美国经济软着陆，尽管短期通胀回落有所曲折，但美联储维持年内降息的前瞻指引。如随年内降息落地，美债在货币政策宽松周期中将受益，收益率下行也有利于美股估值的维持。对于港股，来自国内经济基本面、海外高利率环境的压力均有望逐步缓和。</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9C5186" w:rsidRDefault="0064426D" w:rsidP="00C15CAC">
      <w:pPr>
        <w:spacing w:before="29" w:line="288" w:lineRule="auto"/>
        <w:ind w:firstLineChars="200" w:firstLine="480"/>
        <w:rPr>
          <w:color w:val="000000"/>
          <w:sz w:val="24"/>
          <w:szCs w:val="24"/>
        </w:rPr>
      </w:pPr>
      <w:r w:rsidRPr="0064426D">
        <w:rPr>
          <w:rFonts w:hint="eastAsia"/>
          <w:color w:val="000000"/>
          <w:sz w:val="24"/>
          <w:szCs w:val="24"/>
        </w:rPr>
        <w:t>本报告期摩根锦颐养老目标日期</w:t>
      </w:r>
      <w:r w:rsidRPr="0064426D">
        <w:rPr>
          <w:rFonts w:hint="eastAsia"/>
          <w:color w:val="000000"/>
          <w:sz w:val="24"/>
          <w:szCs w:val="24"/>
        </w:rPr>
        <w:t>2035</w:t>
      </w:r>
      <w:r w:rsidRPr="0064426D">
        <w:rPr>
          <w:rFonts w:hint="eastAsia"/>
          <w:color w:val="000000"/>
          <w:sz w:val="24"/>
          <w:szCs w:val="24"/>
        </w:rPr>
        <w:t>三年份额净值增长率为</w:t>
      </w:r>
      <w:r w:rsidRPr="0064426D">
        <w:rPr>
          <w:rFonts w:hint="eastAsia"/>
          <w:color w:val="000000"/>
          <w:sz w:val="24"/>
          <w:szCs w:val="24"/>
        </w:rPr>
        <w:t>:-1.85%</w:t>
      </w:r>
      <w:r w:rsidRPr="0064426D">
        <w:rPr>
          <w:rFonts w:hint="eastAsia"/>
          <w:color w:val="000000"/>
          <w:sz w:val="24"/>
          <w:szCs w:val="24"/>
        </w:rPr>
        <w:t>，同期业绩比较基准收益率为</w:t>
      </w:r>
      <w:r w:rsidRPr="0064426D">
        <w:rPr>
          <w:rFonts w:hint="eastAsia"/>
          <w:color w:val="000000"/>
          <w:sz w:val="24"/>
          <w:szCs w:val="24"/>
        </w:rPr>
        <w:t>:1.46%</w:t>
      </w:r>
      <w:r w:rsidRPr="0064426D">
        <w:rPr>
          <w:rFonts w:hint="eastAsia"/>
          <w:color w:val="000000"/>
          <w:sz w:val="24"/>
          <w:szCs w:val="24"/>
        </w:rPr>
        <w:t>。</w:t>
      </w:r>
    </w:p>
    <w:p w:rsidR="002920B8" w:rsidRPr="00414345" w:rsidRDefault="002920B8"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无。</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41,662,252.88</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92.84</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1,925,376.71</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4.29</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1,925,376.71</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4.29</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4C0877">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298,313.43</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0.66</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4C0877">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989,413.48</w:t>
            </w:r>
          </w:p>
        </w:tc>
        <w:tc>
          <w:tcPr>
            <w:tcW w:w="2801"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2.20</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4C0877">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44,875,356.50</w:t>
            </w:r>
          </w:p>
        </w:tc>
        <w:tc>
          <w:tcPr>
            <w:tcW w:w="2801"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E133DE" w:rsidRDefault="00E133DE" w:rsidP="00C15CAC">
      <w:pPr>
        <w:autoSpaceDE w:val="0"/>
        <w:autoSpaceDN w:val="0"/>
        <w:adjustRightInd w:val="0"/>
        <w:spacing w:before="29" w:line="288" w:lineRule="auto"/>
        <w:jc w:val="left"/>
        <w:rPr>
          <w:b/>
          <w:bCs/>
          <w:kern w:val="0"/>
          <w:sz w:val="24"/>
          <w:szCs w:val="24"/>
        </w:rPr>
      </w:pPr>
      <w:r w:rsidRPr="00E133DE">
        <w:rPr>
          <w:rFonts w:eastAsiaTheme="minorEastAsia"/>
          <w:b/>
          <w:bCs/>
          <w:kern w:val="0"/>
          <w:sz w:val="24"/>
          <w:szCs w:val="24"/>
        </w:rPr>
        <w:t xml:space="preserve">5.3 </w:t>
      </w:r>
      <w:r w:rsidR="004061AC" w:rsidRPr="00E133DE">
        <w:rPr>
          <w:b/>
          <w:bCs/>
          <w:kern w:val="0"/>
          <w:sz w:val="24"/>
          <w:szCs w:val="24"/>
        </w:rPr>
        <w:t>报告期末按公允价值占基金资产净值比例大小排序的前十名股票投资明细</w:t>
      </w:r>
    </w:p>
    <w:p w:rsidR="004061AC" w:rsidRPr="00E133DE" w:rsidRDefault="004061AC" w:rsidP="00C15CAC">
      <w:pPr>
        <w:autoSpaceDE w:val="0"/>
        <w:autoSpaceDN w:val="0"/>
        <w:adjustRightInd w:val="0"/>
        <w:spacing w:before="29" w:line="288" w:lineRule="auto"/>
        <w:jc w:val="left"/>
        <w:rPr>
          <w:sz w:val="24"/>
          <w:szCs w:val="24"/>
        </w:rPr>
      </w:pPr>
      <w:r w:rsidRPr="00E133DE">
        <w:rPr>
          <w:sz w:val="24"/>
          <w:szCs w:val="24"/>
        </w:rPr>
        <w:t>本基金本报告期末未持有股票。</w:t>
      </w:r>
    </w:p>
    <w:p w:rsidR="00E133DE" w:rsidRPr="00975DED" w:rsidRDefault="00E133DE"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1,925,376.71</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4C0877">
        <w:trPr>
          <w:jc w:val="center"/>
        </w:trPr>
        <w:tc>
          <w:tcPr>
            <w:tcW w:w="828" w:type="dxa"/>
            <w:vAlign w:val="center"/>
          </w:tcPr>
          <w:p w:rsidR="00F323FF" w:rsidRPr="007A70C2" w:rsidRDefault="00F323FF" w:rsidP="004C0877">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4C0877">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4C0877">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4C0877">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1,925,376.71</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B1B18">
        <w:trPr>
          <w:jc w:val="center"/>
        </w:trPr>
        <w:tc>
          <w:tcPr>
            <w:tcW w:w="850" w:type="dxa"/>
            <w:vAlign w:val="center"/>
          </w:tcPr>
          <w:p w:rsidR="002B1B18" w:rsidRDefault="002920B8">
            <w:pPr>
              <w:jc w:val="center"/>
            </w:pPr>
            <w:r>
              <w:rPr>
                <w:color w:val="000000"/>
                <w:sz w:val="24"/>
                <w:szCs w:val="24"/>
              </w:rPr>
              <w:t>1</w:t>
            </w:r>
          </w:p>
        </w:tc>
        <w:tc>
          <w:tcPr>
            <w:tcW w:w="1475" w:type="dxa"/>
            <w:vAlign w:val="center"/>
          </w:tcPr>
          <w:p w:rsidR="002B1B18" w:rsidRDefault="002920B8">
            <w:pPr>
              <w:jc w:val="center"/>
            </w:pPr>
            <w:r>
              <w:rPr>
                <w:color w:val="000000"/>
                <w:sz w:val="24"/>
                <w:szCs w:val="24"/>
              </w:rPr>
              <w:t>019727</w:t>
            </w:r>
          </w:p>
        </w:tc>
        <w:tc>
          <w:tcPr>
            <w:tcW w:w="1769" w:type="dxa"/>
            <w:vAlign w:val="center"/>
          </w:tcPr>
          <w:p w:rsidR="002B1B18" w:rsidRDefault="002920B8">
            <w:pPr>
              <w:jc w:val="center"/>
            </w:pPr>
            <w:r>
              <w:rPr>
                <w:color w:val="000000"/>
                <w:sz w:val="24"/>
                <w:szCs w:val="24"/>
              </w:rPr>
              <w:t>23</w:t>
            </w:r>
            <w:r>
              <w:rPr>
                <w:color w:val="000000"/>
                <w:sz w:val="24"/>
                <w:szCs w:val="24"/>
              </w:rPr>
              <w:t>国债</w:t>
            </w:r>
            <w:r>
              <w:rPr>
                <w:color w:val="000000"/>
                <w:sz w:val="24"/>
                <w:szCs w:val="24"/>
              </w:rPr>
              <w:t>24</w:t>
            </w:r>
          </w:p>
        </w:tc>
        <w:tc>
          <w:tcPr>
            <w:tcW w:w="1387" w:type="dxa"/>
            <w:vAlign w:val="center"/>
          </w:tcPr>
          <w:p w:rsidR="002B1B18" w:rsidRDefault="002920B8">
            <w:pPr>
              <w:jc w:val="right"/>
            </w:pPr>
            <w:r>
              <w:rPr>
                <w:color w:val="000000"/>
                <w:sz w:val="24"/>
                <w:szCs w:val="24"/>
              </w:rPr>
              <w:t>19,000</w:t>
            </w:r>
          </w:p>
        </w:tc>
        <w:tc>
          <w:tcPr>
            <w:tcW w:w="2150" w:type="dxa"/>
            <w:vAlign w:val="center"/>
          </w:tcPr>
          <w:p w:rsidR="002B1B18" w:rsidRDefault="002920B8">
            <w:pPr>
              <w:jc w:val="right"/>
            </w:pPr>
            <w:r>
              <w:rPr>
                <w:color w:val="000000"/>
                <w:sz w:val="24"/>
                <w:szCs w:val="24"/>
              </w:rPr>
              <w:t>1,925,376.71</w:t>
            </w:r>
          </w:p>
        </w:tc>
        <w:tc>
          <w:tcPr>
            <w:tcW w:w="1237" w:type="dxa"/>
            <w:vAlign w:val="center"/>
          </w:tcPr>
          <w:p w:rsidR="002B1B18" w:rsidRDefault="002920B8">
            <w:pPr>
              <w:jc w:val="right"/>
            </w:pPr>
            <w:r>
              <w:rPr>
                <w:color w:val="000000"/>
                <w:sz w:val="24"/>
                <w:szCs w:val="24"/>
              </w:rPr>
              <w:t>4.37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报告期内本基金投资的前十名证券的发行主体本期没有出现被监管部门立案调查，或在报告编制日前一年内受到公开谴责、处罚的情形。</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1,728.77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987,624.78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59.93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989,413.48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因四舍五入原因，投资组合报告中分项之和与合计可能存在尾差。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rsidTr="004C0877">
        <w:tc>
          <w:tcPr>
            <w:tcW w:w="452"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1F3E2A" w:rsidRPr="00575270" w:rsidRDefault="001F3E2A" w:rsidP="004C087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1F3E2A" w:rsidRPr="00575270" w:rsidRDefault="001F3E2A" w:rsidP="004C087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2B1B18">
        <w:tc>
          <w:tcPr>
            <w:tcW w:w="835" w:type="dxa"/>
            <w:vAlign w:val="center"/>
          </w:tcPr>
          <w:p w:rsidR="002B1B18" w:rsidRDefault="002920B8">
            <w:pPr>
              <w:jc w:val="center"/>
            </w:pPr>
            <w:r>
              <w:rPr>
                <w:sz w:val="24"/>
                <w:szCs w:val="24"/>
              </w:rPr>
              <w:t>1</w:t>
            </w:r>
          </w:p>
        </w:tc>
        <w:tc>
          <w:tcPr>
            <w:tcW w:w="1159" w:type="dxa"/>
            <w:vAlign w:val="center"/>
          </w:tcPr>
          <w:p w:rsidR="002B1B18" w:rsidRDefault="002920B8">
            <w:pPr>
              <w:jc w:val="center"/>
            </w:pPr>
            <w:r>
              <w:rPr>
                <w:sz w:val="24"/>
                <w:szCs w:val="24"/>
              </w:rPr>
              <w:t>968050</w:t>
            </w:r>
          </w:p>
        </w:tc>
        <w:tc>
          <w:tcPr>
            <w:tcW w:w="1161" w:type="dxa"/>
            <w:vAlign w:val="center"/>
          </w:tcPr>
          <w:p w:rsidR="002B1B18" w:rsidRDefault="002920B8">
            <w:pPr>
              <w:jc w:val="center"/>
            </w:pPr>
            <w:r>
              <w:rPr>
                <w:sz w:val="24"/>
                <w:szCs w:val="24"/>
              </w:rPr>
              <w:t>摩根国际债券人民币对冲累计</w:t>
            </w:r>
          </w:p>
        </w:tc>
        <w:tc>
          <w:tcPr>
            <w:tcW w:w="1161" w:type="dxa"/>
            <w:vAlign w:val="center"/>
          </w:tcPr>
          <w:p w:rsidR="002B1B18" w:rsidRDefault="002920B8">
            <w:pPr>
              <w:jc w:val="center"/>
            </w:pPr>
            <w:r>
              <w:rPr>
                <w:sz w:val="24"/>
                <w:szCs w:val="24"/>
              </w:rPr>
              <w:t>契约型开放式</w:t>
            </w:r>
          </w:p>
        </w:tc>
        <w:tc>
          <w:tcPr>
            <w:tcW w:w="1159" w:type="dxa"/>
            <w:vAlign w:val="center"/>
          </w:tcPr>
          <w:p w:rsidR="002B1B18" w:rsidRDefault="002920B8">
            <w:pPr>
              <w:jc w:val="center"/>
            </w:pPr>
            <w:r>
              <w:rPr>
                <w:sz w:val="24"/>
                <w:szCs w:val="24"/>
              </w:rPr>
              <w:t>189,772.73</w:t>
            </w:r>
          </w:p>
        </w:tc>
        <w:tc>
          <w:tcPr>
            <w:tcW w:w="1305" w:type="dxa"/>
            <w:vAlign w:val="center"/>
          </w:tcPr>
          <w:p w:rsidR="002B1B18" w:rsidRDefault="002920B8">
            <w:pPr>
              <w:jc w:val="center"/>
            </w:pPr>
            <w:r>
              <w:rPr>
                <w:sz w:val="24"/>
                <w:szCs w:val="24"/>
              </w:rPr>
              <w:t>2,013,488.67</w:t>
            </w:r>
          </w:p>
        </w:tc>
        <w:tc>
          <w:tcPr>
            <w:tcW w:w="1161" w:type="dxa"/>
            <w:vAlign w:val="center"/>
          </w:tcPr>
          <w:p w:rsidR="002B1B18" w:rsidRDefault="002920B8">
            <w:pPr>
              <w:jc w:val="center"/>
            </w:pPr>
            <w:r>
              <w:rPr>
                <w:sz w:val="24"/>
                <w:szCs w:val="24"/>
              </w:rPr>
              <w:t>4.57%</w:t>
            </w:r>
          </w:p>
        </w:tc>
        <w:tc>
          <w:tcPr>
            <w:tcW w:w="1301" w:type="dxa"/>
            <w:vAlign w:val="center"/>
          </w:tcPr>
          <w:p w:rsidR="002B1B18" w:rsidRDefault="002920B8">
            <w:pPr>
              <w:jc w:val="center"/>
            </w:pPr>
            <w:r>
              <w:rPr>
                <w:sz w:val="24"/>
                <w:szCs w:val="24"/>
              </w:rPr>
              <w:t>是</w:t>
            </w:r>
          </w:p>
        </w:tc>
      </w:tr>
      <w:tr w:rsidR="002B1B18">
        <w:tc>
          <w:tcPr>
            <w:tcW w:w="835" w:type="dxa"/>
            <w:vAlign w:val="center"/>
          </w:tcPr>
          <w:p w:rsidR="002B1B18" w:rsidRDefault="002920B8">
            <w:pPr>
              <w:jc w:val="center"/>
            </w:pPr>
            <w:r>
              <w:rPr>
                <w:sz w:val="24"/>
                <w:szCs w:val="24"/>
              </w:rPr>
              <w:t>2</w:t>
            </w:r>
          </w:p>
        </w:tc>
        <w:tc>
          <w:tcPr>
            <w:tcW w:w="1159" w:type="dxa"/>
            <w:vAlign w:val="center"/>
          </w:tcPr>
          <w:p w:rsidR="002B1B18" w:rsidRDefault="002920B8">
            <w:pPr>
              <w:jc w:val="center"/>
            </w:pPr>
            <w:r>
              <w:rPr>
                <w:sz w:val="24"/>
                <w:szCs w:val="24"/>
              </w:rPr>
              <w:t>100018</w:t>
            </w:r>
          </w:p>
        </w:tc>
        <w:tc>
          <w:tcPr>
            <w:tcW w:w="1161" w:type="dxa"/>
            <w:vAlign w:val="center"/>
          </w:tcPr>
          <w:p w:rsidR="002B1B18" w:rsidRDefault="002920B8">
            <w:pPr>
              <w:jc w:val="center"/>
            </w:pPr>
            <w:r>
              <w:rPr>
                <w:sz w:val="24"/>
                <w:szCs w:val="24"/>
              </w:rPr>
              <w:t>富国天利增长债券</w:t>
            </w:r>
            <w:r>
              <w:rPr>
                <w:sz w:val="24"/>
                <w:szCs w:val="24"/>
              </w:rPr>
              <w:t>A</w:t>
            </w:r>
          </w:p>
        </w:tc>
        <w:tc>
          <w:tcPr>
            <w:tcW w:w="1161" w:type="dxa"/>
            <w:vAlign w:val="center"/>
          </w:tcPr>
          <w:p w:rsidR="002B1B18" w:rsidRDefault="002920B8">
            <w:pPr>
              <w:jc w:val="center"/>
            </w:pPr>
            <w:r>
              <w:rPr>
                <w:sz w:val="24"/>
                <w:szCs w:val="24"/>
              </w:rPr>
              <w:t>契约型开放式</w:t>
            </w:r>
          </w:p>
        </w:tc>
        <w:tc>
          <w:tcPr>
            <w:tcW w:w="1159" w:type="dxa"/>
            <w:vAlign w:val="center"/>
          </w:tcPr>
          <w:p w:rsidR="002B1B18" w:rsidRDefault="002920B8">
            <w:pPr>
              <w:jc w:val="center"/>
            </w:pPr>
            <w:r>
              <w:rPr>
                <w:sz w:val="24"/>
                <w:szCs w:val="24"/>
              </w:rPr>
              <w:t>1,168,059.81</w:t>
            </w:r>
          </w:p>
        </w:tc>
        <w:tc>
          <w:tcPr>
            <w:tcW w:w="1305" w:type="dxa"/>
            <w:vAlign w:val="center"/>
          </w:tcPr>
          <w:p w:rsidR="002B1B18" w:rsidRDefault="002920B8">
            <w:pPr>
              <w:jc w:val="center"/>
            </w:pPr>
            <w:r>
              <w:rPr>
                <w:sz w:val="24"/>
                <w:szCs w:val="24"/>
              </w:rPr>
              <w:t>1,550,833.01</w:t>
            </w:r>
          </w:p>
        </w:tc>
        <w:tc>
          <w:tcPr>
            <w:tcW w:w="1161" w:type="dxa"/>
            <w:vAlign w:val="center"/>
          </w:tcPr>
          <w:p w:rsidR="002B1B18" w:rsidRDefault="002920B8">
            <w:pPr>
              <w:jc w:val="center"/>
            </w:pPr>
            <w:r>
              <w:rPr>
                <w:sz w:val="24"/>
                <w:szCs w:val="24"/>
              </w:rPr>
              <w:t>3.52%</w:t>
            </w:r>
          </w:p>
        </w:tc>
        <w:tc>
          <w:tcPr>
            <w:tcW w:w="1301" w:type="dxa"/>
            <w:vAlign w:val="center"/>
          </w:tcPr>
          <w:p w:rsidR="002B1B18" w:rsidRDefault="002920B8">
            <w:pPr>
              <w:jc w:val="center"/>
            </w:pPr>
            <w:r>
              <w:rPr>
                <w:sz w:val="24"/>
                <w:szCs w:val="24"/>
              </w:rPr>
              <w:t>否</w:t>
            </w:r>
          </w:p>
        </w:tc>
      </w:tr>
      <w:tr w:rsidR="002B1B18">
        <w:tc>
          <w:tcPr>
            <w:tcW w:w="835" w:type="dxa"/>
            <w:vAlign w:val="center"/>
          </w:tcPr>
          <w:p w:rsidR="002B1B18" w:rsidRDefault="002920B8">
            <w:pPr>
              <w:jc w:val="center"/>
            </w:pPr>
            <w:r>
              <w:rPr>
                <w:sz w:val="24"/>
                <w:szCs w:val="24"/>
              </w:rPr>
              <w:t>3</w:t>
            </w:r>
          </w:p>
        </w:tc>
        <w:tc>
          <w:tcPr>
            <w:tcW w:w="1159" w:type="dxa"/>
            <w:vAlign w:val="center"/>
          </w:tcPr>
          <w:p w:rsidR="002B1B18" w:rsidRDefault="002920B8">
            <w:pPr>
              <w:jc w:val="center"/>
            </w:pPr>
            <w:r>
              <w:rPr>
                <w:sz w:val="24"/>
                <w:szCs w:val="24"/>
              </w:rPr>
              <w:t>002701</w:t>
            </w:r>
          </w:p>
        </w:tc>
        <w:tc>
          <w:tcPr>
            <w:tcW w:w="1161" w:type="dxa"/>
            <w:vAlign w:val="center"/>
          </w:tcPr>
          <w:p w:rsidR="002B1B18" w:rsidRDefault="002920B8">
            <w:pPr>
              <w:jc w:val="center"/>
            </w:pPr>
            <w:r>
              <w:rPr>
                <w:sz w:val="24"/>
                <w:szCs w:val="24"/>
              </w:rPr>
              <w:t>东方红汇阳债券</w:t>
            </w:r>
            <w:r>
              <w:rPr>
                <w:sz w:val="24"/>
                <w:szCs w:val="24"/>
              </w:rPr>
              <w:t>A</w:t>
            </w:r>
          </w:p>
        </w:tc>
        <w:tc>
          <w:tcPr>
            <w:tcW w:w="1161" w:type="dxa"/>
            <w:vAlign w:val="center"/>
          </w:tcPr>
          <w:p w:rsidR="002B1B18" w:rsidRDefault="002920B8">
            <w:pPr>
              <w:jc w:val="center"/>
            </w:pPr>
            <w:r>
              <w:rPr>
                <w:sz w:val="24"/>
                <w:szCs w:val="24"/>
              </w:rPr>
              <w:t>契约型开放式</w:t>
            </w:r>
          </w:p>
        </w:tc>
        <w:tc>
          <w:tcPr>
            <w:tcW w:w="1159" w:type="dxa"/>
            <w:vAlign w:val="center"/>
          </w:tcPr>
          <w:p w:rsidR="002B1B18" w:rsidRDefault="002920B8">
            <w:pPr>
              <w:jc w:val="center"/>
            </w:pPr>
            <w:r>
              <w:rPr>
                <w:sz w:val="24"/>
                <w:szCs w:val="24"/>
              </w:rPr>
              <w:t>1,380,920.62</w:t>
            </w:r>
          </w:p>
        </w:tc>
        <w:tc>
          <w:tcPr>
            <w:tcW w:w="1305" w:type="dxa"/>
            <w:vAlign w:val="center"/>
          </w:tcPr>
          <w:p w:rsidR="002B1B18" w:rsidRDefault="002920B8">
            <w:pPr>
              <w:jc w:val="center"/>
            </w:pPr>
            <w:r>
              <w:rPr>
                <w:sz w:val="24"/>
                <w:szCs w:val="24"/>
              </w:rPr>
              <w:t>1,508,103.41</w:t>
            </w:r>
          </w:p>
        </w:tc>
        <w:tc>
          <w:tcPr>
            <w:tcW w:w="1161" w:type="dxa"/>
            <w:vAlign w:val="center"/>
          </w:tcPr>
          <w:p w:rsidR="002B1B18" w:rsidRDefault="002920B8">
            <w:pPr>
              <w:jc w:val="center"/>
            </w:pPr>
            <w:r>
              <w:rPr>
                <w:sz w:val="24"/>
                <w:szCs w:val="24"/>
              </w:rPr>
              <w:t>3.42%</w:t>
            </w:r>
          </w:p>
        </w:tc>
        <w:tc>
          <w:tcPr>
            <w:tcW w:w="1301" w:type="dxa"/>
            <w:vAlign w:val="center"/>
          </w:tcPr>
          <w:p w:rsidR="002B1B18" w:rsidRDefault="002920B8">
            <w:pPr>
              <w:jc w:val="center"/>
            </w:pPr>
            <w:r>
              <w:rPr>
                <w:sz w:val="24"/>
                <w:szCs w:val="24"/>
              </w:rPr>
              <w:t>否</w:t>
            </w:r>
          </w:p>
        </w:tc>
      </w:tr>
      <w:tr w:rsidR="002B1B18">
        <w:tc>
          <w:tcPr>
            <w:tcW w:w="835" w:type="dxa"/>
            <w:vAlign w:val="center"/>
          </w:tcPr>
          <w:p w:rsidR="002B1B18" w:rsidRDefault="002920B8">
            <w:pPr>
              <w:jc w:val="center"/>
            </w:pPr>
            <w:r>
              <w:rPr>
                <w:sz w:val="24"/>
                <w:szCs w:val="24"/>
              </w:rPr>
              <w:t>4</w:t>
            </w:r>
          </w:p>
        </w:tc>
        <w:tc>
          <w:tcPr>
            <w:tcW w:w="1159" w:type="dxa"/>
            <w:vAlign w:val="center"/>
          </w:tcPr>
          <w:p w:rsidR="002B1B18" w:rsidRDefault="002920B8">
            <w:pPr>
              <w:jc w:val="center"/>
            </w:pPr>
            <w:r>
              <w:rPr>
                <w:sz w:val="24"/>
                <w:szCs w:val="24"/>
              </w:rPr>
              <w:t>004571</w:t>
            </w:r>
          </w:p>
        </w:tc>
        <w:tc>
          <w:tcPr>
            <w:tcW w:w="1161" w:type="dxa"/>
            <w:vAlign w:val="center"/>
          </w:tcPr>
          <w:p w:rsidR="002B1B18" w:rsidRDefault="002920B8">
            <w:pPr>
              <w:jc w:val="center"/>
            </w:pPr>
            <w:r>
              <w:rPr>
                <w:sz w:val="24"/>
                <w:szCs w:val="24"/>
              </w:rPr>
              <w:t>万家家瑞债券</w:t>
            </w:r>
            <w:r>
              <w:rPr>
                <w:sz w:val="24"/>
                <w:szCs w:val="24"/>
              </w:rPr>
              <w:t>A</w:t>
            </w:r>
          </w:p>
        </w:tc>
        <w:tc>
          <w:tcPr>
            <w:tcW w:w="1161" w:type="dxa"/>
            <w:vAlign w:val="center"/>
          </w:tcPr>
          <w:p w:rsidR="002B1B18" w:rsidRDefault="002920B8">
            <w:pPr>
              <w:jc w:val="center"/>
            </w:pPr>
            <w:r>
              <w:rPr>
                <w:sz w:val="24"/>
                <w:szCs w:val="24"/>
              </w:rPr>
              <w:t>契约型开放式</w:t>
            </w:r>
          </w:p>
        </w:tc>
        <w:tc>
          <w:tcPr>
            <w:tcW w:w="1159" w:type="dxa"/>
            <w:vAlign w:val="center"/>
          </w:tcPr>
          <w:p w:rsidR="002B1B18" w:rsidRDefault="002920B8">
            <w:pPr>
              <w:jc w:val="center"/>
            </w:pPr>
            <w:r>
              <w:rPr>
                <w:sz w:val="24"/>
                <w:szCs w:val="24"/>
              </w:rPr>
              <w:t>1,367,257.90</w:t>
            </w:r>
          </w:p>
        </w:tc>
        <w:tc>
          <w:tcPr>
            <w:tcW w:w="1305" w:type="dxa"/>
            <w:vAlign w:val="center"/>
          </w:tcPr>
          <w:p w:rsidR="002B1B18" w:rsidRDefault="002920B8">
            <w:pPr>
              <w:jc w:val="center"/>
            </w:pPr>
            <w:r>
              <w:rPr>
                <w:sz w:val="24"/>
                <w:szCs w:val="24"/>
              </w:rPr>
              <w:t>1,500,292.09</w:t>
            </w:r>
          </w:p>
        </w:tc>
        <w:tc>
          <w:tcPr>
            <w:tcW w:w="1161" w:type="dxa"/>
            <w:vAlign w:val="center"/>
          </w:tcPr>
          <w:p w:rsidR="002B1B18" w:rsidRDefault="002920B8">
            <w:pPr>
              <w:jc w:val="center"/>
            </w:pPr>
            <w:r>
              <w:rPr>
                <w:sz w:val="24"/>
                <w:szCs w:val="24"/>
              </w:rPr>
              <w:t>3.41%</w:t>
            </w:r>
          </w:p>
        </w:tc>
        <w:tc>
          <w:tcPr>
            <w:tcW w:w="1301" w:type="dxa"/>
            <w:vAlign w:val="center"/>
          </w:tcPr>
          <w:p w:rsidR="002B1B18" w:rsidRDefault="002920B8">
            <w:pPr>
              <w:jc w:val="center"/>
            </w:pPr>
            <w:r>
              <w:rPr>
                <w:sz w:val="24"/>
                <w:szCs w:val="24"/>
              </w:rPr>
              <w:t>否</w:t>
            </w:r>
          </w:p>
        </w:tc>
      </w:tr>
      <w:tr w:rsidR="002B1B18">
        <w:tc>
          <w:tcPr>
            <w:tcW w:w="835" w:type="dxa"/>
            <w:vAlign w:val="center"/>
          </w:tcPr>
          <w:p w:rsidR="002B1B18" w:rsidRDefault="002920B8">
            <w:pPr>
              <w:jc w:val="center"/>
            </w:pPr>
            <w:r>
              <w:rPr>
                <w:sz w:val="24"/>
                <w:szCs w:val="24"/>
              </w:rPr>
              <w:t>5</w:t>
            </w:r>
          </w:p>
        </w:tc>
        <w:tc>
          <w:tcPr>
            <w:tcW w:w="1159" w:type="dxa"/>
            <w:vAlign w:val="center"/>
          </w:tcPr>
          <w:p w:rsidR="002B1B18" w:rsidRDefault="002920B8">
            <w:pPr>
              <w:jc w:val="center"/>
            </w:pPr>
            <w:r>
              <w:rPr>
                <w:sz w:val="24"/>
                <w:szCs w:val="24"/>
              </w:rPr>
              <w:t>001751</w:t>
            </w:r>
          </w:p>
        </w:tc>
        <w:tc>
          <w:tcPr>
            <w:tcW w:w="1161" w:type="dxa"/>
            <w:vAlign w:val="center"/>
          </w:tcPr>
          <w:p w:rsidR="002B1B18" w:rsidRDefault="002920B8">
            <w:pPr>
              <w:jc w:val="center"/>
            </w:pPr>
            <w:r>
              <w:rPr>
                <w:sz w:val="24"/>
                <w:szCs w:val="24"/>
              </w:rPr>
              <w:t>华商信用增强债券</w:t>
            </w:r>
            <w:r>
              <w:rPr>
                <w:sz w:val="24"/>
                <w:szCs w:val="24"/>
              </w:rPr>
              <w:t>A</w:t>
            </w:r>
          </w:p>
        </w:tc>
        <w:tc>
          <w:tcPr>
            <w:tcW w:w="1161" w:type="dxa"/>
            <w:vAlign w:val="center"/>
          </w:tcPr>
          <w:p w:rsidR="002B1B18" w:rsidRDefault="002920B8">
            <w:pPr>
              <w:jc w:val="center"/>
            </w:pPr>
            <w:r>
              <w:rPr>
                <w:sz w:val="24"/>
                <w:szCs w:val="24"/>
              </w:rPr>
              <w:t>契约型开放式</w:t>
            </w:r>
          </w:p>
        </w:tc>
        <w:tc>
          <w:tcPr>
            <w:tcW w:w="1159" w:type="dxa"/>
            <w:vAlign w:val="center"/>
          </w:tcPr>
          <w:p w:rsidR="002B1B18" w:rsidRDefault="002920B8">
            <w:pPr>
              <w:jc w:val="center"/>
            </w:pPr>
            <w:r>
              <w:rPr>
                <w:sz w:val="24"/>
                <w:szCs w:val="24"/>
              </w:rPr>
              <w:t>957,667.63</w:t>
            </w:r>
          </w:p>
        </w:tc>
        <w:tc>
          <w:tcPr>
            <w:tcW w:w="1305" w:type="dxa"/>
            <w:vAlign w:val="center"/>
          </w:tcPr>
          <w:p w:rsidR="002B1B18" w:rsidRDefault="002920B8">
            <w:pPr>
              <w:jc w:val="center"/>
            </w:pPr>
            <w:r>
              <w:rPr>
                <w:sz w:val="24"/>
                <w:szCs w:val="24"/>
              </w:rPr>
              <w:t>1,317,750.66</w:t>
            </w:r>
          </w:p>
        </w:tc>
        <w:tc>
          <w:tcPr>
            <w:tcW w:w="1161" w:type="dxa"/>
            <w:vAlign w:val="center"/>
          </w:tcPr>
          <w:p w:rsidR="002B1B18" w:rsidRDefault="002920B8">
            <w:pPr>
              <w:jc w:val="center"/>
            </w:pPr>
            <w:r>
              <w:rPr>
                <w:sz w:val="24"/>
                <w:szCs w:val="24"/>
              </w:rPr>
              <w:t>2.99%</w:t>
            </w:r>
          </w:p>
        </w:tc>
        <w:tc>
          <w:tcPr>
            <w:tcW w:w="1301" w:type="dxa"/>
            <w:vAlign w:val="center"/>
          </w:tcPr>
          <w:p w:rsidR="002B1B18" w:rsidRDefault="002920B8">
            <w:pPr>
              <w:jc w:val="center"/>
            </w:pPr>
            <w:r>
              <w:rPr>
                <w:sz w:val="24"/>
                <w:szCs w:val="24"/>
              </w:rPr>
              <w:t>否</w:t>
            </w:r>
          </w:p>
        </w:tc>
      </w:tr>
      <w:tr w:rsidR="002B1B18">
        <w:tc>
          <w:tcPr>
            <w:tcW w:w="835" w:type="dxa"/>
            <w:vAlign w:val="center"/>
          </w:tcPr>
          <w:p w:rsidR="002B1B18" w:rsidRDefault="002920B8">
            <w:pPr>
              <w:jc w:val="center"/>
            </w:pPr>
            <w:r>
              <w:rPr>
                <w:sz w:val="24"/>
                <w:szCs w:val="24"/>
              </w:rPr>
              <w:t>6</w:t>
            </w:r>
          </w:p>
        </w:tc>
        <w:tc>
          <w:tcPr>
            <w:tcW w:w="1159" w:type="dxa"/>
            <w:vAlign w:val="center"/>
          </w:tcPr>
          <w:p w:rsidR="002B1B18" w:rsidRDefault="002920B8">
            <w:pPr>
              <w:jc w:val="center"/>
            </w:pPr>
            <w:r>
              <w:rPr>
                <w:sz w:val="24"/>
                <w:szCs w:val="24"/>
              </w:rPr>
              <w:t>006102</w:t>
            </w:r>
          </w:p>
        </w:tc>
        <w:tc>
          <w:tcPr>
            <w:tcW w:w="1161" w:type="dxa"/>
            <w:vAlign w:val="center"/>
          </w:tcPr>
          <w:p w:rsidR="002B1B18" w:rsidRDefault="002920B8">
            <w:pPr>
              <w:jc w:val="center"/>
            </w:pPr>
            <w:r>
              <w:rPr>
                <w:sz w:val="24"/>
                <w:szCs w:val="24"/>
              </w:rPr>
              <w:t>浙商丰利增强债券</w:t>
            </w:r>
          </w:p>
        </w:tc>
        <w:tc>
          <w:tcPr>
            <w:tcW w:w="1161" w:type="dxa"/>
            <w:vAlign w:val="center"/>
          </w:tcPr>
          <w:p w:rsidR="002B1B18" w:rsidRDefault="002920B8">
            <w:pPr>
              <w:jc w:val="center"/>
            </w:pPr>
            <w:r>
              <w:rPr>
                <w:sz w:val="24"/>
                <w:szCs w:val="24"/>
              </w:rPr>
              <w:t>契约型开放式</w:t>
            </w:r>
          </w:p>
        </w:tc>
        <w:tc>
          <w:tcPr>
            <w:tcW w:w="1159" w:type="dxa"/>
            <w:vAlign w:val="center"/>
          </w:tcPr>
          <w:p w:rsidR="002B1B18" w:rsidRDefault="002920B8">
            <w:pPr>
              <w:jc w:val="center"/>
            </w:pPr>
            <w:r>
              <w:rPr>
                <w:sz w:val="24"/>
                <w:szCs w:val="24"/>
              </w:rPr>
              <w:t>776,639.25</w:t>
            </w:r>
          </w:p>
        </w:tc>
        <w:tc>
          <w:tcPr>
            <w:tcW w:w="1305" w:type="dxa"/>
            <w:vAlign w:val="center"/>
          </w:tcPr>
          <w:p w:rsidR="002B1B18" w:rsidRDefault="002920B8">
            <w:pPr>
              <w:jc w:val="center"/>
            </w:pPr>
            <w:r>
              <w:rPr>
                <w:sz w:val="24"/>
                <w:szCs w:val="24"/>
              </w:rPr>
              <w:t>1,256,213.99</w:t>
            </w:r>
          </w:p>
        </w:tc>
        <w:tc>
          <w:tcPr>
            <w:tcW w:w="1161" w:type="dxa"/>
            <w:vAlign w:val="center"/>
          </w:tcPr>
          <w:p w:rsidR="002B1B18" w:rsidRDefault="002920B8">
            <w:pPr>
              <w:jc w:val="center"/>
            </w:pPr>
            <w:r>
              <w:rPr>
                <w:sz w:val="24"/>
                <w:szCs w:val="24"/>
              </w:rPr>
              <w:t>2.85%</w:t>
            </w:r>
          </w:p>
        </w:tc>
        <w:tc>
          <w:tcPr>
            <w:tcW w:w="1301" w:type="dxa"/>
            <w:vAlign w:val="center"/>
          </w:tcPr>
          <w:p w:rsidR="002B1B18" w:rsidRDefault="002920B8">
            <w:pPr>
              <w:jc w:val="center"/>
            </w:pPr>
            <w:r>
              <w:rPr>
                <w:sz w:val="24"/>
                <w:szCs w:val="24"/>
              </w:rPr>
              <w:t>否</w:t>
            </w:r>
          </w:p>
        </w:tc>
      </w:tr>
      <w:tr w:rsidR="002B1B18">
        <w:tc>
          <w:tcPr>
            <w:tcW w:w="835" w:type="dxa"/>
            <w:vAlign w:val="center"/>
          </w:tcPr>
          <w:p w:rsidR="002B1B18" w:rsidRDefault="002920B8">
            <w:pPr>
              <w:jc w:val="center"/>
            </w:pPr>
            <w:r>
              <w:rPr>
                <w:sz w:val="24"/>
                <w:szCs w:val="24"/>
              </w:rPr>
              <w:t>7</w:t>
            </w:r>
          </w:p>
        </w:tc>
        <w:tc>
          <w:tcPr>
            <w:tcW w:w="1159" w:type="dxa"/>
            <w:vAlign w:val="center"/>
          </w:tcPr>
          <w:p w:rsidR="002B1B18" w:rsidRDefault="002920B8">
            <w:pPr>
              <w:jc w:val="center"/>
            </w:pPr>
            <w:r>
              <w:rPr>
                <w:sz w:val="24"/>
                <w:szCs w:val="24"/>
              </w:rPr>
              <w:t>000385</w:t>
            </w:r>
          </w:p>
        </w:tc>
        <w:tc>
          <w:tcPr>
            <w:tcW w:w="1161" w:type="dxa"/>
            <w:vAlign w:val="center"/>
          </w:tcPr>
          <w:p w:rsidR="002B1B18" w:rsidRDefault="002920B8">
            <w:pPr>
              <w:jc w:val="center"/>
            </w:pPr>
            <w:r>
              <w:rPr>
                <w:sz w:val="24"/>
                <w:szCs w:val="24"/>
              </w:rPr>
              <w:t>景顺长城景颐双利债券</w:t>
            </w:r>
            <w:r>
              <w:rPr>
                <w:sz w:val="24"/>
                <w:szCs w:val="24"/>
              </w:rPr>
              <w:t>A</w:t>
            </w:r>
          </w:p>
        </w:tc>
        <w:tc>
          <w:tcPr>
            <w:tcW w:w="1161" w:type="dxa"/>
            <w:vAlign w:val="center"/>
          </w:tcPr>
          <w:p w:rsidR="002B1B18" w:rsidRDefault="002920B8">
            <w:pPr>
              <w:jc w:val="center"/>
            </w:pPr>
            <w:r>
              <w:rPr>
                <w:sz w:val="24"/>
                <w:szCs w:val="24"/>
              </w:rPr>
              <w:t>契约型开放式</w:t>
            </w:r>
          </w:p>
        </w:tc>
        <w:tc>
          <w:tcPr>
            <w:tcW w:w="1159" w:type="dxa"/>
            <w:vAlign w:val="center"/>
          </w:tcPr>
          <w:p w:rsidR="002B1B18" w:rsidRDefault="002920B8">
            <w:pPr>
              <w:jc w:val="center"/>
            </w:pPr>
            <w:r>
              <w:rPr>
                <w:sz w:val="24"/>
                <w:szCs w:val="24"/>
              </w:rPr>
              <w:t>707,659.96</w:t>
            </w:r>
          </w:p>
        </w:tc>
        <w:tc>
          <w:tcPr>
            <w:tcW w:w="1305" w:type="dxa"/>
            <w:vAlign w:val="center"/>
          </w:tcPr>
          <w:p w:rsidR="002B1B18" w:rsidRDefault="002920B8">
            <w:pPr>
              <w:jc w:val="center"/>
            </w:pPr>
            <w:r>
              <w:rPr>
                <w:sz w:val="24"/>
                <w:szCs w:val="24"/>
              </w:rPr>
              <w:t>1,147,824.46</w:t>
            </w:r>
          </w:p>
        </w:tc>
        <w:tc>
          <w:tcPr>
            <w:tcW w:w="1161" w:type="dxa"/>
            <w:vAlign w:val="center"/>
          </w:tcPr>
          <w:p w:rsidR="002B1B18" w:rsidRDefault="002920B8">
            <w:pPr>
              <w:jc w:val="center"/>
            </w:pPr>
            <w:r>
              <w:rPr>
                <w:sz w:val="24"/>
                <w:szCs w:val="24"/>
              </w:rPr>
              <w:t>2.61%</w:t>
            </w:r>
          </w:p>
        </w:tc>
        <w:tc>
          <w:tcPr>
            <w:tcW w:w="1301" w:type="dxa"/>
            <w:vAlign w:val="center"/>
          </w:tcPr>
          <w:p w:rsidR="002B1B18" w:rsidRDefault="002920B8">
            <w:pPr>
              <w:jc w:val="center"/>
            </w:pPr>
            <w:r>
              <w:rPr>
                <w:sz w:val="24"/>
                <w:szCs w:val="24"/>
              </w:rPr>
              <w:t>否</w:t>
            </w:r>
          </w:p>
        </w:tc>
      </w:tr>
      <w:tr w:rsidR="002B1B18">
        <w:tc>
          <w:tcPr>
            <w:tcW w:w="835" w:type="dxa"/>
            <w:vAlign w:val="center"/>
          </w:tcPr>
          <w:p w:rsidR="002B1B18" w:rsidRDefault="002920B8">
            <w:pPr>
              <w:jc w:val="center"/>
            </w:pPr>
            <w:r>
              <w:rPr>
                <w:sz w:val="24"/>
                <w:szCs w:val="24"/>
              </w:rPr>
              <w:t>8</w:t>
            </w:r>
          </w:p>
        </w:tc>
        <w:tc>
          <w:tcPr>
            <w:tcW w:w="1159" w:type="dxa"/>
            <w:vAlign w:val="center"/>
          </w:tcPr>
          <w:p w:rsidR="002B1B18" w:rsidRDefault="002920B8">
            <w:pPr>
              <w:jc w:val="center"/>
            </w:pPr>
            <w:r>
              <w:rPr>
                <w:sz w:val="24"/>
                <w:szCs w:val="24"/>
              </w:rPr>
              <w:t>003949</w:t>
            </w:r>
          </w:p>
        </w:tc>
        <w:tc>
          <w:tcPr>
            <w:tcW w:w="1161" w:type="dxa"/>
            <w:vAlign w:val="center"/>
          </w:tcPr>
          <w:p w:rsidR="002B1B18" w:rsidRDefault="002920B8">
            <w:pPr>
              <w:jc w:val="center"/>
            </w:pPr>
            <w:r>
              <w:rPr>
                <w:sz w:val="24"/>
                <w:szCs w:val="24"/>
              </w:rPr>
              <w:t>兴全稳泰债券</w:t>
            </w:r>
            <w:r>
              <w:rPr>
                <w:sz w:val="24"/>
                <w:szCs w:val="24"/>
              </w:rPr>
              <w:t>A</w:t>
            </w:r>
          </w:p>
        </w:tc>
        <w:tc>
          <w:tcPr>
            <w:tcW w:w="1161" w:type="dxa"/>
            <w:vAlign w:val="center"/>
          </w:tcPr>
          <w:p w:rsidR="002B1B18" w:rsidRDefault="002920B8">
            <w:pPr>
              <w:jc w:val="center"/>
            </w:pPr>
            <w:r>
              <w:rPr>
                <w:sz w:val="24"/>
                <w:szCs w:val="24"/>
              </w:rPr>
              <w:t>契约型开放式</w:t>
            </w:r>
          </w:p>
        </w:tc>
        <w:tc>
          <w:tcPr>
            <w:tcW w:w="1159" w:type="dxa"/>
            <w:vAlign w:val="center"/>
          </w:tcPr>
          <w:p w:rsidR="002B1B18" w:rsidRDefault="002920B8">
            <w:pPr>
              <w:jc w:val="center"/>
            </w:pPr>
            <w:r>
              <w:rPr>
                <w:sz w:val="24"/>
                <w:szCs w:val="24"/>
              </w:rPr>
              <w:t>967,576.47</w:t>
            </w:r>
          </w:p>
        </w:tc>
        <w:tc>
          <w:tcPr>
            <w:tcW w:w="1305" w:type="dxa"/>
            <w:vAlign w:val="center"/>
          </w:tcPr>
          <w:p w:rsidR="002B1B18" w:rsidRDefault="002920B8">
            <w:pPr>
              <w:jc w:val="center"/>
            </w:pPr>
            <w:r>
              <w:rPr>
                <w:sz w:val="24"/>
                <w:szCs w:val="24"/>
              </w:rPr>
              <w:t>1,128,677.95</w:t>
            </w:r>
          </w:p>
        </w:tc>
        <w:tc>
          <w:tcPr>
            <w:tcW w:w="1161" w:type="dxa"/>
            <w:vAlign w:val="center"/>
          </w:tcPr>
          <w:p w:rsidR="002B1B18" w:rsidRDefault="002920B8">
            <w:pPr>
              <w:jc w:val="center"/>
            </w:pPr>
            <w:r>
              <w:rPr>
                <w:sz w:val="24"/>
                <w:szCs w:val="24"/>
              </w:rPr>
              <w:t>2.56%</w:t>
            </w:r>
          </w:p>
        </w:tc>
        <w:tc>
          <w:tcPr>
            <w:tcW w:w="1301" w:type="dxa"/>
            <w:vAlign w:val="center"/>
          </w:tcPr>
          <w:p w:rsidR="002B1B18" w:rsidRDefault="002920B8">
            <w:pPr>
              <w:jc w:val="center"/>
            </w:pPr>
            <w:r>
              <w:rPr>
                <w:sz w:val="24"/>
                <w:szCs w:val="24"/>
              </w:rPr>
              <w:t>否</w:t>
            </w:r>
          </w:p>
        </w:tc>
      </w:tr>
      <w:tr w:rsidR="002B1B18">
        <w:tc>
          <w:tcPr>
            <w:tcW w:w="835" w:type="dxa"/>
            <w:vAlign w:val="center"/>
          </w:tcPr>
          <w:p w:rsidR="002B1B18" w:rsidRDefault="002920B8">
            <w:pPr>
              <w:jc w:val="center"/>
            </w:pPr>
            <w:r>
              <w:rPr>
                <w:sz w:val="24"/>
                <w:szCs w:val="24"/>
              </w:rPr>
              <w:t>9</w:t>
            </w:r>
          </w:p>
        </w:tc>
        <w:tc>
          <w:tcPr>
            <w:tcW w:w="1159" w:type="dxa"/>
            <w:vAlign w:val="center"/>
          </w:tcPr>
          <w:p w:rsidR="002B1B18" w:rsidRDefault="002920B8">
            <w:pPr>
              <w:jc w:val="center"/>
            </w:pPr>
            <w:r>
              <w:rPr>
                <w:sz w:val="24"/>
                <w:szCs w:val="24"/>
              </w:rPr>
              <w:t>000107</w:t>
            </w:r>
          </w:p>
        </w:tc>
        <w:tc>
          <w:tcPr>
            <w:tcW w:w="1161" w:type="dxa"/>
            <w:vAlign w:val="center"/>
          </w:tcPr>
          <w:p w:rsidR="002B1B18" w:rsidRDefault="002920B8">
            <w:pPr>
              <w:jc w:val="center"/>
            </w:pPr>
            <w:r>
              <w:rPr>
                <w:sz w:val="24"/>
                <w:szCs w:val="24"/>
              </w:rPr>
              <w:t>富国稳健增强债券</w:t>
            </w:r>
            <w:r>
              <w:rPr>
                <w:sz w:val="24"/>
                <w:szCs w:val="24"/>
              </w:rPr>
              <w:t>A/B</w:t>
            </w:r>
          </w:p>
        </w:tc>
        <w:tc>
          <w:tcPr>
            <w:tcW w:w="1161" w:type="dxa"/>
            <w:vAlign w:val="center"/>
          </w:tcPr>
          <w:p w:rsidR="002B1B18" w:rsidRDefault="002920B8">
            <w:pPr>
              <w:jc w:val="center"/>
            </w:pPr>
            <w:r>
              <w:rPr>
                <w:sz w:val="24"/>
                <w:szCs w:val="24"/>
              </w:rPr>
              <w:t>契约型开放式</w:t>
            </w:r>
          </w:p>
        </w:tc>
        <w:tc>
          <w:tcPr>
            <w:tcW w:w="1159" w:type="dxa"/>
            <w:vAlign w:val="center"/>
          </w:tcPr>
          <w:p w:rsidR="002B1B18" w:rsidRDefault="002920B8">
            <w:pPr>
              <w:jc w:val="center"/>
            </w:pPr>
            <w:r>
              <w:rPr>
                <w:sz w:val="24"/>
                <w:szCs w:val="24"/>
              </w:rPr>
              <w:t>901,519.63</w:t>
            </w:r>
          </w:p>
        </w:tc>
        <w:tc>
          <w:tcPr>
            <w:tcW w:w="1305" w:type="dxa"/>
            <w:vAlign w:val="center"/>
          </w:tcPr>
          <w:p w:rsidR="002B1B18" w:rsidRDefault="002920B8">
            <w:pPr>
              <w:jc w:val="center"/>
            </w:pPr>
            <w:r>
              <w:rPr>
                <w:sz w:val="24"/>
                <w:szCs w:val="24"/>
              </w:rPr>
              <w:t>1,109,770.66</w:t>
            </w:r>
          </w:p>
        </w:tc>
        <w:tc>
          <w:tcPr>
            <w:tcW w:w="1161" w:type="dxa"/>
            <w:vAlign w:val="center"/>
          </w:tcPr>
          <w:p w:rsidR="002B1B18" w:rsidRDefault="002920B8">
            <w:pPr>
              <w:jc w:val="center"/>
            </w:pPr>
            <w:r>
              <w:rPr>
                <w:sz w:val="24"/>
                <w:szCs w:val="24"/>
              </w:rPr>
              <w:t>2.52%</w:t>
            </w:r>
          </w:p>
        </w:tc>
        <w:tc>
          <w:tcPr>
            <w:tcW w:w="1301" w:type="dxa"/>
            <w:vAlign w:val="center"/>
          </w:tcPr>
          <w:p w:rsidR="002B1B18" w:rsidRDefault="002920B8">
            <w:pPr>
              <w:jc w:val="center"/>
            </w:pPr>
            <w:r>
              <w:rPr>
                <w:sz w:val="24"/>
                <w:szCs w:val="24"/>
              </w:rPr>
              <w:t>否</w:t>
            </w:r>
          </w:p>
        </w:tc>
      </w:tr>
      <w:tr w:rsidR="002B1B18">
        <w:tc>
          <w:tcPr>
            <w:tcW w:w="835" w:type="dxa"/>
            <w:vAlign w:val="center"/>
          </w:tcPr>
          <w:p w:rsidR="002B1B18" w:rsidRDefault="002920B8">
            <w:pPr>
              <w:jc w:val="center"/>
            </w:pPr>
            <w:r>
              <w:rPr>
                <w:sz w:val="24"/>
                <w:szCs w:val="24"/>
              </w:rPr>
              <w:t>10</w:t>
            </w:r>
          </w:p>
        </w:tc>
        <w:tc>
          <w:tcPr>
            <w:tcW w:w="1159" w:type="dxa"/>
            <w:vAlign w:val="center"/>
          </w:tcPr>
          <w:p w:rsidR="002B1B18" w:rsidRDefault="002920B8">
            <w:pPr>
              <w:jc w:val="center"/>
            </w:pPr>
            <w:r>
              <w:rPr>
                <w:sz w:val="24"/>
                <w:szCs w:val="24"/>
              </w:rPr>
              <w:t>000215</w:t>
            </w:r>
          </w:p>
        </w:tc>
        <w:tc>
          <w:tcPr>
            <w:tcW w:w="1161" w:type="dxa"/>
            <w:vAlign w:val="center"/>
          </w:tcPr>
          <w:p w:rsidR="002B1B18" w:rsidRDefault="002920B8">
            <w:pPr>
              <w:jc w:val="center"/>
            </w:pPr>
            <w:r>
              <w:rPr>
                <w:sz w:val="24"/>
                <w:szCs w:val="24"/>
              </w:rPr>
              <w:t>广发趋势优选灵活配置混合</w:t>
            </w:r>
            <w:r>
              <w:rPr>
                <w:sz w:val="24"/>
                <w:szCs w:val="24"/>
              </w:rPr>
              <w:t>A</w:t>
            </w:r>
          </w:p>
        </w:tc>
        <w:tc>
          <w:tcPr>
            <w:tcW w:w="1161" w:type="dxa"/>
            <w:vAlign w:val="center"/>
          </w:tcPr>
          <w:p w:rsidR="002B1B18" w:rsidRDefault="002920B8">
            <w:pPr>
              <w:jc w:val="center"/>
            </w:pPr>
            <w:r>
              <w:rPr>
                <w:sz w:val="24"/>
                <w:szCs w:val="24"/>
              </w:rPr>
              <w:t>契约型开放式</w:t>
            </w:r>
          </w:p>
        </w:tc>
        <w:tc>
          <w:tcPr>
            <w:tcW w:w="1159" w:type="dxa"/>
            <w:vAlign w:val="center"/>
          </w:tcPr>
          <w:p w:rsidR="002B1B18" w:rsidRDefault="002920B8">
            <w:pPr>
              <w:jc w:val="center"/>
            </w:pPr>
            <w:r>
              <w:rPr>
                <w:sz w:val="24"/>
                <w:szCs w:val="24"/>
              </w:rPr>
              <w:t>661,648.05</w:t>
            </w:r>
          </w:p>
        </w:tc>
        <w:tc>
          <w:tcPr>
            <w:tcW w:w="1305" w:type="dxa"/>
            <w:vAlign w:val="center"/>
          </w:tcPr>
          <w:p w:rsidR="002B1B18" w:rsidRDefault="002920B8">
            <w:pPr>
              <w:jc w:val="center"/>
            </w:pPr>
            <w:r>
              <w:rPr>
                <w:sz w:val="24"/>
                <w:szCs w:val="24"/>
              </w:rPr>
              <w:t>1,077,427.68</w:t>
            </w:r>
          </w:p>
        </w:tc>
        <w:tc>
          <w:tcPr>
            <w:tcW w:w="1161" w:type="dxa"/>
            <w:vAlign w:val="center"/>
          </w:tcPr>
          <w:p w:rsidR="002B1B18" w:rsidRDefault="002920B8">
            <w:pPr>
              <w:jc w:val="center"/>
            </w:pPr>
            <w:r>
              <w:rPr>
                <w:sz w:val="24"/>
                <w:szCs w:val="24"/>
              </w:rPr>
              <w:t>2.45%</w:t>
            </w:r>
          </w:p>
        </w:tc>
        <w:tc>
          <w:tcPr>
            <w:tcW w:w="1301" w:type="dxa"/>
            <w:vAlign w:val="center"/>
          </w:tcPr>
          <w:p w:rsidR="002B1B18" w:rsidRDefault="002920B8">
            <w:pPr>
              <w:jc w:val="center"/>
            </w:pPr>
            <w:r>
              <w:rPr>
                <w:sz w:val="24"/>
                <w:szCs w:val="24"/>
              </w:rPr>
              <w:t>否</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4786"/>
        <w:gridCol w:w="1238"/>
        <w:gridCol w:w="3012"/>
      </w:tblGrid>
      <w:tr w:rsidR="001F3E2A" w:rsidRPr="00575270" w:rsidTr="002375EB">
        <w:tc>
          <w:tcPr>
            <w:tcW w:w="4786" w:type="dxa"/>
            <w:vAlign w:val="center"/>
          </w:tcPr>
          <w:p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1238" w:type="dxa"/>
            <w:vAlign w:val="center"/>
          </w:tcPr>
          <w:p w:rsidR="001F3E2A" w:rsidRPr="00575270" w:rsidRDefault="001F3E2A" w:rsidP="004C0877">
            <w:pPr>
              <w:spacing w:line="276" w:lineRule="auto"/>
              <w:jc w:val="center"/>
              <w:rPr>
                <w:sz w:val="24"/>
                <w:szCs w:val="24"/>
              </w:rPr>
            </w:pPr>
            <w:r w:rsidRPr="00575270">
              <w:rPr>
                <w:sz w:val="24"/>
                <w:szCs w:val="24"/>
              </w:rPr>
              <w:t>本期费用</w:t>
            </w:r>
          </w:p>
        </w:tc>
        <w:tc>
          <w:tcPr>
            <w:tcW w:w="3012" w:type="dxa"/>
            <w:vAlign w:val="center"/>
          </w:tcPr>
          <w:p w:rsidR="001F3E2A" w:rsidRPr="00575270" w:rsidRDefault="001F3E2A" w:rsidP="004C0877">
            <w:pPr>
              <w:spacing w:line="276" w:lineRule="auto"/>
              <w:jc w:val="center"/>
              <w:rPr>
                <w:sz w:val="24"/>
                <w:szCs w:val="24"/>
              </w:rPr>
            </w:pPr>
            <w:r w:rsidRPr="00575270">
              <w:rPr>
                <w:sz w:val="24"/>
                <w:szCs w:val="24"/>
              </w:rPr>
              <w:t>其中：交易及持有基金管理人以及管理人关联方所管理基金产生的费用</w:t>
            </w:r>
          </w:p>
        </w:tc>
      </w:tr>
      <w:tr w:rsidR="001F3E2A" w:rsidRPr="00575270" w:rsidTr="002375EB">
        <w:tc>
          <w:tcPr>
            <w:tcW w:w="4786"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p>
        </w:tc>
        <w:tc>
          <w:tcPr>
            <w:tcW w:w="1238" w:type="dxa"/>
            <w:vAlign w:val="center"/>
          </w:tcPr>
          <w:p w:rsidR="001F3E2A" w:rsidRPr="002375EB" w:rsidRDefault="001F3E2A" w:rsidP="00E11667">
            <w:pPr>
              <w:adjustRightInd w:val="0"/>
              <w:snapToGrid w:val="0"/>
              <w:spacing w:beforeLines="50" w:before="156" w:line="276" w:lineRule="auto"/>
              <w:jc w:val="right"/>
              <w:rPr>
                <w:rFonts w:asciiTheme="minorEastAsia" w:eastAsiaTheme="minorEastAsia" w:hAnsiTheme="minorEastAsia"/>
                <w:color w:val="000000" w:themeColor="text1"/>
                <w:sz w:val="21"/>
              </w:rPr>
            </w:pPr>
            <w:r w:rsidRPr="002375EB">
              <w:rPr>
                <w:rFonts w:asciiTheme="minorEastAsia" w:eastAsiaTheme="minorEastAsia" w:hAnsiTheme="minorEastAsia"/>
                <w:color w:val="000000" w:themeColor="text1"/>
                <w:sz w:val="21"/>
              </w:rPr>
              <w:t>699.10</w:t>
            </w:r>
          </w:p>
        </w:tc>
        <w:tc>
          <w:tcPr>
            <w:tcW w:w="3012" w:type="dxa"/>
            <w:vAlign w:val="center"/>
          </w:tcPr>
          <w:p w:rsidR="001F3E2A" w:rsidRPr="002375EB" w:rsidRDefault="001F3E2A">
            <w:pPr>
              <w:adjustRightInd w:val="0"/>
              <w:snapToGrid w:val="0"/>
              <w:spacing w:beforeLines="50" w:before="156" w:line="276" w:lineRule="auto"/>
              <w:jc w:val="right"/>
              <w:rPr>
                <w:rFonts w:asciiTheme="minorEastAsia" w:eastAsiaTheme="minorEastAsia" w:hAnsiTheme="minorEastAsia"/>
                <w:color w:val="000000" w:themeColor="text1"/>
                <w:sz w:val="21"/>
              </w:rPr>
            </w:pPr>
            <w:r w:rsidRPr="002375EB">
              <w:rPr>
                <w:rFonts w:asciiTheme="minorEastAsia" w:eastAsiaTheme="minorEastAsia" w:hAnsiTheme="minorEastAsia"/>
                <w:color w:val="000000" w:themeColor="text1"/>
                <w:sz w:val="21"/>
              </w:rPr>
              <w:t>-</w:t>
            </w:r>
          </w:p>
        </w:tc>
      </w:tr>
      <w:tr w:rsidR="001F3E2A" w:rsidRPr="00575270" w:rsidTr="002375EB">
        <w:tc>
          <w:tcPr>
            <w:tcW w:w="4786"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1238" w:type="dxa"/>
            <w:vAlign w:val="center"/>
          </w:tcPr>
          <w:p w:rsidR="001F3E2A" w:rsidRPr="002375EB" w:rsidRDefault="00A114DE" w:rsidP="00E11667">
            <w:pPr>
              <w:adjustRightInd w:val="0"/>
              <w:snapToGrid w:val="0"/>
              <w:spacing w:beforeLines="50" w:before="156" w:line="276" w:lineRule="auto"/>
              <w:jc w:val="right"/>
              <w:rPr>
                <w:rFonts w:asciiTheme="minorEastAsia" w:eastAsiaTheme="minorEastAsia" w:hAnsiTheme="minorEastAsia"/>
                <w:color w:val="000000" w:themeColor="text1"/>
                <w:sz w:val="21"/>
              </w:rPr>
            </w:pPr>
            <w:r w:rsidRPr="002375EB">
              <w:rPr>
                <w:rFonts w:asciiTheme="minorEastAsia" w:eastAsiaTheme="minorEastAsia" w:hAnsiTheme="minorEastAsia"/>
                <w:color w:val="000000" w:themeColor="text1"/>
                <w:sz w:val="21"/>
              </w:rPr>
              <w:t>403.22</w:t>
            </w:r>
          </w:p>
        </w:tc>
        <w:tc>
          <w:tcPr>
            <w:tcW w:w="3012" w:type="dxa"/>
            <w:vAlign w:val="center"/>
          </w:tcPr>
          <w:p w:rsidR="001F3E2A" w:rsidRPr="002375EB" w:rsidRDefault="00044693">
            <w:pPr>
              <w:adjustRightInd w:val="0"/>
              <w:snapToGrid w:val="0"/>
              <w:spacing w:beforeLines="50" w:before="156" w:line="276" w:lineRule="auto"/>
              <w:jc w:val="right"/>
              <w:rPr>
                <w:rFonts w:asciiTheme="minorEastAsia" w:eastAsiaTheme="minorEastAsia" w:hAnsiTheme="minorEastAsia"/>
                <w:color w:val="000000" w:themeColor="text1"/>
                <w:sz w:val="21"/>
              </w:rPr>
            </w:pPr>
            <w:r w:rsidRPr="008A68D0">
              <w:rPr>
                <w:rFonts w:asciiTheme="minorEastAsia" w:eastAsiaTheme="minorEastAsia" w:hAnsiTheme="minorEastAsia" w:hint="eastAsia"/>
                <w:color w:val="000000" w:themeColor="text1"/>
                <w:sz w:val="21"/>
              </w:rPr>
              <w:t>-</w:t>
            </w:r>
          </w:p>
        </w:tc>
      </w:tr>
      <w:tr w:rsidR="00A114DE" w:rsidRPr="00575270" w:rsidTr="002375EB">
        <w:tc>
          <w:tcPr>
            <w:tcW w:w="4786" w:type="dxa"/>
            <w:vAlign w:val="center"/>
          </w:tcPr>
          <w:p w:rsidR="00A114DE" w:rsidRPr="00575270" w:rsidRDefault="00A114DE" w:rsidP="00A114DE">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1238" w:type="dxa"/>
            <w:vAlign w:val="bottom"/>
          </w:tcPr>
          <w:p w:rsidR="00A114DE" w:rsidRPr="002375EB" w:rsidRDefault="00A114DE" w:rsidP="00E11667">
            <w:pPr>
              <w:adjustRightInd w:val="0"/>
              <w:snapToGrid w:val="0"/>
              <w:spacing w:beforeLines="50" w:before="156" w:line="276" w:lineRule="auto"/>
              <w:jc w:val="right"/>
              <w:rPr>
                <w:rFonts w:asciiTheme="minorEastAsia" w:eastAsiaTheme="minorEastAsia" w:hAnsiTheme="minorEastAsia"/>
                <w:color w:val="000000" w:themeColor="text1"/>
                <w:sz w:val="21"/>
              </w:rPr>
            </w:pPr>
            <w:r w:rsidRPr="002375EB">
              <w:rPr>
                <w:rFonts w:asciiTheme="minorEastAsia" w:eastAsiaTheme="minorEastAsia" w:hAnsiTheme="minorEastAsia" w:cs="Segoe UI"/>
                <w:color w:val="000000"/>
                <w:sz w:val="21"/>
              </w:rPr>
              <w:t xml:space="preserve">                   923.58 </w:t>
            </w:r>
          </w:p>
        </w:tc>
        <w:tc>
          <w:tcPr>
            <w:tcW w:w="3012" w:type="dxa"/>
            <w:vAlign w:val="bottom"/>
          </w:tcPr>
          <w:p w:rsidR="00A114DE" w:rsidRPr="002375EB" w:rsidRDefault="00A114DE">
            <w:pPr>
              <w:adjustRightInd w:val="0"/>
              <w:snapToGrid w:val="0"/>
              <w:spacing w:beforeLines="50" w:before="156" w:line="276" w:lineRule="auto"/>
              <w:jc w:val="right"/>
              <w:rPr>
                <w:rFonts w:asciiTheme="minorEastAsia" w:eastAsiaTheme="minorEastAsia" w:hAnsiTheme="minorEastAsia"/>
                <w:color w:val="000000" w:themeColor="text1"/>
                <w:sz w:val="21"/>
              </w:rPr>
            </w:pPr>
            <w:r w:rsidRPr="002375EB">
              <w:rPr>
                <w:rFonts w:asciiTheme="minorEastAsia" w:eastAsiaTheme="minorEastAsia" w:hAnsiTheme="minorEastAsia" w:cs="Segoe UI"/>
                <w:color w:val="000000"/>
                <w:sz w:val="21"/>
              </w:rPr>
              <w:t xml:space="preserve">                                                                                                                                         </w:t>
            </w:r>
            <w:r w:rsidR="00044693" w:rsidRPr="008A68D0">
              <w:rPr>
                <w:rFonts w:asciiTheme="minorEastAsia" w:eastAsiaTheme="minorEastAsia" w:hAnsiTheme="minorEastAsia" w:hint="eastAsia"/>
                <w:color w:val="000000" w:themeColor="text1"/>
                <w:sz w:val="21"/>
              </w:rPr>
              <w:t>-</w:t>
            </w:r>
            <w:r w:rsidRPr="002375EB">
              <w:rPr>
                <w:rFonts w:asciiTheme="minorEastAsia" w:eastAsiaTheme="minorEastAsia" w:hAnsiTheme="minorEastAsia" w:cs="Segoe UI"/>
                <w:color w:val="000000"/>
                <w:sz w:val="21"/>
              </w:rPr>
              <w:t xml:space="preserve">   </w:t>
            </w:r>
          </w:p>
        </w:tc>
      </w:tr>
      <w:tr w:rsidR="00A114DE" w:rsidRPr="00575270" w:rsidTr="002375EB">
        <w:tc>
          <w:tcPr>
            <w:tcW w:w="4786" w:type="dxa"/>
            <w:vAlign w:val="center"/>
          </w:tcPr>
          <w:p w:rsidR="00A114DE" w:rsidRPr="00575270" w:rsidRDefault="00A114DE" w:rsidP="00A114DE">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1238" w:type="dxa"/>
            <w:vAlign w:val="bottom"/>
          </w:tcPr>
          <w:p w:rsidR="00A114DE" w:rsidRPr="002375EB" w:rsidRDefault="00A114DE" w:rsidP="00E11667">
            <w:pPr>
              <w:adjustRightInd w:val="0"/>
              <w:snapToGrid w:val="0"/>
              <w:spacing w:beforeLines="50" w:before="156" w:line="276" w:lineRule="auto"/>
              <w:jc w:val="right"/>
              <w:rPr>
                <w:rFonts w:asciiTheme="minorEastAsia" w:eastAsiaTheme="minorEastAsia" w:hAnsiTheme="minorEastAsia"/>
                <w:color w:val="000000" w:themeColor="text1"/>
                <w:sz w:val="21"/>
              </w:rPr>
            </w:pPr>
            <w:r w:rsidRPr="002375EB">
              <w:rPr>
                <w:rFonts w:asciiTheme="minorEastAsia" w:eastAsiaTheme="minorEastAsia" w:hAnsiTheme="minorEastAsia" w:cs="Segoe UI"/>
                <w:color w:val="000000"/>
                <w:sz w:val="21"/>
              </w:rPr>
              <w:t xml:space="preserve">              84,119.30 </w:t>
            </w:r>
          </w:p>
        </w:tc>
        <w:tc>
          <w:tcPr>
            <w:tcW w:w="3012" w:type="dxa"/>
            <w:vAlign w:val="bottom"/>
          </w:tcPr>
          <w:p w:rsidR="00A114DE" w:rsidRPr="002375EB" w:rsidRDefault="00A114DE">
            <w:pPr>
              <w:adjustRightInd w:val="0"/>
              <w:snapToGrid w:val="0"/>
              <w:spacing w:beforeLines="50" w:before="156" w:line="276" w:lineRule="auto"/>
              <w:jc w:val="right"/>
              <w:rPr>
                <w:rFonts w:asciiTheme="minorEastAsia" w:eastAsiaTheme="minorEastAsia" w:hAnsiTheme="minorEastAsia"/>
                <w:color w:val="000000" w:themeColor="text1"/>
                <w:sz w:val="21"/>
              </w:rPr>
            </w:pPr>
            <w:r w:rsidRPr="002375EB">
              <w:rPr>
                <w:rFonts w:asciiTheme="minorEastAsia" w:eastAsiaTheme="minorEastAsia" w:hAnsiTheme="minorEastAsia" w:cs="Segoe UI"/>
                <w:color w:val="000000"/>
                <w:sz w:val="21"/>
              </w:rPr>
              <w:t xml:space="preserve">                                                                                                                               8,089.46 </w:t>
            </w:r>
          </w:p>
        </w:tc>
      </w:tr>
      <w:tr w:rsidR="00A114DE" w:rsidRPr="00575270" w:rsidTr="002375EB">
        <w:tc>
          <w:tcPr>
            <w:tcW w:w="4786" w:type="dxa"/>
            <w:vAlign w:val="center"/>
          </w:tcPr>
          <w:p w:rsidR="00A114DE" w:rsidRPr="00575270" w:rsidRDefault="00A114DE" w:rsidP="00A114DE">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1238" w:type="dxa"/>
            <w:vAlign w:val="bottom"/>
          </w:tcPr>
          <w:p w:rsidR="00A114DE" w:rsidRPr="002375EB" w:rsidRDefault="00A114DE" w:rsidP="00E11667">
            <w:pPr>
              <w:adjustRightInd w:val="0"/>
              <w:snapToGrid w:val="0"/>
              <w:spacing w:beforeLines="50" w:before="156" w:line="276" w:lineRule="auto"/>
              <w:jc w:val="right"/>
              <w:rPr>
                <w:rFonts w:asciiTheme="minorEastAsia" w:eastAsiaTheme="minorEastAsia" w:hAnsiTheme="minorEastAsia"/>
                <w:color w:val="000000" w:themeColor="text1"/>
                <w:sz w:val="21"/>
              </w:rPr>
            </w:pPr>
            <w:r w:rsidRPr="002375EB">
              <w:rPr>
                <w:rFonts w:asciiTheme="minorEastAsia" w:eastAsiaTheme="minorEastAsia" w:hAnsiTheme="minorEastAsia"/>
                <w:color w:val="000000" w:themeColor="text1"/>
                <w:sz w:val="21"/>
              </w:rPr>
              <w:t xml:space="preserve">              16,468.16 </w:t>
            </w:r>
          </w:p>
        </w:tc>
        <w:tc>
          <w:tcPr>
            <w:tcW w:w="3012" w:type="dxa"/>
            <w:vAlign w:val="bottom"/>
          </w:tcPr>
          <w:p w:rsidR="00A114DE" w:rsidRPr="002375EB" w:rsidRDefault="00A114DE">
            <w:pPr>
              <w:adjustRightInd w:val="0"/>
              <w:snapToGrid w:val="0"/>
              <w:spacing w:beforeLines="50" w:before="156" w:line="276" w:lineRule="auto"/>
              <w:jc w:val="right"/>
              <w:rPr>
                <w:rFonts w:asciiTheme="minorEastAsia" w:eastAsiaTheme="minorEastAsia" w:hAnsiTheme="minorEastAsia"/>
                <w:color w:val="000000" w:themeColor="text1"/>
                <w:sz w:val="21"/>
              </w:rPr>
            </w:pPr>
            <w:r w:rsidRPr="002375EB">
              <w:rPr>
                <w:rFonts w:asciiTheme="minorEastAsia" w:eastAsiaTheme="minorEastAsia" w:hAnsiTheme="minorEastAsia"/>
                <w:color w:val="000000" w:themeColor="text1"/>
                <w:sz w:val="21"/>
              </w:rPr>
              <w:t xml:space="preserve">                                                                                                                                  927.26 </w:t>
            </w:r>
          </w:p>
        </w:tc>
      </w:tr>
      <w:tr w:rsidR="00044693" w:rsidTr="002375EB">
        <w:tc>
          <w:tcPr>
            <w:tcW w:w="4786" w:type="dxa"/>
            <w:vAlign w:val="center"/>
          </w:tcPr>
          <w:p w:rsidR="00044693" w:rsidRDefault="00044693" w:rsidP="00044693">
            <w:pPr>
              <w:jc w:val="left"/>
            </w:pPr>
            <w:r>
              <w:rPr>
                <w:rFonts w:eastAsiaTheme="minorEastAsia"/>
                <w:color w:val="000000" w:themeColor="text1"/>
                <w:sz w:val="24"/>
                <w:szCs w:val="24"/>
              </w:rPr>
              <w:t>当期交易基金产生的交易费（元）</w:t>
            </w:r>
          </w:p>
        </w:tc>
        <w:tc>
          <w:tcPr>
            <w:tcW w:w="1238" w:type="dxa"/>
            <w:vAlign w:val="center"/>
          </w:tcPr>
          <w:p w:rsidR="00044693" w:rsidRPr="002375EB" w:rsidRDefault="00044693" w:rsidP="002375EB">
            <w:pPr>
              <w:adjustRightInd w:val="0"/>
              <w:snapToGrid w:val="0"/>
              <w:spacing w:beforeLines="50" w:before="156" w:line="276" w:lineRule="auto"/>
              <w:jc w:val="right"/>
              <w:rPr>
                <w:rFonts w:asciiTheme="minorEastAsia" w:eastAsiaTheme="minorEastAsia" w:hAnsiTheme="minorEastAsia"/>
                <w:color w:val="000000" w:themeColor="text1"/>
                <w:sz w:val="21"/>
              </w:rPr>
            </w:pPr>
            <w:r w:rsidRPr="002375EB">
              <w:rPr>
                <w:rFonts w:asciiTheme="minorEastAsia" w:eastAsiaTheme="minorEastAsia" w:hAnsiTheme="minorEastAsia"/>
                <w:color w:val="000000" w:themeColor="text1"/>
                <w:sz w:val="21"/>
              </w:rPr>
              <w:t>139.09</w:t>
            </w:r>
          </w:p>
        </w:tc>
        <w:tc>
          <w:tcPr>
            <w:tcW w:w="3012" w:type="dxa"/>
          </w:tcPr>
          <w:p w:rsidR="00044693" w:rsidRPr="002375EB" w:rsidRDefault="00044693" w:rsidP="002375EB">
            <w:pPr>
              <w:adjustRightInd w:val="0"/>
              <w:snapToGrid w:val="0"/>
              <w:spacing w:beforeLines="50" w:before="156" w:line="276" w:lineRule="auto"/>
              <w:jc w:val="right"/>
              <w:rPr>
                <w:rFonts w:asciiTheme="minorEastAsia" w:eastAsiaTheme="minorEastAsia" w:hAnsiTheme="minorEastAsia"/>
                <w:color w:val="000000" w:themeColor="text1"/>
                <w:sz w:val="21"/>
              </w:rPr>
            </w:pPr>
            <w:r w:rsidRPr="000B280F">
              <w:rPr>
                <w:rFonts w:asciiTheme="minorEastAsia" w:eastAsiaTheme="minorEastAsia" w:hAnsiTheme="minorEastAsia" w:hint="eastAsia"/>
                <w:color w:val="000000" w:themeColor="text1"/>
                <w:sz w:val="21"/>
              </w:rPr>
              <w:t>-</w:t>
            </w:r>
          </w:p>
        </w:tc>
      </w:tr>
      <w:tr w:rsidR="00044693" w:rsidTr="002375EB">
        <w:tc>
          <w:tcPr>
            <w:tcW w:w="4786" w:type="dxa"/>
            <w:vAlign w:val="center"/>
          </w:tcPr>
          <w:p w:rsidR="00044693" w:rsidRDefault="00044693" w:rsidP="00044693">
            <w:pPr>
              <w:jc w:val="left"/>
              <w:rPr>
                <w:rFonts w:eastAsiaTheme="minorEastAsia"/>
                <w:color w:val="000000" w:themeColor="text1"/>
                <w:sz w:val="24"/>
                <w:szCs w:val="24"/>
              </w:rPr>
            </w:pPr>
            <w:r w:rsidRPr="001B3AC6">
              <w:rPr>
                <w:rFonts w:eastAsiaTheme="minorEastAsia" w:hint="eastAsia"/>
                <w:color w:val="000000" w:themeColor="text1"/>
                <w:sz w:val="24"/>
                <w:szCs w:val="24"/>
              </w:rPr>
              <w:t>当期交易基金产生的转换费（元）</w:t>
            </w:r>
          </w:p>
        </w:tc>
        <w:tc>
          <w:tcPr>
            <w:tcW w:w="1238" w:type="dxa"/>
            <w:vAlign w:val="center"/>
          </w:tcPr>
          <w:p w:rsidR="00044693" w:rsidRPr="002375EB" w:rsidRDefault="00044693" w:rsidP="002375EB">
            <w:pPr>
              <w:adjustRightInd w:val="0"/>
              <w:snapToGrid w:val="0"/>
              <w:spacing w:beforeLines="50" w:before="156" w:line="276" w:lineRule="auto"/>
              <w:jc w:val="right"/>
              <w:rPr>
                <w:rFonts w:asciiTheme="minorEastAsia" w:eastAsiaTheme="minorEastAsia" w:hAnsiTheme="minorEastAsia"/>
                <w:color w:val="000000" w:themeColor="text1"/>
                <w:sz w:val="21"/>
              </w:rPr>
            </w:pPr>
            <w:r w:rsidRPr="002375EB">
              <w:rPr>
                <w:rFonts w:asciiTheme="minorEastAsia" w:eastAsiaTheme="minorEastAsia" w:hAnsiTheme="minorEastAsia"/>
                <w:color w:val="000000" w:themeColor="text1"/>
                <w:sz w:val="21"/>
              </w:rPr>
              <w:t>4,441.35</w:t>
            </w:r>
          </w:p>
        </w:tc>
        <w:tc>
          <w:tcPr>
            <w:tcW w:w="3012" w:type="dxa"/>
          </w:tcPr>
          <w:p w:rsidR="00044693" w:rsidRPr="002375EB" w:rsidRDefault="00044693" w:rsidP="002375EB">
            <w:pPr>
              <w:adjustRightInd w:val="0"/>
              <w:snapToGrid w:val="0"/>
              <w:spacing w:beforeLines="50" w:before="156" w:line="276" w:lineRule="auto"/>
              <w:jc w:val="right"/>
              <w:rPr>
                <w:rFonts w:asciiTheme="minorEastAsia" w:eastAsiaTheme="minorEastAsia" w:hAnsiTheme="minorEastAsia"/>
                <w:color w:val="000000" w:themeColor="text1"/>
                <w:sz w:val="21"/>
              </w:rPr>
            </w:pPr>
            <w:r w:rsidRPr="000B280F">
              <w:rPr>
                <w:rFonts w:asciiTheme="minorEastAsia" w:eastAsiaTheme="minorEastAsia" w:hAnsiTheme="minorEastAsia" w:hint="eastAsia"/>
                <w:color w:val="000000" w:themeColor="text1"/>
                <w:sz w:val="21"/>
              </w:rPr>
              <w:t>-</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50,105,338.51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70.53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50,105,409.04</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f2"/>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50,005,944.44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50,005,944.44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99.80</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无。</w:t>
      </w:r>
    </w:p>
    <w:p w:rsidR="00480B35" w:rsidRPr="00414345" w:rsidRDefault="00480B35" w:rsidP="00C15CAC">
      <w:pPr>
        <w:autoSpaceDE w:val="0"/>
        <w:autoSpaceDN w:val="0"/>
        <w:adjustRightInd w:val="0"/>
        <w:spacing w:before="29" w:line="288" w:lineRule="auto"/>
        <w:jc w:val="left"/>
        <w:rPr>
          <w:color w:val="000000"/>
          <w:sz w:val="24"/>
        </w:rPr>
      </w:pPr>
    </w:p>
    <w:p w:rsidR="00D21FFF" w:rsidRPr="00414345" w:rsidRDefault="00D21FFF"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423B9" w:rsidRPr="00414345">
        <w:rPr>
          <w:color w:val="000000"/>
          <w:kern w:val="0"/>
          <w:sz w:val="24"/>
          <w:szCs w:val="24"/>
        </w:rPr>
        <w:t>9</w:t>
      </w:r>
      <w:r w:rsidR="00834E74">
        <w:rPr>
          <w:color w:val="000000"/>
          <w:kern w:val="0"/>
          <w:sz w:val="24"/>
          <w:szCs w:val="24"/>
        </w:rPr>
        <w:t xml:space="preserve">  </w:t>
      </w:r>
      <w:r w:rsidR="003307FE" w:rsidRPr="00414345">
        <w:rPr>
          <w:color w:val="000000"/>
          <w:kern w:val="0"/>
          <w:sz w:val="24"/>
          <w:szCs w:val="24"/>
        </w:rPr>
        <w:t>报告期末</w:t>
      </w:r>
      <w:r w:rsidRPr="00414345">
        <w:rPr>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2387"/>
        <w:gridCol w:w="1156"/>
        <w:gridCol w:w="1312"/>
        <w:gridCol w:w="1064"/>
        <w:gridCol w:w="1456"/>
        <w:gridCol w:w="1493"/>
      </w:tblGrid>
      <w:tr w:rsidR="00D21FFF" w:rsidRPr="00414345" w:rsidTr="00C96406">
        <w:trPr>
          <w:trHeight w:val="543"/>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项目</w:t>
            </w:r>
          </w:p>
        </w:tc>
        <w:tc>
          <w:tcPr>
            <w:tcW w:w="1156"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持有份额总数</w:t>
            </w:r>
          </w:p>
        </w:tc>
        <w:tc>
          <w:tcPr>
            <w:tcW w:w="1312"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持有份额占基金总份额比例</w:t>
            </w:r>
          </w:p>
        </w:tc>
        <w:tc>
          <w:tcPr>
            <w:tcW w:w="106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发起份额总数</w:t>
            </w:r>
          </w:p>
        </w:tc>
        <w:tc>
          <w:tcPr>
            <w:tcW w:w="1456"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发起份额占基金总份额比例</w:t>
            </w:r>
          </w:p>
        </w:tc>
        <w:tc>
          <w:tcPr>
            <w:tcW w:w="1493"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发起份额承诺持有期限</w:t>
            </w:r>
          </w:p>
        </w:tc>
      </w:tr>
      <w:tr w:rsidR="00D21FFF" w:rsidRPr="00414345" w:rsidTr="00C96406">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基金管理人固有资金</w:t>
            </w:r>
          </w:p>
        </w:tc>
        <w:tc>
          <w:tcPr>
            <w:tcW w:w="1156"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C96406" w:rsidP="00C15CAC">
            <w:pPr>
              <w:adjustRightInd w:val="0"/>
              <w:snapToGrid w:val="0"/>
              <w:spacing w:before="29" w:line="288" w:lineRule="auto"/>
              <w:jc w:val="right"/>
              <w:rPr>
                <w:kern w:val="0"/>
                <w:sz w:val="24"/>
                <w:szCs w:val="24"/>
              </w:rPr>
            </w:pPr>
            <w:r w:rsidRPr="00ED2620">
              <w:rPr>
                <w:rFonts w:eastAsiaTheme="minorEastAsia"/>
                <w:color w:val="000000"/>
                <w:sz w:val="24"/>
              </w:rPr>
              <w:t>50,005,944.44</w:t>
            </w:r>
          </w:p>
        </w:tc>
        <w:tc>
          <w:tcPr>
            <w:tcW w:w="1312"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C96406" w:rsidP="00C15CAC">
            <w:pPr>
              <w:adjustRightInd w:val="0"/>
              <w:snapToGrid w:val="0"/>
              <w:spacing w:before="29" w:line="288" w:lineRule="auto"/>
              <w:jc w:val="right"/>
              <w:rPr>
                <w:kern w:val="0"/>
                <w:sz w:val="24"/>
                <w:szCs w:val="24"/>
              </w:rPr>
            </w:pPr>
            <w:r w:rsidRPr="00ED2620">
              <w:rPr>
                <w:rFonts w:eastAsiaTheme="minorEastAsia"/>
                <w:color w:val="000000"/>
                <w:sz w:val="24"/>
              </w:rPr>
              <w:t>99.80</w:t>
            </w:r>
            <w:r w:rsidR="00A3084D">
              <w:rPr>
                <w:rFonts w:eastAsiaTheme="minorEastAsia"/>
                <w:color w:val="000000"/>
                <w:sz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C96406" w:rsidP="00C15CAC">
            <w:pPr>
              <w:adjustRightInd w:val="0"/>
              <w:snapToGrid w:val="0"/>
              <w:spacing w:before="29" w:line="288" w:lineRule="auto"/>
              <w:jc w:val="right"/>
              <w:rPr>
                <w:kern w:val="0"/>
                <w:sz w:val="24"/>
                <w:szCs w:val="24"/>
              </w:rPr>
            </w:pPr>
            <w:r w:rsidRPr="00C96406">
              <w:rPr>
                <w:kern w:val="0"/>
                <w:sz w:val="24"/>
                <w:szCs w:val="24"/>
              </w:rPr>
              <w:t>10</w:t>
            </w:r>
            <w:r>
              <w:rPr>
                <w:kern w:val="0"/>
                <w:sz w:val="24"/>
                <w:szCs w:val="24"/>
              </w:rPr>
              <w:t>,</w:t>
            </w:r>
            <w:r w:rsidRPr="00C96406">
              <w:rPr>
                <w:kern w:val="0"/>
                <w:sz w:val="24"/>
                <w:szCs w:val="24"/>
              </w:rPr>
              <w:t>001</w:t>
            </w:r>
            <w:r>
              <w:rPr>
                <w:kern w:val="0"/>
                <w:sz w:val="24"/>
                <w:szCs w:val="24"/>
              </w:rPr>
              <w:t>,</w:t>
            </w:r>
            <w:r w:rsidRPr="00C96406">
              <w:rPr>
                <w:kern w:val="0"/>
                <w:sz w:val="24"/>
                <w:szCs w:val="24"/>
              </w:rPr>
              <w:t>388.92</w:t>
            </w:r>
          </w:p>
        </w:tc>
        <w:tc>
          <w:tcPr>
            <w:tcW w:w="1456"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C96406" w:rsidP="00C96406">
            <w:pPr>
              <w:adjustRightInd w:val="0"/>
              <w:snapToGrid w:val="0"/>
              <w:spacing w:before="29" w:line="288" w:lineRule="auto"/>
              <w:jc w:val="right"/>
              <w:rPr>
                <w:kern w:val="0"/>
                <w:sz w:val="24"/>
                <w:szCs w:val="24"/>
              </w:rPr>
            </w:pPr>
            <w:r>
              <w:rPr>
                <w:rFonts w:eastAsiaTheme="minorEastAsia"/>
                <w:color w:val="000000"/>
                <w:sz w:val="24"/>
              </w:rPr>
              <w:t>19</w:t>
            </w:r>
            <w:r w:rsidRPr="00ED2620">
              <w:rPr>
                <w:rFonts w:eastAsiaTheme="minorEastAsia"/>
                <w:color w:val="000000"/>
                <w:sz w:val="24"/>
              </w:rPr>
              <w:t>.</w:t>
            </w:r>
            <w:r>
              <w:rPr>
                <w:rFonts w:eastAsiaTheme="minorEastAsia"/>
                <w:color w:val="000000"/>
                <w:sz w:val="24"/>
              </w:rPr>
              <w:t>96</w:t>
            </w:r>
            <w:r w:rsidR="00A3084D">
              <w:rPr>
                <w:rFonts w:eastAsiaTheme="minorEastAsia"/>
                <w:color w:val="000000"/>
                <w:sz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r w:rsidR="00D21FFF" w:rsidRPr="00414345" w:rsidTr="00C96406">
        <w:trPr>
          <w:trHeight w:val="790"/>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基金管理人高级管理人员</w:t>
            </w:r>
          </w:p>
        </w:tc>
        <w:tc>
          <w:tcPr>
            <w:tcW w:w="1156"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2"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6"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C96406">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基金经理等人员</w:t>
            </w:r>
          </w:p>
        </w:tc>
        <w:tc>
          <w:tcPr>
            <w:tcW w:w="1156"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2"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6"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C96406">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基金管理人股东</w:t>
            </w:r>
          </w:p>
        </w:tc>
        <w:tc>
          <w:tcPr>
            <w:tcW w:w="1156"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2"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6"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C96406">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其他</w:t>
            </w:r>
          </w:p>
        </w:tc>
        <w:tc>
          <w:tcPr>
            <w:tcW w:w="1156"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2"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6"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C96406" w:rsidRPr="00414345" w:rsidTr="00C96406">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C96406" w:rsidRPr="00414345" w:rsidRDefault="00C96406" w:rsidP="00C96406">
            <w:pPr>
              <w:adjustRightInd w:val="0"/>
              <w:snapToGrid w:val="0"/>
              <w:spacing w:before="29" w:line="288" w:lineRule="auto"/>
              <w:jc w:val="left"/>
              <w:rPr>
                <w:color w:val="000000"/>
                <w:sz w:val="24"/>
                <w:szCs w:val="24"/>
              </w:rPr>
            </w:pPr>
            <w:r w:rsidRPr="00414345">
              <w:rPr>
                <w:color w:val="000000"/>
                <w:sz w:val="24"/>
                <w:szCs w:val="24"/>
              </w:rPr>
              <w:t>合计</w:t>
            </w:r>
          </w:p>
        </w:tc>
        <w:tc>
          <w:tcPr>
            <w:tcW w:w="1156" w:type="dxa"/>
            <w:tcBorders>
              <w:top w:val="single" w:sz="4" w:space="0" w:color="auto"/>
              <w:left w:val="single" w:sz="4" w:space="0" w:color="auto"/>
              <w:bottom w:val="single" w:sz="4" w:space="0" w:color="auto"/>
              <w:right w:val="single" w:sz="4" w:space="0" w:color="auto"/>
            </w:tcBorders>
            <w:vAlign w:val="center"/>
            <w:hideMark/>
          </w:tcPr>
          <w:p w:rsidR="00C96406" w:rsidRPr="00414345" w:rsidRDefault="00C96406" w:rsidP="00C96406">
            <w:pPr>
              <w:adjustRightInd w:val="0"/>
              <w:snapToGrid w:val="0"/>
              <w:spacing w:before="29" w:line="288" w:lineRule="auto"/>
              <w:jc w:val="right"/>
              <w:rPr>
                <w:kern w:val="0"/>
                <w:sz w:val="24"/>
                <w:szCs w:val="24"/>
              </w:rPr>
            </w:pPr>
            <w:r w:rsidRPr="00ED2620">
              <w:rPr>
                <w:rFonts w:eastAsiaTheme="minorEastAsia"/>
                <w:color w:val="000000"/>
                <w:sz w:val="24"/>
              </w:rPr>
              <w:t>50,005,944.44</w:t>
            </w:r>
          </w:p>
        </w:tc>
        <w:tc>
          <w:tcPr>
            <w:tcW w:w="1312" w:type="dxa"/>
            <w:tcBorders>
              <w:top w:val="single" w:sz="4" w:space="0" w:color="auto"/>
              <w:left w:val="single" w:sz="4" w:space="0" w:color="auto"/>
              <w:bottom w:val="single" w:sz="4" w:space="0" w:color="auto"/>
              <w:right w:val="single" w:sz="4" w:space="0" w:color="auto"/>
            </w:tcBorders>
            <w:vAlign w:val="center"/>
            <w:hideMark/>
          </w:tcPr>
          <w:p w:rsidR="00C96406" w:rsidRPr="00414345" w:rsidRDefault="00C96406" w:rsidP="00C96406">
            <w:pPr>
              <w:adjustRightInd w:val="0"/>
              <w:snapToGrid w:val="0"/>
              <w:spacing w:before="29" w:line="288" w:lineRule="auto"/>
              <w:jc w:val="right"/>
              <w:rPr>
                <w:kern w:val="0"/>
                <w:sz w:val="24"/>
                <w:szCs w:val="24"/>
              </w:rPr>
            </w:pPr>
            <w:r w:rsidRPr="00ED2620">
              <w:rPr>
                <w:rFonts w:eastAsiaTheme="minorEastAsia"/>
                <w:color w:val="000000"/>
                <w:sz w:val="24"/>
              </w:rPr>
              <w:t>99.80</w:t>
            </w:r>
            <w:r w:rsidR="00A3084D">
              <w:rPr>
                <w:rFonts w:eastAsiaTheme="minorEastAsia"/>
                <w:color w:val="000000"/>
                <w:sz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rsidR="00C96406" w:rsidRPr="00414345" w:rsidRDefault="00C96406" w:rsidP="00C96406">
            <w:pPr>
              <w:adjustRightInd w:val="0"/>
              <w:snapToGrid w:val="0"/>
              <w:spacing w:before="29" w:line="288" w:lineRule="auto"/>
              <w:jc w:val="right"/>
              <w:rPr>
                <w:kern w:val="0"/>
                <w:sz w:val="24"/>
                <w:szCs w:val="24"/>
              </w:rPr>
            </w:pPr>
            <w:r w:rsidRPr="00C96406">
              <w:rPr>
                <w:kern w:val="0"/>
                <w:sz w:val="24"/>
                <w:szCs w:val="24"/>
              </w:rPr>
              <w:t>10</w:t>
            </w:r>
            <w:r>
              <w:rPr>
                <w:kern w:val="0"/>
                <w:sz w:val="24"/>
                <w:szCs w:val="24"/>
              </w:rPr>
              <w:t>,</w:t>
            </w:r>
            <w:r w:rsidRPr="00C96406">
              <w:rPr>
                <w:kern w:val="0"/>
                <w:sz w:val="24"/>
                <w:szCs w:val="24"/>
              </w:rPr>
              <w:t>001</w:t>
            </w:r>
            <w:r>
              <w:rPr>
                <w:kern w:val="0"/>
                <w:sz w:val="24"/>
                <w:szCs w:val="24"/>
              </w:rPr>
              <w:t>,</w:t>
            </w:r>
            <w:r w:rsidRPr="00C96406">
              <w:rPr>
                <w:kern w:val="0"/>
                <w:sz w:val="24"/>
                <w:szCs w:val="24"/>
              </w:rPr>
              <w:t>388.92</w:t>
            </w:r>
          </w:p>
        </w:tc>
        <w:tc>
          <w:tcPr>
            <w:tcW w:w="1456" w:type="dxa"/>
            <w:tcBorders>
              <w:top w:val="single" w:sz="4" w:space="0" w:color="auto"/>
              <w:left w:val="single" w:sz="4" w:space="0" w:color="auto"/>
              <w:bottom w:val="single" w:sz="4" w:space="0" w:color="auto"/>
              <w:right w:val="single" w:sz="4" w:space="0" w:color="auto"/>
            </w:tcBorders>
            <w:vAlign w:val="center"/>
            <w:hideMark/>
          </w:tcPr>
          <w:p w:rsidR="00C96406" w:rsidRPr="00414345" w:rsidRDefault="00C96406" w:rsidP="00C96406">
            <w:pPr>
              <w:adjustRightInd w:val="0"/>
              <w:snapToGrid w:val="0"/>
              <w:spacing w:before="29" w:line="288" w:lineRule="auto"/>
              <w:jc w:val="right"/>
              <w:rPr>
                <w:kern w:val="0"/>
                <w:sz w:val="24"/>
                <w:szCs w:val="24"/>
              </w:rPr>
            </w:pPr>
            <w:r>
              <w:rPr>
                <w:rFonts w:eastAsiaTheme="minorEastAsia"/>
                <w:color w:val="000000"/>
                <w:sz w:val="24"/>
              </w:rPr>
              <w:t>19</w:t>
            </w:r>
            <w:r w:rsidRPr="00ED2620">
              <w:rPr>
                <w:rFonts w:eastAsiaTheme="minorEastAsia"/>
                <w:color w:val="000000"/>
                <w:sz w:val="24"/>
              </w:rPr>
              <w:t>.</w:t>
            </w:r>
            <w:r>
              <w:rPr>
                <w:rFonts w:eastAsiaTheme="minorEastAsia"/>
                <w:color w:val="000000"/>
                <w:sz w:val="24"/>
              </w:rPr>
              <w:t>96</w:t>
            </w:r>
            <w:r w:rsidR="00A3084D">
              <w:rPr>
                <w:rFonts w:eastAsiaTheme="minorEastAsia"/>
                <w:color w:val="000000"/>
                <w:sz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rsidR="00C96406" w:rsidRPr="00414345" w:rsidRDefault="00C96406" w:rsidP="00C96406">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bl>
    <w:p w:rsidR="005B09FA" w:rsidRPr="00414345" w:rsidRDefault="005B09FA" w:rsidP="00C15CAC">
      <w:pPr>
        <w:autoSpaceDE w:val="0"/>
        <w:autoSpaceDN w:val="0"/>
        <w:adjustRightInd w:val="0"/>
        <w:spacing w:before="29" w:line="288" w:lineRule="auto"/>
        <w:jc w:val="left"/>
        <w:rPr>
          <w:color w:val="000000"/>
          <w:sz w:val="24"/>
          <w:szCs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§10</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10.</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C0877">
        <w:tc>
          <w:tcPr>
            <w:tcW w:w="993" w:type="dxa"/>
            <w:vMerge w:val="restart"/>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C0877">
        <w:tc>
          <w:tcPr>
            <w:tcW w:w="993" w:type="dxa"/>
            <w:vMerge/>
            <w:vAlign w:val="center"/>
          </w:tcPr>
          <w:p w:rsidR="003C50AD" w:rsidRPr="004F4D27" w:rsidRDefault="003C50AD" w:rsidP="004C0877">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2B1B18">
        <w:tc>
          <w:tcPr>
            <w:tcW w:w="993" w:type="dxa"/>
            <w:vAlign w:val="center"/>
          </w:tcPr>
          <w:p w:rsidR="002B1B18" w:rsidRDefault="002920B8">
            <w:r>
              <w:rPr>
                <w:rFonts w:ascii="宋体" w:hAnsi="宋体" w:hint="eastAsia"/>
                <w:bCs/>
                <w:color w:val="000000"/>
                <w:kern w:val="0"/>
              </w:rPr>
              <w:t>机构</w:t>
            </w:r>
          </w:p>
        </w:tc>
        <w:tc>
          <w:tcPr>
            <w:tcW w:w="992" w:type="dxa"/>
            <w:vAlign w:val="center"/>
          </w:tcPr>
          <w:p w:rsidR="002B1B18" w:rsidRDefault="002920B8">
            <w:pPr>
              <w:jc w:val="center"/>
            </w:pPr>
            <w:r>
              <w:rPr>
                <w:rFonts w:ascii="宋体" w:hAnsi="宋体"/>
                <w:color w:val="000000"/>
                <w:kern w:val="0"/>
              </w:rPr>
              <w:t>1</w:t>
            </w:r>
          </w:p>
        </w:tc>
        <w:tc>
          <w:tcPr>
            <w:tcW w:w="1843" w:type="dxa"/>
            <w:vAlign w:val="center"/>
          </w:tcPr>
          <w:p w:rsidR="002B1B18" w:rsidRDefault="002920B8">
            <w:pPr>
              <w:jc w:val="center"/>
            </w:pPr>
            <w:r>
              <w:rPr>
                <w:rFonts w:ascii="宋体" w:hAnsi="宋体"/>
                <w:color w:val="000000"/>
                <w:kern w:val="0"/>
              </w:rPr>
              <w:t>20240101-20240331</w:t>
            </w:r>
          </w:p>
        </w:tc>
        <w:tc>
          <w:tcPr>
            <w:tcW w:w="851" w:type="dxa"/>
            <w:vAlign w:val="center"/>
          </w:tcPr>
          <w:p w:rsidR="002B1B18" w:rsidRDefault="002920B8">
            <w:pPr>
              <w:jc w:val="center"/>
            </w:pPr>
            <w:r>
              <w:rPr>
                <w:rFonts w:ascii="宋体" w:hAnsi="宋体"/>
                <w:color w:val="000000"/>
                <w:kern w:val="0"/>
              </w:rPr>
              <w:t>50,005,944.44</w:t>
            </w:r>
          </w:p>
        </w:tc>
        <w:tc>
          <w:tcPr>
            <w:tcW w:w="850" w:type="dxa"/>
            <w:vAlign w:val="center"/>
          </w:tcPr>
          <w:p w:rsidR="002B1B18" w:rsidRDefault="002920B8">
            <w:pPr>
              <w:jc w:val="center"/>
            </w:pPr>
            <w:r>
              <w:rPr>
                <w:rFonts w:ascii="宋体" w:hAnsi="宋体"/>
                <w:color w:val="000000"/>
                <w:kern w:val="0"/>
              </w:rPr>
              <w:t>0.00</w:t>
            </w:r>
          </w:p>
        </w:tc>
        <w:tc>
          <w:tcPr>
            <w:tcW w:w="1134" w:type="dxa"/>
            <w:vAlign w:val="center"/>
          </w:tcPr>
          <w:p w:rsidR="002B1B18" w:rsidRDefault="002920B8">
            <w:pPr>
              <w:jc w:val="center"/>
            </w:pPr>
            <w:r>
              <w:rPr>
                <w:rFonts w:ascii="宋体" w:hAnsi="宋体"/>
                <w:color w:val="000000"/>
                <w:kern w:val="0"/>
              </w:rPr>
              <w:t>0.00</w:t>
            </w:r>
          </w:p>
        </w:tc>
        <w:tc>
          <w:tcPr>
            <w:tcW w:w="1419" w:type="dxa"/>
            <w:vAlign w:val="center"/>
          </w:tcPr>
          <w:p w:rsidR="002B1B18" w:rsidRDefault="002920B8">
            <w:pPr>
              <w:jc w:val="center"/>
            </w:pPr>
            <w:r>
              <w:rPr>
                <w:rFonts w:ascii="宋体" w:hAnsi="宋体"/>
                <w:color w:val="000000"/>
                <w:kern w:val="0"/>
              </w:rPr>
              <w:t>50,005,944.44</w:t>
            </w:r>
          </w:p>
        </w:tc>
        <w:tc>
          <w:tcPr>
            <w:tcW w:w="1130" w:type="dxa"/>
            <w:vAlign w:val="center"/>
          </w:tcPr>
          <w:p w:rsidR="002B1B18" w:rsidRDefault="002920B8">
            <w:pPr>
              <w:jc w:val="center"/>
            </w:pPr>
            <w:r>
              <w:rPr>
                <w:rFonts w:ascii="宋体" w:hAnsi="宋体"/>
                <w:color w:val="000000"/>
                <w:kern w:val="0"/>
              </w:rPr>
              <w:t>99.80%</w:t>
            </w:r>
          </w:p>
        </w:tc>
      </w:tr>
      <w:tr w:rsidR="003C50AD" w:rsidRPr="004F4D27" w:rsidTr="004C0877">
        <w:tc>
          <w:tcPr>
            <w:tcW w:w="9212" w:type="dxa"/>
            <w:gridSpan w:val="8"/>
            <w:vAlign w:val="center"/>
          </w:tcPr>
          <w:p w:rsidR="003C50AD" w:rsidRPr="004F4D27" w:rsidRDefault="003C50AD" w:rsidP="004C0877">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C0877">
        <w:tc>
          <w:tcPr>
            <w:tcW w:w="9212" w:type="dxa"/>
            <w:gridSpan w:val="8"/>
            <w:vAlign w:val="center"/>
          </w:tcPr>
          <w:p w:rsidR="003C50AD" w:rsidRPr="004F4D27" w:rsidRDefault="003C50AD" w:rsidP="004C0877">
            <w:pPr>
              <w:autoSpaceDE w:val="0"/>
              <w:autoSpaceDN w:val="0"/>
              <w:adjustRightInd w:val="0"/>
              <w:jc w:val="left"/>
              <w:rPr>
                <w:rFonts w:ascii="宋体" w:hAnsi="宋体"/>
                <w:kern w:val="0"/>
              </w:rPr>
            </w:pPr>
            <w:r w:rsidRPr="004F4D27">
              <w:rPr>
                <w:rFonts w:ascii="宋体" w:hAnsi="宋体" w:hint="eastAsia"/>
                <w:kern w:val="0"/>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11</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B1B18" w:rsidRDefault="002920B8">
      <w:pPr>
        <w:spacing w:before="29" w:line="288" w:lineRule="auto"/>
        <w:ind w:firstLineChars="200" w:firstLine="480"/>
        <w:rPr>
          <w:color w:val="000000"/>
          <w:sz w:val="24"/>
          <w:szCs w:val="24"/>
        </w:rPr>
      </w:pPr>
      <w:r>
        <w:rPr>
          <w:color w:val="000000"/>
          <w:sz w:val="24"/>
          <w:szCs w:val="24"/>
        </w:rPr>
        <w:t>(</w:t>
      </w:r>
      <w:r>
        <w:rPr>
          <w:color w:val="000000"/>
          <w:sz w:val="24"/>
          <w:szCs w:val="24"/>
        </w:rPr>
        <w:t>一</w:t>
      </w:r>
      <w:r>
        <w:rPr>
          <w:color w:val="000000"/>
          <w:sz w:val="24"/>
          <w:szCs w:val="24"/>
        </w:rPr>
        <w:t>)</w:t>
      </w:r>
      <w:r>
        <w:rPr>
          <w:color w:val="000000"/>
          <w:sz w:val="24"/>
          <w:szCs w:val="24"/>
        </w:rPr>
        <w:t>中国证监会准予本基金募集注册的文件</w:t>
      </w:r>
    </w:p>
    <w:p w:rsidR="002B1B18" w:rsidRDefault="002920B8">
      <w:pPr>
        <w:spacing w:before="29" w:line="288" w:lineRule="auto"/>
        <w:ind w:firstLineChars="200" w:firstLine="480"/>
        <w:rPr>
          <w:color w:val="000000"/>
          <w:sz w:val="24"/>
          <w:szCs w:val="24"/>
        </w:rPr>
      </w:pPr>
      <w:r>
        <w:rPr>
          <w:color w:val="000000"/>
          <w:sz w:val="24"/>
          <w:szCs w:val="24"/>
        </w:rPr>
        <w:t>(</w:t>
      </w:r>
      <w:r>
        <w:rPr>
          <w:color w:val="000000"/>
          <w:sz w:val="24"/>
          <w:szCs w:val="24"/>
        </w:rPr>
        <w:t>二</w:t>
      </w:r>
      <w:r>
        <w:rPr>
          <w:color w:val="000000"/>
          <w:sz w:val="24"/>
          <w:szCs w:val="24"/>
        </w:rPr>
        <w:t>)</w:t>
      </w:r>
      <w:r>
        <w:rPr>
          <w:color w:val="000000"/>
          <w:sz w:val="24"/>
          <w:szCs w:val="24"/>
        </w:rPr>
        <w:t>摩根锦颐养老目标日期</w:t>
      </w:r>
      <w:r>
        <w:rPr>
          <w:color w:val="000000"/>
          <w:sz w:val="24"/>
          <w:szCs w:val="24"/>
        </w:rPr>
        <w:t>2035</w:t>
      </w:r>
      <w:r>
        <w:rPr>
          <w:color w:val="000000"/>
          <w:sz w:val="24"/>
          <w:szCs w:val="24"/>
        </w:rPr>
        <w:t>三年持有期混合型发起式基金中基金</w:t>
      </w:r>
      <w:r>
        <w:rPr>
          <w:color w:val="000000"/>
          <w:sz w:val="24"/>
          <w:szCs w:val="24"/>
        </w:rPr>
        <w:t>(FOF)</w:t>
      </w:r>
      <w:r>
        <w:rPr>
          <w:color w:val="000000"/>
          <w:sz w:val="24"/>
          <w:szCs w:val="24"/>
        </w:rPr>
        <w:t>基金合同</w:t>
      </w:r>
    </w:p>
    <w:p w:rsidR="002B1B18" w:rsidRDefault="002920B8">
      <w:pPr>
        <w:spacing w:before="29" w:line="288" w:lineRule="auto"/>
        <w:ind w:firstLineChars="200" w:firstLine="480"/>
        <w:rPr>
          <w:color w:val="000000"/>
          <w:sz w:val="24"/>
          <w:szCs w:val="24"/>
        </w:rPr>
      </w:pPr>
      <w:r>
        <w:rPr>
          <w:color w:val="000000"/>
          <w:sz w:val="24"/>
          <w:szCs w:val="24"/>
        </w:rPr>
        <w:t>(</w:t>
      </w:r>
      <w:r>
        <w:rPr>
          <w:color w:val="000000"/>
          <w:sz w:val="24"/>
          <w:szCs w:val="24"/>
        </w:rPr>
        <w:t>三</w:t>
      </w:r>
      <w:r>
        <w:rPr>
          <w:color w:val="000000"/>
          <w:sz w:val="24"/>
          <w:szCs w:val="24"/>
        </w:rPr>
        <w:t>)</w:t>
      </w:r>
      <w:r>
        <w:rPr>
          <w:color w:val="000000"/>
          <w:sz w:val="24"/>
          <w:szCs w:val="24"/>
        </w:rPr>
        <w:t>摩根锦颐养老目标日期</w:t>
      </w:r>
      <w:r>
        <w:rPr>
          <w:color w:val="000000"/>
          <w:sz w:val="24"/>
          <w:szCs w:val="24"/>
        </w:rPr>
        <w:t>2035</w:t>
      </w:r>
      <w:r>
        <w:rPr>
          <w:color w:val="000000"/>
          <w:sz w:val="24"/>
          <w:szCs w:val="24"/>
        </w:rPr>
        <w:t>三年持有期混合型发起式基金中基金</w:t>
      </w:r>
      <w:r>
        <w:rPr>
          <w:color w:val="000000"/>
          <w:sz w:val="24"/>
          <w:szCs w:val="24"/>
        </w:rPr>
        <w:t>(FOF)</w:t>
      </w:r>
      <w:r>
        <w:rPr>
          <w:color w:val="000000"/>
          <w:sz w:val="24"/>
          <w:szCs w:val="24"/>
        </w:rPr>
        <w:t>托管协议</w:t>
      </w:r>
    </w:p>
    <w:p w:rsidR="002B1B18" w:rsidRDefault="002920B8">
      <w:pPr>
        <w:spacing w:before="29" w:line="288" w:lineRule="auto"/>
        <w:ind w:firstLineChars="200" w:firstLine="480"/>
        <w:rPr>
          <w:color w:val="000000"/>
          <w:sz w:val="24"/>
          <w:szCs w:val="24"/>
        </w:rPr>
      </w:pPr>
      <w:r>
        <w:rPr>
          <w:color w:val="000000"/>
          <w:sz w:val="24"/>
          <w:szCs w:val="24"/>
        </w:rPr>
        <w:t>(</w:t>
      </w:r>
      <w:r>
        <w:rPr>
          <w:color w:val="000000"/>
          <w:sz w:val="24"/>
          <w:szCs w:val="24"/>
        </w:rPr>
        <w:t>四</w:t>
      </w:r>
      <w:r>
        <w:rPr>
          <w:color w:val="000000"/>
          <w:sz w:val="24"/>
          <w:szCs w:val="24"/>
        </w:rPr>
        <w:t>)</w:t>
      </w:r>
      <w:r>
        <w:rPr>
          <w:color w:val="000000"/>
          <w:sz w:val="24"/>
          <w:szCs w:val="24"/>
        </w:rPr>
        <w:t>法律意见书</w:t>
      </w:r>
    </w:p>
    <w:p w:rsidR="002B1B18" w:rsidRDefault="002920B8">
      <w:pPr>
        <w:spacing w:before="29" w:line="288" w:lineRule="auto"/>
        <w:ind w:firstLineChars="200" w:firstLine="480"/>
        <w:rPr>
          <w:color w:val="000000"/>
          <w:sz w:val="24"/>
          <w:szCs w:val="24"/>
        </w:rPr>
      </w:pPr>
      <w:r>
        <w:rPr>
          <w:color w:val="000000"/>
          <w:sz w:val="24"/>
          <w:szCs w:val="24"/>
        </w:rPr>
        <w:t>(</w:t>
      </w:r>
      <w:r>
        <w:rPr>
          <w:color w:val="000000"/>
          <w:sz w:val="24"/>
          <w:szCs w:val="24"/>
        </w:rPr>
        <w:t>五</w:t>
      </w:r>
      <w:r>
        <w:rPr>
          <w:color w:val="000000"/>
          <w:sz w:val="24"/>
          <w:szCs w:val="24"/>
        </w:rPr>
        <w:t>)</w:t>
      </w:r>
      <w:r>
        <w:rPr>
          <w:color w:val="000000"/>
          <w:sz w:val="24"/>
          <w:szCs w:val="24"/>
        </w:rPr>
        <w:t>基金管理人业务资格批件、营业执照</w:t>
      </w:r>
    </w:p>
    <w:p w:rsidR="002B1B18" w:rsidRDefault="002920B8">
      <w:pPr>
        <w:spacing w:before="29" w:line="288" w:lineRule="auto"/>
        <w:ind w:firstLineChars="200" w:firstLine="480"/>
        <w:rPr>
          <w:color w:val="000000"/>
          <w:sz w:val="24"/>
          <w:szCs w:val="24"/>
        </w:rPr>
      </w:pPr>
      <w:r>
        <w:rPr>
          <w:color w:val="000000"/>
          <w:sz w:val="24"/>
          <w:szCs w:val="24"/>
        </w:rPr>
        <w:t>(</w:t>
      </w:r>
      <w:r>
        <w:rPr>
          <w:color w:val="000000"/>
          <w:sz w:val="24"/>
          <w:szCs w:val="24"/>
        </w:rPr>
        <w:t>六</w:t>
      </w:r>
      <w:r>
        <w:rPr>
          <w:color w:val="000000"/>
          <w:sz w:val="24"/>
          <w:szCs w:val="24"/>
        </w:rPr>
        <w:t>)</w:t>
      </w:r>
      <w:r>
        <w:rPr>
          <w:color w:val="000000"/>
          <w:sz w:val="24"/>
          <w:szCs w:val="24"/>
        </w:rPr>
        <w:t>基金托管人业务资格批件、营业执照</w:t>
      </w:r>
    </w:p>
    <w:p w:rsidR="002B1B18" w:rsidRDefault="002920B8">
      <w:pPr>
        <w:spacing w:before="29" w:line="288" w:lineRule="auto"/>
        <w:ind w:firstLineChars="200" w:firstLine="480"/>
        <w:rPr>
          <w:color w:val="000000"/>
          <w:sz w:val="24"/>
          <w:szCs w:val="24"/>
        </w:rPr>
      </w:pPr>
      <w:r>
        <w:rPr>
          <w:color w:val="000000"/>
          <w:sz w:val="24"/>
          <w:szCs w:val="24"/>
        </w:rPr>
        <w:t>(</w:t>
      </w:r>
      <w:r>
        <w:rPr>
          <w:color w:val="000000"/>
          <w:sz w:val="24"/>
          <w:szCs w:val="24"/>
        </w:rPr>
        <w:t>七</w:t>
      </w:r>
      <w:r>
        <w:rPr>
          <w:color w:val="000000"/>
          <w:sz w:val="24"/>
          <w:szCs w:val="24"/>
        </w:rPr>
        <w:t>)</w:t>
      </w:r>
      <w:r>
        <w:rPr>
          <w:color w:val="000000"/>
          <w:sz w:val="24"/>
          <w:szCs w:val="24"/>
        </w:rPr>
        <w:t>摩根基金管理（中国）有限公司开放式基金业务规则</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w:t>
      </w:r>
      <w:r w:rsidRPr="00414345">
        <w:rPr>
          <w:color w:val="000000"/>
          <w:sz w:val="24"/>
          <w:szCs w:val="24"/>
        </w:rPr>
        <w:t>八</w:t>
      </w:r>
      <w:r w:rsidRPr="00414345">
        <w:rPr>
          <w:color w:val="000000"/>
          <w:sz w:val="24"/>
          <w:szCs w:val="24"/>
        </w:rPr>
        <w:t>)</w:t>
      </w:r>
      <w:r w:rsidRPr="00414345">
        <w:rPr>
          <w:color w:val="000000"/>
          <w:sz w:val="24"/>
          <w:szCs w:val="24"/>
        </w:rPr>
        <w:t>中国证监会要求的其他文件</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基金管理人或基金托管人处。</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770" w:rsidRDefault="00880770" w:rsidP="00876D65">
      <w:r>
        <w:separator/>
      </w:r>
    </w:p>
  </w:endnote>
  <w:endnote w:type="continuationSeparator" w:id="0">
    <w:p w:rsidR="00880770" w:rsidRDefault="0088077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微软雅黑"/>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方正仿宋简体">
    <w:altName w:val="微软雅黑"/>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Pr="001D0DB0" w:rsidRDefault="004C0877" w:rsidP="004D340C">
    <w:pPr>
      <w:pStyle w:val="a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375EB">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375EB">
      <w:rPr>
        <w:noProof/>
        <w:kern w:val="0"/>
        <w:szCs w:val="21"/>
      </w:rPr>
      <w:t>14</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770" w:rsidRDefault="00880770" w:rsidP="00876D65">
      <w:r>
        <w:separator/>
      </w:r>
    </w:p>
  </w:footnote>
  <w:footnote w:type="continuationSeparator" w:id="0">
    <w:p w:rsidR="00880770" w:rsidRDefault="00880770"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Pr="00DC456F" w:rsidRDefault="004C0877" w:rsidP="00090A26">
    <w:pPr>
      <w:pStyle w:val="ac"/>
      <w:pBdr>
        <w:bottom w:val="single" w:sz="6" w:space="0" w:color="auto"/>
      </w:pBdr>
      <w:jc w:val="right"/>
      <w:rPr>
        <w:sz w:val="24"/>
        <w:szCs w:val="24"/>
      </w:rPr>
    </w:pPr>
    <w:r w:rsidRPr="003E676C">
      <w:rPr>
        <w:sz w:val="24"/>
        <w:szCs w:val="24"/>
      </w:rPr>
      <w:t>摩根锦颐养老目标日期</w:t>
    </w:r>
    <w:r w:rsidRPr="003E676C">
      <w:rPr>
        <w:sz w:val="24"/>
        <w:szCs w:val="24"/>
      </w:rPr>
      <w:t>2035</w:t>
    </w:r>
    <w:r w:rsidRPr="003E676C">
      <w:rPr>
        <w:sz w:val="24"/>
        <w:szCs w:val="24"/>
      </w:rPr>
      <w:t>三年持有期混合型发起式基金中基金</w:t>
    </w:r>
    <w:r w:rsidRPr="003E676C">
      <w:rPr>
        <w:sz w:val="24"/>
        <w:szCs w:val="24"/>
      </w:rPr>
      <w:t>(FOF)2024</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4693"/>
    <w:rsid w:val="000450DD"/>
    <w:rsid w:val="000463DE"/>
    <w:rsid w:val="0006147E"/>
    <w:rsid w:val="000625ED"/>
    <w:rsid w:val="00064D40"/>
    <w:rsid w:val="0006777B"/>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728"/>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5D02"/>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3AC6"/>
    <w:rsid w:val="001B4DD6"/>
    <w:rsid w:val="001B5607"/>
    <w:rsid w:val="001C0993"/>
    <w:rsid w:val="001C79F2"/>
    <w:rsid w:val="001D6A4B"/>
    <w:rsid w:val="001E4630"/>
    <w:rsid w:val="001F0964"/>
    <w:rsid w:val="001F30DA"/>
    <w:rsid w:val="001F3E2A"/>
    <w:rsid w:val="001F5DC5"/>
    <w:rsid w:val="00200FAB"/>
    <w:rsid w:val="00203D29"/>
    <w:rsid w:val="00213821"/>
    <w:rsid w:val="00213DFB"/>
    <w:rsid w:val="00217B92"/>
    <w:rsid w:val="0022165B"/>
    <w:rsid w:val="0022309F"/>
    <w:rsid w:val="00224294"/>
    <w:rsid w:val="002279D3"/>
    <w:rsid w:val="002375EB"/>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20B8"/>
    <w:rsid w:val="00295CD0"/>
    <w:rsid w:val="002973A9"/>
    <w:rsid w:val="002B1B18"/>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877"/>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4426D"/>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1E8"/>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0770"/>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65745"/>
    <w:rsid w:val="009730B8"/>
    <w:rsid w:val="009734BB"/>
    <w:rsid w:val="0097424F"/>
    <w:rsid w:val="00975DED"/>
    <w:rsid w:val="0098122D"/>
    <w:rsid w:val="00986596"/>
    <w:rsid w:val="00990685"/>
    <w:rsid w:val="009A0ABE"/>
    <w:rsid w:val="009A4E5D"/>
    <w:rsid w:val="009B2D4B"/>
    <w:rsid w:val="009C5186"/>
    <w:rsid w:val="009C60F7"/>
    <w:rsid w:val="009D0952"/>
    <w:rsid w:val="009D10B9"/>
    <w:rsid w:val="009E19A9"/>
    <w:rsid w:val="009E31DA"/>
    <w:rsid w:val="009E402C"/>
    <w:rsid w:val="009E7C6A"/>
    <w:rsid w:val="009F3659"/>
    <w:rsid w:val="009F4861"/>
    <w:rsid w:val="009F61BE"/>
    <w:rsid w:val="009F7ED4"/>
    <w:rsid w:val="00A03AAC"/>
    <w:rsid w:val="00A047D1"/>
    <w:rsid w:val="00A114DE"/>
    <w:rsid w:val="00A21300"/>
    <w:rsid w:val="00A22AD0"/>
    <w:rsid w:val="00A22DA8"/>
    <w:rsid w:val="00A3030E"/>
    <w:rsid w:val="00A3084D"/>
    <w:rsid w:val="00A31574"/>
    <w:rsid w:val="00A31671"/>
    <w:rsid w:val="00A324F4"/>
    <w:rsid w:val="00A36930"/>
    <w:rsid w:val="00A45320"/>
    <w:rsid w:val="00A504C9"/>
    <w:rsid w:val="00A54C7D"/>
    <w:rsid w:val="00A5612C"/>
    <w:rsid w:val="00A5689C"/>
    <w:rsid w:val="00A57AE4"/>
    <w:rsid w:val="00A622AB"/>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34AA"/>
    <w:rsid w:val="00AB4DB6"/>
    <w:rsid w:val="00AB6E79"/>
    <w:rsid w:val="00AC063D"/>
    <w:rsid w:val="00AC592E"/>
    <w:rsid w:val="00AC5FC0"/>
    <w:rsid w:val="00AC6C10"/>
    <w:rsid w:val="00AC7BC6"/>
    <w:rsid w:val="00AD24AA"/>
    <w:rsid w:val="00AE02BF"/>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406"/>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1323"/>
    <w:rsid w:val="00D346D9"/>
    <w:rsid w:val="00D351E4"/>
    <w:rsid w:val="00D43AFB"/>
    <w:rsid w:val="00D44EE8"/>
    <w:rsid w:val="00D57B7C"/>
    <w:rsid w:val="00D65B44"/>
    <w:rsid w:val="00D75E69"/>
    <w:rsid w:val="00D8099B"/>
    <w:rsid w:val="00D817AE"/>
    <w:rsid w:val="00D866A8"/>
    <w:rsid w:val="00D91E06"/>
    <w:rsid w:val="00D9393A"/>
    <w:rsid w:val="00D94B8D"/>
    <w:rsid w:val="00D96C8D"/>
    <w:rsid w:val="00D974EF"/>
    <w:rsid w:val="00DA0C61"/>
    <w:rsid w:val="00DA14B0"/>
    <w:rsid w:val="00DA2876"/>
    <w:rsid w:val="00DA5572"/>
    <w:rsid w:val="00DA66D0"/>
    <w:rsid w:val="00DC0B51"/>
    <w:rsid w:val="00DC141F"/>
    <w:rsid w:val="00DC28F1"/>
    <w:rsid w:val="00DC39D7"/>
    <w:rsid w:val="00DC456F"/>
    <w:rsid w:val="00DC6B55"/>
    <w:rsid w:val="00DE21C3"/>
    <w:rsid w:val="00DE27F7"/>
    <w:rsid w:val="00DE4B43"/>
    <w:rsid w:val="00DF25D5"/>
    <w:rsid w:val="00E02660"/>
    <w:rsid w:val="00E04BE1"/>
    <w:rsid w:val="00E11667"/>
    <w:rsid w:val="00E12DBF"/>
    <w:rsid w:val="00E133DE"/>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qFormat/>
    <w:rsid w:val="004061AC"/>
    <w:rPr>
      <w:rFonts w:ascii="宋体" w:hAnsi="Courier New" w:cs="宋体"/>
    </w:rPr>
  </w:style>
  <w:style w:type="character" w:customStyle="1" w:styleId="a7">
    <w:name w:val="纯文本 字符"/>
    <w:basedOn w:val="a1"/>
    <w:link w:val="a6"/>
    <w:uiPriority w:val="99"/>
    <w:qFormat/>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qFormat/>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uiPriority w:val="99"/>
    <w:qFormat/>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qForma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 w:type="character" w:customStyle="1" w:styleId="x-btn-inner">
    <w:name w:val="x-btn-inner"/>
    <w:basedOn w:val="a1"/>
    <w:rsid w:val="004C0877"/>
  </w:style>
  <w:style w:type="character" w:customStyle="1" w:styleId="x-btn-icon-el">
    <w:name w:val="x-btn-icon-el"/>
    <w:basedOn w:val="a1"/>
    <w:rsid w:val="004C0877"/>
  </w:style>
  <w:style w:type="character" w:customStyle="1" w:styleId="12">
    <w:name w:val="脚注文本 字符1"/>
    <w:qFormat/>
    <w:rsid w:val="004C087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100219347">
      <w:bodyDiv w:val="1"/>
      <w:marLeft w:val="0"/>
      <w:marRight w:val="0"/>
      <w:marTop w:val="0"/>
      <w:marBottom w:val="0"/>
      <w:divBdr>
        <w:top w:val="none" w:sz="0" w:space="0" w:color="auto"/>
        <w:left w:val="none" w:sz="0" w:space="0" w:color="auto"/>
        <w:bottom w:val="none" w:sz="0" w:space="0" w:color="auto"/>
        <w:right w:val="none" w:sz="0" w:space="0" w:color="auto"/>
      </w:divBdr>
    </w:div>
    <w:div w:id="1373310729">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5928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F7703-FB6B-4F51-B88F-F3AD6380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14</Pages>
  <Words>1368</Words>
  <Characters>7803</Characters>
  <Application>Microsoft Office Word</Application>
  <DocSecurity>0</DocSecurity>
  <Lines>65</Lines>
  <Paragraphs>18</Paragraphs>
  <ScaleCrop>false</ScaleCrop>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603</cp:revision>
  <dcterms:created xsi:type="dcterms:W3CDTF">2012-10-16T06:07:00Z</dcterms:created>
  <dcterms:modified xsi:type="dcterms:W3CDTF">2024-04-19T08:10:00Z</dcterms:modified>
</cp:coreProperties>
</file>