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17D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AE3BE2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E03456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E8A2283"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345AC7DE"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19B2660B" w14:textId="77777777" w:rsidR="002279D3" w:rsidRPr="0081286B" w:rsidRDefault="002279D3" w:rsidP="00C15CAC">
      <w:pPr>
        <w:spacing w:before="29" w:line="288" w:lineRule="auto"/>
        <w:jc w:val="center"/>
        <w:rPr>
          <w:b/>
          <w:sz w:val="36"/>
          <w:szCs w:val="36"/>
        </w:rPr>
      </w:pPr>
      <w:r w:rsidRPr="0081286B">
        <w:rPr>
          <w:b/>
          <w:sz w:val="36"/>
          <w:szCs w:val="36"/>
        </w:rPr>
        <w:t>摩根锦颐养</w:t>
      </w:r>
      <w:proofErr w:type="gramStart"/>
      <w:r w:rsidRPr="0081286B">
        <w:rPr>
          <w:b/>
          <w:sz w:val="36"/>
          <w:szCs w:val="36"/>
        </w:rPr>
        <w:t>老目标</w:t>
      </w:r>
      <w:proofErr w:type="gramEnd"/>
      <w:r w:rsidRPr="0081286B">
        <w:rPr>
          <w:b/>
          <w:sz w:val="36"/>
          <w:szCs w:val="36"/>
        </w:rPr>
        <w:t>日期</w:t>
      </w:r>
      <w:r w:rsidRPr="0081286B">
        <w:rPr>
          <w:b/>
          <w:sz w:val="36"/>
          <w:szCs w:val="36"/>
        </w:rPr>
        <w:t>2035</w:t>
      </w:r>
      <w:r w:rsidRPr="0081286B">
        <w:rPr>
          <w:b/>
          <w:sz w:val="36"/>
          <w:szCs w:val="36"/>
        </w:rPr>
        <w:t>三年持有期混合型发起</w:t>
      </w:r>
      <w:proofErr w:type="gramStart"/>
      <w:r w:rsidRPr="0081286B">
        <w:rPr>
          <w:b/>
          <w:sz w:val="36"/>
          <w:szCs w:val="36"/>
        </w:rPr>
        <w:t>式基金</w:t>
      </w:r>
      <w:proofErr w:type="gramEnd"/>
      <w:r w:rsidRPr="0081286B">
        <w:rPr>
          <w:b/>
          <w:sz w:val="36"/>
          <w:szCs w:val="36"/>
        </w:rPr>
        <w:t>中基金</w:t>
      </w:r>
      <w:r w:rsidRPr="0081286B">
        <w:rPr>
          <w:b/>
          <w:sz w:val="36"/>
          <w:szCs w:val="36"/>
        </w:rPr>
        <w:t>(FOF)</w:t>
      </w:r>
    </w:p>
    <w:p w14:paraId="6C017807" w14:textId="77777777" w:rsidR="002279D3" w:rsidRPr="0081286B" w:rsidRDefault="002279D3" w:rsidP="00C15CAC">
      <w:pPr>
        <w:spacing w:before="29" w:line="288" w:lineRule="auto"/>
        <w:jc w:val="center"/>
        <w:rPr>
          <w:b/>
          <w:sz w:val="36"/>
          <w:szCs w:val="36"/>
        </w:rPr>
      </w:pPr>
      <w:r w:rsidRPr="0081286B">
        <w:rPr>
          <w:b/>
          <w:sz w:val="36"/>
          <w:szCs w:val="36"/>
        </w:rPr>
        <w:t>2024</w:t>
      </w:r>
      <w:r w:rsidRPr="0081286B">
        <w:rPr>
          <w:b/>
          <w:sz w:val="36"/>
          <w:szCs w:val="36"/>
        </w:rPr>
        <w:t>年第</w:t>
      </w:r>
      <w:r w:rsidRPr="0081286B">
        <w:rPr>
          <w:b/>
          <w:sz w:val="36"/>
          <w:szCs w:val="36"/>
        </w:rPr>
        <w:t>3</w:t>
      </w:r>
      <w:r w:rsidRPr="0081286B">
        <w:rPr>
          <w:b/>
          <w:sz w:val="36"/>
          <w:szCs w:val="36"/>
        </w:rPr>
        <w:t>季度报告</w:t>
      </w:r>
    </w:p>
    <w:p w14:paraId="0F66A20D" w14:textId="77777777" w:rsidR="004061AC" w:rsidRPr="0081286B" w:rsidRDefault="00655CD8" w:rsidP="00C15CAC">
      <w:pPr>
        <w:spacing w:before="29" w:line="288" w:lineRule="auto"/>
        <w:jc w:val="center"/>
        <w:rPr>
          <w:b/>
          <w:sz w:val="36"/>
          <w:szCs w:val="36"/>
        </w:rPr>
      </w:pPr>
      <w:r w:rsidRPr="0081286B">
        <w:rPr>
          <w:b/>
          <w:sz w:val="36"/>
          <w:szCs w:val="36"/>
        </w:rPr>
        <w:t>2024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14:paraId="6F6389C9" w14:textId="77777777" w:rsidR="004061AC" w:rsidRPr="00414345" w:rsidRDefault="004061AC" w:rsidP="00C15CAC">
      <w:pPr>
        <w:spacing w:before="29" w:line="288" w:lineRule="auto"/>
        <w:jc w:val="center"/>
        <w:rPr>
          <w:b/>
          <w:bCs/>
          <w:color w:val="000000"/>
          <w:sz w:val="24"/>
          <w:szCs w:val="24"/>
        </w:rPr>
      </w:pPr>
    </w:p>
    <w:p w14:paraId="58A9E5A5" w14:textId="77777777" w:rsidR="004061AC" w:rsidRPr="00414345" w:rsidRDefault="004061AC" w:rsidP="00C15CAC">
      <w:pPr>
        <w:spacing w:before="29" w:line="288" w:lineRule="auto"/>
        <w:jc w:val="center"/>
        <w:rPr>
          <w:b/>
          <w:bCs/>
          <w:color w:val="000000"/>
          <w:sz w:val="24"/>
          <w:szCs w:val="24"/>
        </w:rPr>
      </w:pPr>
    </w:p>
    <w:p w14:paraId="08DBCE13" w14:textId="77777777" w:rsidR="004061AC" w:rsidRPr="00414345" w:rsidRDefault="004061AC" w:rsidP="00C15CAC">
      <w:pPr>
        <w:spacing w:before="29" w:line="288" w:lineRule="auto"/>
        <w:jc w:val="center"/>
        <w:rPr>
          <w:b/>
          <w:bCs/>
          <w:color w:val="000000"/>
          <w:sz w:val="24"/>
          <w:szCs w:val="24"/>
        </w:rPr>
      </w:pPr>
    </w:p>
    <w:p w14:paraId="737D6E4A" w14:textId="77777777" w:rsidR="004061AC" w:rsidRPr="00414345" w:rsidRDefault="004061AC" w:rsidP="00C15CAC">
      <w:pPr>
        <w:spacing w:before="29" w:line="288" w:lineRule="auto"/>
        <w:jc w:val="center"/>
        <w:rPr>
          <w:b/>
          <w:bCs/>
          <w:color w:val="000000"/>
          <w:sz w:val="24"/>
          <w:szCs w:val="24"/>
        </w:rPr>
      </w:pPr>
    </w:p>
    <w:p w14:paraId="2DFD0059" w14:textId="77777777" w:rsidR="004061AC" w:rsidRPr="00414345" w:rsidRDefault="004061AC" w:rsidP="00C15CAC">
      <w:pPr>
        <w:spacing w:before="29" w:line="288" w:lineRule="auto"/>
        <w:jc w:val="center"/>
        <w:rPr>
          <w:b/>
          <w:bCs/>
          <w:color w:val="000000"/>
          <w:sz w:val="24"/>
          <w:szCs w:val="24"/>
        </w:rPr>
      </w:pPr>
    </w:p>
    <w:p w14:paraId="5E032CB9" w14:textId="77777777" w:rsidR="004061AC" w:rsidRPr="00414345" w:rsidRDefault="004061AC" w:rsidP="00C15CAC">
      <w:pPr>
        <w:spacing w:before="29" w:line="288" w:lineRule="auto"/>
        <w:jc w:val="center"/>
        <w:rPr>
          <w:b/>
          <w:bCs/>
          <w:color w:val="000000"/>
          <w:sz w:val="24"/>
          <w:szCs w:val="24"/>
        </w:rPr>
      </w:pPr>
    </w:p>
    <w:p w14:paraId="3AD79F9B" w14:textId="77777777" w:rsidR="004061AC" w:rsidRPr="00414345" w:rsidRDefault="004061AC" w:rsidP="00C15CAC">
      <w:pPr>
        <w:spacing w:before="29" w:line="288" w:lineRule="auto"/>
        <w:jc w:val="center"/>
        <w:rPr>
          <w:b/>
          <w:bCs/>
          <w:color w:val="000000"/>
          <w:sz w:val="24"/>
          <w:szCs w:val="24"/>
        </w:rPr>
      </w:pPr>
    </w:p>
    <w:p w14:paraId="7D12D472" w14:textId="77777777" w:rsidR="004061AC" w:rsidRPr="00414345" w:rsidRDefault="004061AC" w:rsidP="00C15CAC">
      <w:pPr>
        <w:spacing w:before="29" w:line="288" w:lineRule="auto"/>
        <w:jc w:val="center"/>
        <w:rPr>
          <w:b/>
          <w:bCs/>
          <w:color w:val="000000"/>
          <w:sz w:val="24"/>
          <w:szCs w:val="24"/>
        </w:rPr>
      </w:pPr>
    </w:p>
    <w:p w14:paraId="566D2322" w14:textId="77777777" w:rsidR="004061AC" w:rsidRPr="00414345" w:rsidRDefault="004061AC" w:rsidP="00C15CAC">
      <w:pPr>
        <w:spacing w:before="29" w:line="288" w:lineRule="auto"/>
        <w:jc w:val="center"/>
        <w:rPr>
          <w:b/>
          <w:bCs/>
          <w:color w:val="000000"/>
          <w:sz w:val="24"/>
          <w:szCs w:val="24"/>
        </w:rPr>
      </w:pPr>
    </w:p>
    <w:p w14:paraId="33E9A3CC" w14:textId="77777777" w:rsidR="004061AC" w:rsidRPr="00414345" w:rsidRDefault="004061AC" w:rsidP="00C15CAC">
      <w:pPr>
        <w:spacing w:before="29" w:line="288" w:lineRule="auto"/>
        <w:jc w:val="center"/>
        <w:rPr>
          <w:b/>
          <w:bCs/>
          <w:color w:val="000000"/>
          <w:sz w:val="24"/>
          <w:szCs w:val="24"/>
        </w:rPr>
      </w:pPr>
    </w:p>
    <w:p w14:paraId="253D97C9" w14:textId="77777777" w:rsidR="004061AC" w:rsidRPr="00414345" w:rsidRDefault="004061AC" w:rsidP="00C15CAC">
      <w:pPr>
        <w:spacing w:before="29" w:line="288" w:lineRule="auto"/>
        <w:jc w:val="center"/>
        <w:rPr>
          <w:b/>
          <w:bCs/>
          <w:color w:val="000000"/>
          <w:sz w:val="24"/>
          <w:szCs w:val="24"/>
        </w:rPr>
      </w:pPr>
    </w:p>
    <w:p w14:paraId="46F4C938" w14:textId="77777777" w:rsidR="004061AC" w:rsidRPr="00414345" w:rsidRDefault="004061AC" w:rsidP="00C15CAC">
      <w:pPr>
        <w:spacing w:before="29" w:line="288" w:lineRule="auto"/>
        <w:jc w:val="center"/>
        <w:rPr>
          <w:b/>
          <w:bCs/>
          <w:color w:val="000000"/>
          <w:sz w:val="24"/>
          <w:szCs w:val="24"/>
        </w:rPr>
      </w:pPr>
    </w:p>
    <w:p w14:paraId="37D842F5"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基金管理人：摩根基金管理（中国）有限公司</w:t>
      </w:r>
    </w:p>
    <w:p w14:paraId="7E8D9421"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14:paraId="1878C21B"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二〇二四年十月二十五日</w:t>
      </w:r>
    </w:p>
    <w:p w14:paraId="6BBB530F" w14:textId="77777777"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0C6E4AB5" w14:textId="77777777" w:rsidR="00934DFA" w:rsidRDefault="00BC614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7E34B6BA" w14:textId="77777777" w:rsidR="00934DFA" w:rsidRDefault="00BC614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2024</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4752E785" w14:textId="77777777" w:rsidR="00934DFA" w:rsidRDefault="00BC614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5288AD29" w14:textId="77777777" w:rsidR="00934DFA" w:rsidRDefault="00BC614E">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14:paraId="6067E18C" w14:textId="77777777" w:rsidR="00934DFA" w:rsidRDefault="00BC614E">
      <w:pPr>
        <w:spacing w:before="29" w:line="288" w:lineRule="auto"/>
        <w:ind w:firstLineChars="200" w:firstLine="480"/>
        <w:rPr>
          <w:color w:val="000000"/>
          <w:sz w:val="24"/>
          <w:szCs w:val="24"/>
        </w:rPr>
      </w:pPr>
      <w:r>
        <w:rPr>
          <w:color w:val="000000"/>
          <w:sz w:val="24"/>
          <w:szCs w:val="24"/>
        </w:rPr>
        <w:t>本报告中财务资料未经审计。</w:t>
      </w:r>
    </w:p>
    <w:p w14:paraId="0C44A80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14:paraId="40EEEB29" w14:textId="77777777" w:rsidR="00627E2D" w:rsidRPr="00414345" w:rsidRDefault="00627E2D" w:rsidP="00C15CAC">
      <w:pPr>
        <w:spacing w:before="29" w:line="288" w:lineRule="auto"/>
        <w:ind w:firstLineChars="200" w:firstLine="480"/>
        <w:rPr>
          <w:color w:val="000000"/>
          <w:sz w:val="24"/>
          <w:szCs w:val="24"/>
        </w:rPr>
      </w:pPr>
    </w:p>
    <w:p w14:paraId="28C05CD6"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14:paraId="558A2DEA" w14:textId="77777777" w:rsidTr="006E6726">
        <w:trPr>
          <w:jc w:val="center"/>
        </w:trPr>
        <w:tc>
          <w:tcPr>
            <w:tcW w:w="3023" w:type="dxa"/>
            <w:vAlign w:val="center"/>
          </w:tcPr>
          <w:p w14:paraId="76B64885"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14:paraId="4A08FACC"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摩根锦颐养</w:t>
            </w:r>
            <w:proofErr w:type="gramStart"/>
            <w:r w:rsidRPr="00414345">
              <w:rPr>
                <w:color w:val="000000"/>
                <w:kern w:val="0"/>
                <w:sz w:val="24"/>
                <w:szCs w:val="24"/>
              </w:rPr>
              <w:t>老目标</w:t>
            </w:r>
            <w:proofErr w:type="gramEnd"/>
            <w:r w:rsidRPr="00414345">
              <w:rPr>
                <w:color w:val="000000"/>
                <w:kern w:val="0"/>
                <w:sz w:val="24"/>
                <w:szCs w:val="24"/>
              </w:rPr>
              <w:t>日期</w:t>
            </w:r>
            <w:r w:rsidRPr="00414345">
              <w:rPr>
                <w:color w:val="000000"/>
                <w:kern w:val="0"/>
                <w:sz w:val="24"/>
                <w:szCs w:val="24"/>
              </w:rPr>
              <w:t>2035</w:t>
            </w:r>
            <w:r w:rsidRPr="00414345">
              <w:rPr>
                <w:color w:val="000000"/>
                <w:kern w:val="0"/>
                <w:sz w:val="24"/>
                <w:szCs w:val="24"/>
              </w:rPr>
              <w:t>三年持有混合</w:t>
            </w:r>
            <w:r w:rsidRPr="00414345">
              <w:rPr>
                <w:color w:val="000000"/>
                <w:kern w:val="0"/>
                <w:sz w:val="24"/>
                <w:szCs w:val="24"/>
              </w:rPr>
              <w:t>(FOF)</w:t>
            </w:r>
          </w:p>
        </w:tc>
      </w:tr>
      <w:tr w:rsidR="00D94B8D" w:rsidRPr="00414345" w14:paraId="33C43DF5"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311040A0"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578C1310"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017788</w:t>
            </w:r>
          </w:p>
        </w:tc>
      </w:tr>
      <w:tr w:rsidR="001B2F35" w:rsidRPr="00414345" w14:paraId="488EE3EC"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0A899E20"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5C83D4FD" w14:textId="77777777"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017788</w:t>
            </w:r>
          </w:p>
        </w:tc>
      </w:tr>
      <w:tr w:rsidR="001B2F35" w:rsidRPr="00414345" w14:paraId="485AEE97" w14:textId="77777777" w:rsidTr="006E6726">
        <w:trPr>
          <w:jc w:val="center"/>
        </w:trPr>
        <w:tc>
          <w:tcPr>
            <w:tcW w:w="3023" w:type="dxa"/>
            <w:vAlign w:val="center"/>
          </w:tcPr>
          <w:p w14:paraId="2CCAB1CC"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14:paraId="7713A983"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514AC412" w14:textId="77777777" w:rsidTr="006E6726">
        <w:trPr>
          <w:jc w:val="center"/>
        </w:trPr>
        <w:tc>
          <w:tcPr>
            <w:tcW w:w="3023" w:type="dxa"/>
            <w:vAlign w:val="center"/>
          </w:tcPr>
          <w:p w14:paraId="637FF530"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14:paraId="3EEE2694"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14:paraId="3284302E" w14:textId="77777777" w:rsidTr="006E6726">
        <w:trPr>
          <w:jc w:val="center"/>
        </w:trPr>
        <w:tc>
          <w:tcPr>
            <w:tcW w:w="3023" w:type="dxa"/>
            <w:vAlign w:val="center"/>
          </w:tcPr>
          <w:p w14:paraId="3C50CB3E"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14:paraId="0291E829"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50,105,409.04</w:t>
            </w:r>
            <w:r w:rsidRPr="00414345">
              <w:rPr>
                <w:color w:val="000000"/>
                <w:kern w:val="0"/>
                <w:sz w:val="24"/>
                <w:szCs w:val="24"/>
              </w:rPr>
              <w:t>份</w:t>
            </w:r>
          </w:p>
        </w:tc>
      </w:tr>
      <w:tr w:rsidR="001B2F35" w:rsidRPr="00414345" w14:paraId="69B1A889" w14:textId="77777777" w:rsidTr="006E6726">
        <w:trPr>
          <w:jc w:val="center"/>
        </w:trPr>
        <w:tc>
          <w:tcPr>
            <w:tcW w:w="3023" w:type="dxa"/>
            <w:vAlign w:val="center"/>
          </w:tcPr>
          <w:p w14:paraId="143932E7"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14:paraId="71627865"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本基金通过资产配置及优选基金，并结合严格的风险控制，力争实现基金资产的长期稳健增值。</w:t>
            </w:r>
          </w:p>
        </w:tc>
      </w:tr>
      <w:tr w:rsidR="001B2F35" w:rsidRPr="00414345" w14:paraId="419A8732" w14:textId="77777777" w:rsidTr="006E6726">
        <w:trPr>
          <w:jc w:val="center"/>
        </w:trPr>
        <w:tc>
          <w:tcPr>
            <w:tcW w:w="3023" w:type="dxa"/>
            <w:vAlign w:val="center"/>
          </w:tcPr>
          <w:p w14:paraId="5F9B74B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14:paraId="69D8C434" w14:textId="77777777" w:rsidR="00934DFA" w:rsidRDefault="00BC614E">
            <w:pPr>
              <w:adjustRightInd w:val="0"/>
              <w:spacing w:before="29" w:line="288" w:lineRule="auto"/>
              <w:ind w:left="17"/>
              <w:jc w:val="left"/>
              <w:rPr>
                <w:color w:val="000000"/>
                <w:sz w:val="24"/>
                <w:szCs w:val="24"/>
              </w:rPr>
            </w:pPr>
            <w:r>
              <w:rPr>
                <w:color w:val="000000"/>
                <w:kern w:val="0"/>
                <w:sz w:val="24"/>
                <w:szCs w:val="24"/>
              </w:rPr>
              <w:t>本基金属于养老目标日期基金，采用目标日期投资策略。本基金的目标日期为</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日。随着目标日期的临近，本基金逐步降低所投资的权益类资产的比例，以使基金的风险收益水平与投资者所处的生命周期相匹配。</w:t>
            </w:r>
          </w:p>
          <w:p w14:paraId="3BEBDC2D" w14:textId="77777777" w:rsidR="00934DFA" w:rsidRDefault="00BC614E">
            <w:pPr>
              <w:adjustRightInd w:val="0"/>
              <w:spacing w:before="29" w:line="288" w:lineRule="auto"/>
              <w:ind w:left="17"/>
              <w:jc w:val="left"/>
              <w:rPr>
                <w:color w:val="000000"/>
                <w:sz w:val="24"/>
                <w:szCs w:val="24"/>
              </w:rPr>
            </w:pPr>
            <w:r>
              <w:rPr>
                <w:color w:val="000000"/>
                <w:kern w:val="0"/>
                <w:sz w:val="24"/>
                <w:szCs w:val="24"/>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w:t>
            </w:r>
            <w:r>
              <w:rPr>
                <w:color w:val="000000"/>
                <w:kern w:val="0"/>
                <w:sz w:val="24"/>
                <w:szCs w:val="24"/>
              </w:rPr>
              <w:lastRenderedPageBreak/>
              <w:t>险的能力提升。本基金通过下滑曲线设计，使得投资者在整个生命周期中动态配置权益类资产，平衡投资者承担风险的意愿和能力，优化投资者效用。</w:t>
            </w:r>
          </w:p>
          <w:p w14:paraId="626A89A8" w14:textId="77777777" w:rsidR="00934DFA" w:rsidRDefault="00BC614E">
            <w:pPr>
              <w:adjustRightInd w:val="0"/>
              <w:spacing w:before="29" w:line="288" w:lineRule="auto"/>
              <w:ind w:left="17"/>
              <w:jc w:val="left"/>
              <w:rPr>
                <w:color w:val="000000"/>
                <w:sz w:val="24"/>
                <w:szCs w:val="24"/>
              </w:rPr>
            </w:pPr>
            <w:r>
              <w:rPr>
                <w:color w:val="000000"/>
                <w:kern w:val="0"/>
                <w:sz w:val="24"/>
                <w:szCs w:val="24"/>
              </w:rPr>
              <w:t>本基金在目标日期</w:t>
            </w:r>
            <w:r>
              <w:rPr>
                <w:color w:val="000000"/>
                <w:kern w:val="0"/>
                <w:sz w:val="24"/>
                <w:szCs w:val="24"/>
              </w:rPr>
              <w:t>2035</w:t>
            </w:r>
            <w:r>
              <w:rPr>
                <w:color w:val="000000"/>
                <w:kern w:val="0"/>
                <w:sz w:val="24"/>
                <w:szCs w:val="24"/>
              </w:rPr>
              <w:t>年</w:t>
            </w:r>
            <w:r>
              <w:rPr>
                <w:color w:val="000000"/>
                <w:kern w:val="0"/>
                <w:sz w:val="24"/>
                <w:szCs w:val="24"/>
              </w:rPr>
              <w:t>12</w:t>
            </w:r>
            <w:r>
              <w:rPr>
                <w:color w:val="000000"/>
                <w:kern w:val="0"/>
                <w:sz w:val="24"/>
                <w:szCs w:val="24"/>
              </w:rPr>
              <w:t>月</w:t>
            </w:r>
            <w:r>
              <w:rPr>
                <w:color w:val="000000"/>
                <w:kern w:val="0"/>
                <w:sz w:val="24"/>
                <w:szCs w:val="24"/>
              </w:rPr>
              <w:t>31</w:t>
            </w:r>
            <w:r>
              <w:rPr>
                <w:color w:val="000000"/>
                <w:kern w:val="0"/>
                <w:sz w:val="24"/>
                <w:szCs w:val="24"/>
              </w:rPr>
              <w:t>日之前（含当日），权益类资产投资比例如下表所示：</w:t>
            </w:r>
          </w:p>
          <w:p w14:paraId="2C2FCDAC" w14:textId="77777777" w:rsidR="00934DFA" w:rsidRDefault="00BC614E">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14:paraId="40F1F894" w14:textId="77777777" w:rsidR="00934DFA" w:rsidRDefault="00BC614E">
            <w:pPr>
              <w:adjustRightInd w:val="0"/>
              <w:spacing w:before="29" w:line="288" w:lineRule="auto"/>
              <w:ind w:left="17"/>
              <w:jc w:val="left"/>
              <w:rPr>
                <w:color w:val="000000"/>
                <w:sz w:val="24"/>
                <w:szCs w:val="24"/>
              </w:rPr>
            </w:pPr>
            <w:r>
              <w:rPr>
                <w:color w:val="000000"/>
                <w:kern w:val="0"/>
                <w:sz w:val="24"/>
                <w:szCs w:val="24"/>
              </w:rPr>
              <w:t>基金合同生效日</w:t>
            </w:r>
            <w:r>
              <w:rPr>
                <w:color w:val="000000"/>
                <w:kern w:val="0"/>
                <w:sz w:val="24"/>
                <w:szCs w:val="24"/>
              </w:rPr>
              <w:t>-2024/12/31 25%-55%</w:t>
            </w:r>
          </w:p>
          <w:p w14:paraId="1DDA2F58" w14:textId="77777777" w:rsidR="00934DFA" w:rsidRDefault="00BC614E">
            <w:pPr>
              <w:adjustRightInd w:val="0"/>
              <w:spacing w:before="29" w:line="288" w:lineRule="auto"/>
              <w:ind w:left="17"/>
              <w:jc w:val="left"/>
              <w:rPr>
                <w:color w:val="000000"/>
                <w:sz w:val="24"/>
                <w:szCs w:val="24"/>
              </w:rPr>
            </w:pPr>
            <w:r>
              <w:rPr>
                <w:color w:val="000000"/>
                <w:kern w:val="0"/>
                <w:sz w:val="24"/>
                <w:szCs w:val="24"/>
              </w:rPr>
              <w:t>2025/01/01-2027/12/31 19%-48%</w:t>
            </w:r>
          </w:p>
          <w:p w14:paraId="5656F3D2" w14:textId="77777777" w:rsidR="00934DFA" w:rsidRDefault="00BC614E">
            <w:pPr>
              <w:adjustRightInd w:val="0"/>
              <w:spacing w:before="29" w:line="288" w:lineRule="auto"/>
              <w:ind w:left="17"/>
              <w:jc w:val="left"/>
              <w:rPr>
                <w:color w:val="000000"/>
                <w:sz w:val="24"/>
                <w:szCs w:val="24"/>
              </w:rPr>
            </w:pPr>
            <w:r>
              <w:rPr>
                <w:color w:val="000000"/>
                <w:kern w:val="0"/>
                <w:sz w:val="24"/>
                <w:szCs w:val="24"/>
              </w:rPr>
              <w:t>2028/01/01-2031/12/31 12%-42%</w:t>
            </w:r>
          </w:p>
          <w:p w14:paraId="60D4A99C" w14:textId="77777777" w:rsidR="00934DFA" w:rsidRDefault="00BC614E">
            <w:pPr>
              <w:adjustRightInd w:val="0"/>
              <w:spacing w:before="29" w:line="288" w:lineRule="auto"/>
              <w:ind w:left="17"/>
              <w:jc w:val="left"/>
              <w:rPr>
                <w:color w:val="000000"/>
                <w:sz w:val="24"/>
                <w:szCs w:val="24"/>
              </w:rPr>
            </w:pPr>
            <w:r>
              <w:rPr>
                <w:color w:val="000000"/>
                <w:kern w:val="0"/>
                <w:sz w:val="24"/>
                <w:szCs w:val="24"/>
              </w:rPr>
              <w:t>2032/01/01-2035/12/31 8%-36%</w:t>
            </w:r>
          </w:p>
          <w:p w14:paraId="597BBC35" w14:textId="77777777" w:rsidR="00934DFA" w:rsidRDefault="00BC614E">
            <w:pPr>
              <w:adjustRightInd w:val="0"/>
              <w:spacing w:before="29" w:line="288" w:lineRule="auto"/>
              <w:ind w:left="17"/>
              <w:jc w:val="left"/>
              <w:rPr>
                <w:color w:val="000000"/>
                <w:sz w:val="24"/>
                <w:szCs w:val="24"/>
              </w:rPr>
            </w:pPr>
            <w:r>
              <w:rPr>
                <w:color w:val="000000"/>
                <w:kern w:val="0"/>
                <w:sz w:val="24"/>
                <w:szCs w:val="24"/>
              </w:rPr>
              <w:t>本基金</w:t>
            </w:r>
            <w:r>
              <w:rPr>
                <w:color w:val="000000"/>
                <w:kern w:val="0"/>
                <w:sz w:val="24"/>
                <w:szCs w:val="24"/>
              </w:rPr>
              <w:t>2036</w:t>
            </w:r>
            <w:r>
              <w:rPr>
                <w:color w:val="000000"/>
                <w:kern w:val="0"/>
                <w:sz w:val="24"/>
                <w:szCs w:val="24"/>
              </w:rPr>
              <w:t>年</w:t>
            </w:r>
            <w:r>
              <w:rPr>
                <w:color w:val="000000"/>
                <w:kern w:val="0"/>
                <w:sz w:val="24"/>
                <w:szCs w:val="24"/>
              </w:rPr>
              <w:t>1</w:t>
            </w:r>
            <w:r>
              <w:rPr>
                <w:color w:val="000000"/>
                <w:kern w:val="0"/>
                <w:sz w:val="24"/>
                <w:szCs w:val="24"/>
              </w:rPr>
              <w:t>月</w:t>
            </w:r>
            <w:r>
              <w:rPr>
                <w:color w:val="000000"/>
                <w:kern w:val="0"/>
                <w:sz w:val="24"/>
                <w:szCs w:val="24"/>
              </w:rPr>
              <w:t>1</w:t>
            </w:r>
            <w:r>
              <w:rPr>
                <w:color w:val="000000"/>
                <w:kern w:val="0"/>
                <w:sz w:val="24"/>
                <w:szCs w:val="24"/>
              </w:rPr>
              <w:t>日转型为</w:t>
            </w:r>
            <w:r>
              <w:rPr>
                <w:color w:val="000000"/>
                <w:kern w:val="0"/>
                <w:sz w:val="24"/>
                <w:szCs w:val="24"/>
              </w:rPr>
              <w:t>“</w:t>
            </w:r>
            <w:r>
              <w:rPr>
                <w:color w:val="000000"/>
                <w:kern w:val="0"/>
                <w:sz w:val="24"/>
                <w:szCs w:val="24"/>
              </w:rPr>
              <w:t>摩根丰盈混合型基金中基金</w:t>
            </w:r>
            <w:r>
              <w:rPr>
                <w:color w:val="000000"/>
                <w:kern w:val="0"/>
                <w:sz w:val="24"/>
                <w:szCs w:val="24"/>
              </w:rPr>
              <w:t>(FOF)”</w:t>
            </w:r>
            <w:r>
              <w:rPr>
                <w:color w:val="000000"/>
                <w:kern w:val="0"/>
                <w:sz w:val="24"/>
                <w:szCs w:val="24"/>
              </w:rPr>
              <w:t>后，本基金将在较低的权益类资产配置比例下投资运作，权益类资产投资比例如下表所示：</w:t>
            </w:r>
          </w:p>
          <w:p w14:paraId="7AF024BA" w14:textId="77777777" w:rsidR="00934DFA" w:rsidRDefault="00BC614E">
            <w:pPr>
              <w:adjustRightInd w:val="0"/>
              <w:spacing w:before="29" w:line="288" w:lineRule="auto"/>
              <w:ind w:left="17"/>
              <w:jc w:val="left"/>
              <w:rPr>
                <w:color w:val="000000"/>
                <w:sz w:val="24"/>
                <w:szCs w:val="24"/>
              </w:rPr>
            </w:pPr>
            <w:r>
              <w:rPr>
                <w:color w:val="000000"/>
                <w:kern w:val="0"/>
                <w:sz w:val="24"/>
                <w:szCs w:val="24"/>
              </w:rPr>
              <w:t>时间段</w:t>
            </w:r>
            <w:r>
              <w:rPr>
                <w:color w:val="000000"/>
                <w:kern w:val="0"/>
                <w:sz w:val="24"/>
                <w:szCs w:val="24"/>
              </w:rPr>
              <w:t xml:space="preserve"> </w:t>
            </w:r>
            <w:r>
              <w:rPr>
                <w:color w:val="000000"/>
                <w:kern w:val="0"/>
                <w:sz w:val="24"/>
                <w:szCs w:val="24"/>
              </w:rPr>
              <w:t>权益类资产比例范围</w:t>
            </w:r>
          </w:p>
          <w:p w14:paraId="69BDEDDA" w14:textId="77777777" w:rsidR="00934DFA" w:rsidRDefault="00BC614E">
            <w:pPr>
              <w:adjustRightInd w:val="0"/>
              <w:spacing w:before="29" w:line="288" w:lineRule="auto"/>
              <w:ind w:left="17"/>
              <w:jc w:val="left"/>
              <w:rPr>
                <w:color w:val="000000"/>
                <w:sz w:val="24"/>
                <w:szCs w:val="24"/>
              </w:rPr>
            </w:pPr>
            <w:r>
              <w:rPr>
                <w:color w:val="000000"/>
                <w:kern w:val="0"/>
                <w:sz w:val="24"/>
                <w:szCs w:val="24"/>
              </w:rPr>
              <w:t>2036/01/01</w:t>
            </w:r>
            <w:r>
              <w:rPr>
                <w:color w:val="000000"/>
                <w:kern w:val="0"/>
                <w:sz w:val="24"/>
                <w:szCs w:val="24"/>
              </w:rPr>
              <w:t>起</w:t>
            </w:r>
            <w:r>
              <w:rPr>
                <w:color w:val="000000"/>
                <w:kern w:val="0"/>
                <w:sz w:val="24"/>
                <w:szCs w:val="24"/>
              </w:rPr>
              <w:t xml:space="preserve"> 0%-30%</w:t>
            </w:r>
          </w:p>
          <w:p w14:paraId="365AAED2" w14:textId="77777777" w:rsidR="00934DFA" w:rsidRDefault="00BC614E">
            <w:pPr>
              <w:adjustRightInd w:val="0"/>
              <w:spacing w:before="29" w:line="288" w:lineRule="auto"/>
              <w:ind w:left="17"/>
              <w:jc w:val="left"/>
              <w:rPr>
                <w:color w:val="000000"/>
                <w:sz w:val="24"/>
                <w:szCs w:val="24"/>
              </w:rPr>
            </w:pPr>
            <w:r>
              <w:rPr>
                <w:color w:val="000000"/>
                <w:kern w:val="0"/>
                <w:sz w:val="24"/>
                <w:szCs w:val="24"/>
              </w:rPr>
              <w:t>权益类资产指股票、股票型基金、应计入权益类资产的混合型基金；应计入权益类资产的混合型基金应符合以下两种情况之一：基金合同中明确约定股票投资占基金资产的比例为</w:t>
            </w:r>
            <w:r>
              <w:rPr>
                <w:color w:val="000000"/>
                <w:kern w:val="0"/>
                <w:sz w:val="24"/>
                <w:szCs w:val="24"/>
              </w:rPr>
              <w:t>60%</w:t>
            </w:r>
            <w:r>
              <w:rPr>
                <w:color w:val="000000"/>
                <w:kern w:val="0"/>
                <w:sz w:val="24"/>
                <w:szCs w:val="24"/>
              </w:rPr>
              <w:t>以上或者根据定期报告最近</w:t>
            </w:r>
            <w:r>
              <w:rPr>
                <w:color w:val="000000"/>
                <w:kern w:val="0"/>
                <w:sz w:val="24"/>
                <w:szCs w:val="24"/>
              </w:rPr>
              <w:t>4</w:t>
            </w:r>
            <w:r>
              <w:rPr>
                <w:color w:val="000000"/>
                <w:kern w:val="0"/>
                <w:sz w:val="24"/>
                <w:szCs w:val="24"/>
              </w:rPr>
              <w:t>个季度披露的股票投资占基金资产的比例均在</w:t>
            </w:r>
            <w:r>
              <w:rPr>
                <w:color w:val="000000"/>
                <w:kern w:val="0"/>
                <w:sz w:val="24"/>
                <w:szCs w:val="24"/>
              </w:rPr>
              <w:t>60%</w:t>
            </w:r>
            <w:r>
              <w:rPr>
                <w:color w:val="000000"/>
                <w:kern w:val="0"/>
                <w:sz w:val="24"/>
                <w:szCs w:val="24"/>
              </w:rPr>
              <w:t>以上的混合型基金。</w:t>
            </w:r>
          </w:p>
          <w:p w14:paraId="4FF173F9" w14:textId="77777777" w:rsidR="00934DFA" w:rsidRDefault="00BC614E">
            <w:pPr>
              <w:adjustRightInd w:val="0"/>
              <w:spacing w:before="29" w:line="288" w:lineRule="auto"/>
              <w:ind w:left="17"/>
              <w:jc w:val="left"/>
              <w:rPr>
                <w:color w:val="000000"/>
                <w:sz w:val="24"/>
                <w:szCs w:val="24"/>
              </w:rPr>
            </w:pPr>
            <w:r>
              <w:rPr>
                <w:color w:val="000000"/>
                <w:kern w:val="0"/>
                <w:sz w:val="24"/>
                <w:szCs w:val="24"/>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w:t>
            </w:r>
            <w:proofErr w:type="gramStart"/>
            <w:r>
              <w:rPr>
                <w:color w:val="000000"/>
                <w:kern w:val="0"/>
                <w:sz w:val="24"/>
                <w:szCs w:val="24"/>
              </w:rPr>
              <w:t>比范围</w:t>
            </w:r>
            <w:proofErr w:type="gramEnd"/>
            <w:r>
              <w:rPr>
                <w:color w:val="000000"/>
                <w:kern w:val="0"/>
                <w:sz w:val="24"/>
                <w:szCs w:val="24"/>
              </w:rPr>
              <w:t>及权益类资产的配置中枢（即下滑曲线值）。本基金在目标日期之前（含当日），权益类资产的投资比例在下滑曲线值的基础上向上偏离不超过</w:t>
            </w:r>
            <w:r>
              <w:rPr>
                <w:color w:val="000000"/>
                <w:kern w:val="0"/>
                <w:sz w:val="24"/>
                <w:szCs w:val="24"/>
              </w:rPr>
              <w:t>10%</w:t>
            </w:r>
            <w:r>
              <w:rPr>
                <w:color w:val="000000"/>
                <w:kern w:val="0"/>
                <w:sz w:val="24"/>
                <w:szCs w:val="24"/>
              </w:rPr>
              <w:t>，向下偏离不超过</w:t>
            </w:r>
            <w:r>
              <w:rPr>
                <w:color w:val="000000"/>
                <w:kern w:val="0"/>
                <w:sz w:val="24"/>
                <w:szCs w:val="24"/>
              </w:rPr>
              <w:t>15%</w:t>
            </w:r>
            <w:r>
              <w:rPr>
                <w:color w:val="000000"/>
                <w:kern w:val="0"/>
                <w:sz w:val="24"/>
                <w:szCs w:val="24"/>
              </w:rPr>
              <w:t>。如权益类资产配置比例超过上下限，基金管理人应当在</w:t>
            </w:r>
            <w:r>
              <w:rPr>
                <w:color w:val="000000"/>
                <w:kern w:val="0"/>
                <w:sz w:val="24"/>
                <w:szCs w:val="24"/>
              </w:rPr>
              <w:t>10</w:t>
            </w:r>
            <w:r>
              <w:rPr>
                <w:color w:val="000000"/>
                <w:kern w:val="0"/>
                <w:sz w:val="24"/>
                <w:szCs w:val="24"/>
              </w:rPr>
              <w:t>个交易日内进行调整。</w:t>
            </w:r>
          </w:p>
          <w:p w14:paraId="7CFAEE7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本基金采用的投资策略包括：</w:t>
            </w:r>
            <w:r w:rsidRPr="00414345">
              <w:rPr>
                <w:color w:val="000000"/>
                <w:kern w:val="0"/>
                <w:sz w:val="24"/>
                <w:szCs w:val="24"/>
              </w:rPr>
              <w:t>1</w:t>
            </w:r>
            <w:r w:rsidRPr="00414345">
              <w:rPr>
                <w:color w:val="000000"/>
                <w:kern w:val="0"/>
                <w:sz w:val="24"/>
                <w:szCs w:val="24"/>
              </w:rPr>
              <w:t>、资产配置策略；</w:t>
            </w:r>
            <w:r w:rsidRPr="00414345">
              <w:rPr>
                <w:color w:val="000000"/>
                <w:kern w:val="0"/>
                <w:sz w:val="24"/>
                <w:szCs w:val="24"/>
              </w:rPr>
              <w:t>2</w:t>
            </w:r>
            <w:r w:rsidRPr="00414345">
              <w:rPr>
                <w:color w:val="000000"/>
                <w:kern w:val="0"/>
                <w:sz w:val="24"/>
                <w:szCs w:val="24"/>
              </w:rPr>
              <w:t>、主动管理型基金投资策略；</w:t>
            </w:r>
            <w:r w:rsidRPr="00414345">
              <w:rPr>
                <w:color w:val="000000"/>
                <w:kern w:val="0"/>
                <w:sz w:val="24"/>
                <w:szCs w:val="24"/>
              </w:rPr>
              <w:t>3</w:t>
            </w:r>
            <w:r w:rsidRPr="00414345">
              <w:rPr>
                <w:color w:val="000000"/>
                <w:kern w:val="0"/>
                <w:sz w:val="24"/>
                <w:szCs w:val="24"/>
              </w:rPr>
              <w:t>、指数基金投资策略；</w:t>
            </w:r>
            <w:r w:rsidRPr="00414345">
              <w:rPr>
                <w:color w:val="000000"/>
                <w:kern w:val="0"/>
                <w:sz w:val="24"/>
                <w:szCs w:val="24"/>
              </w:rPr>
              <w:t>4</w:t>
            </w:r>
            <w:r w:rsidRPr="00414345">
              <w:rPr>
                <w:color w:val="000000"/>
                <w:kern w:val="0"/>
                <w:sz w:val="24"/>
                <w:szCs w:val="24"/>
              </w:rPr>
              <w:t>、公募</w:t>
            </w:r>
            <w:r w:rsidRPr="00414345">
              <w:rPr>
                <w:color w:val="000000"/>
                <w:kern w:val="0"/>
                <w:sz w:val="24"/>
                <w:szCs w:val="24"/>
              </w:rPr>
              <w:t>REITs</w:t>
            </w:r>
            <w:r w:rsidRPr="00414345">
              <w:rPr>
                <w:color w:val="000000"/>
                <w:kern w:val="0"/>
                <w:sz w:val="24"/>
                <w:szCs w:val="24"/>
              </w:rPr>
              <w:t>投资策略；</w:t>
            </w:r>
            <w:r w:rsidRPr="00414345">
              <w:rPr>
                <w:color w:val="000000"/>
                <w:kern w:val="0"/>
                <w:sz w:val="24"/>
                <w:szCs w:val="24"/>
              </w:rPr>
              <w:t>5</w:t>
            </w:r>
            <w:r w:rsidRPr="00414345">
              <w:rPr>
                <w:color w:val="000000"/>
                <w:kern w:val="0"/>
                <w:sz w:val="24"/>
                <w:szCs w:val="24"/>
              </w:rPr>
              <w:t>、股票投资策略；</w:t>
            </w:r>
            <w:r w:rsidRPr="00414345">
              <w:rPr>
                <w:color w:val="000000"/>
                <w:kern w:val="0"/>
                <w:sz w:val="24"/>
                <w:szCs w:val="24"/>
              </w:rPr>
              <w:t>6</w:t>
            </w:r>
            <w:r w:rsidRPr="00414345">
              <w:rPr>
                <w:color w:val="000000"/>
                <w:kern w:val="0"/>
                <w:sz w:val="24"/>
                <w:szCs w:val="24"/>
              </w:rPr>
              <w:t>、港股投资策略；</w:t>
            </w:r>
            <w:r w:rsidRPr="00414345">
              <w:rPr>
                <w:color w:val="000000"/>
                <w:kern w:val="0"/>
                <w:sz w:val="24"/>
                <w:szCs w:val="24"/>
              </w:rPr>
              <w:t>7</w:t>
            </w:r>
            <w:r w:rsidRPr="00414345">
              <w:rPr>
                <w:color w:val="000000"/>
                <w:kern w:val="0"/>
                <w:sz w:val="24"/>
                <w:szCs w:val="24"/>
              </w:rPr>
              <w:t>、债券投资策略；</w:t>
            </w:r>
            <w:r w:rsidRPr="00414345">
              <w:rPr>
                <w:color w:val="000000"/>
                <w:kern w:val="0"/>
                <w:sz w:val="24"/>
                <w:szCs w:val="24"/>
              </w:rPr>
              <w:t>8</w:t>
            </w:r>
            <w:r w:rsidRPr="00414345">
              <w:rPr>
                <w:color w:val="000000"/>
                <w:kern w:val="0"/>
                <w:sz w:val="24"/>
                <w:szCs w:val="24"/>
              </w:rPr>
              <w:t>、证券公司短期公司债</w:t>
            </w:r>
            <w:r w:rsidRPr="00414345">
              <w:rPr>
                <w:color w:val="000000"/>
                <w:kern w:val="0"/>
                <w:sz w:val="24"/>
                <w:szCs w:val="24"/>
              </w:rPr>
              <w:lastRenderedPageBreak/>
              <w:t>投资策略；</w:t>
            </w:r>
            <w:r w:rsidRPr="00414345">
              <w:rPr>
                <w:color w:val="000000"/>
                <w:kern w:val="0"/>
                <w:sz w:val="24"/>
                <w:szCs w:val="24"/>
              </w:rPr>
              <w:t>9</w:t>
            </w:r>
            <w:r w:rsidRPr="00414345">
              <w:rPr>
                <w:color w:val="000000"/>
                <w:kern w:val="0"/>
                <w:sz w:val="24"/>
                <w:szCs w:val="24"/>
              </w:rPr>
              <w:t>、资产支持证券投资策略；</w:t>
            </w:r>
            <w:r w:rsidRPr="00414345">
              <w:rPr>
                <w:color w:val="000000"/>
                <w:kern w:val="0"/>
                <w:sz w:val="24"/>
                <w:szCs w:val="24"/>
              </w:rPr>
              <w:t>10</w:t>
            </w:r>
            <w:r w:rsidRPr="00414345">
              <w:rPr>
                <w:color w:val="000000"/>
                <w:kern w:val="0"/>
                <w:sz w:val="24"/>
                <w:szCs w:val="24"/>
              </w:rPr>
              <w:t>、存托凭证投资策略。</w:t>
            </w:r>
          </w:p>
        </w:tc>
      </w:tr>
      <w:tr w:rsidR="001B2F35" w:rsidRPr="00414345" w14:paraId="13E8E9BA" w14:textId="77777777" w:rsidTr="006E6726">
        <w:trPr>
          <w:jc w:val="center"/>
        </w:trPr>
        <w:tc>
          <w:tcPr>
            <w:tcW w:w="3023" w:type="dxa"/>
            <w:vAlign w:val="center"/>
          </w:tcPr>
          <w:p w14:paraId="604165B3"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14:paraId="47E76A61"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中证</w:t>
            </w:r>
            <w:r w:rsidRPr="00414345">
              <w:rPr>
                <w:color w:val="000000"/>
                <w:kern w:val="0"/>
                <w:sz w:val="24"/>
                <w:szCs w:val="24"/>
              </w:rPr>
              <w:t>800</w:t>
            </w:r>
            <w:r w:rsidRPr="00414345">
              <w:rPr>
                <w:color w:val="000000"/>
                <w:kern w:val="0"/>
                <w:sz w:val="24"/>
                <w:szCs w:val="24"/>
              </w:rPr>
              <w:t>指数收益率</w:t>
            </w:r>
            <w:r w:rsidRPr="00414345">
              <w:rPr>
                <w:color w:val="000000"/>
                <w:kern w:val="0"/>
                <w:sz w:val="24"/>
                <w:szCs w:val="24"/>
              </w:rPr>
              <w:t>*X*95%</w:t>
            </w:r>
            <w:r w:rsidRPr="00414345">
              <w:rPr>
                <w:color w:val="000000"/>
                <w:kern w:val="0"/>
                <w:sz w:val="24"/>
                <w:szCs w:val="24"/>
              </w:rPr>
              <w:t>＋中证港股</w:t>
            </w:r>
            <w:proofErr w:type="gramStart"/>
            <w:r w:rsidRPr="00414345">
              <w:rPr>
                <w:color w:val="000000"/>
                <w:kern w:val="0"/>
                <w:sz w:val="24"/>
                <w:szCs w:val="24"/>
              </w:rPr>
              <w:t>通综合</w:t>
            </w:r>
            <w:proofErr w:type="gramEnd"/>
            <w:r w:rsidRPr="00414345">
              <w:rPr>
                <w:color w:val="000000"/>
                <w:kern w:val="0"/>
                <w:sz w:val="24"/>
                <w:szCs w:val="24"/>
              </w:rPr>
              <w:t>指数（人民币）收益率</w:t>
            </w:r>
            <w:r w:rsidRPr="00414345">
              <w:rPr>
                <w:color w:val="000000"/>
                <w:kern w:val="0"/>
                <w:sz w:val="24"/>
                <w:szCs w:val="24"/>
              </w:rPr>
              <w:t>*X*5%</w:t>
            </w:r>
            <w:r w:rsidRPr="00414345">
              <w:rPr>
                <w:color w:val="000000"/>
                <w:kern w:val="0"/>
                <w:sz w:val="24"/>
                <w:szCs w:val="24"/>
              </w:rPr>
              <w:t>＋中债</w:t>
            </w:r>
            <w:r w:rsidRPr="00414345">
              <w:rPr>
                <w:color w:val="000000"/>
                <w:kern w:val="0"/>
                <w:sz w:val="24"/>
                <w:szCs w:val="24"/>
              </w:rPr>
              <w:t>-</w:t>
            </w:r>
            <w:r w:rsidRPr="00414345">
              <w:rPr>
                <w:color w:val="000000"/>
                <w:kern w:val="0"/>
                <w:sz w:val="24"/>
                <w:szCs w:val="24"/>
              </w:rPr>
              <w:t>综合全价（总值）指数收益率</w:t>
            </w:r>
            <w:r w:rsidRPr="00414345">
              <w:rPr>
                <w:color w:val="000000"/>
                <w:kern w:val="0"/>
                <w:sz w:val="24"/>
                <w:szCs w:val="24"/>
              </w:rPr>
              <w:t>*(90%-X)+</w:t>
            </w:r>
            <w:r w:rsidRPr="00414345">
              <w:rPr>
                <w:color w:val="000000"/>
                <w:kern w:val="0"/>
                <w:sz w:val="24"/>
                <w:szCs w:val="24"/>
              </w:rPr>
              <w:t>活期存款利率（税后）</w:t>
            </w:r>
            <w:r w:rsidRPr="00414345">
              <w:rPr>
                <w:color w:val="000000"/>
                <w:kern w:val="0"/>
                <w:sz w:val="24"/>
                <w:szCs w:val="24"/>
              </w:rPr>
              <w:t>*10%</w:t>
            </w:r>
            <w:r w:rsidRPr="00414345">
              <w:rPr>
                <w:color w:val="000000"/>
                <w:kern w:val="0"/>
                <w:sz w:val="24"/>
                <w:szCs w:val="24"/>
              </w:rPr>
              <w:t>，其中</w:t>
            </w:r>
            <w:r w:rsidRPr="00414345">
              <w:rPr>
                <w:color w:val="000000"/>
                <w:kern w:val="0"/>
                <w:sz w:val="24"/>
                <w:szCs w:val="24"/>
              </w:rPr>
              <w:t>X</w:t>
            </w:r>
            <w:r w:rsidRPr="00414345">
              <w:rPr>
                <w:color w:val="000000"/>
                <w:kern w:val="0"/>
                <w:sz w:val="24"/>
                <w:szCs w:val="24"/>
              </w:rPr>
              <w:t>即本基金各年的下滑曲线值，按招募说明书的规定执行。</w:t>
            </w:r>
          </w:p>
        </w:tc>
      </w:tr>
      <w:tr w:rsidR="001B2F35" w:rsidRPr="00414345" w14:paraId="38A8C190" w14:textId="77777777" w:rsidTr="006E6726">
        <w:trPr>
          <w:jc w:val="center"/>
        </w:trPr>
        <w:tc>
          <w:tcPr>
            <w:tcW w:w="3023" w:type="dxa"/>
            <w:vAlign w:val="center"/>
          </w:tcPr>
          <w:p w14:paraId="695B39E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14:paraId="6BC9D2C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本基金属于混合型基金中基金，预期风险和收益水平低于股票型基金中基金，高于债券型基金中基金和货币型基金中基金。本基金可投资香港联合交易所上市的股票，将面临港股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14:paraId="76A9048E" w14:textId="77777777" w:rsidTr="006E6726">
        <w:trPr>
          <w:jc w:val="center"/>
        </w:trPr>
        <w:tc>
          <w:tcPr>
            <w:tcW w:w="3023" w:type="dxa"/>
            <w:vAlign w:val="center"/>
          </w:tcPr>
          <w:p w14:paraId="3D16890E"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14:paraId="2494AC77"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摩根基金管理（中国）有限公司</w:t>
            </w:r>
          </w:p>
        </w:tc>
      </w:tr>
      <w:tr w:rsidR="001B2F35" w:rsidRPr="00414345" w14:paraId="09BE1ABC" w14:textId="77777777" w:rsidTr="006E6726">
        <w:trPr>
          <w:jc w:val="center"/>
        </w:trPr>
        <w:tc>
          <w:tcPr>
            <w:tcW w:w="3023" w:type="dxa"/>
            <w:vAlign w:val="center"/>
          </w:tcPr>
          <w:p w14:paraId="4D20A5AF"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14:paraId="78810C34"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14:paraId="5D144AE1"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6E89767F"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2A93E16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063AB1E4"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C614E" w:rsidRPr="00414345" w14:paraId="0BAAEF75" w14:textId="77777777" w:rsidTr="00BC614E">
        <w:trPr>
          <w:jc w:val="center"/>
        </w:trPr>
        <w:tc>
          <w:tcPr>
            <w:tcW w:w="3402" w:type="dxa"/>
            <w:vAlign w:val="center"/>
          </w:tcPr>
          <w:p w14:paraId="14C73546"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39536FCF"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50F52693"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C614E" w:rsidRPr="00414345" w14:paraId="34383397" w14:textId="77777777" w:rsidTr="00BC614E">
        <w:trPr>
          <w:jc w:val="center"/>
        </w:trPr>
        <w:tc>
          <w:tcPr>
            <w:tcW w:w="3402" w:type="dxa"/>
            <w:vAlign w:val="center"/>
          </w:tcPr>
          <w:p w14:paraId="37B116C6"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1FC37768"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-98,776.14</w:t>
            </w:r>
          </w:p>
        </w:tc>
      </w:tr>
      <w:tr w:rsidR="00BC614E" w:rsidRPr="00414345" w14:paraId="3DF9DCBD" w14:textId="77777777" w:rsidTr="00BC614E">
        <w:trPr>
          <w:jc w:val="center"/>
        </w:trPr>
        <w:tc>
          <w:tcPr>
            <w:tcW w:w="3402" w:type="dxa"/>
            <w:vAlign w:val="center"/>
          </w:tcPr>
          <w:p w14:paraId="6B2004FD"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466C55A5"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3,388,835.31</w:t>
            </w:r>
          </w:p>
        </w:tc>
      </w:tr>
      <w:tr w:rsidR="00BC614E" w:rsidRPr="00414345" w14:paraId="56947D70" w14:textId="77777777" w:rsidTr="00BC614E">
        <w:trPr>
          <w:jc w:val="center"/>
        </w:trPr>
        <w:tc>
          <w:tcPr>
            <w:tcW w:w="3402" w:type="dxa"/>
            <w:vAlign w:val="center"/>
          </w:tcPr>
          <w:p w14:paraId="35962709"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5C645F15"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0.0676</w:t>
            </w:r>
          </w:p>
        </w:tc>
      </w:tr>
      <w:tr w:rsidR="00BC614E" w:rsidRPr="00414345" w14:paraId="32B0BAFD" w14:textId="77777777" w:rsidTr="00BC614E">
        <w:trPr>
          <w:jc w:val="center"/>
        </w:trPr>
        <w:tc>
          <w:tcPr>
            <w:tcW w:w="3402" w:type="dxa"/>
            <w:vAlign w:val="center"/>
          </w:tcPr>
          <w:p w14:paraId="199D04C9"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37CD575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47,182,015.44</w:t>
            </w:r>
          </w:p>
        </w:tc>
      </w:tr>
      <w:tr w:rsidR="00BC614E" w:rsidRPr="00414345" w14:paraId="695DFD66" w14:textId="77777777" w:rsidTr="00BC614E">
        <w:trPr>
          <w:trHeight w:val="158"/>
          <w:jc w:val="center"/>
        </w:trPr>
        <w:tc>
          <w:tcPr>
            <w:tcW w:w="3402" w:type="dxa"/>
            <w:vAlign w:val="center"/>
          </w:tcPr>
          <w:p w14:paraId="410251B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11053F69"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0.9417</w:t>
            </w:r>
          </w:p>
        </w:tc>
      </w:tr>
    </w:tbl>
    <w:p w14:paraId="55CF2285" w14:textId="77777777" w:rsidR="00934DFA" w:rsidRDefault="00BC614E">
      <w:pPr>
        <w:autoSpaceDE w:val="0"/>
        <w:autoSpaceDN w:val="0"/>
        <w:adjustRightInd w:val="0"/>
        <w:spacing w:before="29" w:line="288" w:lineRule="auto"/>
        <w:jc w:val="left"/>
        <w:rPr>
          <w:color w:val="000000"/>
          <w:sz w:val="24"/>
          <w:szCs w:val="24"/>
        </w:rPr>
      </w:pPr>
      <w:r>
        <w:rPr>
          <w:color w:val="000000"/>
          <w:sz w:val="24"/>
          <w:szCs w:val="24"/>
        </w:rPr>
        <w:t>注：本期已实现收益指基金本期利息收入、投资收益、其他收入</w:t>
      </w:r>
      <w:r>
        <w:rPr>
          <w:color w:val="000000"/>
          <w:sz w:val="24"/>
          <w:szCs w:val="24"/>
        </w:rPr>
        <w:t>(</w:t>
      </w:r>
      <w:r>
        <w:rPr>
          <w:color w:val="000000"/>
          <w:sz w:val="24"/>
          <w:szCs w:val="24"/>
        </w:rPr>
        <w:t>不含公允价值变动收益</w:t>
      </w:r>
      <w:r>
        <w:rPr>
          <w:color w:val="000000"/>
          <w:sz w:val="24"/>
          <w:szCs w:val="24"/>
        </w:rPr>
        <w:t>)</w:t>
      </w:r>
      <w:r>
        <w:rPr>
          <w:color w:val="000000"/>
          <w:sz w:val="24"/>
          <w:szCs w:val="24"/>
        </w:rPr>
        <w:t>扣除相关费用后的余额，本期利润为本期已实现收益加上本期公允价值变动收益。</w:t>
      </w:r>
      <w:r>
        <w:rPr>
          <w:color w:val="000000"/>
          <w:sz w:val="24"/>
          <w:szCs w:val="24"/>
        </w:rPr>
        <w:t xml:space="preserve"> </w:t>
      </w:r>
    </w:p>
    <w:p w14:paraId="066C3AD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上述基金业绩指标不包括持有人认购或交易基金的各项费用（例如，开放式基金的申购赎回费、红利再投资费、基金转换费等），计入费用后实际收益水平要低于所列数字。</w:t>
      </w:r>
    </w:p>
    <w:p w14:paraId="0118DFA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248FC4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35043918"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56D7FA75" w14:textId="77777777" w:rsidTr="00A324F4">
        <w:trPr>
          <w:jc w:val="center"/>
        </w:trPr>
        <w:tc>
          <w:tcPr>
            <w:tcW w:w="1614" w:type="dxa"/>
            <w:vAlign w:val="center"/>
          </w:tcPr>
          <w:p w14:paraId="7E0F1D40"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24E22C68"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w:t>
            </w:r>
            <w:r w:rsidRPr="00414345">
              <w:rPr>
                <w:color w:val="000000"/>
                <w:sz w:val="24"/>
                <w:szCs w:val="24"/>
              </w:rPr>
              <w:lastRenderedPageBreak/>
              <w:t>长率</w:t>
            </w:r>
            <w:r w:rsidRPr="00414345">
              <w:rPr>
                <w:rFonts w:hAnsi="宋体"/>
                <w:color w:val="000000"/>
                <w:sz w:val="24"/>
                <w:szCs w:val="24"/>
              </w:rPr>
              <w:t>①</w:t>
            </w:r>
          </w:p>
        </w:tc>
        <w:tc>
          <w:tcPr>
            <w:tcW w:w="1276" w:type="dxa"/>
            <w:vAlign w:val="center"/>
          </w:tcPr>
          <w:p w14:paraId="13CE4F4D"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净值增长</w:t>
            </w:r>
            <w:r w:rsidRPr="00414345">
              <w:rPr>
                <w:color w:val="000000"/>
                <w:sz w:val="24"/>
                <w:szCs w:val="24"/>
              </w:rPr>
              <w:lastRenderedPageBreak/>
              <w:t>率标准差</w:t>
            </w:r>
            <w:r w:rsidRPr="00414345">
              <w:rPr>
                <w:rFonts w:hAnsi="宋体"/>
                <w:color w:val="000000"/>
                <w:sz w:val="24"/>
                <w:szCs w:val="24"/>
              </w:rPr>
              <w:t>②</w:t>
            </w:r>
          </w:p>
        </w:tc>
        <w:tc>
          <w:tcPr>
            <w:tcW w:w="1134" w:type="dxa"/>
            <w:vAlign w:val="center"/>
          </w:tcPr>
          <w:p w14:paraId="6CC4F551"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w:t>
            </w:r>
            <w:r w:rsidRPr="00414345">
              <w:rPr>
                <w:color w:val="000000"/>
                <w:sz w:val="24"/>
                <w:szCs w:val="24"/>
              </w:rPr>
              <w:lastRenderedPageBreak/>
              <w:t>基准收益率</w:t>
            </w:r>
            <w:r w:rsidRPr="00414345">
              <w:rPr>
                <w:rFonts w:hAnsi="宋体"/>
                <w:color w:val="000000"/>
                <w:sz w:val="24"/>
                <w:szCs w:val="24"/>
              </w:rPr>
              <w:t>③</w:t>
            </w:r>
          </w:p>
        </w:tc>
        <w:tc>
          <w:tcPr>
            <w:tcW w:w="1417" w:type="dxa"/>
            <w:vAlign w:val="center"/>
          </w:tcPr>
          <w:p w14:paraId="5B04150B"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w:t>
            </w:r>
            <w:r w:rsidRPr="00414345">
              <w:rPr>
                <w:color w:val="000000"/>
                <w:sz w:val="24"/>
                <w:szCs w:val="24"/>
              </w:rPr>
              <w:lastRenderedPageBreak/>
              <w:t>准收益率标准差</w:t>
            </w:r>
            <w:r w:rsidRPr="00414345">
              <w:rPr>
                <w:rFonts w:hAnsi="宋体"/>
                <w:color w:val="000000"/>
                <w:sz w:val="24"/>
                <w:szCs w:val="24"/>
              </w:rPr>
              <w:t>④</w:t>
            </w:r>
          </w:p>
        </w:tc>
        <w:tc>
          <w:tcPr>
            <w:tcW w:w="1134" w:type="dxa"/>
            <w:vAlign w:val="center"/>
          </w:tcPr>
          <w:p w14:paraId="46A82122"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14:paraId="3B0C02E6"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34DFA" w14:paraId="04A148CA" w14:textId="77777777">
        <w:trPr>
          <w:jc w:val="center"/>
        </w:trPr>
        <w:tc>
          <w:tcPr>
            <w:tcW w:w="1701" w:type="dxa"/>
            <w:vAlign w:val="center"/>
          </w:tcPr>
          <w:p w14:paraId="36B05097" w14:textId="77777777" w:rsidR="00934DFA" w:rsidRDefault="00BC614E">
            <w:pPr>
              <w:jc w:val="left"/>
            </w:pPr>
            <w:r>
              <w:rPr>
                <w:color w:val="000000"/>
                <w:sz w:val="24"/>
                <w:szCs w:val="24"/>
              </w:rPr>
              <w:t>过去三个月</w:t>
            </w:r>
          </w:p>
        </w:tc>
        <w:tc>
          <w:tcPr>
            <w:tcW w:w="1045" w:type="dxa"/>
            <w:vAlign w:val="center"/>
          </w:tcPr>
          <w:p w14:paraId="251094E3" w14:textId="77777777" w:rsidR="00934DFA" w:rsidRDefault="00BC614E">
            <w:pPr>
              <w:jc w:val="center"/>
            </w:pPr>
            <w:r>
              <w:rPr>
                <w:color w:val="000000"/>
                <w:sz w:val="24"/>
                <w:szCs w:val="24"/>
              </w:rPr>
              <w:t>7.75%</w:t>
            </w:r>
          </w:p>
        </w:tc>
        <w:tc>
          <w:tcPr>
            <w:tcW w:w="1344" w:type="dxa"/>
            <w:vAlign w:val="center"/>
          </w:tcPr>
          <w:p w14:paraId="082C8EC0" w14:textId="77777777" w:rsidR="00934DFA" w:rsidRDefault="00BC614E">
            <w:pPr>
              <w:jc w:val="center"/>
            </w:pPr>
            <w:r>
              <w:rPr>
                <w:color w:val="000000"/>
                <w:sz w:val="24"/>
                <w:szCs w:val="24"/>
              </w:rPr>
              <w:t>0.98%</w:t>
            </w:r>
          </w:p>
        </w:tc>
        <w:tc>
          <w:tcPr>
            <w:tcW w:w="1194" w:type="dxa"/>
            <w:vAlign w:val="center"/>
          </w:tcPr>
          <w:p w14:paraId="306D1DC3" w14:textId="77777777" w:rsidR="00934DFA" w:rsidRDefault="00BC614E">
            <w:pPr>
              <w:jc w:val="center"/>
            </w:pPr>
            <w:r>
              <w:rPr>
                <w:color w:val="000000"/>
                <w:sz w:val="24"/>
                <w:szCs w:val="24"/>
              </w:rPr>
              <w:t>6.92%</w:t>
            </w:r>
          </w:p>
        </w:tc>
        <w:tc>
          <w:tcPr>
            <w:tcW w:w="1492" w:type="dxa"/>
            <w:vAlign w:val="center"/>
          </w:tcPr>
          <w:p w14:paraId="651B9CA7" w14:textId="77777777" w:rsidR="00934DFA" w:rsidRDefault="00BC614E">
            <w:pPr>
              <w:jc w:val="center"/>
            </w:pPr>
            <w:r>
              <w:rPr>
                <w:color w:val="000000"/>
                <w:sz w:val="24"/>
                <w:szCs w:val="24"/>
              </w:rPr>
              <w:t>0.66%</w:t>
            </w:r>
          </w:p>
        </w:tc>
        <w:tc>
          <w:tcPr>
            <w:tcW w:w="1194" w:type="dxa"/>
            <w:vAlign w:val="center"/>
          </w:tcPr>
          <w:p w14:paraId="6F559233" w14:textId="77777777" w:rsidR="00934DFA" w:rsidRDefault="00BC614E">
            <w:pPr>
              <w:jc w:val="center"/>
            </w:pPr>
            <w:r>
              <w:rPr>
                <w:color w:val="000000"/>
                <w:sz w:val="24"/>
                <w:szCs w:val="24"/>
              </w:rPr>
              <w:t>0.83%</w:t>
            </w:r>
          </w:p>
        </w:tc>
        <w:tc>
          <w:tcPr>
            <w:tcW w:w="898" w:type="dxa"/>
            <w:vAlign w:val="center"/>
          </w:tcPr>
          <w:p w14:paraId="40D69F12" w14:textId="77777777" w:rsidR="00934DFA" w:rsidRDefault="00BC614E">
            <w:pPr>
              <w:jc w:val="center"/>
            </w:pPr>
            <w:r>
              <w:rPr>
                <w:color w:val="000000"/>
                <w:sz w:val="24"/>
                <w:szCs w:val="24"/>
              </w:rPr>
              <w:t>0.32%</w:t>
            </w:r>
          </w:p>
        </w:tc>
      </w:tr>
      <w:tr w:rsidR="00934DFA" w14:paraId="6A418A38" w14:textId="77777777">
        <w:trPr>
          <w:jc w:val="center"/>
        </w:trPr>
        <w:tc>
          <w:tcPr>
            <w:tcW w:w="1701" w:type="dxa"/>
            <w:vAlign w:val="center"/>
          </w:tcPr>
          <w:p w14:paraId="3A72194B" w14:textId="77777777" w:rsidR="00934DFA" w:rsidRDefault="00BC614E">
            <w:pPr>
              <w:jc w:val="left"/>
            </w:pPr>
            <w:r>
              <w:rPr>
                <w:color w:val="000000"/>
                <w:sz w:val="24"/>
                <w:szCs w:val="24"/>
              </w:rPr>
              <w:t>过去六个月</w:t>
            </w:r>
          </w:p>
        </w:tc>
        <w:tc>
          <w:tcPr>
            <w:tcW w:w="1045" w:type="dxa"/>
            <w:vAlign w:val="center"/>
          </w:tcPr>
          <w:p w14:paraId="464116A8" w14:textId="77777777" w:rsidR="00934DFA" w:rsidRDefault="00BC614E">
            <w:pPr>
              <w:jc w:val="center"/>
            </w:pPr>
            <w:r>
              <w:rPr>
                <w:color w:val="000000"/>
                <w:sz w:val="24"/>
                <w:szCs w:val="24"/>
              </w:rPr>
              <w:t>7.16%</w:t>
            </w:r>
          </w:p>
        </w:tc>
        <w:tc>
          <w:tcPr>
            <w:tcW w:w="1344" w:type="dxa"/>
            <w:vAlign w:val="center"/>
          </w:tcPr>
          <w:p w14:paraId="4A0EFEA7" w14:textId="77777777" w:rsidR="00934DFA" w:rsidRDefault="00BC614E">
            <w:pPr>
              <w:jc w:val="center"/>
            </w:pPr>
            <w:r>
              <w:rPr>
                <w:color w:val="000000"/>
                <w:sz w:val="24"/>
                <w:szCs w:val="24"/>
              </w:rPr>
              <w:t>0.79%</w:t>
            </w:r>
          </w:p>
        </w:tc>
        <w:tc>
          <w:tcPr>
            <w:tcW w:w="1194" w:type="dxa"/>
            <w:vAlign w:val="center"/>
          </w:tcPr>
          <w:p w14:paraId="3C4C1B6B" w14:textId="77777777" w:rsidR="00934DFA" w:rsidRDefault="00BC614E">
            <w:pPr>
              <w:jc w:val="center"/>
            </w:pPr>
            <w:r>
              <w:rPr>
                <w:color w:val="000000"/>
                <w:sz w:val="24"/>
                <w:szCs w:val="24"/>
              </w:rPr>
              <w:t>6.31%</w:t>
            </w:r>
          </w:p>
        </w:tc>
        <w:tc>
          <w:tcPr>
            <w:tcW w:w="1492" w:type="dxa"/>
            <w:vAlign w:val="center"/>
          </w:tcPr>
          <w:p w14:paraId="4EC4AE0A" w14:textId="77777777" w:rsidR="00934DFA" w:rsidRDefault="00BC614E">
            <w:pPr>
              <w:jc w:val="center"/>
            </w:pPr>
            <w:r>
              <w:rPr>
                <w:color w:val="000000"/>
                <w:sz w:val="24"/>
                <w:szCs w:val="24"/>
              </w:rPr>
              <w:t>0.53%</w:t>
            </w:r>
          </w:p>
        </w:tc>
        <w:tc>
          <w:tcPr>
            <w:tcW w:w="1194" w:type="dxa"/>
            <w:vAlign w:val="center"/>
          </w:tcPr>
          <w:p w14:paraId="6A558B20" w14:textId="77777777" w:rsidR="00934DFA" w:rsidRDefault="00BC614E">
            <w:pPr>
              <w:jc w:val="center"/>
            </w:pPr>
            <w:r>
              <w:rPr>
                <w:color w:val="000000"/>
                <w:sz w:val="24"/>
                <w:szCs w:val="24"/>
              </w:rPr>
              <w:t>0.85%</w:t>
            </w:r>
          </w:p>
        </w:tc>
        <w:tc>
          <w:tcPr>
            <w:tcW w:w="898" w:type="dxa"/>
            <w:vAlign w:val="center"/>
          </w:tcPr>
          <w:p w14:paraId="6EC72E21" w14:textId="77777777" w:rsidR="00934DFA" w:rsidRDefault="00BC614E">
            <w:pPr>
              <w:jc w:val="center"/>
            </w:pPr>
            <w:r>
              <w:rPr>
                <w:color w:val="000000"/>
                <w:sz w:val="24"/>
                <w:szCs w:val="24"/>
              </w:rPr>
              <w:t>0.26%</w:t>
            </w:r>
          </w:p>
        </w:tc>
      </w:tr>
      <w:tr w:rsidR="00934DFA" w14:paraId="59FD06D8" w14:textId="77777777">
        <w:trPr>
          <w:jc w:val="center"/>
        </w:trPr>
        <w:tc>
          <w:tcPr>
            <w:tcW w:w="1701" w:type="dxa"/>
            <w:vAlign w:val="center"/>
          </w:tcPr>
          <w:p w14:paraId="6F606546" w14:textId="77777777" w:rsidR="00934DFA" w:rsidRDefault="00BC614E">
            <w:pPr>
              <w:jc w:val="left"/>
            </w:pPr>
            <w:r>
              <w:rPr>
                <w:color w:val="000000"/>
                <w:sz w:val="24"/>
                <w:szCs w:val="24"/>
              </w:rPr>
              <w:t>过去一年</w:t>
            </w:r>
          </w:p>
        </w:tc>
        <w:tc>
          <w:tcPr>
            <w:tcW w:w="1045" w:type="dxa"/>
            <w:vAlign w:val="center"/>
          </w:tcPr>
          <w:p w14:paraId="601A33F3" w14:textId="77777777" w:rsidR="00934DFA" w:rsidRDefault="00BC614E">
            <w:pPr>
              <w:jc w:val="center"/>
            </w:pPr>
            <w:r>
              <w:rPr>
                <w:color w:val="000000"/>
                <w:sz w:val="24"/>
                <w:szCs w:val="24"/>
              </w:rPr>
              <w:t>1.88%</w:t>
            </w:r>
          </w:p>
        </w:tc>
        <w:tc>
          <w:tcPr>
            <w:tcW w:w="1344" w:type="dxa"/>
            <w:vAlign w:val="center"/>
          </w:tcPr>
          <w:p w14:paraId="6847E57D" w14:textId="77777777" w:rsidR="00934DFA" w:rsidRDefault="00BC614E">
            <w:pPr>
              <w:jc w:val="center"/>
            </w:pPr>
            <w:r>
              <w:rPr>
                <w:color w:val="000000"/>
                <w:sz w:val="24"/>
                <w:szCs w:val="24"/>
              </w:rPr>
              <w:t>0.74%</w:t>
            </w:r>
          </w:p>
        </w:tc>
        <w:tc>
          <w:tcPr>
            <w:tcW w:w="1194" w:type="dxa"/>
            <w:vAlign w:val="center"/>
          </w:tcPr>
          <w:p w14:paraId="293BE20D" w14:textId="77777777" w:rsidR="00934DFA" w:rsidRDefault="00BC614E">
            <w:pPr>
              <w:jc w:val="center"/>
            </w:pPr>
            <w:r>
              <w:rPr>
                <w:color w:val="000000"/>
                <w:sz w:val="24"/>
                <w:szCs w:val="24"/>
              </w:rPr>
              <w:t>5.35%</w:t>
            </w:r>
          </w:p>
        </w:tc>
        <w:tc>
          <w:tcPr>
            <w:tcW w:w="1492" w:type="dxa"/>
            <w:vAlign w:val="center"/>
          </w:tcPr>
          <w:p w14:paraId="795BC6F0" w14:textId="77777777" w:rsidR="00934DFA" w:rsidRDefault="00BC614E">
            <w:pPr>
              <w:jc w:val="center"/>
            </w:pPr>
            <w:r>
              <w:rPr>
                <w:color w:val="000000"/>
                <w:sz w:val="24"/>
                <w:szCs w:val="24"/>
              </w:rPr>
              <w:t>0.47%</w:t>
            </w:r>
          </w:p>
        </w:tc>
        <w:tc>
          <w:tcPr>
            <w:tcW w:w="1194" w:type="dxa"/>
            <w:vAlign w:val="center"/>
          </w:tcPr>
          <w:p w14:paraId="50EBEA8F" w14:textId="77777777" w:rsidR="00934DFA" w:rsidRDefault="00BC614E">
            <w:pPr>
              <w:jc w:val="center"/>
            </w:pPr>
            <w:r>
              <w:rPr>
                <w:color w:val="000000"/>
                <w:sz w:val="24"/>
                <w:szCs w:val="24"/>
              </w:rPr>
              <w:t>-3.47%</w:t>
            </w:r>
          </w:p>
        </w:tc>
        <w:tc>
          <w:tcPr>
            <w:tcW w:w="898" w:type="dxa"/>
            <w:vAlign w:val="center"/>
          </w:tcPr>
          <w:p w14:paraId="05925615" w14:textId="77777777" w:rsidR="00934DFA" w:rsidRDefault="00BC614E">
            <w:pPr>
              <w:jc w:val="center"/>
            </w:pPr>
            <w:r>
              <w:rPr>
                <w:color w:val="000000"/>
                <w:sz w:val="24"/>
                <w:szCs w:val="24"/>
              </w:rPr>
              <w:t>0.27%</w:t>
            </w:r>
          </w:p>
        </w:tc>
      </w:tr>
      <w:tr w:rsidR="00934DFA" w14:paraId="38594A47" w14:textId="77777777">
        <w:trPr>
          <w:jc w:val="center"/>
        </w:trPr>
        <w:tc>
          <w:tcPr>
            <w:tcW w:w="1701" w:type="dxa"/>
            <w:vAlign w:val="center"/>
          </w:tcPr>
          <w:p w14:paraId="5AFC748B" w14:textId="77777777" w:rsidR="00934DFA" w:rsidRDefault="00BC614E">
            <w:pPr>
              <w:jc w:val="left"/>
            </w:pPr>
            <w:r>
              <w:rPr>
                <w:color w:val="000000"/>
                <w:sz w:val="24"/>
                <w:szCs w:val="24"/>
              </w:rPr>
              <w:t>过去三年</w:t>
            </w:r>
          </w:p>
        </w:tc>
        <w:tc>
          <w:tcPr>
            <w:tcW w:w="1045" w:type="dxa"/>
            <w:vAlign w:val="center"/>
          </w:tcPr>
          <w:p w14:paraId="220FDDCD" w14:textId="77777777" w:rsidR="00934DFA" w:rsidRDefault="00BC614E">
            <w:pPr>
              <w:jc w:val="center"/>
            </w:pPr>
            <w:r>
              <w:rPr>
                <w:color w:val="000000"/>
                <w:sz w:val="24"/>
                <w:szCs w:val="24"/>
              </w:rPr>
              <w:t>-</w:t>
            </w:r>
          </w:p>
        </w:tc>
        <w:tc>
          <w:tcPr>
            <w:tcW w:w="1344" w:type="dxa"/>
            <w:vAlign w:val="center"/>
          </w:tcPr>
          <w:p w14:paraId="55BCCB20" w14:textId="77777777" w:rsidR="00934DFA" w:rsidRDefault="00BC614E">
            <w:pPr>
              <w:jc w:val="center"/>
            </w:pPr>
            <w:r>
              <w:rPr>
                <w:color w:val="000000"/>
                <w:sz w:val="24"/>
                <w:szCs w:val="24"/>
              </w:rPr>
              <w:t>-</w:t>
            </w:r>
          </w:p>
        </w:tc>
        <w:tc>
          <w:tcPr>
            <w:tcW w:w="1194" w:type="dxa"/>
            <w:vAlign w:val="center"/>
          </w:tcPr>
          <w:p w14:paraId="46C979AB" w14:textId="77777777" w:rsidR="00934DFA" w:rsidRDefault="00BC614E">
            <w:pPr>
              <w:jc w:val="center"/>
            </w:pPr>
            <w:r>
              <w:rPr>
                <w:color w:val="000000"/>
                <w:sz w:val="24"/>
                <w:szCs w:val="24"/>
              </w:rPr>
              <w:t>-</w:t>
            </w:r>
          </w:p>
        </w:tc>
        <w:tc>
          <w:tcPr>
            <w:tcW w:w="1492" w:type="dxa"/>
            <w:vAlign w:val="center"/>
          </w:tcPr>
          <w:p w14:paraId="3A4D764E" w14:textId="77777777" w:rsidR="00934DFA" w:rsidRDefault="00BC614E">
            <w:pPr>
              <w:jc w:val="center"/>
            </w:pPr>
            <w:r>
              <w:rPr>
                <w:color w:val="000000"/>
                <w:sz w:val="24"/>
                <w:szCs w:val="24"/>
              </w:rPr>
              <w:t>-</w:t>
            </w:r>
          </w:p>
        </w:tc>
        <w:tc>
          <w:tcPr>
            <w:tcW w:w="1194" w:type="dxa"/>
            <w:vAlign w:val="center"/>
          </w:tcPr>
          <w:p w14:paraId="48C0585D" w14:textId="77777777" w:rsidR="00934DFA" w:rsidRDefault="00BC614E">
            <w:pPr>
              <w:jc w:val="center"/>
            </w:pPr>
            <w:r>
              <w:rPr>
                <w:color w:val="000000"/>
                <w:sz w:val="24"/>
                <w:szCs w:val="24"/>
              </w:rPr>
              <w:t>-</w:t>
            </w:r>
          </w:p>
        </w:tc>
        <w:tc>
          <w:tcPr>
            <w:tcW w:w="898" w:type="dxa"/>
            <w:vAlign w:val="center"/>
          </w:tcPr>
          <w:p w14:paraId="160AD34F" w14:textId="77777777" w:rsidR="00934DFA" w:rsidRDefault="00BC614E">
            <w:pPr>
              <w:jc w:val="center"/>
            </w:pPr>
            <w:r>
              <w:rPr>
                <w:color w:val="000000"/>
                <w:sz w:val="24"/>
                <w:szCs w:val="24"/>
              </w:rPr>
              <w:t>-</w:t>
            </w:r>
          </w:p>
        </w:tc>
      </w:tr>
      <w:tr w:rsidR="00934DFA" w14:paraId="0CD66000" w14:textId="77777777">
        <w:trPr>
          <w:jc w:val="center"/>
        </w:trPr>
        <w:tc>
          <w:tcPr>
            <w:tcW w:w="1701" w:type="dxa"/>
            <w:vAlign w:val="center"/>
          </w:tcPr>
          <w:p w14:paraId="548351B2" w14:textId="77777777" w:rsidR="00934DFA" w:rsidRDefault="00BC614E">
            <w:pPr>
              <w:jc w:val="left"/>
            </w:pPr>
            <w:r>
              <w:rPr>
                <w:color w:val="000000"/>
                <w:sz w:val="24"/>
                <w:szCs w:val="24"/>
              </w:rPr>
              <w:t>过去五年</w:t>
            </w:r>
          </w:p>
        </w:tc>
        <w:tc>
          <w:tcPr>
            <w:tcW w:w="1045" w:type="dxa"/>
            <w:vAlign w:val="center"/>
          </w:tcPr>
          <w:p w14:paraId="4CE1F394" w14:textId="77777777" w:rsidR="00934DFA" w:rsidRDefault="00BC614E">
            <w:pPr>
              <w:jc w:val="center"/>
            </w:pPr>
            <w:r>
              <w:rPr>
                <w:color w:val="000000"/>
                <w:sz w:val="24"/>
                <w:szCs w:val="24"/>
              </w:rPr>
              <w:t>-</w:t>
            </w:r>
          </w:p>
        </w:tc>
        <w:tc>
          <w:tcPr>
            <w:tcW w:w="1344" w:type="dxa"/>
            <w:vAlign w:val="center"/>
          </w:tcPr>
          <w:p w14:paraId="134A4D69" w14:textId="77777777" w:rsidR="00934DFA" w:rsidRDefault="00BC614E">
            <w:pPr>
              <w:jc w:val="center"/>
            </w:pPr>
            <w:r>
              <w:rPr>
                <w:color w:val="000000"/>
                <w:sz w:val="24"/>
                <w:szCs w:val="24"/>
              </w:rPr>
              <w:t>-</w:t>
            </w:r>
          </w:p>
        </w:tc>
        <w:tc>
          <w:tcPr>
            <w:tcW w:w="1194" w:type="dxa"/>
            <w:vAlign w:val="center"/>
          </w:tcPr>
          <w:p w14:paraId="2488640D" w14:textId="77777777" w:rsidR="00934DFA" w:rsidRDefault="00BC614E">
            <w:pPr>
              <w:jc w:val="center"/>
            </w:pPr>
            <w:r>
              <w:rPr>
                <w:color w:val="000000"/>
                <w:sz w:val="24"/>
                <w:szCs w:val="24"/>
              </w:rPr>
              <w:t>-</w:t>
            </w:r>
          </w:p>
        </w:tc>
        <w:tc>
          <w:tcPr>
            <w:tcW w:w="1492" w:type="dxa"/>
            <w:vAlign w:val="center"/>
          </w:tcPr>
          <w:p w14:paraId="1F731553" w14:textId="77777777" w:rsidR="00934DFA" w:rsidRDefault="00BC614E">
            <w:pPr>
              <w:jc w:val="center"/>
            </w:pPr>
            <w:r>
              <w:rPr>
                <w:color w:val="000000"/>
                <w:sz w:val="24"/>
                <w:szCs w:val="24"/>
              </w:rPr>
              <w:t>-</w:t>
            </w:r>
          </w:p>
        </w:tc>
        <w:tc>
          <w:tcPr>
            <w:tcW w:w="1194" w:type="dxa"/>
            <w:vAlign w:val="center"/>
          </w:tcPr>
          <w:p w14:paraId="1D05D963" w14:textId="77777777" w:rsidR="00934DFA" w:rsidRDefault="00BC614E">
            <w:pPr>
              <w:jc w:val="center"/>
            </w:pPr>
            <w:r>
              <w:rPr>
                <w:color w:val="000000"/>
                <w:sz w:val="24"/>
                <w:szCs w:val="24"/>
              </w:rPr>
              <w:t>-</w:t>
            </w:r>
          </w:p>
        </w:tc>
        <w:tc>
          <w:tcPr>
            <w:tcW w:w="898" w:type="dxa"/>
            <w:vAlign w:val="center"/>
          </w:tcPr>
          <w:p w14:paraId="04716257" w14:textId="77777777" w:rsidR="00934DFA" w:rsidRDefault="00BC614E">
            <w:pPr>
              <w:jc w:val="center"/>
            </w:pPr>
            <w:r>
              <w:rPr>
                <w:color w:val="000000"/>
                <w:sz w:val="24"/>
                <w:szCs w:val="24"/>
              </w:rPr>
              <w:t>-</w:t>
            </w:r>
          </w:p>
        </w:tc>
      </w:tr>
      <w:tr w:rsidR="00934DFA" w14:paraId="7ECD1292" w14:textId="77777777">
        <w:trPr>
          <w:jc w:val="center"/>
        </w:trPr>
        <w:tc>
          <w:tcPr>
            <w:tcW w:w="1701" w:type="dxa"/>
            <w:vAlign w:val="center"/>
          </w:tcPr>
          <w:p w14:paraId="172DA2EA" w14:textId="77777777" w:rsidR="00934DFA" w:rsidRDefault="00BC614E">
            <w:pPr>
              <w:jc w:val="left"/>
            </w:pPr>
            <w:r>
              <w:rPr>
                <w:color w:val="000000"/>
                <w:sz w:val="24"/>
                <w:szCs w:val="24"/>
              </w:rPr>
              <w:t>自基金合同生效起至今</w:t>
            </w:r>
          </w:p>
        </w:tc>
        <w:tc>
          <w:tcPr>
            <w:tcW w:w="1045" w:type="dxa"/>
            <w:vAlign w:val="center"/>
          </w:tcPr>
          <w:p w14:paraId="4CCFA65A" w14:textId="77777777" w:rsidR="00934DFA" w:rsidRDefault="00BC614E">
            <w:pPr>
              <w:jc w:val="center"/>
            </w:pPr>
            <w:r>
              <w:rPr>
                <w:color w:val="000000"/>
                <w:sz w:val="24"/>
                <w:szCs w:val="24"/>
              </w:rPr>
              <w:t>-5.83%</w:t>
            </w:r>
          </w:p>
        </w:tc>
        <w:tc>
          <w:tcPr>
            <w:tcW w:w="1344" w:type="dxa"/>
            <w:vAlign w:val="center"/>
          </w:tcPr>
          <w:p w14:paraId="552D9F23" w14:textId="77777777" w:rsidR="00934DFA" w:rsidRDefault="00BC614E">
            <w:pPr>
              <w:jc w:val="center"/>
            </w:pPr>
            <w:r>
              <w:rPr>
                <w:color w:val="000000"/>
                <w:sz w:val="24"/>
                <w:szCs w:val="24"/>
              </w:rPr>
              <w:t>0.66%</w:t>
            </w:r>
          </w:p>
        </w:tc>
        <w:tc>
          <w:tcPr>
            <w:tcW w:w="1194" w:type="dxa"/>
            <w:vAlign w:val="center"/>
          </w:tcPr>
          <w:p w14:paraId="523EF6C1" w14:textId="77777777" w:rsidR="00934DFA" w:rsidRDefault="00BC614E">
            <w:pPr>
              <w:jc w:val="center"/>
            </w:pPr>
            <w:r>
              <w:rPr>
                <w:color w:val="000000"/>
                <w:sz w:val="24"/>
                <w:szCs w:val="24"/>
              </w:rPr>
              <w:t>1.36%</w:t>
            </w:r>
          </w:p>
        </w:tc>
        <w:tc>
          <w:tcPr>
            <w:tcW w:w="1492" w:type="dxa"/>
            <w:vAlign w:val="center"/>
          </w:tcPr>
          <w:p w14:paraId="548D1950" w14:textId="77777777" w:rsidR="00934DFA" w:rsidRDefault="00BC614E">
            <w:pPr>
              <w:jc w:val="center"/>
            </w:pPr>
            <w:r>
              <w:rPr>
                <w:color w:val="000000"/>
                <w:sz w:val="24"/>
                <w:szCs w:val="24"/>
              </w:rPr>
              <w:t>0.43%</w:t>
            </w:r>
          </w:p>
        </w:tc>
        <w:tc>
          <w:tcPr>
            <w:tcW w:w="1194" w:type="dxa"/>
            <w:vAlign w:val="center"/>
          </w:tcPr>
          <w:p w14:paraId="4410EBAD" w14:textId="77777777" w:rsidR="00934DFA" w:rsidRDefault="00BC614E">
            <w:pPr>
              <w:jc w:val="center"/>
            </w:pPr>
            <w:r>
              <w:rPr>
                <w:color w:val="000000"/>
                <w:sz w:val="24"/>
                <w:szCs w:val="24"/>
              </w:rPr>
              <w:t>-7.19%</w:t>
            </w:r>
          </w:p>
        </w:tc>
        <w:tc>
          <w:tcPr>
            <w:tcW w:w="898" w:type="dxa"/>
            <w:vAlign w:val="center"/>
          </w:tcPr>
          <w:p w14:paraId="582E2EFA" w14:textId="77777777" w:rsidR="00934DFA" w:rsidRDefault="00BC614E">
            <w:pPr>
              <w:jc w:val="center"/>
            </w:pPr>
            <w:r>
              <w:rPr>
                <w:color w:val="000000"/>
                <w:sz w:val="24"/>
                <w:szCs w:val="24"/>
              </w:rPr>
              <w:t>0.23%</w:t>
            </w:r>
          </w:p>
        </w:tc>
      </w:tr>
    </w:tbl>
    <w:p w14:paraId="1C4E5E82"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58C5142"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73161502"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摩根锦颐养</w:t>
      </w:r>
      <w:proofErr w:type="gramStart"/>
      <w:r w:rsidRPr="00414345">
        <w:rPr>
          <w:color w:val="000000"/>
          <w:sz w:val="24"/>
          <w:szCs w:val="24"/>
        </w:rPr>
        <w:t>老目标</w:t>
      </w:r>
      <w:proofErr w:type="gramEnd"/>
      <w:r w:rsidRPr="00414345">
        <w:rPr>
          <w:color w:val="000000"/>
          <w:sz w:val="24"/>
          <w:szCs w:val="24"/>
        </w:rPr>
        <w:t>日期</w:t>
      </w:r>
      <w:r w:rsidRPr="00414345">
        <w:rPr>
          <w:color w:val="000000"/>
          <w:sz w:val="24"/>
          <w:szCs w:val="24"/>
        </w:rPr>
        <w:t>2035</w:t>
      </w:r>
      <w:r w:rsidRPr="00414345">
        <w:rPr>
          <w:color w:val="000000"/>
          <w:sz w:val="24"/>
          <w:szCs w:val="24"/>
        </w:rPr>
        <w:t>三年持有期混合型发起</w:t>
      </w:r>
      <w:proofErr w:type="gramStart"/>
      <w:r w:rsidRPr="00414345">
        <w:rPr>
          <w:color w:val="000000"/>
          <w:sz w:val="24"/>
          <w:szCs w:val="24"/>
        </w:rPr>
        <w:t>式基金</w:t>
      </w:r>
      <w:proofErr w:type="gramEnd"/>
      <w:r w:rsidRPr="00414345">
        <w:rPr>
          <w:color w:val="000000"/>
          <w:sz w:val="24"/>
          <w:szCs w:val="24"/>
        </w:rPr>
        <w:t>中基金</w:t>
      </w:r>
      <w:r w:rsidRPr="00414345">
        <w:rPr>
          <w:color w:val="000000"/>
          <w:sz w:val="24"/>
          <w:szCs w:val="24"/>
        </w:rPr>
        <w:t>(FOF)</w:t>
      </w:r>
    </w:p>
    <w:p w14:paraId="3130EB3C" w14:textId="77777777"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3CBD19DD" w14:textId="77777777"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3D960E8C" w14:textId="77777777"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28D71837" wp14:editId="5EC8C999">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14:paraId="40B8F3D7" w14:textId="77777777" w:rsidR="00934DFA" w:rsidRDefault="00BC614E">
      <w:pPr>
        <w:autoSpaceDE w:val="0"/>
        <w:autoSpaceDN w:val="0"/>
        <w:adjustRightInd w:val="0"/>
        <w:spacing w:before="29" w:line="288" w:lineRule="auto"/>
        <w:jc w:val="left"/>
        <w:rPr>
          <w:color w:val="000000"/>
          <w:sz w:val="24"/>
          <w:szCs w:val="24"/>
        </w:rPr>
      </w:pPr>
      <w:r>
        <w:rPr>
          <w:color w:val="000000"/>
          <w:sz w:val="24"/>
          <w:szCs w:val="24"/>
        </w:rPr>
        <w:t>注：本基金合同生效日为</w:t>
      </w:r>
      <w:r>
        <w:rPr>
          <w:color w:val="000000"/>
          <w:sz w:val="24"/>
          <w:szCs w:val="24"/>
        </w:rPr>
        <w:t>2023</w:t>
      </w:r>
      <w:r>
        <w:rPr>
          <w:color w:val="000000"/>
          <w:sz w:val="24"/>
          <w:szCs w:val="24"/>
        </w:rPr>
        <w:t>年</w:t>
      </w:r>
      <w:r>
        <w:rPr>
          <w:color w:val="000000"/>
          <w:sz w:val="24"/>
          <w:szCs w:val="24"/>
        </w:rPr>
        <w:t>4</w:t>
      </w:r>
      <w:r>
        <w:rPr>
          <w:color w:val="000000"/>
          <w:sz w:val="24"/>
          <w:szCs w:val="24"/>
        </w:rPr>
        <w:t>月</w:t>
      </w:r>
      <w:r>
        <w:rPr>
          <w:color w:val="000000"/>
          <w:sz w:val="24"/>
          <w:szCs w:val="24"/>
        </w:rPr>
        <w:t>4</w:t>
      </w:r>
      <w:r>
        <w:rPr>
          <w:color w:val="000000"/>
          <w:sz w:val="24"/>
          <w:szCs w:val="24"/>
        </w:rPr>
        <w:t>日，图示的时间段为合同生效日至本报告期末。</w:t>
      </w:r>
    </w:p>
    <w:p w14:paraId="126F56E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本基金建仓期为本基金合同生效日起</w:t>
      </w:r>
      <w:r w:rsidRPr="00414345">
        <w:rPr>
          <w:color w:val="000000"/>
          <w:sz w:val="24"/>
          <w:szCs w:val="24"/>
        </w:rPr>
        <w:t>6</w:t>
      </w:r>
      <w:r w:rsidRPr="00414345">
        <w:rPr>
          <w:color w:val="000000"/>
          <w:sz w:val="24"/>
          <w:szCs w:val="24"/>
        </w:rPr>
        <w:t>个月，建仓期结束时资产配置比例符合本</w:t>
      </w:r>
      <w:proofErr w:type="gramStart"/>
      <w:r w:rsidRPr="00414345">
        <w:rPr>
          <w:color w:val="000000"/>
          <w:sz w:val="24"/>
          <w:szCs w:val="24"/>
        </w:rPr>
        <w:t>基金基金</w:t>
      </w:r>
      <w:proofErr w:type="gramEnd"/>
      <w:r w:rsidRPr="00414345">
        <w:rPr>
          <w:color w:val="000000"/>
          <w:sz w:val="24"/>
          <w:szCs w:val="24"/>
        </w:rPr>
        <w:t>合同规定。</w:t>
      </w:r>
    </w:p>
    <w:p w14:paraId="54667114" w14:textId="77777777" w:rsidR="00957594" w:rsidRPr="00414345" w:rsidRDefault="00957594" w:rsidP="00C15CAC">
      <w:pPr>
        <w:tabs>
          <w:tab w:val="left" w:pos="1800"/>
        </w:tabs>
        <w:spacing w:before="29" w:line="288" w:lineRule="auto"/>
        <w:rPr>
          <w:color w:val="000000"/>
          <w:sz w:val="24"/>
          <w:szCs w:val="24"/>
        </w:rPr>
      </w:pPr>
    </w:p>
    <w:p w14:paraId="790CE1D5" w14:textId="77777777" w:rsidR="00693843" w:rsidRPr="00414345" w:rsidRDefault="00693843" w:rsidP="00C15CAC">
      <w:pPr>
        <w:tabs>
          <w:tab w:val="left" w:pos="1800"/>
        </w:tabs>
        <w:spacing w:before="29" w:line="288" w:lineRule="auto"/>
        <w:rPr>
          <w:color w:val="000000"/>
          <w:sz w:val="24"/>
          <w:szCs w:val="24"/>
        </w:rPr>
      </w:pPr>
    </w:p>
    <w:p w14:paraId="7E4092D9" w14:textId="77777777" w:rsidR="00627E2D" w:rsidRPr="00414345" w:rsidRDefault="00627E2D" w:rsidP="00C15CAC">
      <w:pPr>
        <w:autoSpaceDE w:val="0"/>
        <w:autoSpaceDN w:val="0"/>
        <w:adjustRightInd w:val="0"/>
        <w:spacing w:before="29" w:line="288" w:lineRule="auto"/>
        <w:jc w:val="left"/>
        <w:rPr>
          <w:color w:val="000000"/>
          <w:sz w:val="24"/>
          <w:szCs w:val="24"/>
        </w:rPr>
      </w:pPr>
    </w:p>
    <w:p w14:paraId="0E4E9362"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7778D683"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283A57EF" w14:textId="77777777" w:rsidTr="006A10AB">
        <w:trPr>
          <w:trHeight w:val="292"/>
          <w:jc w:val="center"/>
        </w:trPr>
        <w:tc>
          <w:tcPr>
            <w:tcW w:w="851" w:type="dxa"/>
            <w:vMerge w:val="restart"/>
            <w:vAlign w:val="center"/>
          </w:tcPr>
          <w:p w14:paraId="71CA5D77"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7B70A46C"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2B60CFBA"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14:paraId="3C0DDC3A"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7AC665BF"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572C60E0" w14:textId="77777777" w:rsidTr="006A10AB">
        <w:trPr>
          <w:jc w:val="center"/>
        </w:trPr>
        <w:tc>
          <w:tcPr>
            <w:tcW w:w="851" w:type="dxa"/>
            <w:vMerge/>
            <w:vAlign w:val="center"/>
          </w:tcPr>
          <w:p w14:paraId="614C35ED"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43BDB797"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6038E44F"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019B9D58"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49EFE8FF"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13CA690A" w14:textId="77777777" w:rsidR="004061AC" w:rsidRPr="00414345" w:rsidRDefault="004061AC" w:rsidP="00C15CAC">
            <w:pPr>
              <w:widowControl/>
              <w:spacing w:before="29" w:line="288" w:lineRule="auto"/>
              <w:jc w:val="left"/>
              <w:rPr>
                <w:color w:val="000000"/>
                <w:kern w:val="0"/>
                <w:sz w:val="24"/>
                <w:szCs w:val="24"/>
              </w:rPr>
            </w:pPr>
          </w:p>
        </w:tc>
      </w:tr>
      <w:tr w:rsidR="00934DFA" w14:paraId="07EE13B6" w14:textId="77777777">
        <w:trPr>
          <w:jc w:val="center"/>
        </w:trPr>
        <w:tc>
          <w:tcPr>
            <w:tcW w:w="846" w:type="dxa"/>
            <w:vAlign w:val="center"/>
          </w:tcPr>
          <w:p w14:paraId="5C8D4CB6" w14:textId="77777777" w:rsidR="00934DFA" w:rsidRDefault="00BC614E">
            <w:pPr>
              <w:jc w:val="center"/>
            </w:pPr>
            <w:proofErr w:type="gramStart"/>
            <w:r>
              <w:rPr>
                <w:color w:val="000000"/>
                <w:sz w:val="24"/>
                <w:szCs w:val="24"/>
              </w:rPr>
              <w:t>杜习杰</w:t>
            </w:r>
            <w:proofErr w:type="gramEnd"/>
          </w:p>
        </w:tc>
        <w:tc>
          <w:tcPr>
            <w:tcW w:w="845" w:type="dxa"/>
            <w:vAlign w:val="center"/>
          </w:tcPr>
          <w:p w14:paraId="33C4CC11" w14:textId="77777777" w:rsidR="00934DFA" w:rsidRDefault="00BC614E">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14:paraId="1FD57BDF" w14:textId="77777777" w:rsidR="00934DFA" w:rsidRDefault="00BC614E">
            <w:pPr>
              <w:jc w:val="center"/>
            </w:pPr>
            <w:r>
              <w:rPr>
                <w:color w:val="000000"/>
                <w:sz w:val="24"/>
                <w:szCs w:val="24"/>
              </w:rPr>
              <w:t>2023-04-04</w:t>
            </w:r>
          </w:p>
        </w:tc>
        <w:tc>
          <w:tcPr>
            <w:tcW w:w="1548" w:type="dxa"/>
            <w:vAlign w:val="center"/>
          </w:tcPr>
          <w:p w14:paraId="5BFDEFBA" w14:textId="77777777" w:rsidR="00934DFA" w:rsidRDefault="00BC614E">
            <w:pPr>
              <w:jc w:val="center"/>
            </w:pPr>
            <w:r>
              <w:rPr>
                <w:color w:val="000000"/>
                <w:sz w:val="24"/>
                <w:szCs w:val="24"/>
              </w:rPr>
              <w:t>2024-08-31</w:t>
            </w:r>
          </w:p>
        </w:tc>
        <w:tc>
          <w:tcPr>
            <w:tcW w:w="1407" w:type="dxa"/>
            <w:vAlign w:val="center"/>
          </w:tcPr>
          <w:p w14:paraId="37E2AAFB" w14:textId="77777777" w:rsidR="00934DFA" w:rsidRDefault="00BC614E">
            <w:pPr>
              <w:jc w:val="center"/>
            </w:pPr>
            <w:r>
              <w:rPr>
                <w:color w:val="000000"/>
                <w:sz w:val="24"/>
                <w:szCs w:val="24"/>
              </w:rPr>
              <w:t>16</w:t>
            </w:r>
            <w:r>
              <w:rPr>
                <w:color w:val="000000"/>
                <w:sz w:val="24"/>
                <w:szCs w:val="24"/>
              </w:rPr>
              <w:t>年</w:t>
            </w:r>
          </w:p>
        </w:tc>
        <w:tc>
          <w:tcPr>
            <w:tcW w:w="2673" w:type="dxa"/>
            <w:vAlign w:val="center"/>
          </w:tcPr>
          <w:p w14:paraId="0DC6350E" w14:textId="77777777" w:rsidR="00934DFA" w:rsidRDefault="00BC614E">
            <w:r>
              <w:rPr>
                <w:color w:val="000000"/>
                <w:sz w:val="24"/>
                <w:szCs w:val="24"/>
              </w:rPr>
              <w:t>杜习杰先生曾任长信基金任研究员。</w:t>
            </w:r>
            <w:r>
              <w:rPr>
                <w:color w:val="000000"/>
                <w:sz w:val="24"/>
                <w:szCs w:val="24"/>
              </w:rPr>
              <w:t>2011</w:t>
            </w:r>
            <w:r>
              <w:rPr>
                <w:color w:val="000000"/>
                <w:sz w:val="24"/>
                <w:szCs w:val="24"/>
              </w:rPr>
              <w:t>年</w:t>
            </w:r>
            <w:r>
              <w:rPr>
                <w:color w:val="000000"/>
                <w:sz w:val="24"/>
                <w:szCs w:val="24"/>
              </w:rPr>
              <w:t>6</w:t>
            </w:r>
            <w:r>
              <w:rPr>
                <w:color w:val="000000"/>
                <w:sz w:val="24"/>
                <w:szCs w:val="24"/>
              </w:rPr>
              <w:t>月起加入摩根基金管理（中国）有限公司（原上投摩根基金管理有限公司），历任研究员、投资经理兼研究员，现任组合基金投资</w:t>
            </w:r>
            <w:proofErr w:type="gramStart"/>
            <w:r>
              <w:rPr>
                <w:color w:val="000000"/>
                <w:sz w:val="24"/>
                <w:szCs w:val="24"/>
              </w:rPr>
              <w:t>部基金</w:t>
            </w:r>
            <w:proofErr w:type="gramEnd"/>
            <w:r>
              <w:rPr>
                <w:color w:val="000000"/>
                <w:sz w:val="24"/>
                <w:szCs w:val="24"/>
              </w:rPr>
              <w:t>经理。</w:t>
            </w:r>
          </w:p>
        </w:tc>
      </w:tr>
      <w:tr w:rsidR="00934DFA" w14:paraId="47F567C0" w14:textId="77777777">
        <w:trPr>
          <w:jc w:val="center"/>
        </w:trPr>
        <w:tc>
          <w:tcPr>
            <w:tcW w:w="846" w:type="dxa"/>
            <w:vAlign w:val="center"/>
          </w:tcPr>
          <w:p w14:paraId="5376D461" w14:textId="77777777" w:rsidR="00934DFA" w:rsidRDefault="00BC614E">
            <w:pPr>
              <w:jc w:val="center"/>
            </w:pPr>
            <w:r>
              <w:rPr>
                <w:color w:val="000000"/>
                <w:sz w:val="24"/>
                <w:szCs w:val="24"/>
              </w:rPr>
              <w:t>吴春杰</w:t>
            </w:r>
          </w:p>
        </w:tc>
        <w:tc>
          <w:tcPr>
            <w:tcW w:w="845" w:type="dxa"/>
            <w:vAlign w:val="center"/>
          </w:tcPr>
          <w:p w14:paraId="10BE6DF9" w14:textId="77777777" w:rsidR="00934DFA" w:rsidRDefault="00BC614E">
            <w:pPr>
              <w:jc w:val="center"/>
            </w:pPr>
            <w:r>
              <w:rPr>
                <w:color w:val="000000"/>
                <w:sz w:val="24"/>
                <w:szCs w:val="24"/>
              </w:rPr>
              <w:t>本</w:t>
            </w:r>
            <w:proofErr w:type="gramStart"/>
            <w:r>
              <w:rPr>
                <w:color w:val="000000"/>
                <w:sz w:val="24"/>
                <w:szCs w:val="24"/>
              </w:rPr>
              <w:t>基金基金</w:t>
            </w:r>
            <w:proofErr w:type="gramEnd"/>
            <w:r>
              <w:rPr>
                <w:color w:val="000000"/>
                <w:sz w:val="24"/>
                <w:szCs w:val="24"/>
              </w:rPr>
              <w:t>经理</w:t>
            </w:r>
          </w:p>
        </w:tc>
        <w:tc>
          <w:tcPr>
            <w:tcW w:w="1549" w:type="dxa"/>
            <w:vAlign w:val="center"/>
          </w:tcPr>
          <w:p w14:paraId="748DB009" w14:textId="77777777" w:rsidR="00934DFA" w:rsidRDefault="00BC614E">
            <w:pPr>
              <w:jc w:val="center"/>
            </w:pPr>
            <w:r>
              <w:rPr>
                <w:color w:val="000000"/>
                <w:sz w:val="24"/>
                <w:szCs w:val="24"/>
              </w:rPr>
              <w:t>2023-04-06</w:t>
            </w:r>
          </w:p>
        </w:tc>
        <w:tc>
          <w:tcPr>
            <w:tcW w:w="1548" w:type="dxa"/>
            <w:vAlign w:val="center"/>
          </w:tcPr>
          <w:p w14:paraId="7AA74D84" w14:textId="77777777" w:rsidR="00934DFA" w:rsidRDefault="00BC614E">
            <w:pPr>
              <w:jc w:val="center"/>
            </w:pPr>
            <w:r>
              <w:rPr>
                <w:color w:val="000000"/>
                <w:sz w:val="24"/>
                <w:szCs w:val="24"/>
              </w:rPr>
              <w:t>-</w:t>
            </w:r>
          </w:p>
        </w:tc>
        <w:tc>
          <w:tcPr>
            <w:tcW w:w="1407" w:type="dxa"/>
            <w:vAlign w:val="center"/>
          </w:tcPr>
          <w:p w14:paraId="7F55B1B7" w14:textId="77777777" w:rsidR="00934DFA" w:rsidRDefault="00BC614E">
            <w:pPr>
              <w:jc w:val="center"/>
            </w:pPr>
            <w:r>
              <w:rPr>
                <w:color w:val="000000"/>
                <w:sz w:val="24"/>
                <w:szCs w:val="24"/>
              </w:rPr>
              <w:t>13</w:t>
            </w:r>
            <w:r>
              <w:rPr>
                <w:color w:val="000000"/>
                <w:sz w:val="24"/>
                <w:szCs w:val="24"/>
              </w:rPr>
              <w:t>年</w:t>
            </w:r>
          </w:p>
        </w:tc>
        <w:tc>
          <w:tcPr>
            <w:tcW w:w="2673" w:type="dxa"/>
            <w:vAlign w:val="center"/>
          </w:tcPr>
          <w:p w14:paraId="158FC7EC" w14:textId="77777777" w:rsidR="00934DFA" w:rsidRDefault="00BC614E">
            <w:r>
              <w:rPr>
                <w:color w:val="000000"/>
                <w:sz w:val="24"/>
                <w:szCs w:val="24"/>
              </w:rPr>
              <w:t>吴春杰女士曾任长江证券股份有限公司宏观策略分析师，中国太平洋人寿保险有限公司资产配置中心配置策略经理，上海景熙资产管理有限公司投资经理</w:t>
            </w:r>
            <w:r>
              <w:rPr>
                <w:color w:val="000000"/>
                <w:sz w:val="24"/>
                <w:szCs w:val="24"/>
              </w:rPr>
              <w:t>/</w:t>
            </w:r>
            <w:r>
              <w:rPr>
                <w:color w:val="000000"/>
                <w:sz w:val="24"/>
                <w:szCs w:val="24"/>
              </w:rPr>
              <w:t>宏观策略研究。</w:t>
            </w:r>
            <w:r>
              <w:rPr>
                <w:color w:val="000000"/>
                <w:sz w:val="24"/>
                <w:szCs w:val="24"/>
              </w:rPr>
              <w:t>2018</w:t>
            </w:r>
            <w:r>
              <w:rPr>
                <w:color w:val="000000"/>
                <w:sz w:val="24"/>
                <w:szCs w:val="24"/>
              </w:rPr>
              <w:t>年</w:t>
            </w:r>
            <w:r>
              <w:rPr>
                <w:color w:val="000000"/>
                <w:sz w:val="24"/>
                <w:szCs w:val="24"/>
              </w:rPr>
              <w:t>7</w:t>
            </w:r>
            <w:r>
              <w:rPr>
                <w:color w:val="000000"/>
                <w:sz w:val="24"/>
                <w:szCs w:val="24"/>
              </w:rPr>
              <w:t>月加入摩根基金管理（中国）有限公司（原上投摩根基金管理有限公司），历任宏观研究员，现任高级基金经理。</w:t>
            </w:r>
          </w:p>
        </w:tc>
      </w:tr>
    </w:tbl>
    <w:p w14:paraId="2C9A0160" w14:textId="77777777" w:rsidR="00934DFA" w:rsidRDefault="00BC61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任职日期和离任日期均指根据公司决定确定的聘任日期和解聘日期。</w:t>
      </w:r>
    </w:p>
    <w:p w14:paraId="2B338470" w14:textId="77777777" w:rsidR="00934DFA" w:rsidRDefault="00BC614E">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杜习杰先生为本基金</w:t>
      </w:r>
      <w:proofErr w:type="gramStart"/>
      <w:r>
        <w:rPr>
          <w:color w:val="000000"/>
          <w:sz w:val="24"/>
          <w:szCs w:val="24"/>
        </w:rPr>
        <w:t>首任基金</w:t>
      </w:r>
      <w:proofErr w:type="gramEnd"/>
      <w:r>
        <w:rPr>
          <w:color w:val="000000"/>
          <w:sz w:val="24"/>
          <w:szCs w:val="24"/>
        </w:rPr>
        <w:t>经理，其任职日期指本</w:t>
      </w:r>
      <w:proofErr w:type="gramStart"/>
      <w:r>
        <w:rPr>
          <w:color w:val="000000"/>
          <w:sz w:val="24"/>
          <w:szCs w:val="24"/>
        </w:rPr>
        <w:t>基金基金</w:t>
      </w:r>
      <w:proofErr w:type="gramEnd"/>
      <w:r>
        <w:rPr>
          <w:color w:val="000000"/>
          <w:sz w:val="24"/>
          <w:szCs w:val="24"/>
        </w:rPr>
        <w:t>合同生效之日。</w:t>
      </w:r>
      <w:r>
        <w:rPr>
          <w:color w:val="000000"/>
          <w:sz w:val="24"/>
          <w:szCs w:val="24"/>
        </w:rPr>
        <w:t xml:space="preserve"> </w:t>
      </w:r>
    </w:p>
    <w:p w14:paraId="726C77E1"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证券从业的含义遵从行业协会《证券业从业人员资格管理办法》的相关规定。</w:t>
      </w:r>
    </w:p>
    <w:p w14:paraId="463FDF9C"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1B723AA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414345">
        <w:rPr>
          <w:color w:val="000000"/>
          <w:sz w:val="24"/>
          <w:szCs w:val="24"/>
        </w:rPr>
        <w:t>基金基金</w:t>
      </w:r>
      <w:proofErr w:type="gramEnd"/>
      <w:r w:rsidRPr="00414345">
        <w:rPr>
          <w:color w:val="000000"/>
          <w:sz w:val="24"/>
          <w:szCs w:val="24"/>
        </w:rPr>
        <w:t>合同的规定。</w:t>
      </w:r>
    </w:p>
    <w:p w14:paraId="0841612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F39D7E2"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91BDF73"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3D5843A0" w14:textId="77777777" w:rsidR="00934DFA" w:rsidRDefault="00BC614E">
      <w:pPr>
        <w:spacing w:before="29" w:line="288" w:lineRule="auto"/>
        <w:ind w:firstLineChars="200" w:firstLine="480"/>
        <w:rPr>
          <w:color w:val="000000"/>
          <w:sz w:val="24"/>
          <w:szCs w:val="24"/>
        </w:rPr>
      </w:pPr>
      <w:r>
        <w:rPr>
          <w:color w:val="000000"/>
          <w:sz w:val="24"/>
          <w:szCs w:val="24"/>
        </w:rPr>
        <w:t>报告期内，本公司继续贯彻落实《证券投资基金管理公司公平交易制度指导意见》</w:t>
      </w:r>
      <w:r>
        <w:rPr>
          <w:color w:val="000000"/>
          <w:sz w:val="24"/>
          <w:szCs w:val="24"/>
        </w:rPr>
        <w:lastRenderedPageBreak/>
        <w:t>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E272CE9" w14:textId="77777777" w:rsidR="00934DFA" w:rsidRDefault="00BC614E">
      <w:pPr>
        <w:spacing w:before="29" w:line="288" w:lineRule="auto"/>
        <w:ind w:firstLineChars="200" w:firstLine="480"/>
        <w:rPr>
          <w:color w:val="000000"/>
          <w:sz w:val="24"/>
          <w:szCs w:val="24"/>
        </w:rPr>
      </w:pPr>
      <w:r>
        <w:rPr>
          <w:color w:val="000000"/>
          <w:sz w:val="24"/>
          <w:szCs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FF2D40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报告期内，通过对不同投资组合之间的收益率差异比较、对同向交易和反向交易的交易时机和交易价差监控分析，未发现整体公平交易执行出现异常的情况。</w:t>
      </w:r>
    </w:p>
    <w:p w14:paraId="61BD64F7"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39D72FB2" w14:textId="77777777" w:rsidR="00934DFA" w:rsidRDefault="00BC614E">
      <w:pPr>
        <w:spacing w:before="29" w:line="288" w:lineRule="auto"/>
        <w:ind w:firstLineChars="200" w:firstLine="480"/>
        <w:rPr>
          <w:color w:val="000000"/>
          <w:sz w:val="24"/>
          <w:szCs w:val="24"/>
        </w:rPr>
      </w:pPr>
      <w:r>
        <w:rPr>
          <w:color w:val="000000"/>
          <w:sz w:val="24"/>
          <w:szCs w:val="24"/>
        </w:rPr>
        <w:t>报告期内，通过对交易价格、交易时间、交易方向等的分析，未发现有可能导致不公平交易和利益输送的异常交易行为。</w:t>
      </w:r>
    </w:p>
    <w:p w14:paraId="0F4DA2F3"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所有投资组合参与的交易所公开竞价同日反向交易成交较少的单边交易量超过该证券当日成交量的</w:t>
      </w:r>
      <w:r w:rsidRPr="00414345">
        <w:rPr>
          <w:color w:val="000000"/>
          <w:sz w:val="24"/>
          <w:szCs w:val="24"/>
        </w:rPr>
        <w:t>5%</w:t>
      </w:r>
      <w:r w:rsidRPr="00414345">
        <w:rPr>
          <w:color w:val="000000"/>
          <w:sz w:val="24"/>
          <w:szCs w:val="24"/>
        </w:rPr>
        <w:t>的情形：无。</w:t>
      </w:r>
    </w:p>
    <w:p w14:paraId="3070EB3E" w14:textId="77777777" w:rsidR="004061AC" w:rsidRPr="00414345" w:rsidRDefault="004061AC" w:rsidP="00C15CAC">
      <w:pPr>
        <w:spacing w:before="29" w:line="288" w:lineRule="auto"/>
        <w:ind w:firstLineChars="200" w:firstLine="480"/>
        <w:rPr>
          <w:color w:val="000000"/>
          <w:sz w:val="24"/>
          <w:szCs w:val="24"/>
        </w:rPr>
      </w:pPr>
    </w:p>
    <w:p w14:paraId="76FD6E61"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73807CAA" w14:textId="77777777" w:rsidR="00934DFA" w:rsidRDefault="00BC614E">
      <w:pPr>
        <w:spacing w:before="29" w:line="288" w:lineRule="auto"/>
        <w:ind w:firstLineChars="200" w:firstLine="480"/>
        <w:rPr>
          <w:color w:val="000000"/>
          <w:sz w:val="24"/>
          <w:szCs w:val="24"/>
        </w:rPr>
      </w:pPr>
      <w:r>
        <w:rPr>
          <w:color w:val="000000"/>
          <w:sz w:val="24"/>
          <w:szCs w:val="24"/>
        </w:rPr>
        <w:t>回顾</w:t>
      </w:r>
      <w:r>
        <w:rPr>
          <w:color w:val="000000"/>
          <w:sz w:val="24"/>
          <w:szCs w:val="24"/>
        </w:rPr>
        <w:t>2024</w:t>
      </w:r>
      <w:r>
        <w:rPr>
          <w:color w:val="000000"/>
          <w:sz w:val="24"/>
          <w:szCs w:val="24"/>
        </w:rPr>
        <w:t>年三季度，国内权益市场先震荡下行、后大幅反弹，区间中证</w:t>
      </w:r>
      <w:r>
        <w:rPr>
          <w:color w:val="000000"/>
          <w:sz w:val="24"/>
          <w:szCs w:val="24"/>
        </w:rPr>
        <w:t>800</w:t>
      </w:r>
      <w:r>
        <w:rPr>
          <w:color w:val="000000"/>
          <w:sz w:val="24"/>
          <w:szCs w:val="24"/>
        </w:rPr>
        <w:t>上涨</w:t>
      </w:r>
      <w:r>
        <w:rPr>
          <w:color w:val="000000"/>
          <w:sz w:val="24"/>
          <w:szCs w:val="24"/>
        </w:rPr>
        <w:t>16.1%</w:t>
      </w:r>
      <w:r>
        <w:rPr>
          <w:color w:val="000000"/>
          <w:sz w:val="24"/>
          <w:szCs w:val="24"/>
        </w:rPr>
        <w:t>。三季度前期，国内多项经济指标有所走弱，在担忧经济下行趋势延续、企业盈利恢复乏力的谨慎情绪中，</w:t>
      </w:r>
      <w:r>
        <w:rPr>
          <w:color w:val="000000"/>
          <w:sz w:val="24"/>
          <w:szCs w:val="24"/>
        </w:rPr>
        <w:t>A</w:t>
      </w:r>
      <w:r>
        <w:rPr>
          <w:color w:val="000000"/>
          <w:sz w:val="24"/>
          <w:szCs w:val="24"/>
        </w:rPr>
        <w:t>股仅红利风格微涨。至</w:t>
      </w:r>
      <w:r>
        <w:rPr>
          <w:color w:val="000000"/>
          <w:sz w:val="24"/>
          <w:szCs w:val="24"/>
        </w:rPr>
        <w:t>9</w:t>
      </w:r>
      <w:r>
        <w:rPr>
          <w:color w:val="000000"/>
          <w:sz w:val="24"/>
          <w:szCs w:val="24"/>
        </w:rPr>
        <w:t>月</w:t>
      </w:r>
      <w:r>
        <w:rPr>
          <w:color w:val="000000"/>
          <w:sz w:val="24"/>
          <w:szCs w:val="24"/>
        </w:rPr>
        <w:t>24</w:t>
      </w:r>
      <w:r>
        <w:rPr>
          <w:color w:val="000000"/>
          <w:sz w:val="24"/>
          <w:szCs w:val="24"/>
        </w:rPr>
        <w:t>日金融部门的国新办发布会及</w:t>
      </w:r>
      <w:r>
        <w:rPr>
          <w:color w:val="000000"/>
          <w:sz w:val="24"/>
          <w:szCs w:val="24"/>
        </w:rPr>
        <w:t>9</w:t>
      </w:r>
      <w:r>
        <w:rPr>
          <w:color w:val="000000"/>
          <w:sz w:val="24"/>
          <w:szCs w:val="24"/>
        </w:rPr>
        <w:t>月</w:t>
      </w:r>
      <w:r>
        <w:rPr>
          <w:color w:val="000000"/>
          <w:sz w:val="24"/>
          <w:szCs w:val="24"/>
        </w:rPr>
        <w:t>26</w:t>
      </w:r>
      <w:r>
        <w:rPr>
          <w:color w:val="000000"/>
          <w:sz w:val="24"/>
          <w:szCs w:val="24"/>
        </w:rPr>
        <w:t>日的政治局会议，政策面逐步释放了稳股市、稳房市、</w:t>
      </w:r>
      <w:proofErr w:type="gramStart"/>
      <w:r>
        <w:rPr>
          <w:color w:val="000000"/>
          <w:sz w:val="24"/>
          <w:szCs w:val="24"/>
        </w:rPr>
        <w:t>稳经济</w:t>
      </w:r>
      <w:proofErr w:type="gramEnd"/>
      <w:r>
        <w:rPr>
          <w:color w:val="000000"/>
          <w:sz w:val="24"/>
          <w:szCs w:val="24"/>
        </w:rPr>
        <w:t>的信号，</w:t>
      </w:r>
      <w:r>
        <w:rPr>
          <w:color w:val="000000"/>
          <w:sz w:val="24"/>
          <w:szCs w:val="24"/>
        </w:rPr>
        <w:t>A</w:t>
      </w:r>
      <w:r>
        <w:rPr>
          <w:color w:val="000000"/>
          <w:sz w:val="24"/>
          <w:szCs w:val="24"/>
        </w:rPr>
        <w:t>股开启快速上涨，中证</w:t>
      </w:r>
      <w:r>
        <w:rPr>
          <w:color w:val="000000"/>
          <w:sz w:val="24"/>
          <w:szCs w:val="24"/>
        </w:rPr>
        <w:t>800</w:t>
      </w:r>
      <w:r>
        <w:rPr>
          <w:color w:val="000000"/>
          <w:sz w:val="24"/>
          <w:szCs w:val="24"/>
        </w:rPr>
        <w:t>修复年初以来全部跌幅。国内债券方面，</w:t>
      </w:r>
      <w:r>
        <w:rPr>
          <w:color w:val="000000"/>
          <w:sz w:val="24"/>
          <w:szCs w:val="24"/>
        </w:rPr>
        <w:t>10</w:t>
      </w:r>
      <w:r>
        <w:rPr>
          <w:color w:val="000000"/>
          <w:sz w:val="24"/>
          <w:szCs w:val="24"/>
        </w:rPr>
        <w:t>年期国债收益率一度大幅下行至</w:t>
      </w:r>
      <w:r>
        <w:rPr>
          <w:color w:val="000000"/>
          <w:sz w:val="24"/>
          <w:szCs w:val="24"/>
        </w:rPr>
        <w:t>2.0%</w:t>
      </w:r>
      <w:r>
        <w:rPr>
          <w:color w:val="000000"/>
          <w:sz w:val="24"/>
          <w:szCs w:val="24"/>
        </w:rPr>
        <w:t>，随</w:t>
      </w:r>
      <w:r>
        <w:rPr>
          <w:color w:val="000000"/>
          <w:sz w:val="24"/>
          <w:szCs w:val="24"/>
        </w:rPr>
        <w:t>9</w:t>
      </w:r>
      <w:r>
        <w:rPr>
          <w:color w:val="000000"/>
          <w:sz w:val="24"/>
          <w:szCs w:val="24"/>
        </w:rPr>
        <w:t>月底政策</w:t>
      </w:r>
      <w:proofErr w:type="gramStart"/>
      <w:r>
        <w:rPr>
          <w:color w:val="000000"/>
          <w:sz w:val="24"/>
          <w:szCs w:val="24"/>
        </w:rPr>
        <w:t>面稳经济</w:t>
      </w:r>
      <w:proofErr w:type="gramEnd"/>
      <w:r>
        <w:rPr>
          <w:color w:val="000000"/>
          <w:sz w:val="24"/>
          <w:szCs w:val="24"/>
        </w:rPr>
        <w:t>预期升温而快速反弹，全季度下行</w:t>
      </w:r>
      <w:r>
        <w:rPr>
          <w:color w:val="000000"/>
          <w:sz w:val="24"/>
          <w:szCs w:val="24"/>
        </w:rPr>
        <w:t>6BP</w:t>
      </w:r>
      <w:r>
        <w:rPr>
          <w:color w:val="000000"/>
          <w:sz w:val="24"/>
          <w:szCs w:val="24"/>
        </w:rPr>
        <w:t>至</w:t>
      </w:r>
      <w:r>
        <w:rPr>
          <w:color w:val="000000"/>
          <w:sz w:val="24"/>
          <w:szCs w:val="24"/>
        </w:rPr>
        <w:t>2.15%</w:t>
      </w:r>
      <w:r>
        <w:rPr>
          <w:color w:val="000000"/>
          <w:sz w:val="24"/>
          <w:szCs w:val="24"/>
        </w:rPr>
        <w:t>。</w:t>
      </w:r>
    </w:p>
    <w:p w14:paraId="233B88A9" w14:textId="77777777" w:rsidR="00934DFA" w:rsidRDefault="00BC614E">
      <w:pPr>
        <w:spacing w:before="29" w:line="288" w:lineRule="auto"/>
        <w:ind w:firstLineChars="200" w:firstLine="480"/>
        <w:rPr>
          <w:color w:val="000000"/>
          <w:sz w:val="24"/>
          <w:szCs w:val="24"/>
        </w:rPr>
      </w:pPr>
      <w:r>
        <w:rPr>
          <w:color w:val="000000"/>
          <w:sz w:val="24"/>
          <w:szCs w:val="24"/>
        </w:rPr>
        <w:t>海外方面，美股延续小幅反弹。</w:t>
      </w:r>
      <w:r>
        <w:rPr>
          <w:color w:val="000000"/>
          <w:sz w:val="24"/>
          <w:szCs w:val="24"/>
        </w:rPr>
        <w:t>8</w:t>
      </w:r>
      <w:r>
        <w:rPr>
          <w:color w:val="000000"/>
          <w:sz w:val="24"/>
          <w:szCs w:val="24"/>
        </w:rPr>
        <w:t>月初，日央行</w:t>
      </w:r>
      <w:proofErr w:type="gramStart"/>
      <w:r>
        <w:rPr>
          <w:color w:val="000000"/>
          <w:sz w:val="24"/>
          <w:szCs w:val="24"/>
        </w:rPr>
        <w:t>加息且</w:t>
      </w:r>
      <w:proofErr w:type="gramEnd"/>
      <w:r>
        <w:rPr>
          <w:color w:val="000000"/>
          <w:sz w:val="24"/>
          <w:szCs w:val="24"/>
        </w:rPr>
        <w:t>表述超预期鹰派叠加美国劳动力市场数据有走弱迹象，海外权益市场一度大幅波动。在随后的</w:t>
      </w:r>
      <w:r>
        <w:rPr>
          <w:color w:val="000000"/>
          <w:sz w:val="24"/>
          <w:szCs w:val="24"/>
        </w:rPr>
        <w:t>9</w:t>
      </w:r>
      <w:r>
        <w:rPr>
          <w:color w:val="000000"/>
          <w:sz w:val="24"/>
          <w:szCs w:val="24"/>
        </w:rPr>
        <w:t>月议</w:t>
      </w:r>
      <w:proofErr w:type="gramStart"/>
      <w:r>
        <w:rPr>
          <w:color w:val="000000"/>
          <w:sz w:val="24"/>
          <w:szCs w:val="24"/>
        </w:rPr>
        <w:t>息会议</w:t>
      </w:r>
      <w:proofErr w:type="gramEnd"/>
      <w:r>
        <w:rPr>
          <w:color w:val="000000"/>
          <w:sz w:val="24"/>
          <w:szCs w:val="24"/>
        </w:rPr>
        <w:t>上，美联储以给足市场期待的</w:t>
      </w:r>
      <w:r>
        <w:rPr>
          <w:color w:val="000000"/>
          <w:sz w:val="24"/>
          <w:szCs w:val="24"/>
        </w:rPr>
        <w:t>50BP</w:t>
      </w:r>
      <w:r>
        <w:rPr>
          <w:color w:val="000000"/>
          <w:sz w:val="24"/>
          <w:szCs w:val="24"/>
        </w:rPr>
        <w:t>开启本轮降息周期，</w:t>
      </w:r>
      <w:proofErr w:type="gramStart"/>
      <w:r>
        <w:rPr>
          <w:color w:val="000000"/>
          <w:sz w:val="24"/>
          <w:szCs w:val="24"/>
        </w:rPr>
        <w:t>10</w:t>
      </w:r>
      <w:r>
        <w:rPr>
          <w:color w:val="000000"/>
          <w:sz w:val="24"/>
          <w:szCs w:val="24"/>
        </w:rPr>
        <w:t>年期美债</w:t>
      </w:r>
      <w:proofErr w:type="gramEnd"/>
      <w:r>
        <w:rPr>
          <w:color w:val="000000"/>
          <w:sz w:val="24"/>
          <w:szCs w:val="24"/>
        </w:rPr>
        <w:t>收益率降</w:t>
      </w:r>
      <w:r>
        <w:rPr>
          <w:color w:val="000000"/>
          <w:sz w:val="24"/>
          <w:szCs w:val="24"/>
        </w:rPr>
        <w:t>58BP</w:t>
      </w:r>
      <w:r>
        <w:rPr>
          <w:color w:val="000000"/>
          <w:sz w:val="24"/>
          <w:szCs w:val="24"/>
        </w:rPr>
        <w:t>至</w:t>
      </w:r>
      <w:r>
        <w:rPr>
          <w:color w:val="000000"/>
          <w:sz w:val="24"/>
          <w:szCs w:val="24"/>
        </w:rPr>
        <w:t>3.79%</w:t>
      </w:r>
      <w:r>
        <w:rPr>
          <w:color w:val="000000"/>
          <w:sz w:val="24"/>
          <w:szCs w:val="24"/>
        </w:rPr>
        <w:t>。</w:t>
      </w:r>
      <w:r>
        <w:rPr>
          <w:color w:val="000000"/>
          <w:sz w:val="24"/>
          <w:szCs w:val="24"/>
        </w:rPr>
        <w:t xml:space="preserve">     </w:t>
      </w:r>
    </w:p>
    <w:p w14:paraId="3DF67B75" w14:textId="77777777" w:rsidR="00934DFA" w:rsidRDefault="00BC614E">
      <w:pPr>
        <w:spacing w:before="29" w:line="288" w:lineRule="auto"/>
        <w:ind w:firstLineChars="200" w:firstLine="480"/>
        <w:rPr>
          <w:color w:val="000000"/>
          <w:sz w:val="24"/>
          <w:szCs w:val="24"/>
        </w:rPr>
      </w:pPr>
      <w:r>
        <w:rPr>
          <w:color w:val="000000"/>
          <w:sz w:val="24"/>
          <w:szCs w:val="24"/>
        </w:rPr>
        <w:t>从全球宏观变化来讲，</w:t>
      </w:r>
      <w:r>
        <w:rPr>
          <w:color w:val="000000"/>
          <w:sz w:val="24"/>
          <w:szCs w:val="24"/>
        </w:rPr>
        <w:t>9</w:t>
      </w:r>
      <w:r>
        <w:rPr>
          <w:color w:val="000000"/>
          <w:sz w:val="24"/>
          <w:szCs w:val="24"/>
        </w:rPr>
        <w:t>月份美联储开启本轮首次降息，且幅度为超出部分市场参与者预期的</w:t>
      </w:r>
      <w:r>
        <w:rPr>
          <w:color w:val="000000"/>
          <w:sz w:val="24"/>
          <w:szCs w:val="24"/>
        </w:rPr>
        <w:t>50BP</w:t>
      </w:r>
      <w:r>
        <w:rPr>
          <w:color w:val="000000"/>
          <w:sz w:val="24"/>
          <w:szCs w:val="24"/>
        </w:rPr>
        <w:t>。美联储的货币宽松操作开启，美元指数走弱，有利于新兴市场流动性环境的改善。三季度以来，离岸人民币兑美元升值幅度在</w:t>
      </w:r>
      <w:r>
        <w:rPr>
          <w:color w:val="000000"/>
          <w:sz w:val="24"/>
          <w:szCs w:val="24"/>
        </w:rPr>
        <w:t>4%</w:t>
      </w:r>
      <w:r>
        <w:rPr>
          <w:color w:val="000000"/>
          <w:sz w:val="24"/>
          <w:szCs w:val="24"/>
        </w:rPr>
        <w:t>左右，国内资产对全球投资者的吸引力也有所上升；港股市场更为受益于美联储降息周期的启动。国内宏观方面，</w:t>
      </w:r>
      <w:r>
        <w:rPr>
          <w:color w:val="000000"/>
          <w:sz w:val="24"/>
          <w:szCs w:val="24"/>
        </w:rPr>
        <w:t>9</w:t>
      </w:r>
      <w:r>
        <w:rPr>
          <w:color w:val="000000"/>
          <w:sz w:val="24"/>
          <w:szCs w:val="24"/>
        </w:rPr>
        <w:t>月</w:t>
      </w:r>
      <w:r>
        <w:rPr>
          <w:color w:val="000000"/>
          <w:sz w:val="24"/>
          <w:szCs w:val="24"/>
        </w:rPr>
        <w:t>24</w:t>
      </w:r>
      <w:r>
        <w:rPr>
          <w:color w:val="000000"/>
          <w:sz w:val="24"/>
          <w:szCs w:val="24"/>
        </w:rPr>
        <w:t>日金融部门的国新</w:t>
      </w:r>
      <w:proofErr w:type="gramStart"/>
      <w:r>
        <w:rPr>
          <w:color w:val="000000"/>
          <w:sz w:val="24"/>
          <w:szCs w:val="24"/>
        </w:rPr>
        <w:t>办记者</w:t>
      </w:r>
      <w:proofErr w:type="gramEnd"/>
      <w:r>
        <w:rPr>
          <w:color w:val="000000"/>
          <w:sz w:val="24"/>
          <w:szCs w:val="24"/>
        </w:rPr>
        <w:t>发布会与</w:t>
      </w:r>
      <w:r>
        <w:rPr>
          <w:color w:val="000000"/>
          <w:sz w:val="24"/>
          <w:szCs w:val="24"/>
        </w:rPr>
        <w:t>9</w:t>
      </w:r>
      <w:r>
        <w:rPr>
          <w:color w:val="000000"/>
          <w:sz w:val="24"/>
          <w:szCs w:val="24"/>
        </w:rPr>
        <w:t>月</w:t>
      </w:r>
      <w:r>
        <w:rPr>
          <w:color w:val="000000"/>
          <w:sz w:val="24"/>
          <w:szCs w:val="24"/>
        </w:rPr>
        <w:t>26</w:t>
      </w:r>
      <w:r>
        <w:rPr>
          <w:color w:val="000000"/>
          <w:sz w:val="24"/>
          <w:szCs w:val="24"/>
        </w:rPr>
        <w:t>日政治局会议讨论经济议题共同</w:t>
      </w:r>
      <w:proofErr w:type="gramStart"/>
      <w:r>
        <w:rPr>
          <w:color w:val="000000"/>
          <w:sz w:val="24"/>
          <w:szCs w:val="24"/>
        </w:rPr>
        <w:t>释放出稳股市</w:t>
      </w:r>
      <w:proofErr w:type="gramEnd"/>
      <w:r>
        <w:rPr>
          <w:color w:val="000000"/>
          <w:sz w:val="24"/>
          <w:szCs w:val="24"/>
        </w:rPr>
        <w:t>，稳房市，</w:t>
      </w:r>
      <w:proofErr w:type="gramStart"/>
      <w:r>
        <w:rPr>
          <w:color w:val="000000"/>
          <w:sz w:val="24"/>
          <w:szCs w:val="24"/>
        </w:rPr>
        <w:t>稳经济</w:t>
      </w:r>
      <w:proofErr w:type="gramEnd"/>
      <w:r>
        <w:rPr>
          <w:color w:val="000000"/>
          <w:sz w:val="24"/>
          <w:szCs w:val="24"/>
        </w:rPr>
        <w:t>的信号。结合内外因素的有利变化，我们在组合资产配置层面适当提升风险偏好。后续我们会关注政策兑现程度，进一步评估政策对经济的影响，进而调整投资组合的结构。我们现在已经</w:t>
      </w:r>
      <w:proofErr w:type="gramStart"/>
      <w:r>
        <w:rPr>
          <w:color w:val="000000"/>
          <w:sz w:val="24"/>
          <w:szCs w:val="24"/>
        </w:rPr>
        <w:t>看到降准降息</w:t>
      </w:r>
      <w:proofErr w:type="gramEnd"/>
      <w:r>
        <w:rPr>
          <w:color w:val="000000"/>
          <w:sz w:val="24"/>
          <w:szCs w:val="24"/>
        </w:rPr>
        <w:t>的兑现，十一之后我们会关</w:t>
      </w:r>
      <w:r>
        <w:rPr>
          <w:color w:val="000000"/>
          <w:sz w:val="24"/>
          <w:szCs w:val="24"/>
        </w:rPr>
        <w:lastRenderedPageBreak/>
        <w:t>注机构互换便利工具落地，地方债以及国债加速发行，已确认经济基本面是否会出现实质改善，这也将决定内需消费和传统投资相关行业的改善力度。同时，与中长期经济结构调整方向相匹配的科技成长方向，也有望受益于相关产业的支持性政策。</w:t>
      </w:r>
    </w:p>
    <w:p w14:paraId="33EB1CF5" w14:textId="77777777" w:rsidR="00934DFA" w:rsidRDefault="00BC614E">
      <w:pPr>
        <w:spacing w:before="29" w:line="288" w:lineRule="auto"/>
        <w:ind w:firstLineChars="200" w:firstLine="480"/>
        <w:rPr>
          <w:color w:val="000000"/>
          <w:sz w:val="24"/>
          <w:szCs w:val="24"/>
        </w:rPr>
      </w:pPr>
      <w:r>
        <w:rPr>
          <w:color w:val="000000"/>
          <w:sz w:val="24"/>
          <w:szCs w:val="24"/>
        </w:rPr>
        <w:t>对于国内债券来讲，托底经济增长的政策在发力中，内外利差仍为负值，国内债相对</w:t>
      </w:r>
      <w:r>
        <w:rPr>
          <w:color w:val="000000"/>
          <w:sz w:val="24"/>
          <w:szCs w:val="24"/>
        </w:rPr>
        <w:t>A</w:t>
      </w:r>
      <w:r>
        <w:rPr>
          <w:color w:val="000000"/>
          <w:sz w:val="24"/>
          <w:szCs w:val="24"/>
        </w:rPr>
        <w:t>股股息率所反映的估值亦较贵。但考虑到当前处在地方政府化</w:t>
      </w:r>
      <w:proofErr w:type="gramStart"/>
      <w:r>
        <w:rPr>
          <w:color w:val="000000"/>
          <w:sz w:val="24"/>
          <w:szCs w:val="24"/>
        </w:rPr>
        <w:t>债进程</w:t>
      </w:r>
      <w:proofErr w:type="gramEnd"/>
      <w:r>
        <w:rPr>
          <w:color w:val="000000"/>
          <w:sz w:val="24"/>
          <w:szCs w:val="24"/>
        </w:rPr>
        <w:t>中、实际利率高位下，货币政策为支持性的基调，国内债券的下行风险相对可控。考虑当前进入新</w:t>
      </w:r>
      <w:proofErr w:type="gramStart"/>
      <w:r>
        <w:rPr>
          <w:color w:val="000000"/>
          <w:sz w:val="24"/>
          <w:szCs w:val="24"/>
        </w:rPr>
        <w:t>一轮稳增长</w:t>
      </w:r>
      <w:proofErr w:type="gramEnd"/>
      <w:r>
        <w:rPr>
          <w:color w:val="000000"/>
          <w:sz w:val="24"/>
          <w:szCs w:val="24"/>
        </w:rPr>
        <w:t>政策验证期，长久期利率的波动或有上升，后续关注中短债策略为主。</w:t>
      </w:r>
    </w:p>
    <w:p w14:paraId="5DC2BA9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海外方面，市场预期美国经济软着陆，美股盈利增长或支撑当前的估值水平。随美联储降息落地，美债在货币政策宽松周期中将受益，收益率下行也有利于美股估值的维持，尤其是大盘风格。</w:t>
      </w:r>
    </w:p>
    <w:p w14:paraId="127D4006" w14:textId="77777777" w:rsidR="00627E2D" w:rsidRPr="00414345" w:rsidRDefault="00627E2D" w:rsidP="00C15CAC">
      <w:pPr>
        <w:spacing w:before="29" w:line="288" w:lineRule="auto"/>
        <w:ind w:firstLineChars="200" w:firstLine="480"/>
        <w:rPr>
          <w:color w:val="000000"/>
          <w:sz w:val="24"/>
          <w:szCs w:val="24"/>
        </w:rPr>
      </w:pPr>
    </w:p>
    <w:p w14:paraId="6A0DE1BF"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319A45BD"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本报告期摩根锦颐养</w:t>
      </w:r>
      <w:proofErr w:type="gramStart"/>
      <w:r w:rsidRPr="00414345">
        <w:rPr>
          <w:color w:val="000000"/>
          <w:sz w:val="24"/>
          <w:szCs w:val="24"/>
        </w:rPr>
        <w:t>老目标</w:t>
      </w:r>
      <w:proofErr w:type="gramEnd"/>
      <w:r w:rsidRPr="00414345">
        <w:rPr>
          <w:color w:val="000000"/>
          <w:sz w:val="24"/>
          <w:szCs w:val="24"/>
        </w:rPr>
        <w:t>日期</w:t>
      </w:r>
      <w:r w:rsidRPr="00414345">
        <w:rPr>
          <w:color w:val="000000"/>
          <w:sz w:val="24"/>
          <w:szCs w:val="24"/>
        </w:rPr>
        <w:t>2035</w:t>
      </w:r>
      <w:r w:rsidRPr="00414345">
        <w:rPr>
          <w:color w:val="000000"/>
          <w:sz w:val="24"/>
          <w:szCs w:val="24"/>
        </w:rPr>
        <w:t>三年份额净值增长率为</w:t>
      </w:r>
      <w:r w:rsidRPr="00414345">
        <w:rPr>
          <w:color w:val="000000"/>
          <w:sz w:val="24"/>
          <w:szCs w:val="24"/>
        </w:rPr>
        <w:t>:7.75%</w:t>
      </w:r>
      <w:r w:rsidRPr="00414345">
        <w:rPr>
          <w:color w:val="000000"/>
          <w:sz w:val="24"/>
          <w:szCs w:val="24"/>
        </w:rPr>
        <w:t>，同期业绩比较基准收益率为</w:t>
      </w:r>
      <w:r w:rsidRPr="00414345">
        <w:rPr>
          <w:color w:val="000000"/>
          <w:sz w:val="24"/>
          <w:szCs w:val="24"/>
        </w:rPr>
        <w:t>:6.92%</w:t>
      </w:r>
      <w:r w:rsidRPr="00414345">
        <w:rPr>
          <w:color w:val="000000"/>
          <w:sz w:val="24"/>
          <w:szCs w:val="24"/>
        </w:rPr>
        <w:t>。</w:t>
      </w:r>
    </w:p>
    <w:p w14:paraId="067225FA" w14:textId="77777777" w:rsidR="009C5186" w:rsidRPr="00414345" w:rsidRDefault="009C5186" w:rsidP="00C15CAC">
      <w:pPr>
        <w:spacing w:before="29" w:line="288" w:lineRule="auto"/>
        <w:ind w:firstLineChars="200" w:firstLine="480"/>
        <w:rPr>
          <w:color w:val="000000"/>
          <w:sz w:val="24"/>
          <w:szCs w:val="24"/>
        </w:rPr>
      </w:pPr>
    </w:p>
    <w:p w14:paraId="642791C7"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5D1074B4" w14:textId="77777777" w:rsidR="00421CD2" w:rsidRDefault="00421CD2" w:rsidP="00421CD2">
      <w:pPr>
        <w:spacing w:before="29" w:line="288" w:lineRule="auto"/>
        <w:ind w:firstLineChars="200" w:firstLine="480"/>
        <w:rPr>
          <w:color w:val="000000"/>
          <w:sz w:val="24"/>
        </w:rPr>
      </w:pPr>
      <w:r w:rsidRPr="002070B4">
        <w:rPr>
          <w:color w:val="000000"/>
          <w:sz w:val="24"/>
        </w:rPr>
        <w:t>无。</w:t>
      </w:r>
    </w:p>
    <w:p w14:paraId="5B5A0F6E"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14:paraId="290EDA56" w14:textId="77777777"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14:paraId="71518EE5" w14:textId="77777777" w:rsidTr="004C0877">
        <w:tc>
          <w:tcPr>
            <w:tcW w:w="720" w:type="dxa"/>
            <w:vAlign w:val="center"/>
          </w:tcPr>
          <w:p w14:paraId="39DAD3E2"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14:paraId="1AFF5940"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510F9F0D"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14:paraId="5F559568"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14:paraId="5941E98F" w14:textId="77777777" w:rsidTr="004C0877">
        <w:tc>
          <w:tcPr>
            <w:tcW w:w="720" w:type="dxa"/>
            <w:vAlign w:val="center"/>
          </w:tcPr>
          <w:p w14:paraId="60E3D868"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14:paraId="1FF1F94E"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20F5F1EA"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164E69EA"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5D866FB5" w14:textId="77777777" w:rsidTr="004C0877">
        <w:tc>
          <w:tcPr>
            <w:tcW w:w="720" w:type="dxa"/>
            <w:vAlign w:val="center"/>
          </w:tcPr>
          <w:p w14:paraId="50A9EB97"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21BFD520"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575FFB39"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1835A84E"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76201BC6" w14:textId="77777777" w:rsidTr="004C0877">
        <w:tc>
          <w:tcPr>
            <w:tcW w:w="720" w:type="dxa"/>
            <w:vAlign w:val="center"/>
          </w:tcPr>
          <w:p w14:paraId="09785583"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14:paraId="68754580"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75F82134"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44,752,969.62</w:t>
            </w:r>
          </w:p>
        </w:tc>
        <w:tc>
          <w:tcPr>
            <w:tcW w:w="2801" w:type="dxa"/>
            <w:vAlign w:val="center"/>
          </w:tcPr>
          <w:p w14:paraId="4B1EC2B3"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94.51</w:t>
            </w:r>
          </w:p>
        </w:tc>
      </w:tr>
      <w:tr w:rsidR="00BF0019" w:rsidRPr="007B5F21" w14:paraId="4A08EAC8" w14:textId="77777777" w:rsidTr="004C0877">
        <w:tc>
          <w:tcPr>
            <w:tcW w:w="720" w:type="dxa"/>
            <w:vAlign w:val="center"/>
          </w:tcPr>
          <w:p w14:paraId="48D67776"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14:paraId="66B1BF82"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4C0CCFA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2,345,097.10</w:t>
            </w:r>
          </w:p>
        </w:tc>
        <w:tc>
          <w:tcPr>
            <w:tcW w:w="2801" w:type="dxa"/>
            <w:vAlign w:val="center"/>
          </w:tcPr>
          <w:p w14:paraId="2287AD1D"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4.95</w:t>
            </w:r>
          </w:p>
        </w:tc>
      </w:tr>
      <w:tr w:rsidR="00BF0019" w:rsidRPr="007B5F21" w14:paraId="21924C95" w14:textId="77777777" w:rsidTr="004C0877">
        <w:tc>
          <w:tcPr>
            <w:tcW w:w="720" w:type="dxa"/>
            <w:vAlign w:val="center"/>
          </w:tcPr>
          <w:p w14:paraId="5323CBCE"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1F4E6CD0"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1EB12C46"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2,345,097.10</w:t>
            </w:r>
          </w:p>
        </w:tc>
        <w:tc>
          <w:tcPr>
            <w:tcW w:w="2801" w:type="dxa"/>
            <w:vAlign w:val="center"/>
          </w:tcPr>
          <w:p w14:paraId="0DFC4290"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4.95</w:t>
            </w:r>
          </w:p>
        </w:tc>
      </w:tr>
      <w:tr w:rsidR="00BF0019" w:rsidRPr="007B5F21" w14:paraId="14E4D78B" w14:textId="77777777" w:rsidTr="004C0877">
        <w:tc>
          <w:tcPr>
            <w:tcW w:w="720" w:type="dxa"/>
            <w:vAlign w:val="center"/>
          </w:tcPr>
          <w:p w14:paraId="0490A170"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3B8DE6BB" w14:textId="77777777"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4DD971BE"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29ED6FC0"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78E515B8" w14:textId="77777777" w:rsidTr="004C0877">
        <w:tc>
          <w:tcPr>
            <w:tcW w:w="720" w:type="dxa"/>
            <w:vAlign w:val="center"/>
          </w:tcPr>
          <w:p w14:paraId="2A2DAB37"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14:paraId="350E2DE7" w14:textId="77777777" w:rsidR="00BF0019" w:rsidRPr="007B5F21" w:rsidRDefault="00BF0019" w:rsidP="004C087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7C03D759"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3A6968C5"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0B74C2C6" w14:textId="77777777" w:rsidTr="004C0877">
        <w:tc>
          <w:tcPr>
            <w:tcW w:w="720" w:type="dxa"/>
            <w:vAlign w:val="center"/>
          </w:tcPr>
          <w:p w14:paraId="077F30FA"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14:paraId="3586A77C"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14:paraId="09D41086"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278A9B4E"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422BEAA4" w14:textId="77777777" w:rsidTr="004C0877">
        <w:tc>
          <w:tcPr>
            <w:tcW w:w="720" w:type="dxa"/>
            <w:vAlign w:val="center"/>
          </w:tcPr>
          <w:p w14:paraId="1960EBB1"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14:paraId="363E9CE6"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1B15F4D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14:paraId="345F2C1C"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4E752075" w14:textId="77777777" w:rsidTr="004C0877">
        <w:tc>
          <w:tcPr>
            <w:tcW w:w="720" w:type="dxa"/>
            <w:vAlign w:val="center"/>
          </w:tcPr>
          <w:p w14:paraId="29D55F76" w14:textId="77777777" w:rsidR="00BF0019" w:rsidRPr="007B5F21" w:rsidRDefault="00BF0019" w:rsidP="004C0877">
            <w:pPr>
              <w:spacing w:before="29" w:line="360" w:lineRule="auto"/>
              <w:ind w:left="17"/>
              <w:jc w:val="center"/>
              <w:rPr>
                <w:rFonts w:eastAsiaTheme="minorEastAsia"/>
                <w:color w:val="000000" w:themeColor="text1"/>
                <w:sz w:val="24"/>
                <w:szCs w:val="24"/>
              </w:rPr>
            </w:pPr>
          </w:p>
        </w:tc>
        <w:tc>
          <w:tcPr>
            <w:tcW w:w="2824" w:type="dxa"/>
            <w:vAlign w:val="center"/>
          </w:tcPr>
          <w:p w14:paraId="79BBE916"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14:paraId="38E9EC2D"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14:paraId="01164581"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13577B94" w14:textId="77777777" w:rsidTr="004C0877">
        <w:tc>
          <w:tcPr>
            <w:tcW w:w="720" w:type="dxa"/>
            <w:vAlign w:val="center"/>
          </w:tcPr>
          <w:p w14:paraId="7E6B03FD"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14:paraId="6A850442" w14:textId="77777777" w:rsidR="00BF0019" w:rsidRPr="007B5F21" w:rsidRDefault="00BF0019" w:rsidP="004C087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0C0141DB"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163,296.95</w:t>
            </w:r>
          </w:p>
        </w:tc>
        <w:tc>
          <w:tcPr>
            <w:tcW w:w="2801" w:type="dxa"/>
            <w:vAlign w:val="center"/>
          </w:tcPr>
          <w:p w14:paraId="274814EC" w14:textId="77777777" w:rsidR="00BF0019" w:rsidRPr="007B5F21" w:rsidRDefault="00BF0019" w:rsidP="004C087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0.34</w:t>
            </w:r>
          </w:p>
        </w:tc>
      </w:tr>
      <w:tr w:rsidR="00BF0019" w:rsidRPr="007B5F21" w14:paraId="55035018" w14:textId="77777777" w:rsidTr="004C0877">
        <w:tc>
          <w:tcPr>
            <w:tcW w:w="720" w:type="dxa"/>
            <w:vAlign w:val="center"/>
          </w:tcPr>
          <w:p w14:paraId="1E2C8814"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14:paraId="2D6D1A4B" w14:textId="77777777"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4D967D79"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92,497.59</w:t>
            </w:r>
          </w:p>
        </w:tc>
        <w:tc>
          <w:tcPr>
            <w:tcW w:w="2801" w:type="dxa"/>
            <w:vAlign w:val="center"/>
          </w:tcPr>
          <w:p w14:paraId="215856B6"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0.20</w:t>
            </w:r>
          </w:p>
        </w:tc>
      </w:tr>
      <w:tr w:rsidR="00BF0019" w:rsidRPr="007B5F21" w14:paraId="4A198321" w14:textId="77777777" w:rsidTr="004C0877">
        <w:tc>
          <w:tcPr>
            <w:tcW w:w="720" w:type="dxa"/>
            <w:vAlign w:val="center"/>
          </w:tcPr>
          <w:p w14:paraId="7B248999" w14:textId="77777777" w:rsidR="00BF0019" w:rsidRPr="007B5F21" w:rsidRDefault="00BF0019" w:rsidP="004C087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14:paraId="43BFAD77" w14:textId="77777777" w:rsidR="00BF0019" w:rsidRPr="007B5F21" w:rsidRDefault="00BF0019" w:rsidP="004C087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2B6E83E0"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47,353,861.26</w:t>
            </w:r>
          </w:p>
        </w:tc>
        <w:tc>
          <w:tcPr>
            <w:tcW w:w="2801" w:type="dxa"/>
            <w:vAlign w:val="center"/>
          </w:tcPr>
          <w:p w14:paraId="49C5F374" w14:textId="77777777" w:rsidR="00BF0019" w:rsidRPr="007B5F21" w:rsidRDefault="00BF0019" w:rsidP="004C087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FC86899"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566186BA"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767A82E8" w14:textId="77777777"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14:paraId="54FCE95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14:paraId="05911144"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295022F0" w14:textId="77777777" w:rsidR="004061AC" w:rsidRPr="00E133DE" w:rsidRDefault="00E133DE" w:rsidP="00C15CAC">
      <w:pPr>
        <w:autoSpaceDE w:val="0"/>
        <w:autoSpaceDN w:val="0"/>
        <w:adjustRightInd w:val="0"/>
        <w:spacing w:before="29" w:line="288" w:lineRule="auto"/>
        <w:jc w:val="left"/>
        <w:rPr>
          <w:b/>
          <w:bCs/>
          <w:kern w:val="0"/>
          <w:sz w:val="24"/>
          <w:szCs w:val="24"/>
        </w:rPr>
      </w:pPr>
      <w:r w:rsidRPr="00E133DE">
        <w:rPr>
          <w:rFonts w:eastAsiaTheme="minorEastAsia"/>
          <w:b/>
          <w:bCs/>
          <w:kern w:val="0"/>
          <w:sz w:val="24"/>
          <w:szCs w:val="24"/>
        </w:rPr>
        <w:t xml:space="preserve">5.3 </w:t>
      </w:r>
      <w:r w:rsidR="004061AC" w:rsidRPr="00E133DE">
        <w:rPr>
          <w:b/>
          <w:bCs/>
          <w:kern w:val="0"/>
          <w:sz w:val="24"/>
          <w:szCs w:val="24"/>
        </w:rPr>
        <w:t>报告期末按公允价值占基金资产净值比例大小排序的前十名股票投资明细</w:t>
      </w:r>
    </w:p>
    <w:p w14:paraId="025924BD" w14:textId="77777777" w:rsidR="004061AC" w:rsidRPr="00E133DE" w:rsidRDefault="004061AC" w:rsidP="00C15CAC">
      <w:pPr>
        <w:autoSpaceDE w:val="0"/>
        <w:autoSpaceDN w:val="0"/>
        <w:adjustRightInd w:val="0"/>
        <w:spacing w:before="29" w:line="288" w:lineRule="auto"/>
        <w:jc w:val="left"/>
        <w:rPr>
          <w:sz w:val="24"/>
          <w:szCs w:val="24"/>
        </w:rPr>
      </w:pPr>
      <w:r w:rsidRPr="00E133DE">
        <w:rPr>
          <w:sz w:val="24"/>
          <w:szCs w:val="24"/>
        </w:rPr>
        <w:t>本基金本报告期末未持有股票。</w:t>
      </w:r>
    </w:p>
    <w:p w14:paraId="30E30814" w14:textId="77777777" w:rsidR="00E133DE" w:rsidRPr="00975DED" w:rsidRDefault="00E133DE" w:rsidP="00C15CAC">
      <w:pPr>
        <w:autoSpaceDE w:val="0"/>
        <w:autoSpaceDN w:val="0"/>
        <w:adjustRightInd w:val="0"/>
        <w:spacing w:before="29" w:line="288" w:lineRule="auto"/>
        <w:jc w:val="left"/>
        <w:rPr>
          <w:b/>
          <w:bCs/>
          <w:color w:val="000000"/>
          <w:kern w:val="0"/>
          <w:sz w:val="24"/>
          <w:szCs w:val="24"/>
        </w:rPr>
      </w:pPr>
    </w:p>
    <w:p w14:paraId="10B9C18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14:paraId="03C566BA" w14:textId="77777777" w:rsidTr="00F323FF">
        <w:trPr>
          <w:jc w:val="center"/>
        </w:trPr>
        <w:tc>
          <w:tcPr>
            <w:tcW w:w="828" w:type="dxa"/>
            <w:vAlign w:val="center"/>
          </w:tcPr>
          <w:p w14:paraId="414350B5"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4E7C0DB7"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0826F6C8"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14:paraId="59D60D34"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14:paraId="6BF26BE5" w14:textId="77777777" w:rsidTr="00F323FF">
        <w:trPr>
          <w:jc w:val="center"/>
        </w:trPr>
        <w:tc>
          <w:tcPr>
            <w:tcW w:w="828" w:type="dxa"/>
            <w:vAlign w:val="center"/>
          </w:tcPr>
          <w:p w14:paraId="47029116"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4884D694"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2B28C09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2,345,097.10</w:t>
            </w:r>
          </w:p>
        </w:tc>
        <w:tc>
          <w:tcPr>
            <w:tcW w:w="1751" w:type="dxa"/>
            <w:vAlign w:val="center"/>
          </w:tcPr>
          <w:p w14:paraId="557105A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4.97</w:t>
            </w:r>
          </w:p>
        </w:tc>
      </w:tr>
      <w:tr w:rsidR="00AC592E" w:rsidRPr="00414345" w14:paraId="77F5468C" w14:textId="77777777" w:rsidTr="00F323FF">
        <w:trPr>
          <w:jc w:val="center"/>
        </w:trPr>
        <w:tc>
          <w:tcPr>
            <w:tcW w:w="828" w:type="dxa"/>
            <w:vAlign w:val="center"/>
          </w:tcPr>
          <w:p w14:paraId="4E22320B"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10E6A199"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7AD216A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8BB63E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7AE8094D" w14:textId="77777777" w:rsidTr="00F323FF">
        <w:trPr>
          <w:jc w:val="center"/>
        </w:trPr>
        <w:tc>
          <w:tcPr>
            <w:tcW w:w="828" w:type="dxa"/>
            <w:vAlign w:val="center"/>
          </w:tcPr>
          <w:p w14:paraId="17A065B1"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7F6A0273"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0ECFD1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EB683B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320FCC34" w14:textId="77777777" w:rsidTr="00F323FF">
        <w:trPr>
          <w:jc w:val="center"/>
        </w:trPr>
        <w:tc>
          <w:tcPr>
            <w:tcW w:w="828" w:type="dxa"/>
            <w:vAlign w:val="center"/>
          </w:tcPr>
          <w:p w14:paraId="32B9B88C" w14:textId="77777777" w:rsidR="00AC592E" w:rsidRPr="00414345" w:rsidRDefault="00AC592E" w:rsidP="00C15CAC">
            <w:pPr>
              <w:spacing w:before="29" w:line="288" w:lineRule="auto"/>
              <w:ind w:left="17"/>
              <w:jc w:val="center"/>
              <w:rPr>
                <w:color w:val="000000"/>
                <w:sz w:val="24"/>
                <w:szCs w:val="24"/>
              </w:rPr>
            </w:pPr>
          </w:p>
        </w:tc>
        <w:tc>
          <w:tcPr>
            <w:tcW w:w="3302" w:type="dxa"/>
            <w:vAlign w:val="center"/>
          </w:tcPr>
          <w:p w14:paraId="19E9AA27"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4316519"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6003C2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5E9BE3DF" w14:textId="77777777" w:rsidTr="00F323FF">
        <w:trPr>
          <w:jc w:val="center"/>
        </w:trPr>
        <w:tc>
          <w:tcPr>
            <w:tcW w:w="828" w:type="dxa"/>
            <w:vAlign w:val="center"/>
          </w:tcPr>
          <w:p w14:paraId="2319B74A"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2C9967E7"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1433D07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2D19DB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6D3AD415" w14:textId="77777777" w:rsidTr="00F323FF">
        <w:trPr>
          <w:jc w:val="center"/>
        </w:trPr>
        <w:tc>
          <w:tcPr>
            <w:tcW w:w="828" w:type="dxa"/>
            <w:vAlign w:val="center"/>
          </w:tcPr>
          <w:p w14:paraId="1D81C7EB"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16DF370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14:paraId="0C4F957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424A78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14:paraId="2E6666DE" w14:textId="77777777" w:rsidTr="00F323FF">
        <w:trPr>
          <w:jc w:val="center"/>
        </w:trPr>
        <w:tc>
          <w:tcPr>
            <w:tcW w:w="828" w:type="dxa"/>
            <w:vAlign w:val="center"/>
          </w:tcPr>
          <w:p w14:paraId="04E709C4" w14:textId="77777777"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2E6E597B" w14:textId="77777777"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5A6B7CC7"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89EC7DD"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11A123E0" w14:textId="77777777" w:rsidTr="00F323FF">
        <w:trPr>
          <w:jc w:val="center"/>
        </w:trPr>
        <w:tc>
          <w:tcPr>
            <w:tcW w:w="828" w:type="dxa"/>
            <w:vAlign w:val="center"/>
          </w:tcPr>
          <w:p w14:paraId="2985169C" w14:textId="77777777"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71C12ED8"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14:paraId="1B2EFBF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48446E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14:paraId="139A9ED4" w14:textId="77777777" w:rsidTr="004C0877">
        <w:trPr>
          <w:jc w:val="center"/>
        </w:trPr>
        <w:tc>
          <w:tcPr>
            <w:tcW w:w="828" w:type="dxa"/>
            <w:vAlign w:val="center"/>
          </w:tcPr>
          <w:p w14:paraId="6DEA09EF" w14:textId="77777777" w:rsidR="00F323FF" w:rsidRPr="007A70C2" w:rsidRDefault="00F323FF" w:rsidP="004C0877">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468C138E" w14:textId="77777777" w:rsidR="00F323FF" w:rsidRPr="007A70C2" w:rsidRDefault="00F323FF" w:rsidP="004C0877">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06D700A3" w14:textId="77777777"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01401CB9" w14:textId="77777777" w:rsidR="00F323FF" w:rsidRPr="007A70C2" w:rsidRDefault="00F323FF" w:rsidP="004C0877">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14:paraId="2C915878" w14:textId="77777777" w:rsidTr="00F323FF">
        <w:trPr>
          <w:jc w:val="center"/>
        </w:trPr>
        <w:tc>
          <w:tcPr>
            <w:tcW w:w="828" w:type="dxa"/>
            <w:vAlign w:val="center"/>
          </w:tcPr>
          <w:p w14:paraId="2DCBF8A5"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050E97D1"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1BE2DBC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916D90B"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0DBDA825" w14:textId="77777777" w:rsidTr="00F323FF">
        <w:trPr>
          <w:jc w:val="center"/>
        </w:trPr>
        <w:tc>
          <w:tcPr>
            <w:tcW w:w="828" w:type="dxa"/>
            <w:vAlign w:val="center"/>
          </w:tcPr>
          <w:p w14:paraId="5EFBD11A"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7D91C6A8"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5C7F10AB"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2,345,097.10</w:t>
            </w:r>
          </w:p>
        </w:tc>
        <w:tc>
          <w:tcPr>
            <w:tcW w:w="1751" w:type="dxa"/>
            <w:vAlign w:val="center"/>
          </w:tcPr>
          <w:p w14:paraId="11AF50DB"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4.97</w:t>
            </w:r>
          </w:p>
        </w:tc>
      </w:tr>
    </w:tbl>
    <w:p w14:paraId="3FE84AF7"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D90B00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14:paraId="5EB39798" w14:textId="77777777" w:rsidTr="00A324F4">
        <w:trPr>
          <w:jc w:val="center"/>
        </w:trPr>
        <w:tc>
          <w:tcPr>
            <w:tcW w:w="817" w:type="dxa"/>
            <w:vAlign w:val="center"/>
          </w:tcPr>
          <w:p w14:paraId="42BF107B"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36E82124"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024C2F7C"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3FC64D83"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14:paraId="35986D8A"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33AF1489"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34DFA" w14:paraId="0454AD97" w14:textId="77777777">
        <w:trPr>
          <w:jc w:val="center"/>
        </w:trPr>
        <w:tc>
          <w:tcPr>
            <w:tcW w:w="850" w:type="dxa"/>
            <w:vAlign w:val="center"/>
          </w:tcPr>
          <w:p w14:paraId="2ACB9B87" w14:textId="77777777" w:rsidR="00934DFA" w:rsidRDefault="00BC614E">
            <w:pPr>
              <w:jc w:val="center"/>
            </w:pPr>
            <w:r>
              <w:rPr>
                <w:color w:val="000000"/>
                <w:sz w:val="24"/>
                <w:szCs w:val="24"/>
              </w:rPr>
              <w:t>1</w:t>
            </w:r>
          </w:p>
        </w:tc>
        <w:tc>
          <w:tcPr>
            <w:tcW w:w="1475" w:type="dxa"/>
            <w:vAlign w:val="center"/>
          </w:tcPr>
          <w:p w14:paraId="601A66CD" w14:textId="77777777" w:rsidR="00934DFA" w:rsidRDefault="00BC614E">
            <w:pPr>
              <w:jc w:val="center"/>
            </w:pPr>
            <w:r>
              <w:rPr>
                <w:color w:val="000000"/>
                <w:sz w:val="24"/>
                <w:szCs w:val="24"/>
              </w:rPr>
              <w:t>019727</w:t>
            </w:r>
          </w:p>
        </w:tc>
        <w:tc>
          <w:tcPr>
            <w:tcW w:w="1769" w:type="dxa"/>
            <w:vAlign w:val="center"/>
          </w:tcPr>
          <w:p w14:paraId="6FE6C1BA" w14:textId="77777777" w:rsidR="00934DFA" w:rsidRDefault="00BC614E">
            <w:pPr>
              <w:jc w:val="center"/>
            </w:pPr>
            <w:r>
              <w:rPr>
                <w:color w:val="000000"/>
                <w:sz w:val="24"/>
                <w:szCs w:val="24"/>
              </w:rPr>
              <w:t>23</w:t>
            </w:r>
            <w:r>
              <w:rPr>
                <w:color w:val="000000"/>
                <w:sz w:val="24"/>
                <w:szCs w:val="24"/>
              </w:rPr>
              <w:t>国债</w:t>
            </w:r>
            <w:r>
              <w:rPr>
                <w:color w:val="000000"/>
                <w:sz w:val="24"/>
                <w:szCs w:val="24"/>
              </w:rPr>
              <w:t>24</w:t>
            </w:r>
          </w:p>
        </w:tc>
        <w:tc>
          <w:tcPr>
            <w:tcW w:w="1387" w:type="dxa"/>
            <w:vAlign w:val="center"/>
          </w:tcPr>
          <w:p w14:paraId="02A2F50F" w14:textId="77777777" w:rsidR="00934DFA" w:rsidRDefault="00BC614E">
            <w:pPr>
              <w:jc w:val="right"/>
            </w:pPr>
            <w:r>
              <w:rPr>
                <w:color w:val="000000"/>
                <w:sz w:val="24"/>
                <w:szCs w:val="24"/>
              </w:rPr>
              <w:t>19,000</w:t>
            </w:r>
          </w:p>
        </w:tc>
        <w:tc>
          <w:tcPr>
            <w:tcW w:w="2150" w:type="dxa"/>
            <w:vAlign w:val="center"/>
          </w:tcPr>
          <w:p w14:paraId="409FF6EC" w14:textId="77777777" w:rsidR="00934DFA" w:rsidRDefault="00BC614E">
            <w:pPr>
              <w:jc w:val="right"/>
            </w:pPr>
            <w:r>
              <w:rPr>
                <w:color w:val="000000"/>
                <w:sz w:val="24"/>
                <w:szCs w:val="24"/>
              </w:rPr>
              <w:t>1,941,966.58</w:t>
            </w:r>
          </w:p>
        </w:tc>
        <w:tc>
          <w:tcPr>
            <w:tcW w:w="1237" w:type="dxa"/>
            <w:vAlign w:val="center"/>
          </w:tcPr>
          <w:p w14:paraId="53D09799" w14:textId="77777777" w:rsidR="00934DFA" w:rsidRDefault="00BC614E">
            <w:pPr>
              <w:jc w:val="right"/>
            </w:pPr>
            <w:r>
              <w:rPr>
                <w:color w:val="000000"/>
                <w:sz w:val="24"/>
                <w:szCs w:val="24"/>
              </w:rPr>
              <w:t>4.12</w:t>
            </w:r>
          </w:p>
        </w:tc>
      </w:tr>
      <w:tr w:rsidR="00934DFA" w14:paraId="052079F6" w14:textId="77777777">
        <w:trPr>
          <w:jc w:val="center"/>
        </w:trPr>
        <w:tc>
          <w:tcPr>
            <w:tcW w:w="850" w:type="dxa"/>
            <w:vAlign w:val="center"/>
          </w:tcPr>
          <w:p w14:paraId="3F9427A3" w14:textId="77777777" w:rsidR="00934DFA" w:rsidRDefault="00BC614E">
            <w:pPr>
              <w:jc w:val="center"/>
            </w:pPr>
            <w:r>
              <w:rPr>
                <w:color w:val="000000"/>
                <w:sz w:val="24"/>
                <w:szCs w:val="24"/>
              </w:rPr>
              <w:lastRenderedPageBreak/>
              <w:t>2</w:t>
            </w:r>
          </w:p>
        </w:tc>
        <w:tc>
          <w:tcPr>
            <w:tcW w:w="1475" w:type="dxa"/>
            <w:vAlign w:val="center"/>
          </w:tcPr>
          <w:p w14:paraId="31C17161" w14:textId="77777777" w:rsidR="00934DFA" w:rsidRDefault="00BC614E">
            <w:pPr>
              <w:jc w:val="center"/>
            </w:pPr>
            <w:r>
              <w:rPr>
                <w:color w:val="000000"/>
                <w:sz w:val="24"/>
                <w:szCs w:val="24"/>
              </w:rPr>
              <w:t>019740</w:t>
            </w:r>
          </w:p>
        </w:tc>
        <w:tc>
          <w:tcPr>
            <w:tcW w:w="1769" w:type="dxa"/>
            <w:vAlign w:val="center"/>
          </w:tcPr>
          <w:p w14:paraId="652775EB" w14:textId="77777777" w:rsidR="00934DFA" w:rsidRDefault="00BC614E">
            <w:pPr>
              <w:jc w:val="center"/>
            </w:pPr>
            <w:r>
              <w:rPr>
                <w:color w:val="000000"/>
                <w:sz w:val="24"/>
                <w:szCs w:val="24"/>
              </w:rPr>
              <w:t>24</w:t>
            </w:r>
            <w:r>
              <w:rPr>
                <w:color w:val="000000"/>
                <w:sz w:val="24"/>
                <w:szCs w:val="24"/>
              </w:rPr>
              <w:t>国债</w:t>
            </w:r>
            <w:r>
              <w:rPr>
                <w:color w:val="000000"/>
                <w:sz w:val="24"/>
                <w:szCs w:val="24"/>
              </w:rPr>
              <w:t>09</w:t>
            </w:r>
          </w:p>
        </w:tc>
        <w:tc>
          <w:tcPr>
            <w:tcW w:w="1387" w:type="dxa"/>
            <w:vAlign w:val="center"/>
          </w:tcPr>
          <w:p w14:paraId="35E3B6DA" w14:textId="77777777" w:rsidR="00934DFA" w:rsidRDefault="00BC614E">
            <w:pPr>
              <w:jc w:val="right"/>
            </w:pPr>
            <w:r>
              <w:rPr>
                <w:color w:val="000000"/>
                <w:sz w:val="24"/>
                <w:szCs w:val="24"/>
              </w:rPr>
              <w:t>4,000</w:t>
            </w:r>
          </w:p>
        </w:tc>
        <w:tc>
          <w:tcPr>
            <w:tcW w:w="2150" w:type="dxa"/>
            <w:vAlign w:val="center"/>
          </w:tcPr>
          <w:p w14:paraId="7BEA940C" w14:textId="77777777" w:rsidR="00934DFA" w:rsidRDefault="00BC614E">
            <w:pPr>
              <w:jc w:val="right"/>
            </w:pPr>
            <w:r>
              <w:rPr>
                <w:color w:val="000000"/>
                <w:sz w:val="24"/>
                <w:szCs w:val="24"/>
              </w:rPr>
              <w:t>403,130.52</w:t>
            </w:r>
          </w:p>
        </w:tc>
        <w:tc>
          <w:tcPr>
            <w:tcW w:w="1237" w:type="dxa"/>
            <w:vAlign w:val="center"/>
          </w:tcPr>
          <w:p w14:paraId="713E7BCE" w14:textId="77777777" w:rsidR="00934DFA" w:rsidRDefault="00BC614E">
            <w:pPr>
              <w:jc w:val="right"/>
            </w:pPr>
            <w:r>
              <w:rPr>
                <w:color w:val="000000"/>
                <w:sz w:val="24"/>
                <w:szCs w:val="24"/>
              </w:rPr>
              <w:t>0.85</w:t>
            </w:r>
          </w:p>
        </w:tc>
      </w:tr>
    </w:tbl>
    <w:p w14:paraId="49F38A0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1F0379E7"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63684558"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3239242D"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552D98B4"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514820BC"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571CA2FD"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0A5A3D3"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6D8A75F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73DBA9C4"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D0CBC50"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7CA1297E"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4DC1BE35" w14:textId="77777777" w:rsidR="00AA3A38" w:rsidRPr="00414345" w:rsidRDefault="00AA3A38" w:rsidP="00C15CAC">
      <w:pPr>
        <w:adjustRightInd w:val="0"/>
        <w:snapToGrid w:val="0"/>
        <w:spacing w:before="29" w:line="288" w:lineRule="auto"/>
        <w:rPr>
          <w:sz w:val="24"/>
          <w:szCs w:val="24"/>
        </w:rPr>
      </w:pPr>
    </w:p>
    <w:p w14:paraId="1CAAE5C7"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633DB3B2"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51239A8A"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5DEC8908"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5651DD22"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1D9D4A67"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报告期内本基金投资的前十名股票中没有在基金合同规定备选股票库之外的股票。</w:t>
      </w:r>
    </w:p>
    <w:p w14:paraId="363C1E38"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54C8CB86" w14:textId="77777777" w:rsidTr="000243BD">
        <w:trPr>
          <w:jc w:val="center"/>
        </w:trPr>
        <w:tc>
          <w:tcPr>
            <w:tcW w:w="1235" w:type="dxa"/>
            <w:vAlign w:val="center"/>
          </w:tcPr>
          <w:p w14:paraId="3B602B27"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736444B7"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68AD209B"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547126D9" w14:textId="77777777" w:rsidTr="000243BD">
        <w:trPr>
          <w:jc w:val="center"/>
        </w:trPr>
        <w:tc>
          <w:tcPr>
            <w:tcW w:w="1235" w:type="dxa"/>
            <w:vAlign w:val="center"/>
          </w:tcPr>
          <w:p w14:paraId="3634BF21"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20951A9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132A2F9C"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1,503.22</w:t>
            </w:r>
          </w:p>
        </w:tc>
      </w:tr>
      <w:tr w:rsidR="004C0914" w:rsidRPr="00414345" w14:paraId="04B23140" w14:textId="77777777" w:rsidTr="000243BD">
        <w:trPr>
          <w:jc w:val="center"/>
        </w:trPr>
        <w:tc>
          <w:tcPr>
            <w:tcW w:w="1235" w:type="dxa"/>
            <w:vAlign w:val="center"/>
          </w:tcPr>
          <w:p w14:paraId="13EC2EFF"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66D3B025"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62196E88"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90,994.37</w:t>
            </w:r>
          </w:p>
        </w:tc>
      </w:tr>
      <w:tr w:rsidR="004C0914" w:rsidRPr="00414345" w14:paraId="56FEDC21" w14:textId="77777777" w:rsidTr="000243BD">
        <w:trPr>
          <w:jc w:val="center"/>
        </w:trPr>
        <w:tc>
          <w:tcPr>
            <w:tcW w:w="1235" w:type="dxa"/>
            <w:vAlign w:val="center"/>
          </w:tcPr>
          <w:p w14:paraId="43180F8F"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0D19BA5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2F0E69D5"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7B8FE50B" w14:textId="77777777" w:rsidTr="000243BD">
        <w:trPr>
          <w:jc w:val="center"/>
        </w:trPr>
        <w:tc>
          <w:tcPr>
            <w:tcW w:w="1235" w:type="dxa"/>
            <w:vAlign w:val="center"/>
          </w:tcPr>
          <w:p w14:paraId="0A4FD05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32F80766"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7040A892"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7CCD49BE" w14:textId="77777777" w:rsidTr="000243BD">
        <w:trPr>
          <w:jc w:val="center"/>
        </w:trPr>
        <w:tc>
          <w:tcPr>
            <w:tcW w:w="1235" w:type="dxa"/>
            <w:vAlign w:val="center"/>
          </w:tcPr>
          <w:p w14:paraId="5A52C88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34E32A9F"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09E6F839"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1AB8ECD1" w14:textId="77777777" w:rsidTr="000243BD">
        <w:trPr>
          <w:jc w:val="center"/>
        </w:trPr>
        <w:tc>
          <w:tcPr>
            <w:tcW w:w="1235" w:type="dxa"/>
            <w:vAlign w:val="center"/>
          </w:tcPr>
          <w:p w14:paraId="6A92F036"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221640EE"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4AC5A0DC"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6FF9D8C" w14:textId="77777777" w:rsidTr="000243BD">
        <w:trPr>
          <w:jc w:val="center"/>
        </w:trPr>
        <w:tc>
          <w:tcPr>
            <w:tcW w:w="1235" w:type="dxa"/>
            <w:vAlign w:val="center"/>
          </w:tcPr>
          <w:p w14:paraId="4361E00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CDD093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66B69F06"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2A2F1968" w14:textId="77777777" w:rsidTr="000243BD">
        <w:trPr>
          <w:jc w:val="center"/>
        </w:trPr>
        <w:tc>
          <w:tcPr>
            <w:tcW w:w="1235" w:type="dxa"/>
            <w:vAlign w:val="center"/>
          </w:tcPr>
          <w:p w14:paraId="174BBAB6"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4F468A1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602C9A7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437E06DF" w14:textId="77777777" w:rsidTr="000243BD">
        <w:trPr>
          <w:jc w:val="center"/>
        </w:trPr>
        <w:tc>
          <w:tcPr>
            <w:tcW w:w="1235" w:type="dxa"/>
            <w:vAlign w:val="center"/>
          </w:tcPr>
          <w:p w14:paraId="6BEE718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14:paraId="35859A6A"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618196AB"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92,497.59</w:t>
            </w:r>
          </w:p>
        </w:tc>
      </w:tr>
    </w:tbl>
    <w:p w14:paraId="54DA704D" w14:textId="77777777" w:rsidR="002918E3" w:rsidRPr="00414345" w:rsidRDefault="002918E3" w:rsidP="00C15CAC">
      <w:pPr>
        <w:autoSpaceDE w:val="0"/>
        <w:autoSpaceDN w:val="0"/>
        <w:adjustRightInd w:val="0"/>
        <w:spacing w:before="29" w:line="288" w:lineRule="auto"/>
        <w:rPr>
          <w:color w:val="000000"/>
          <w:sz w:val="24"/>
          <w:szCs w:val="24"/>
        </w:rPr>
      </w:pPr>
    </w:p>
    <w:p w14:paraId="5B132B43"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14:paraId="096F9BC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19B722F7" w14:textId="77777777" w:rsidR="002918E3" w:rsidRPr="00414345" w:rsidRDefault="002918E3" w:rsidP="00C15CAC">
      <w:pPr>
        <w:autoSpaceDE w:val="0"/>
        <w:autoSpaceDN w:val="0"/>
        <w:adjustRightInd w:val="0"/>
        <w:spacing w:before="29" w:line="288" w:lineRule="auto"/>
        <w:rPr>
          <w:color w:val="000000"/>
          <w:sz w:val="24"/>
          <w:szCs w:val="24"/>
        </w:rPr>
      </w:pPr>
    </w:p>
    <w:p w14:paraId="21C52E21"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14:paraId="24877E0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14:paraId="7CF9DA48" w14:textId="77777777" w:rsidR="002918E3" w:rsidRPr="00414345" w:rsidRDefault="002918E3" w:rsidP="00C15CAC">
      <w:pPr>
        <w:autoSpaceDE w:val="0"/>
        <w:autoSpaceDN w:val="0"/>
        <w:adjustRightInd w:val="0"/>
        <w:spacing w:before="29" w:line="288" w:lineRule="auto"/>
        <w:rPr>
          <w:color w:val="000000"/>
          <w:sz w:val="24"/>
          <w:szCs w:val="24"/>
        </w:rPr>
      </w:pPr>
    </w:p>
    <w:p w14:paraId="1837E7E8"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14:paraId="33C86A8D" w14:textId="77777777" w:rsidR="006B2FF6" w:rsidRPr="00414345" w:rsidRDefault="004061AC" w:rsidP="00E40D31">
      <w:pPr>
        <w:spacing w:before="29" w:line="288" w:lineRule="auto"/>
        <w:rPr>
          <w:color w:val="000000"/>
          <w:sz w:val="24"/>
          <w:szCs w:val="24"/>
        </w:rPr>
      </w:pPr>
      <w:r w:rsidRPr="00414345">
        <w:rPr>
          <w:color w:val="000000"/>
          <w:sz w:val="24"/>
          <w:szCs w:val="24"/>
        </w:rPr>
        <w:t>因四舍五入原因，投资组合报告中分项之和与合计可能存在尾差。</w:t>
      </w:r>
    </w:p>
    <w:p w14:paraId="2AAC70B3" w14:textId="77777777" w:rsidR="006B2FF6" w:rsidRDefault="006B2FF6" w:rsidP="00C15CAC">
      <w:pPr>
        <w:spacing w:before="29" w:line="288" w:lineRule="auto"/>
        <w:ind w:firstLineChars="200" w:firstLine="480"/>
        <w:rPr>
          <w:color w:val="000000"/>
          <w:sz w:val="24"/>
          <w:szCs w:val="24"/>
        </w:rPr>
      </w:pPr>
    </w:p>
    <w:p w14:paraId="346C55D3" w14:textId="77777777" w:rsidR="001F3E2A" w:rsidRDefault="001F3E2A" w:rsidP="00C15CAC">
      <w:pPr>
        <w:spacing w:before="29" w:line="288" w:lineRule="auto"/>
        <w:ind w:firstLineChars="200" w:firstLine="480"/>
        <w:rPr>
          <w:color w:val="000000"/>
          <w:sz w:val="24"/>
          <w:szCs w:val="24"/>
        </w:rPr>
      </w:pPr>
    </w:p>
    <w:p w14:paraId="3B254E7A" w14:textId="77777777"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14:paraId="21407B75" w14:textId="77777777"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1F3E2A" w:rsidRPr="00575270" w14:paraId="453B7D9D" w14:textId="77777777" w:rsidTr="004C0877">
        <w:tc>
          <w:tcPr>
            <w:tcW w:w="452" w:type="pct"/>
            <w:vAlign w:val="center"/>
          </w:tcPr>
          <w:p w14:paraId="41CD08E0"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14:paraId="71DA5D40"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14:paraId="61386552"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14:paraId="4B93EB68"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14:paraId="04BACED9"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14:paraId="0D9E1B0D" w14:textId="77777777" w:rsidR="001F3E2A" w:rsidRPr="00575270" w:rsidRDefault="001F3E2A" w:rsidP="004C087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14:paraId="05806864" w14:textId="77777777"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14:paraId="2A316D51" w14:textId="77777777" w:rsidR="001F3E2A" w:rsidRPr="00575270" w:rsidRDefault="001F3E2A" w:rsidP="004C087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934DFA" w14:paraId="13E42B6B" w14:textId="77777777">
        <w:tc>
          <w:tcPr>
            <w:tcW w:w="835" w:type="dxa"/>
            <w:vAlign w:val="center"/>
          </w:tcPr>
          <w:p w14:paraId="164ECAED" w14:textId="77777777" w:rsidR="00934DFA" w:rsidRDefault="00BC614E">
            <w:pPr>
              <w:jc w:val="center"/>
            </w:pPr>
            <w:r>
              <w:rPr>
                <w:sz w:val="24"/>
                <w:szCs w:val="24"/>
              </w:rPr>
              <w:t>1</w:t>
            </w:r>
          </w:p>
        </w:tc>
        <w:tc>
          <w:tcPr>
            <w:tcW w:w="1159" w:type="dxa"/>
            <w:vAlign w:val="center"/>
          </w:tcPr>
          <w:p w14:paraId="67CBA63C" w14:textId="77777777" w:rsidR="00934DFA" w:rsidRDefault="00BC614E">
            <w:pPr>
              <w:jc w:val="center"/>
            </w:pPr>
            <w:r>
              <w:rPr>
                <w:sz w:val="24"/>
                <w:szCs w:val="24"/>
              </w:rPr>
              <w:t>513890</w:t>
            </w:r>
          </w:p>
        </w:tc>
        <w:tc>
          <w:tcPr>
            <w:tcW w:w="1161" w:type="dxa"/>
            <w:vAlign w:val="center"/>
          </w:tcPr>
          <w:p w14:paraId="0AB53839" w14:textId="77777777" w:rsidR="00934DFA" w:rsidRDefault="00BC614E">
            <w:pPr>
              <w:jc w:val="center"/>
            </w:pPr>
            <w:r>
              <w:rPr>
                <w:sz w:val="24"/>
                <w:szCs w:val="24"/>
              </w:rPr>
              <w:t>摩根恒生科技</w:t>
            </w:r>
            <w:r>
              <w:rPr>
                <w:sz w:val="24"/>
                <w:szCs w:val="24"/>
              </w:rPr>
              <w:t>ETF(QDII)</w:t>
            </w:r>
          </w:p>
        </w:tc>
        <w:tc>
          <w:tcPr>
            <w:tcW w:w="1161" w:type="dxa"/>
            <w:vAlign w:val="center"/>
          </w:tcPr>
          <w:p w14:paraId="653A8FD0" w14:textId="77777777" w:rsidR="00934DFA" w:rsidRDefault="00BC614E">
            <w:pPr>
              <w:jc w:val="center"/>
            </w:pPr>
            <w:r>
              <w:rPr>
                <w:sz w:val="24"/>
                <w:szCs w:val="24"/>
              </w:rPr>
              <w:t>交易型开放式</w:t>
            </w:r>
          </w:p>
        </w:tc>
        <w:tc>
          <w:tcPr>
            <w:tcW w:w="1159" w:type="dxa"/>
            <w:vAlign w:val="center"/>
          </w:tcPr>
          <w:p w14:paraId="12AC05BE" w14:textId="77777777" w:rsidR="00934DFA" w:rsidRDefault="00BC614E">
            <w:pPr>
              <w:jc w:val="center"/>
            </w:pPr>
            <w:r>
              <w:rPr>
                <w:sz w:val="24"/>
                <w:szCs w:val="24"/>
              </w:rPr>
              <w:t>2,522,800.00</w:t>
            </w:r>
          </w:p>
        </w:tc>
        <w:tc>
          <w:tcPr>
            <w:tcW w:w="1305" w:type="dxa"/>
            <w:vAlign w:val="center"/>
          </w:tcPr>
          <w:p w14:paraId="6C650211" w14:textId="77777777" w:rsidR="00934DFA" w:rsidRDefault="00BC614E">
            <w:pPr>
              <w:jc w:val="center"/>
            </w:pPr>
            <w:r>
              <w:rPr>
                <w:sz w:val="24"/>
                <w:szCs w:val="24"/>
              </w:rPr>
              <w:t>2,437,024.80</w:t>
            </w:r>
          </w:p>
        </w:tc>
        <w:tc>
          <w:tcPr>
            <w:tcW w:w="1161" w:type="dxa"/>
            <w:vAlign w:val="center"/>
          </w:tcPr>
          <w:p w14:paraId="7A0D4148" w14:textId="77777777" w:rsidR="00934DFA" w:rsidRDefault="00BC614E">
            <w:pPr>
              <w:jc w:val="center"/>
            </w:pPr>
            <w:r>
              <w:rPr>
                <w:sz w:val="24"/>
                <w:szCs w:val="24"/>
              </w:rPr>
              <w:t>5.17%</w:t>
            </w:r>
          </w:p>
        </w:tc>
        <w:tc>
          <w:tcPr>
            <w:tcW w:w="1301" w:type="dxa"/>
            <w:vAlign w:val="center"/>
          </w:tcPr>
          <w:p w14:paraId="698E51C7" w14:textId="77777777" w:rsidR="00934DFA" w:rsidRDefault="00BC614E">
            <w:pPr>
              <w:jc w:val="center"/>
            </w:pPr>
            <w:r>
              <w:rPr>
                <w:sz w:val="24"/>
                <w:szCs w:val="24"/>
              </w:rPr>
              <w:t>是</w:t>
            </w:r>
          </w:p>
        </w:tc>
      </w:tr>
      <w:tr w:rsidR="00934DFA" w14:paraId="045226BA" w14:textId="77777777">
        <w:tc>
          <w:tcPr>
            <w:tcW w:w="835" w:type="dxa"/>
            <w:vAlign w:val="center"/>
          </w:tcPr>
          <w:p w14:paraId="33625F78" w14:textId="77777777" w:rsidR="00934DFA" w:rsidRDefault="00BC614E">
            <w:pPr>
              <w:jc w:val="center"/>
            </w:pPr>
            <w:r>
              <w:rPr>
                <w:sz w:val="24"/>
                <w:szCs w:val="24"/>
              </w:rPr>
              <w:t>2</w:t>
            </w:r>
          </w:p>
        </w:tc>
        <w:tc>
          <w:tcPr>
            <w:tcW w:w="1159" w:type="dxa"/>
            <w:vAlign w:val="center"/>
          </w:tcPr>
          <w:p w14:paraId="5FF54FE4" w14:textId="77777777" w:rsidR="00934DFA" w:rsidRDefault="00BC614E">
            <w:pPr>
              <w:jc w:val="center"/>
            </w:pPr>
            <w:r>
              <w:rPr>
                <w:sz w:val="24"/>
                <w:szCs w:val="24"/>
              </w:rPr>
              <w:t>968050</w:t>
            </w:r>
          </w:p>
        </w:tc>
        <w:tc>
          <w:tcPr>
            <w:tcW w:w="1161" w:type="dxa"/>
            <w:vAlign w:val="center"/>
          </w:tcPr>
          <w:p w14:paraId="6106BABD" w14:textId="77777777" w:rsidR="00934DFA" w:rsidRDefault="00BC614E">
            <w:pPr>
              <w:jc w:val="center"/>
            </w:pPr>
            <w:r>
              <w:rPr>
                <w:sz w:val="24"/>
                <w:szCs w:val="24"/>
              </w:rPr>
              <w:t>摩根国际债券人民币对冲累计</w:t>
            </w:r>
          </w:p>
        </w:tc>
        <w:tc>
          <w:tcPr>
            <w:tcW w:w="1161" w:type="dxa"/>
            <w:vAlign w:val="center"/>
          </w:tcPr>
          <w:p w14:paraId="5A36C77D" w14:textId="77777777" w:rsidR="00934DFA" w:rsidRDefault="00BC614E">
            <w:pPr>
              <w:jc w:val="center"/>
            </w:pPr>
            <w:r>
              <w:rPr>
                <w:sz w:val="24"/>
                <w:szCs w:val="24"/>
              </w:rPr>
              <w:t>契约型开放式</w:t>
            </w:r>
          </w:p>
        </w:tc>
        <w:tc>
          <w:tcPr>
            <w:tcW w:w="1159" w:type="dxa"/>
            <w:vAlign w:val="center"/>
          </w:tcPr>
          <w:p w14:paraId="028FF6A8" w14:textId="77777777" w:rsidR="00934DFA" w:rsidRDefault="00BC614E">
            <w:pPr>
              <w:jc w:val="center"/>
            </w:pPr>
            <w:r>
              <w:rPr>
                <w:sz w:val="24"/>
                <w:szCs w:val="24"/>
              </w:rPr>
              <w:t>189,772.73</w:t>
            </w:r>
          </w:p>
        </w:tc>
        <w:tc>
          <w:tcPr>
            <w:tcW w:w="1305" w:type="dxa"/>
            <w:vAlign w:val="center"/>
          </w:tcPr>
          <w:p w14:paraId="67F64240" w14:textId="77777777" w:rsidR="00934DFA" w:rsidRDefault="00BC614E">
            <w:pPr>
              <w:jc w:val="center"/>
            </w:pPr>
            <w:r>
              <w:rPr>
                <w:sz w:val="24"/>
                <w:szCs w:val="24"/>
              </w:rPr>
              <w:t>2,064,727.30</w:t>
            </w:r>
          </w:p>
        </w:tc>
        <w:tc>
          <w:tcPr>
            <w:tcW w:w="1161" w:type="dxa"/>
            <w:vAlign w:val="center"/>
          </w:tcPr>
          <w:p w14:paraId="6D588C6F" w14:textId="77777777" w:rsidR="00934DFA" w:rsidRDefault="00BC614E">
            <w:pPr>
              <w:jc w:val="center"/>
            </w:pPr>
            <w:r>
              <w:rPr>
                <w:sz w:val="24"/>
                <w:szCs w:val="24"/>
              </w:rPr>
              <w:t>4.38%</w:t>
            </w:r>
          </w:p>
        </w:tc>
        <w:tc>
          <w:tcPr>
            <w:tcW w:w="1301" w:type="dxa"/>
            <w:vAlign w:val="center"/>
          </w:tcPr>
          <w:p w14:paraId="7910607A" w14:textId="77777777" w:rsidR="00934DFA" w:rsidRDefault="00BC614E">
            <w:pPr>
              <w:jc w:val="center"/>
            </w:pPr>
            <w:r>
              <w:rPr>
                <w:sz w:val="24"/>
                <w:szCs w:val="24"/>
              </w:rPr>
              <w:t>是</w:t>
            </w:r>
          </w:p>
        </w:tc>
      </w:tr>
      <w:tr w:rsidR="00934DFA" w14:paraId="4B5664C8" w14:textId="77777777">
        <w:tc>
          <w:tcPr>
            <w:tcW w:w="835" w:type="dxa"/>
            <w:vAlign w:val="center"/>
          </w:tcPr>
          <w:p w14:paraId="5EA47187" w14:textId="77777777" w:rsidR="00934DFA" w:rsidRDefault="00BC614E">
            <w:pPr>
              <w:jc w:val="center"/>
            </w:pPr>
            <w:r>
              <w:rPr>
                <w:sz w:val="24"/>
                <w:szCs w:val="24"/>
              </w:rPr>
              <w:t>3</w:t>
            </w:r>
          </w:p>
        </w:tc>
        <w:tc>
          <w:tcPr>
            <w:tcW w:w="1159" w:type="dxa"/>
            <w:vAlign w:val="center"/>
          </w:tcPr>
          <w:p w14:paraId="65A43E94" w14:textId="77777777" w:rsidR="00934DFA" w:rsidRDefault="00BC614E">
            <w:pPr>
              <w:jc w:val="center"/>
            </w:pPr>
            <w:r>
              <w:rPr>
                <w:sz w:val="24"/>
                <w:szCs w:val="24"/>
              </w:rPr>
              <w:t>020009</w:t>
            </w:r>
          </w:p>
        </w:tc>
        <w:tc>
          <w:tcPr>
            <w:tcW w:w="1161" w:type="dxa"/>
            <w:vAlign w:val="center"/>
          </w:tcPr>
          <w:p w14:paraId="69019B3D" w14:textId="77777777" w:rsidR="00934DFA" w:rsidRDefault="00BC614E">
            <w:pPr>
              <w:jc w:val="center"/>
            </w:pPr>
            <w:r>
              <w:rPr>
                <w:sz w:val="24"/>
                <w:szCs w:val="24"/>
              </w:rPr>
              <w:t>国泰金</w:t>
            </w:r>
            <w:proofErr w:type="gramStart"/>
            <w:r>
              <w:rPr>
                <w:sz w:val="24"/>
                <w:szCs w:val="24"/>
              </w:rPr>
              <w:t>鹏蓝筹价值</w:t>
            </w:r>
            <w:proofErr w:type="gramEnd"/>
            <w:r>
              <w:rPr>
                <w:sz w:val="24"/>
                <w:szCs w:val="24"/>
              </w:rPr>
              <w:t>混合</w:t>
            </w:r>
          </w:p>
        </w:tc>
        <w:tc>
          <w:tcPr>
            <w:tcW w:w="1161" w:type="dxa"/>
            <w:vAlign w:val="center"/>
          </w:tcPr>
          <w:p w14:paraId="7DAD6D71" w14:textId="77777777" w:rsidR="00934DFA" w:rsidRDefault="00BC614E">
            <w:pPr>
              <w:jc w:val="center"/>
            </w:pPr>
            <w:r>
              <w:rPr>
                <w:sz w:val="24"/>
                <w:szCs w:val="24"/>
              </w:rPr>
              <w:t>契约型开放式</w:t>
            </w:r>
          </w:p>
        </w:tc>
        <w:tc>
          <w:tcPr>
            <w:tcW w:w="1159" w:type="dxa"/>
            <w:vAlign w:val="center"/>
          </w:tcPr>
          <w:p w14:paraId="014C72AE" w14:textId="77777777" w:rsidR="00934DFA" w:rsidRDefault="00BC614E">
            <w:pPr>
              <w:jc w:val="center"/>
            </w:pPr>
            <w:r>
              <w:rPr>
                <w:sz w:val="24"/>
                <w:szCs w:val="24"/>
              </w:rPr>
              <w:t>1,352,152.34</w:t>
            </w:r>
          </w:p>
        </w:tc>
        <w:tc>
          <w:tcPr>
            <w:tcW w:w="1305" w:type="dxa"/>
            <w:vAlign w:val="center"/>
          </w:tcPr>
          <w:p w14:paraId="6CD81C9A" w14:textId="77777777" w:rsidR="00934DFA" w:rsidRDefault="00BC614E">
            <w:pPr>
              <w:jc w:val="center"/>
            </w:pPr>
            <w:r>
              <w:rPr>
                <w:sz w:val="24"/>
                <w:szCs w:val="24"/>
              </w:rPr>
              <w:t>1,765,910.96</w:t>
            </w:r>
          </w:p>
        </w:tc>
        <w:tc>
          <w:tcPr>
            <w:tcW w:w="1161" w:type="dxa"/>
            <w:vAlign w:val="center"/>
          </w:tcPr>
          <w:p w14:paraId="39CE4445" w14:textId="77777777" w:rsidR="00934DFA" w:rsidRDefault="00BC614E">
            <w:pPr>
              <w:jc w:val="center"/>
            </w:pPr>
            <w:r>
              <w:rPr>
                <w:sz w:val="24"/>
                <w:szCs w:val="24"/>
              </w:rPr>
              <w:t>3.74%</w:t>
            </w:r>
          </w:p>
        </w:tc>
        <w:tc>
          <w:tcPr>
            <w:tcW w:w="1301" w:type="dxa"/>
            <w:vAlign w:val="center"/>
          </w:tcPr>
          <w:p w14:paraId="391DE7E7" w14:textId="77777777" w:rsidR="00934DFA" w:rsidRDefault="00BC614E">
            <w:pPr>
              <w:jc w:val="center"/>
            </w:pPr>
            <w:r>
              <w:rPr>
                <w:sz w:val="24"/>
                <w:szCs w:val="24"/>
              </w:rPr>
              <w:t>否</w:t>
            </w:r>
          </w:p>
        </w:tc>
      </w:tr>
      <w:tr w:rsidR="00934DFA" w14:paraId="0F409E72" w14:textId="77777777">
        <w:tc>
          <w:tcPr>
            <w:tcW w:w="835" w:type="dxa"/>
            <w:vAlign w:val="center"/>
          </w:tcPr>
          <w:p w14:paraId="4C651AA8" w14:textId="77777777" w:rsidR="00934DFA" w:rsidRDefault="00BC614E">
            <w:pPr>
              <w:jc w:val="center"/>
            </w:pPr>
            <w:r>
              <w:rPr>
                <w:sz w:val="24"/>
                <w:szCs w:val="24"/>
              </w:rPr>
              <w:t>4</w:t>
            </w:r>
          </w:p>
        </w:tc>
        <w:tc>
          <w:tcPr>
            <w:tcW w:w="1159" w:type="dxa"/>
            <w:vAlign w:val="center"/>
          </w:tcPr>
          <w:p w14:paraId="5DBC7C3E" w14:textId="77777777" w:rsidR="00934DFA" w:rsidRDefault="00BC614E">
            <w:pPr>
              <w:jc w:val="center"/>
            </w:pPr>
            <w:r>
              <w:rPr>
                <w:sz w:val="24"/>
                <w:szCs w:val="24"/>
              </w:rPr>
              <w:t>100018</w:t>
            </w:r>
          </w:p>
        </w:tc>
        <w:tc>
          <w:tcPr>
            <w:tcW w:w="1161" w:type="dxa"/>
            <w:vAlign w:val="center"/>
          </w:tcPr>
          <w:p w14:paraId="22F72EDE" w14:textId="77777777" w:rsidR="00934DFA" w:rsidRDefault="00BC614E">
            <w:pPr>
              <w:jc w:val="center"/>
            </w:pPr>
            <w:r>
              <w:rPr>
                <w:sz w:val="24"/>
                <w:szCs w:val="24"/>
              </w:rPr>
              <w:t>富国天利增长债券</w:t>
            </w:r>
            <w:r>
              <w:rPr>
                <w:sz w:val="24"/>
                <w:szCs w:val="24"/>
              </w:rPr>
              <w:t>A/B</w:t>
            </w:r>
          </w:p>
        </w:tc>
        <w:tc>
          <w:tcPr>
            <w:tcW w:w="1161" w:type="dxa"/>
            <w:vAlign w:val="center"/>
          </w:tcPr>
          <w:p w14:paraId="7FCDB40A" w14:textId="77777777" w:rsidR="00934DFA" w:rsidRDefault="00BC614E">
            <w:pPr>
              <w:jc w:val="center"/>
            </w:pPr>
            <w:r>
              <w:rPr>
                <w:sz w:val="24"/>
                <w:szCs w:val="24"/>
              </w:rPr>
              <w:t>契约型开放式</w:t>
            </w:r>
          </w:p>
        </w:tc>
        <w:tc>
          <w:tcPr>
            <w:tcW w:w="1159" w:type="dxa"/>
            <w:vAlign w:val="center"/>
          </w:tcPr>
          <w:p w14:paraId="1180E915" w14:textId="77777777" w:rsidR="00934DFA" w:rsidRDefault="00BC614E">
            <w:pPr>
              <w:jc w:val="center"/>
            </w:pPr>
            <w:r>
              <w:rPr>
                <w:sz w:val="24"/>
                <w:szCs w:val="24"/>
              </w:rPr>
              <w:t>1,168,059.81</w:t>
            </w:r>
          </w:p>
        </w:tc>
        <w:tc>
          <w:tcPr>
            <w:tcW w:w="1305" w:type="dxa"/>
            <w:vAlign w:val="center"/>
          </w:tcPr>
          <w:p w14:paraId="197A9170" w14:textId="77777777" w:rsidR="00934DFA" w:rsidRDefault="00BC614E">
            <w:pPr>
              <w:jc w:val="center"/>
            </w:pPr>
            <w:r>
              <w:rPr>
                <w:sz w:val="24"/>
                <w:szCs w:val="24"/>
              </w:rPr>
              <w:t>1,572,091.70</w:t>
            </w:r>
          </w:p>
        </w:tc>
        <w:tc>
          <w:tcPr>
            <w:tcW w:w="1161" w:type="dxa"/>
            <w:vAlign w:val="center"/>
          </w:tcPr>
          <w:p w14:paraId="0E2A421E" w14:textId="77777777" w:rsidR="00934DFA" w:rsidRDefault="00BC614E">
            <w:pPr>
              <w:jc w:val="center"/>
            </w:pPr>
            <w:r>
              <w:rPr>
                <w:sz w:val="24"/>
                <w:szCs w:val="24"/>
              </w:rPr>
              <w:t>3.33%</w:t>
            </w:r>
          </w:p>
        </w:tc>
        <w:tc>
          <w:tcPr>
            <w:tcW w:w="1301" w:type="dxa"/>
            <w:vAlign w:val="center"/>
          </w:tcPr>
          <w:p w14:paraId="063736DE" w14:textId="77777777" w:rsidR="00934DFA" w:rsidRDefault="00BC614E">
            <w:pPr>
              <w:jc w:val="center"/>
            </w:pPr>
            <w:r>
              <w:rPr>
                <w:sz w:val="24"/>
                <w:szCs w:val="24"/>
              </w:rPr>
              <w:t>否</w:t>
            </w:r>
          </w:p>
        </w:tc>
      </w:tr>
      <w:tr w:rsidR="00934DFA" w14:paraId="6827D7BD" w14:textId="77777777">
        <w:tc>
          <w:tcPr>
            <w:tcW w:w="835" w:type="dxa"/>
            <w:vAlign w:val="center"/>
          </w:tcPr>
          <w:p w14:paraId="3D0B2CF1" w14:textId="77777777" w:rsidR="00934DFA" w:rsidRDefault="00BC614E">
            <w:pPr>
              <w:jc w:val="center"/>
            </w:pPr>
            <w:r>
              <w:rPr>
                <w:sz w:val="24"/>
                <w:szCs w:val="24"/>
              </w:rPr>
              <w:lastRenderedPageBreak/>
              <w:t>5</w:t>
            </w:r>
          </w:p>
        </w:tc>
        <w:tc>
          <w:tcPr>
            <w:tcW w:w="1159" w:type="dxa"/>
            <w:vAlign w:val="center"/>
          </w:tcPr>
          <w:p w14:paraId="70C7F5DC" w14:textId="77777777" w:rsidR="00934DFA" w:rsidRDefault="00BC614E">
            <w:pPr>
              <w:jc w:val="center"/>
            </w:pPr>
            <w:r>
              <w:rPr>
                <w:sz w:val="24"/>
                <w:szCs w:val="24"/>
              </w:rPr>
              <w:t>002701</w:t>
            </w:r>
          </w:p>
        </w:tc>
        <w:tc>
          <w:tcPr>
            <w:tcW w:w="1161" w:type="dxa"/>
            <w:vAlign w:val="center"/>
          </w:tcPr>
          <w:p w14:paraId="422FF0BB" w14:textId="77777777" w:rsidR="00934DFA" w:rsidRDefault="00BC614E">
            <w:pPr>
              <w:jc w:val="center"/>
            </w:pPr>
            <w:proofErr w:type="gramStart"/>
            <w:r>
              <w:rPr>
                <w:sz w:val="24"/>
                <w:szCs w:val="24"/>
              </w:rPr>
              <w:t>东方红汇阳债券</w:t>
            </w:r>
            <w:proofErr w:type="gramEnd"/>
            <w:r>
              <w:rPr>
                <w:sz w:val="24"/>
                <w:szCs w:val="24"/>
              </w:rPr>
              <w:t>A</w:t>
            </w:r>
          </w:p>
        </w:tc>
        <w:tc>
          <w:tcPr>
            <w:tcW w:w="1161" w:type="dxa"/>
            <w:vAlign w:val="center"/>
          </w:tcPr>
          <w:p w14:paraId="443320DB" w14:textId="77777777" w:rsidR="00934DFA" w:rsidRDefault="00BC614E">
            <w:pPr>
              <w:jc w:val="center"/>
            </w:pPr>
            <w:r>
              <w:rPr>
                <w:sz w:val="24"/>
                <w:szCs w:val="24"/>
              </w:rPr>
              <w:t>契约型开放式</w:t>
            </w:r>
          </w:p>
        </w:tc>
        <w:tc>
          <w:tcPr>
            <w:tcW w:w="1159" w:type="dxa"/>
            <w:vAlign w:val="center"/>
          </w:tcPr>
          <w:p w14:paraId="7880531D" w14:textId="77777777" w:rsidR="00934DFA" w:rsidRDefault="00BC614E">
            <w:pPr>
              <w:jc w:val="center"/>
            </w:pPr>
            <w:r>
              <w:rPr>
                <w:sz w:val="24"/>
                <w:szCs w:val="24"/>
              </w:rPr>
              <w:t>1,380,920.62</w:t>
            </w:r>
          </w:p>
        </w:tc>
        <w:tc>
          <w:tcPr>
            <w:tcW w:w="1305" w:type="dxa"/>
            <w:vAlign w:val="center"/>
          </w:tcPr>
          <w:p w14:paraId="6E016C67" w14:textId="77777777" w:rsidR="00934DFA" w:rsidRDefault="00BC614E">
            <w:pPr>
              <w:jc w:val="center"/>
            </w:pPr>
            <w:r>
              <w:rPr>
                <w:sz w:val="24"/>
                <w:szCs w:val="24"/>
              </w:rPr>
              <w:t>1,554,916.62</w:t>
            </w:r>
          </w:p>
        </w:tc>
        <w:tc>
          <w:tcPr>
            <w:tcW w:w="1161" w:type="dxa"/>
            <w:vAlign w:val="center"/>
          </w:tcPr>
          <w:p w14:paraId="47A8A8C6" w14:textId="77777777" w:rsidR="00934DFA" w:rsidRDefault="00BC614E">
            <w:pPr>
              <w:jc w:val="center"/>
            </w:pPr>
            <w:r>
              <w:rPr>
                <w:sz w:val="24"/>
                <w:szCs w:val="24"/>
              </w:rPr>
              <w:t>3.30%</w:t>
            </w:r>
          </w:p>
        </w:tc>
        <w:tc>
          <w:tcPr>
            <w:tcW w:w="1301" w:type="dxa"/>
            <w:vAlign w:val="center"/>
          </w:tcPr>
          <w:p w14:paraId="2C5F896D" w14:textId="77777777" w:rsidR="00934DFA" w:rsidRDefault="00BC614E">
            <w:pPr>
              <w:jc w:val="center"/>
            </w:pPr>
            <w:r>
              <w:rPr>
                <w:sz w:val="24"/>
                <w:szCs w:val="24"/>
              </w:rPr>
              <w:t>否</w:t>
            </w:r>
          </w:p>
        </w:tc>
      </w:tr>
      <w:tr w:rsidR="00934DFA" w14:paraId="61BC4548" w14:textId="77777777">
        <w:tc>
          <w:tcPr>
            <w:tcW w:w="835" w:type="dxa"/>
            <w:vAlign w:val="center"/>
          </w:tcPr>
          <w:p w14:paraId="5B8C4FE4" w14:textId="77777777" w:rsidR="00934DFA" w:rsidRDefault="00BC614E">
            <w:pPr>
              <w:jc w:val="center"/>
            </w:pPr>
            <w:r>
              <w:rPr>
                <w:sz w:val="24"/>
                <w:szCs w:val="24"/>
              </w:rPr>
              <w:t>6</w:t>
            </w:r>
          </w:p>
        </w:tc>
        <w:tc>
          <w:tcPr>
            <w:tcW w:w="1159" w:type="dxa"/>
            <w:vAlign w:val="center"/>
          </w:tcPr>
          <w:p w14:paraId="30E1BCB0" w14:textId="77777777" w:rsidR="00934DFA" w:rsidRDefault="00BC614E">
            <w:pPr>
              <w:jc w:val="center"/>
            </w:pPr>
            <w:r>
              <w:rPr>
                <w:sz w:val="24"/>
                <w:szCs w:val="24"/>
              </w:rPr>
              <w:t>004571</w:t>
            </w:r>
          </w:p>
        </w:tc>
        <w:tc>
          <w:tcPr>
            <w:tcW w:w="1161" w:type="dxa"/>
            <w:vAlign w:val="center"/>
          </w:tcPr>
          <w:p w14:paraId="5F108420" w14:textId="77777777" w:rsidR="00934DFA" w:rsidRDefault="00BC614E">
            <w:pPr>
              <w:jc w:val="center"/>
            </w:pPr>
            <w:r>
              <w:rPr>
                <w:sz w:val="24"/>
                <w:szCs w:val="24"/>
              </w:rPr>
              <w:t>万家家瑞债券</w:t>
            </w:r>
            <w:r>
              <w:rPr>
                <w:sz w:val="24"/>
                <w:szCs w:val="24"/>
              </w:rPr>
              <w:t>A</w:t>
            </w:r>
          </w:p>
        </w:tc>
        <w:tc>
          <w:tcPr>
            <w:tcW w:w="1161" w:type="dxa"/>
            <w:vAlign w:val="center"/>
          </w:tcPr>
          <w:p w14:paraId="17A9B7D0" w14:textId="77777777" w:rsidR="00934DFA" w:rsidRDefault="00BC614E">
            <w:pPr>
              <w:jc w:val="center"/>
            </w:pPr>
            <w:r>
              <w:rPr>
                <w:sz w:val="24"/>
                <w:szCs w:val="24"/>
              </w:rPr>
              <w:t>契约型开放式</w:t>
            </w:r>
          </w:p>
        </w:tc>
        <w:tc>
          <w:tcPr>
            <w:tcW w:w="1159" w:type="dxa"/>
            <w:vAlign w:val="center"/>
          </w:tcPr>
          <w:p w14:paraId="64FD6786" w14:textId="77777777" w:rsidR="00934DFA" w:rsidRDefault="00BC614E">
            <w:pPr>
              <w:jc w:val="center"/>
            </w:pPr>
            <w:r>
              <w:rPr>
                <w:sz w:val="24"/>
                <w:szCs w:val="24"/>
              </w:rPr>
              <w:t>1,367,257.90</w:t>
            </w:r>
          </w:p>
        </w:tc>
        <w:tc>
          <w:tcPr>
            <w:tcW w:w="1305" w:type="dxa"/>
            <w:vAlign w:val="center"/>
          </w:tcPr>
          <w:p w14:paraId="68796C06" w14:textId="77777777" w:rsidR="00934DFA" w:rsidRDefault="00BC614E">
            <w:pPr>
              <w:jc w:val="center"/>
            </w:pPr>
            <w:r>
              <w:rPr>
                <w:sz w:val="24"/>
                <w:szCs w:val="24"/>
              </w:rPr>
              <w:t>1,527,363.80</w:t>
            </w:r>
          </w:p>
        </w:tc>
        <w:tc>
          <w:tcPr>
            <w:tcW w:w="1161" w:type="dxa"/>
            <w:vAlign w:val="center"/>
          </w:tcPr>
          <w:p w14:paraId="1532150C" w14:textId="77777777" w:rsidR="00934DFA" w:rsidRDefault="00BC614E">
            <w:pPr>
              <w:jc w:val="center"/>
            </w:pPr>
            <w:r>
              <w:rPr>
                <w:sz w:val="24"/>
                <w:szCs w:val="24"/>
              </w:rPr>
              <w:t>3.24%</w:t>
            </w:r>
          </w:p>
        </w:tc>
        <w:tc>
          <w:tcPr>
            <w:tcW w:w="1301" w:type="dxa"/>
            <w:vAlign w:val="center"/>
          </w:tcPr>
          <w:p w14:paraId="3D5E324B" w14:textId="77777777" w:rsidR="00934DFA" w:rsidRDefault="00BC614E">
            <w:pPr>
              <w:jc w:val="center"/>
            </w:pPr>
            <w:r>
              <w:rPr>
                <w:sz w:val="24"/>
                <w:szCs w:val="24"/>
              </w:rPr>
              <w:t>否</w:t>
            </w:r>
          </w:p>
        </w:tc>
      </w:tr>
      <w:tr w:rsidR="00934DFA" w14:paraId="0835E71F" w14:textId="77777777">
        <w:tc>
          <w:tcPr>
            <w:tcW w:w="835" w:type="dxa"/>
            <w:vAlign w:val="center"/>
          </w:tcPr>
          <w:p w14:paraId="0EBAB36D" w14:textId="77777777" w:rsidR="00934DFA" w:rsidRDefault="00BC614E">
            <w:pPr>
              <w:jc w:val="center"/>
            </w:pPr>
            <w:r>
              <w:rPr>
                <w:sz w:val="24"/>
                <w:szCs w:val="24"/>
              </w:rPr>
              <w:t>7</w:t>
            </w:r>
          </w:p>
        </w:tc>
        <w:tc>
          <w:tcPr>
            <w:tcW w:w="1159" w:type="dxa"/>
            <w:vAlign w:val="center"/>
          </w:tcPr>
          <w:p w14:paraId="2B820F07" w14:textId="77777777" w:rsidR="00934DFA" w:rsidRDefault="00BC614E">
            <w:pPr>
              <w:jc w:val="center"/>
            </w:pPr>
            <w:r>
              <w:rPr>
                <w:sz w:val="24"/>
                <w:szCs w:val="24"/>
              </w:rPr>
              <w:t>001751</w:t>
            </w:r>
          </w:p>
        </w:tc>
        <w:tc>
          <w:tcPr>
            <w:tcW w:w="1161" w:type="dxa"/>
            <w:vAlign w:val="center"/>
          </w:tcPr>
          <w:p w14:paraId="37873C63" w14:textId="77777777" w:rsidR="00934DFA" w:rsidRDefault="00BC614E">
            <w:pPr>
              <w:jc w:val="center"/>
            </w:pPr>
            <w:r>
              <w:rPr>
                <w:sz w:val="24"/>
                <w:szCs w:val="24"/>
              </w:rPr>
              <w:t>华商信用增强债券</w:t>
            </w:r>
            <w:r>
              <w:rPr>
                <w:sz w:val="24"/>
                <w:szCs w:val="24"/>
              </w:rPr>
              <w:t>A</w:t>
            </w:r>
          </w:p>
        </w:tc>
        <w:tc>
          <w:tcPr>
            <w:tcW w:w="1161" w:type="dxa"/>
            <w:vAlign w:val="center"/>
          </w:tcPr>
          <w:p w14:paraId="5A246852" w14:textId="77777777" w:rsidR="00934DFA" w:rsidRDefault="00BC614E">
            <w:pPr>
              <w:jc w:val="center"/>
            </w:pPr>
            <w:r>
              <w:rPr>
                <w:sz w:val="24"/>
                <w:szCs w:val="24"/>
              </w:rPr>
              <w:t>契约型开放式</w:t>
            </w:r>
          </w:p>
        </w:tc>
        <w:tc>
          <w:tcPr>
            <w:tcW w:w="1159" w:type="dxa"/>
            <w:vAlign w:val="center"/>
          </w:tcPr>
          <w:p w14:paraId="41C30122" w14:textId="77777777" w:rsidR="00934DFA" w:rsidRDefault="00BC614E">
            <w:pPr>
              <w:jc w:val="center"/>
            </w:pPr>
            <w:r>
              <w:rPr>
                <w:sz w:val="24"/>
                <w:szCs w:val="24"/>
              </w:rPr>
              <w:t>957,667.63</w:t>
            </w:r>
          </w:p>
        </w:tc>
        <w:tc>
          <w:tcPr>
            <w:tcW w:w="1305" w:type="dxa"/>
            <w:vAlign w:val="center"/>
          </w:tcPr>
          <w:p w14:paraId="710F4C0A" w14:textId="77777777" w:rsidR="00934DFA" w:rsidRDefault="00BC614E">
            <w:pPr>
              <w:jc w:val="center"/>
            </w:pPr>
            <w:r>
              <w:rPr>
                <w:sz w:val="24"/>
                <w:szCs w:val="24"/>
              </w:rPr>
              <w:t>1,383,829.73</w:t>
            </w:r>
          </w:p>
        </w:tc>
        <w:tc>
          <w:tcPr>
            <w:tcW w:w="1161" w:type="dxa"/>
            <w:vAlign w:val="center"/>
          </w:tcPr>
          <w:p w14:paraId="72E521E7" w14:textId="77777777" w:rsidR="00934DFA" w:rsidRDefault="00BC614E">
            <w:pPr>
              <w:jc w:val="center"/>
            </w:pPr>
            <w:r>
              <w:rPr>
                <w:sz w:val="24"/>
                <w:szCs w:val="24"/>
              </w:rPr>
              <w:t>2.93%</w:t>
            </w:r>
          </w:p>
        </w:tc>
        <w:tc>
          <w:tcPr>
            <w:tcW w:w="1301" w:type="dxa"/>
            <w:vAlign w:val="center"/>
          </w:tcPr>
          <w:p w14:paraId="5B5287F0" w14:textId="77777777" w:rsidR="00934DFA" w:rsidRDefault="00BC614E">
            <w:pPr>
              <w:jc w:val="center"/>
            </w:pPr>
            <w:r>
              <w:rPr>
                <w:sz w:val="24"/>
                <w:szCs w:val="24"/>
              </w:rPr>
              <w:t>否</w:t>
            </w:r>
          </w:p>
        </w:tc>
      </w:tr>
      <w:tr w:rsidR="00934DFA" w14:paraId="0DE530BD" w14:textId="77777777">
        <w:tc>
          <w:tcPr>
            <w:tcW w:w="835" w:type="dxa"/>
            <w:vAlign w:val="center"/>
          </w:tcPr>
          <w:p w14:paraId="16F03714" w14:textId="77777777" w:rsidR="00934DFA" w:rsidRDefault="00BC614E">
            <w:pPr>
              <w:jc w:val="center"/>
            </w:pPr>
            <w:r>
              <w:rPr>
                <w:sz w:val="24"/>
                <w:szCs w:val="24"/>
              </w:rPr>
              <w:t>8</w:t>
            </w:r>
          </w:p>
        </w:tc>
        <w:tc>
          <w:tcPr>
            <w:tcW w:w="1159" w:type="dxa"/>
            <w:vAlign w:val="center"/>
          </w:tcPr>
          <w:p w14:paraId="187DB131" w14:textId="77777777" w:rsidR="00934DFA" w:rsidRDefault="00BC614E">
            <w:pPr>
              <w:jc w:val="center"/>
            </w:pPr>
            <w:r>
              <w:rPr>
                <w:sz w:val="24"/>
                <w:szCs w:val="24"/>
              </w:rPr>
              <w:t>006102</w:t>
            </w:r>
          </w:p>
        </w:tc>
        <w:tc>
          <w:tcPr>
            <w:tcW w:w="1161" w:type="dxa"/>
            <w:vAlign w:val="center"/>
          </w:tcPr>
          <w:p w14:paraId="29035DBF" w14:textId="77777777" w:rsidR="00934DFA" w:rsidRDefault="00BC614E">
            <w:pPr>
              <w:jc w:val="center"/>
            </w:pPr>
            <w:proofErr w:type="gramStart"/>
            <w:r>
              <w:rPr>
                <w:sz w:val="24"/>
                <w:szCs w:val="24"/>
              </w:rPr>
              <w:t>浙商丰利</w:t>
            </w:r>
            <w:proofErr w:type="gramEnd"/>
            <w:r>
              <w:rPr>
                <w:sz w:val="24"/>
                <w:szCs w:val="24"/>
              </w:rPr>
              <w:t>增强债券</w:t>
            </w:r>
          </w:p>
        </w:tc>
        <w:tc>
          <w:tcPr>
            <w:tcW w:w="1161" w:type="dxa"/>
            <w:vAlign w:val="center"/>
          </w:tcPr>
          <w:p w14:paraId="01304407" w14:textId="77777777" w:rsidR="00934DFA" w:rsidRDefault="00BC614E">
            <w:pPr>
              <w:jc w:val="center"/>
            </w:pPr>
            <w:r>
              <w:rPr>
                <w:sz w:val="24"/>
                <w:szCs w:val="24"/>
              </w:rPr>
              <w:t>契约型开放式</w:t>
            </w:r>
          </w:p>
        </w:tc>
        <w:tc>
          <w:tcPr>
            <w:tcW w:w="1159" w:type="dxa"/>
            <w:vAlign w:val="center"/>
          </w:tcPr>
          <w:p w14:paraId="33AE79A4" w14:textId="77777777" w:rsidR="00934DFA" w:rsidRDefault="00BC614E">
            <w:pPr>
              <w:jc w:val="center"/>
            </w:pPr>
            <w:r>
              <w:rPr>
                <w:sz w:val="24"/>
                <w:szCs w:val="24"/>
              </w:rPr>
              <w:t>776,639.25</w:t>
            </w:r>
          </w:p>
        </w:tc>
        <w:tc>
          <w:tcPr>
            <w:tcW w:w="1305" w:type="dxa"/>
            <w:vAlign w:val="center"/>
          </w:tcPr>
          <w:p w14:paraId="477D4BCA" w14:textId="77777777" w:rsidR="00934DFA" w:rsidRDefault="00BC614E">
            <w:pPr>
              <w:jc w:val="center"/>
            </w:pPr>
            <w:r>
              <w:rPr>
                <w:sz w:val="24"/>
                <w:szCs w:val="24"/>
              </w:rPr>
              <w:t>1,272,601.08</w:t>
            </w:r>
          </w:p>
        </w:tc>
        <w:tc>
          <w:tcPr>
            <w:tcW w:w="1161" w:type="dxa"/>
            <w:vAlign w:val="center"/>
          </w:tcPr>
          <w:p w14:paraId="2CD1671A" w14:textId="77777777" w:rsidR="00934DFA" w:rsidRDefault="00BC614E">
            <w:pPr>
              <w:jc w:val="center"/>
            </w:pPr>
            <w:r>
              <w:rPr>
                <w:sz w:val="24"/>
                <w:szCs w:val="24"/>
              </w:rPr>
              <w:t>2.70%</w:t>
            </w:r>
          </w:p>
        </w:tc>
        <w:tc>
          <w:tcPr>
            <w:tcW w:w="1301" w:type="dxa"/>
            <w:vAlign w:val="center"/>
          </w:tcPr>
          <w:p w14:paraId="786D2303" w14:textId="77777777" w:rsidR="00934DFA" w:rsidRDefault="00BC614E">
            <w:pPr>
              <w:jc w:val="center"/>
            </w:pPr>
            <w:r>
              <w:rPr>
                <w:sz w:val="24"/>
                <w:szCs w:val="24"/>
              </w:rPr>
              <w:t>否</w:t>
            </w:r>
          </w:p>
        </w:tc>
      </w:tr>
      <w:tr w:rsidR="00934DFA" w14:paraId="31335CE3" w14:textId="77777777">
        <w:tc>
          <w:tcPr>
            <w:tcW w:w="835" w:type="dxa"/>
            <w:vAlign w:val="center"/>
          </w:tcPr>
          <w:p w14:paraId="2C8B85DF" w14:textId="77777777" w:rsidR="00934DFA" w:rsidRDefault="00BC614E">
            <w:pPr>
              <w:jc w:val="center"/>
            </w:pPr>
            <w:r>
              <w:rPr>
                <w:sz w:val="24"/>
                <w:szCs w:val="24"/>
              </w:rPr>
              <w:t>9</w:t>
            </w:r>
          </w:p>
        </w:tc>
        <w:tc>
          <w:tcPr>
            <w:tcW w:w="1159" w:type="dxa"/>
            <w:vAlign w:val="center"/>
          </w:tcPr>
          <w:p w14:paraId="7F9B933A" w14:textId="77777777" w:rsidR="00934DFA" w:rsidRDefault="00BC614E">
            <w:pPr>
              <w:jc w:val="center"/>
            </w:pPr>
            <w:r>
              <w:rPr>
                <w:sz w:val="24"/>
                <w:szCs w:val="24"/>
              </w:rPr>
              <w:t>000385</w:t>
            </w:r>
          </w:p>
        </w:tc>
        <w:tc>
          <w:tcPr>
            <w:tcW w:w="1161" w:type="dxa"/>
            <w:vAlign w:val="center"/>
          </w:tcPr>
          <w:p w14:paraId="0E6C0266" w14:textId="77777777" w:rsidR="00934DFA" w:rsidRDefault="00BC614E">
            <w:pPr>
              <w:jc w:val="center"/>
            </w:pPr>
            <w:r>
              <w:rPr>
                <w:sz w:val="24"/>
                <w:szCs w:val="24"/>
              </w:rPr>
              <w:t>景顺长城景颐双利债券</w:t>
            </w:r>
            <w:r>
              <w:rPr>
                <w:sz w:val="24"/>
                <w:szCs w:val="24"/>
              </w:rPr>
              <w:t>A</w:t>
            </w:r>
            <w:r>
              <w:rPr>
                <w:sz w:val="24"/>
                <w:szCs w:val="24"/>
              </w:rPr>
              <w:t>类</w:t>
            </w:r>
          </w:p>
        </w:tc>
        <w:tc>
          <w:tcPr>
            <w:tcW w:w="1161" w:type="dxa"/>
            <w:vAlign w:val="center"/>
          </w:tcPr>
          <w:p w14:paraId="60A4ACF0" w14:textId="77777777" w:rsidR="00934DFA" w:rsidRDefault="00BC614E">
            <w:pPr>
              <w:jc w:val="center"/>
            </w:pPr>
            <w:r>
              <w:rPr>
                <w:sz w:val="24"/>
                <w:szCs w:val="24"/>
              </w:rPr>
              <w:t>契约型开放式</w:t>
            </w:r>
          </w:p>
        </w:tc>
        <w:tc>
          <w:tcPr>
            <w:tcW w:w="1159" w:type="dxa"/>
            <w:vAlign w:val="center"/>
          </w:tcPr>
          <w:p w14:paraId="288B61A2" w14:textId="77777777" w:rsidR="00934DFA" w:rsidRDefault="00BC614E">
            <w:pPr>
              <w:jc w:val="center"/>
            </w:pPr>
            <w:r>
              <w:rPr>
                <w:sz w:val="24"/>
                <w:szCs w:val="24"/>
              </w:rPr>
              <w:t>707,659.96</w:t>
            </w:r>
          </w:p>
        </w:tc>
        <w:tc>
          <w:tcPr>
            <w:tcW w:w="1305" w:type="dxa"/>
            <w:vAlign w:val="center"/>
          </w:tcPr>
          <w:p w14:paraId="062D53A7" w14:textId="77777777" w:rsidR="00934DFA" w:rsidRDefault="00BC614E">
            <w:pPr>
              <w:jc w:val="center"/>
            </w:pPr>
            <w:r>
              <w:rPr>
                <w:sz w:val="24"/>
                <w:szCs w:val="24"/>
              </w:rPr>
              <w:t>1,205,852.57</w:t>
            </w:r>
          </w:p>
        </w:tc>
        <w:tc>
          <w:tcPr>
            <w:tcW w:w="1161" w:type="dxa"/>
            <w:vAlign w:val="center"/>
          </w:tcPr>
          <w:p w14:paraId="13EEF24E" w14:textId="77777777" w:rsidR="00934DFA" w:rsidRDefault="00BC614E">
            <w:pPr>
              <w:jc w:val="center"/>
            </w:pPr>
            <w:r>
              <w:rPr>
                <w:sz w:val="24"/>
                <w:szCs w:val="24"/>
              </w:rPr>
              <w:t>2.56%</w:t>
            </w:r>
          </w:p>
        </w:tc>
        <w:tc>
          <w:tcPr>
            <w:tcW w:w="1301" w:type="dxa"/>
            <w:vAlign w:val="center"/>
          </w:tcPr>
          <w:p w14:paraId="50D25C7F" w14:textId="77777777" w:rsidR="00934DFA" w:rsidRDefault="00BC614E">
            <w:pPr>
              <w:jc w:val="center"/>
            </w:pPr>
            <w:r>
              <w:rPr>
                <w:sz w:val="24"/>
                <w:szCs w:val="24"/>
              </w:rPr>
              <w:t>否</w:t>
            </w:r>
          </w:p>
        </w:tc>
      </w:tr>
      <w:tr w:rsidR="00934DFA" w14:paraId="16D37918" w14:textId="77777777">
        <w:tc>
          <w:tcPr>
            <w:tcW w:w="835" w:type="dxa"/>
            <w:vAlign w:val="center"/>
          </w:tcPr>
          <w:p w14:paraId="1A7F47C2" w14:textId="77777777" w:rsidR="00934DFA" w:rsidRDefault="00BC614E">
            <w:pPr>
              <w:jc w:val="center"/>
            </w:pPr>
            <w:r>
              <w:rPr>
                <w:sz w:val="24"/>
                <w:szCs w:val="24"/>
              </w:rPr>
              <w:t>10</w:t>
            </w:r>
          </w:p>
        </w:tc>
        <w:tc>
          <w:tcPr>
            <w:tcW w:w="1159" w:type="dxa"/>
            <w:vAlign w:val="center"/>
          </w:tcPr>
          <w:p w14:paraId="1FF0A868" w14:textId="77777777" w:rsidR="00934DFA" w:rsidRDefault="00BC614E">
            <w:pPr>
              <w:jc w:val="center"/>
            </w:pPr>
            <w:r>
              <w:rPr>
                <w:sz w:val="24"/>
                <w:szCs w:val="24"/>
              </w:rPr>
              <w:t>000107</w:t>
            </w:r>
          </w:p>
        </w:tc>
        <w:tc>
          <w:tcPr>
            <w:tcW w:w="1161" w:type="dxa"/>
            <w:vAlign w:val="center"/>
          </w:tcPr>
          <w:p w14:paraId="6E7969D5" w14:textId="77777777" w:rsidR="00934DFA" w:rsidRDefault="00BC614E">
            <w:pPr>
              <w:jc w:val="center"/>
            </w:pPr>
            <w:r>
              <w:rPr>
                <w:sz w:val="24"/>
                <w:szCs w:val="24"/>
              </w:rPr>
              <w:t>富国</w:t>
            </w:r>
            <w:proofErr w:type="gramStart"/>
            <w:r>
              <w:rPr>
                <w:sz w:val="24"/>
                <w:szCs w:val="24"/>
              </w:rPr>
              <w:t>稳健增强</w:t>
            </w:r>
            <w:proofErr w:type="gramEnd"/>
            <w:r>
              <w:rPr>
                <w:sz w:val="24"/>
                <w:szCs w:val="24"/>
              </w:rPr>
              <w:t>债券</w:t>
            </w:r>
            <w:r>
              <w:rPr>
                <w:sz w:val="24"/>
                <w:szCs w:val="24"/>
              </w:rPr>
              <w:t>A/B</w:t>
            </w:r>
          </w:p>
        </w:tc>
        <w:tc>
          <w:tcPr>
            <w:tcW w:w="1161" w:type="dxa"/>
            <w:vAlign w:val="center"/>
          </w:tcPr>
          <w:p w14:paraId="42DDF83B" w14:textId="77777777" w:rsidR="00934DFA" w:rsidRDefault="00BC614E">
            <w:pPr>
              <w:jc w:val="center"/>
            </w:pPr>
            <w:r>
              <w:rPr>
                <w:sz w:val="24"/>
                <w:szCs w:val="24"/>
              </w:rPr>
              <w:t>契约型开放式</w:t>
            </w:r>
          </w:p>
        </w:tc>
        <w:tc>
          <w:tcPr>
            <w:tcW w:w="1159" w:type="dxa"/>
            <w:vAlign w:val="center"/>
          </w:tcPr>
          <w:p w14:paraId="5888BFFB" w14:textId="77777777" w:rsidR="00934DFA" w:rsidRDefault="00BC614E">
            <w:pPr>
              <w:jc w:val="center"/>
            </w:pPr>
            <w:r>
              <w:rPr>
                <w:sz w:val="24"/>
                <w:szCs w:val="24"/>
              </w:rPr>
              <w:t>901,519.63</w:t>
            </w:r>
          </w:p>
        </w:tc>
        <w:tc>
          <w:tcPr>
            <w:tcW w:w="1305" w:type="dxa"/>
            <w:vAlign w:val="center"/>
          </w:tcPr>
          <w:p w14:paraId="1139E424" w14:textId="77777777" w:rsidR="00934DFA" w:rsidRDefault="00BC614E">
            <w:pPr>
              <w:jc w:val="center"/>
            </w:pPr>
            <w:r>
              <w:rPr>
                <w:sz w:val="24"/>
                <w:szCs w:val="24"/>
              </w:rPr>
              <w:t>1,145,831.45</w:t>
            </w:r>
          </w:p>
        </w:tc>
        <w:tc>
          <w:tcPr>
            <w:tcW w:w="1161" w:type="dxa"/>
            <w:vAlign w:val="center"/>
          </w:tcPr>
          <w:p w14:paraId="74F1F864" w14:textId="77777777" w:rsidR="00934DFA" w:rsidRDefault="00BC614E">
            <w:pPr>
              <w:jc w:val="center"/>
            </w:pPr>
            <w:r>
              <w:rPr>
                <w:sz w:val="24"/>
                <w:szCs w:val="24"/>
              </w:rPr>
              <w:t>2.43%</w:t>
            </w:r>
          </w:p>
        </w:tc>
        <w:tc>
          <w:tcPr>
            <w:tcW w:w="1301" w:type="dxa"/>
            <w:vAlign w:val="center"/>
          </w:tcPr>
          <w:p w14:paraId="01D300D4" w14:textId="77777777" w:rsidR="00934DFA" w:rsidRDefault="00BC614E">
            <w:pPr>
              <w:jc w:val="center"/>
            </w:pPr>
            <w:r>
              <w:rPr>
                <w:sz w:val="24"/>
                <w:szCs w:val="24"/>
              </w:rPr>
              <w:t>否</w:t>
            </w:r>
          </w:p>
        </w:tc>
      </w:tr>
    </w:tbl>
    <w:p w14:paraId="49D94A6A" w14:textId="77777777"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1F3E2A" w:rsidRPr="00575270" w14:paraId="66F94F27" w14:textId="77777777" w:rsidTr="004C0877">
        <w:tc>
          <w:tcPr>
            <w:tcW w:w="3012" w:type="dxa"/>
            <w:vAlign w:val="center"/>
          </w:tcPr>
          <w:p w14:paraId="300893EF" w14:textId="77777777" w:rsidR="001F3E2A" w:rsidRPr="00575270" w:rsidRDefault="001F3E2A" w:rsidP="0011537B">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14:paraId="541FFFFB" w14:textId="77777777" w:rsidR="001F3E2A" w:rsidRPr="00575270" w:rsidRDefault="001F3E2A" w:rsidP="004C0877">
            <w:pPr>
              <w:spacing w:line="276" w:lineRule="auto"/>
              <w:jc w:val="center"/>
              <w:rPr>
                <w:sz w:val="24"/>
                <w:szCs w:val="24"/>
              </w:rPr>
            </w:pPr>
            <w:r w:rsidRPr="00575270">
              <w:rPr>
                <w:sz w:val="24"/>
                <w:szCs w:val="24"/>
              </w:rPr>
              <w:t>本期费用</w:t>
            </w:r>
          </w:p>
        </w:tc>
        <w:tc>
          <w:tcPr>
            <w:tcW w:w="3012" w:type="dxa"/>
            <w:vAlign w:val="center"/>
          </w:tcPr>
          <w:p w14:paraId="6AAC16F3" w14:textId="77777777" w:rsidR="001F3E2A" w:rsidRPr="00575270" w:rsidRDefault="001F3E2A" w:rsidP="004C0877">
            <w:pPr>
              <w:spacing w:line="276" w:lineRule="auto"/>
              <w:jc w:val="center"/>
              <w:rPr>
                <w:sz w:val="24"/>
                <w:szCs w:val="24"/>
              </w:rPr>
            </w:pPr>
            <w:r w:rsidRPr="00575270">
              <w:rPr>
                <w:sz w:val="24"/>
                <w:szCs w:val="24"/>
              </w:rPr>
              <w:t>其中：交易及持有基金管理人以及管理人关联方所管理基金产生的费用</w:t>
            </w:r>
          </w:p>
        </w:tc>
      </w:tr>
      <w:tr w:rsidR="001F3E2A" w:rsidRPr="00575270" w14:paraId="1F7FBD66" w14:textId="77777777" w:rsidTr="004C0877">
        <w:tc>
          <w:tcPr>
            <w:tcW w:w="3012" w:type="dxa"/>
            <w:vAlign w:val="center"/>
          </w:tcPr>
          <w:p w14:paraId="055E7412" w14:textId="77777777"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p>
        </w:tc>
        <w:tc>
          <w:tcPr>
            <w:tcW w:w="3012" w:type="dxa"/>
            <w:vAlign w:val="center"/>
          </w:tcPr>
          <w:p w14:paraId="13979568"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c>
          <w:tcPr>
            <w:tcW w:w="3012" w:type="dxa"/>
            <w:vAlign w:val="center"/>
          </w:tcPr>
          <w:p w14:paraId="394B7978"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14:paraId="2E28F11E" w14:textId="77777777" w:rsidTr="004C0877">
        <w:tc>
          <w:tcPr>
            <w:tcW w:w="3012" w:type="dxa"/>
            <w:vAlign w:val="center"/>
          </w:tcPr>
          <w:p w14:paraId="0291AC81" w14:textId="77777777"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14:paraId="2993780D"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178.87</w:t>
            </w:r>
          </w:p>
        </w:tc>
        <w:tc>
          <w:tcPr>
            <w:tcW w:w="3012" w:type="dxa"/>
            <w:vAlign w:val="center"/>
          </w:tcPr>
          <w:p w14:paraId="1971647E"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14:paraId="4591916F" w14:textId="77777777" w:rsidTr="004C0877">
        <w:tc>
          <w:tcPr>
            <w:tcW w:w="3012" w:type="dxa"/>
            <w:vAlign w:val="center"/>
          </w:tcPr>
          <w:p w14:paraId="73B6E057" w14:textId="77777777"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14:paraId="49C95EA5"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1,294.10</w:t>
            </w:r>
          </w:p>
        </w:tc>
        <w:tc>
          <w:tcPr>
            <w:tcW w:w="3012" w:type="dxa"/>
            <w:vAlign w:val="center"/>
          </w:tcPr>
          <w:p w14:paraId="4D40AF4A"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1F3E2A" w:rsidRPr="00575270" w14:paraId="60BA3C42" w14:textId="77777777" w:rsidTr="004C0877">
        <w:tc>
          <w:tcPr>
            <w:tcW w:w="3012" w:type="dxa"/>
            <w:vAlign w:val="center"/>
          </w:tcPr>
          <w:p w14:paraId="7C852A35" w14:textId="77777777"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14:paraId="1BB1401F"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84,684.55</w:t>
            </w:r>
          </w:p>
        </w:tc>
        <w:tc>
          <w:tcPr>
            <w:tcW w:w="3012" w:type="dxa"/>
            <w:vAlign w:val="center"/>
          </w:tcPr>
          <w:p w14:paraId="79F5AB51"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9,917.37</w:t>
            </w:r>
          </w:p>
        </w:tc>
      </w:tr>
      <w:tr w:rsidR="001F3E2A" w:rsidRPr="00575270" w14:paraId="1904992F" w14:textId="77777777" w:rsidTr="004C0877">
        <w:tc>
          <w:tcPr>
            <w:tcW w:w="3012" w:type="dxa"/>
            <w:vAlign w:val="center"/>
          </w:tcPr>
          <w:p w14:paraId="63A6974D" w14:textId="77777777" w:rsidR="001F3E2A" w:rsidRPr="00575270" w:rsidRDefault="001F3E2A" w:rsidP="0011537B">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14:paraId="09075153"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16,518.46</w:t>
            </w:r>
          </w:p>
        </w:tc>
        <w:tc>
          <w:tcPr>
            <w:tcW w:w="3012" w:type="dxa"/>
            <w:vAlign w:val="center"/>
          </w:tcPr>
          <w:p w14:paraId="78C7834A" w14:textId="77777777" w:rsidR="001F3E2A" w:rsidRPr="00575270" w:rsidRDefault="001F3E2A" w:rsidP="0011537B">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1,407.30</w:t>
            </w:r>
          </w:p>
        </w:tc>
      </w:tr>
      <w:tr w:rsidR="00934DFA" w14:paraId="13A690B6" w14:textId="77777777">
        <w:tc>
          <w:tcPr>
            <w:tcW w:w="3012" w:type="dxa"/>
            <w:vAlign w:val="center"/>
          </w:tcPr>
          <w:p w14:paraId="607557BF" w14:textId="77777777" w:rsidR="00934DFA" w:rsidRDefault="00BC614E">
            <w:pPr>
              <w:jc w:val="left"/>
            </w:pPr>
            <w:r>
              <w:rPr>
                <w:rFonts w:eastAsiaTheme="minorEastAsia"/>
                <w:color w:val="000000" w:themeColor="text1"/>
                <w:sz w:val="24"/>
                <w:szCs w:val="24"/>
              </w:rPr>
              <w:t>当期交易基金产生的交易费（元）</w:t>
            </w:r>
          </w:p>
        </w:tc>
        <w:tc>
          <w:tcPr>
            <w:tcW w:w="3012" w:type="dxa"/>
            <w:vAlign w:val="center"/>
          </w:tcPr>
          <w:p w14:paraId="10B412A8" w14:textId="77777777" w:rsidR="00934DFA" w:rsidRDefault="00BC614E">
            <w:pPr>
              <w:jc w:val="right"/>
            </w:pPr>
            <w:r>
              <w:rPr>
                <w:rFonts w:eastAsiaTheme="minorEastAsia"/>
                <w:color w:val="000000" w:themeColor="text1"/>
                <w:sz w:val="24"/>
                <w:szCs w:val="24"/>
              </w:rPr>
              <w:t>66.22</w:t>
            </w:r>
          </w:p>
        </w:tc>
        <w:tc>
          <w:tcPr>
            <w:tcW w:w="3012" w:type="dxa"/>
            <w:vAlign w:val="center"/>
          </w:tcPr>
          <w:p w14:paraId="673C6975" w14:textId="77777777" w:rsidR="00934DFA" w:rsidRDefault="00BC614E">
            <w:pPr>
              <w:jc w:val="right"/>
            </w:pPr>
            <w:r>
              <w:rPr>
                <w:rFonts w:eastAsiaTheme="minorEastAsia"/>
                <w:color w:val="000000" w:themeColor="text1"/>
                <w:sz w:val="24"/>
                <w:szCs w:val="24"/>
              </w:rPr>
              <w:t>-</w:t>
            </w:r>
          </w:p>
        </w:tc>
      </w:tr>
      <w:tr w:rsidR="00BC614E" w14:paraId="7BD81715" w14:textId="77777777">
        <w:tc>
          <w:tcPr>
            <w:tcW w:w="3012" w:type="dxa"/>
            <w:vAlign w:val="center"/>
          </w:tcPr>
          <w:p w14:paraId="6364C507" w14:textId="1CAAA00E" w:rsidR="00BC614E" w:rsidRDefault="00BC614E" w:rsidP="00BC614E">
            <w:pPr>
              <w:jc w:val="left"/>
              <w:rPr>
                <w:rFonts w:eastAsiaTheme="minorEastAsia"/>
                <w:color w:val="000000" w:themeColor="text1"/>
                <w:sz w:val="24"/>
                <w:szCs w:val="24"/>
              </w:rPr>
            </w:pPr>
            <w:r>
              <w:rPr>
                <w:rFonts w:eastAsiaTheme="minorEastAsia"/>
                <w:color w:val="000000" w:themeColor="text1"/>
                <w:sz w:val="24"/>
                <w:szCs w:val="24"/>
              </w:rPr>
              <w:t>当期交易基金产生的转换费（元）</w:t>
            </w:r>
          </w:p>
        </w:tc>
        <w:tc>
          <w:tcPr>
            <w:tcW w:w="3012" w:type="dxa"/>
            <w:vAlign w:val="center"/>
          </w:tcPr>
          <w:p w14:paraId="2BE7955B" w14:textId="58CB09DC" w:rsidR="00BC614E" w:rsidRDefault="00BC614E" w:rsidP="00BC614E">
            <w:pPr>
              <w:jc w:val="right"/>
              <w:rPr>
                <w:rFonts w:eastAsiaTheme="minorEastAsia"/>
                <w:color w:val="000000" w:themeColor="text1"/>
                <w:sz w:val="24"/>
                <w:szCs w:val="24"/>
              </w:rPr>
            </w:pPr>
            <w:r>
              <w:rPr>
                <w:rFonts w:eastAsiaTheme="minorEastAsia"/>
                <w:color w:val="000000" w:themeColor="text1"/>
                <w:sz w:val="24"/>
                <w:szCs w:val="24"/>
              </w:rPr>
              <w:t>2,305.71</w:t>
            </w:r>
          </w:p>
        </w:tc>
        <w:tc>
          <w:tcPr>
            <w:tcW w:w="3012" w:type="dxa"/>
            <w:vAlign w:val="center"/>
          </w:tcPr>
          <w:p w14:paraId="6E59888A" w14:textId="00460F6C" w:rsidR="00BC614E" w:rsidRDefault="00BC614E" w:rsidP="00BC614E">
            <w:pPr>
              <w:jc w:val="right"/>
              <w:rPr>
                <w:rFonts w:eastAsiaTheme="minorEastAsia"/>
                <w:color w:val="000000" w:themeColor="text1"/>
                <w:sz w:val="24"/>
                <w:szCs w:val="24"/>
              </w:rPr>
            </w:pPr>
            <w:r>
              <w:rPr>
                <w:rFonts w:eastAsiaTheme="minorEastAsia"/>
                <w:color w:val="000000" w:themeColor="text1"/>
                <w:sz w:val="24"/>
                <w:szCs w:val="24"/>
              </w:rPr>
              <w:t>-</w:t>
            </w:r>
          </w:p>
        </w:tc>
      </w:tr>
    </w:tbl>
    <w:p w14:paraId="780A5C79" w14:textId="77777777" w:rsidR="001F3E2A" w:rsidRPr="00414345" w:rsidRDefault="001F3E2A" w:rsidP="00C15CAC">
      <w:pPr>
        <w:spacing w:before="29" w:line="288" w:lineRule="auto"/>
        <w:ind w:firstLineChars="200" w:firstLine="480"/>
        <w:rPr>
          <w:color w:val="000000"/>
          <w:sz w:val="24"/>
          <w:szCs w:val="24"/>
        </w:rPr>
      </w:pPr>
    </w:p>
    <w:p w14:paraId="408A7D4D" w14:textId="77777777"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14:paraId="1BF5C9D1"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7580338D"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3F4C1E68"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637608F"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r w:rsidR="004061AC" w:rsidRPr="00414345" w14:paraId="0A11E241"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2468DC0"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7B8DD62"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14:paraId="48848E86"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B218F95"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18E3B46"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14:paraId="0E78B84E"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205C76F6"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164C76DD"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618DB986"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8434EC5"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931AB84"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50,105,409.04</w:t>
            </w:r>
          </w:p>
        </w:tc>
      </w:tr>
    </w:tbl>
    <w:p w14:paraId="151329F7" w14:textId="77777777" w:rsidR="00320E90" w:rsidRDefault="00320E90" w:rsidP="00C15CAC">
      <w:pPr>
        <w:autoSpaceDE w:val="0"/>
        <w:autoSpaceDN w:val="0"/>
        <w:adjustRightInd w:val="0"/>
        <w:spacing w:before="29" w:line="288" w:lineRule="auto"/>
        <w:jc w:val="left"/>
        <w:rPr>
          <w:color w:val="000000"/>
          <w:sz w:val="24"/>
          <w:szCs w:val="24"/>
        </w:rPr>
      </w:pPr>
    </w:p>
    <w:p w14:paraId="1B3DABDE" w14:textId="77777777"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14:paraId="27F733E6" w14:textId="77777777"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14:paraId="518EC6A3" w14:textId="77777777"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14:paraId="109F1D85"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6D672B03" w14:textId="77777777" w:rsidR="00ED2620" w:rsidRPr="00ED2620" w:rsidRDefault="00ED2620" w:rsidP="00C15CAC">
            <w:pPr>
              <w:pStyle w:val="af2"/>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29E9FD17" w14:textId="77777777"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14:paraId="28DB5581"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33C39B4" w14:textId="77777777"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787E85AE"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14:paraId="33F4A952"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016C01EB" w14:textId="77777777"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279255DC"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14:paraId="7FFF161C"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4C10904F" w14:textId="77777777"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327CFCE8" w14:textId="77777777"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50,005,944.44</w:t>
            </w:r>
          </w:p>
        </w:tc>
      </w:tr>
      <w:tr w:rsidR="00ED2620" w:rsidRPr="00ED2620" w14:paraId="6A098003" w14:textId="77777777"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14:paraId="78003B76" w14:textId="77777777"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14:paraId="3BF6117B" w14:textId="77777777"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99.80</w:t>
            </w:r>
          </w:p>
        </w:tc>
      </w:tr>
    </w:tbl>
    <w:p w14:paraId="0980D540"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2E81A9C7" w14:textId="77777777"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14:paraId="3F5B139B"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无。</w:t>
      </w:r>
    </w:p>
    <w:p w14:paraId="240BF2C2" w14:textId="77777777" w:rsidR="00480B35" w:rsidRPr="00414345" w:rsidRDefault="00480B35" w:rsidP="00C15CAC">
      <w:pPr>
        <w:autoSpaceDE w:val="0"/>
        <w:autoSpaceDN w:val="0"/>
        <w:adjustRightInd w:val="0"/>
        <w:spacing w:before="29" w:line="288" w:lineRule="auto"/>
        <w:jc w:val="left"/>
        <w:rPr>
          <w:color w:val="000000"/>
          <w:sz w:val="24"/>
        </w:rPr>
      </w:pPr>
    </w:p>
    <w:p w14:paraId="796CC0F5" w14:textId="77777777"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9</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w:t>
      </w:r>
      <w:proofErr w:type="gramStart"/>
      <w:r w:rsidRPr="00414345">
        <w:rPr>
          <w:color w:val="000000"/>
          <w:kern w:val="0"/>
          <w:sz w:val="24"/>
          <w:szCs w:val="24"/>
        </w:rPr>
        <w:t>式基金</w:t>
      </w:r>
      <w:proofErr w:type="gramEnd"/>
      <w:r w:rsidRPr="00414345">
        <w:rPr>
          <w:color w:val="000000"/>
          <w:kern w:val="0"/>
          <w:sz w:val="24"/>
          <w:szCs w:val="24"/>
        </w:rPr>
        <w:t>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14:paraId="412CBD0F" w14:textId="77777777"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5C3377F4" w14:textId="77777777"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D8DBCB5"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8D4945"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440838E"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A03ADDC" w14:textId="77777777"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A31BD01" w14:textId="77777777"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14:paraId="294CCA09"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C5DBF4A" w14:textId="77777777"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w:t>
            </w:r>
            <w:proofErr w:type="gramStart"/>
            <w:r w:rsidRPr="00414345">
              <w:rPr>
                <w:color w:val="000000"/>
                <w:sz w:val="24"/>
                <w:szCs w:val="24"/>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14:paraId="638067BA"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0182F80"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AE30EAD"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3B6E023"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9C157AA"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r w:rsidR="00D21FFF" w:rsidRPr="00414345" w14:paraId="270382BC" w14:textId="77777777"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1EF745E" w14:textId="77777777"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A4FFD5C"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9B789A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128338B"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E4E229B"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692563F"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5685C0D0"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4CBB2396"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25121A9"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852703"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38367708"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C8138B0"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468760E"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23058996"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442E193"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lastRenderedPageBreak/>
              <w:t>基金管理</w:t>
            </w:r>
            <w:proofErr w:type="gramStart"/>
            <w:r w:rsidRPr="00414345">
              <w:rPr>
                <w:color w:val="000000"/>
                <w:sz w:val="24"/>
                <w:szCs w:val="24"/>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14:paraId="74D4A176"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C431CA3"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5AE5AED"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CE31B67"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F9F0812"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1F6D21CE"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67BFA50"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D3E9917"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583F2E0"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2096E6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EDCC53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6860B52"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14:paraId="7B674575" w14:textId="77777777"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8B6AD95" w14:textId="77777777"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32E0D7C"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50,005,944.44</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8C83E8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99.80%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5131A1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10,001,388.92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8DC6015"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19.96%</w:t>
            </w:r>
          </w:p>
        </w:tc>
        <w:tc>
          <w:tcPr>
            <w:tcW w:w="1495" w:type="dxa"/>
            <w:tcBorders>
              <w:top w:val="single" w:sz="4" w:space="0" w:color="auto"/>
              <w:left w:val="single" w:sz="4" w:space="0" w:color="auto"/>
              <w:bottom w:val="single" w:sz="4" w:space="0" w:color="auto"/>
              <w:right w:val="single" w:sz="4" w:space="0" w:color="auto"/>
            </w:tcBorders>
            <w:vAlign w:val="center"/>
            <w:hideMark/>
          </w:tcPr>
          <w:p w14:paraId="695EF844" w14:textId="77777777"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3</w:t>
            </w:r>
            <w:r w:rsidRPr="00414345">
              <w:rPr>
                <w:kern w:val="0"/>
                <w:sz w:val="24"/>
                <w:szCs w:val="24"/>
              </w:rPr>
              <w:t>年</w:t>
            </w:r>
          </w:p>
        </w:tc>
      </w:tr>
    </w:tbl>
    <w:p w14:paraId="43E083E7" w14:textId="77777777" w:rsidR="005B09FA" w:rsidRPr="00414345" w:rsidRDefault="005B09FA" w:rsidP="00C15CAC">
      <w:pPr>
        <w:autoSpaceDE w:val="0"/>
        <w:autoSpaceDN w:val="0"/>
        <w:adjustRightInd w:val="0"/>
        <w:spacing w:before="29" w:line="288" w:lineRule="auto"/>
        <w:jc w:val="left"/>
        <w:rPr>
          <w:color w:val="000000"/>
          <w:sz w:val="24"/>
          <w:szCs w:val="24"/>
        </w:rPr>
      </w:pPr>
    </w:p>
    <w:p w14:paraId="17310C10" w14:textId="77777777"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§10</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14:paraId="4FA87ECE" w14:textId="77777777"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10.</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14:paraId="7817ADF9" w14:textId="77777777" w:rsidTr="004C0877">
        <w:tc>
          <w:tcPr>
            <w:tcW w:w="993" w:type="dxa"/>
            <w:vMerge w:val="restart"/>
            <w:vAlign w:val="center"/>
          </w:tcPr>
          <w:p w14:paraId="0E157922"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14:paraId="68D4CE16"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14:paraId="46F31FCC"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14:paraId="36C4B438" w14:textId="77777777" w:rsidTr="004C0877">
        <w:tc>
          <w:tcPr>
            <w:tcW w:w="993" w:type="dxa"/>
            <w:vMerge/>
            <w:vAlign w:val="center"/>
          </w:tcPr>
          <w:p w14:paraId="3F7A13A1" w14:textId="77777777" w:rsidR="003C50AD" w:rsidRPr="004F4D27" w:rsidRDefault="003C50AD" w:rsidP="004C0877">
            <w:pPr>
              <w:autoSpaceDE w:val="0"/>
              <w:autoSpaceDN w:val="0"/>
              <w:adjustRightInd w:val="0"/>
              <w:jc w:val="center"/>
              <w:rPr>
                <w:rFonts w:ascii="宋体" w:hAnsi="宋体"/>
                <w:b/>
                <w:bCs/>
                <w:color w:val="000000"/>
                <w:kern w:val="0"/>
              </w:rPr>
            </w:pPr>
          </w:p>
        </w:tc>
        <w:tc>
          <w:tcPr>
            <w:tcW w:w="992" w:type="dxa"/>
            <w:vAlign w:val="center"/>
          </w:tcPr>
          <w:p w14:paraId="494FF02A"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14:paraId="1ABD4B95"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14:paraId="6B09622D"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14:paraId="62084A63"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14:paraId="731AA37C" w14:textId="77777777" w:rsidR="003C50AD" w:rsidRPr="004F4D27" w:rsidRDefault="003C50AD" w:rsidP="004C087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14:paraId="5FFEBEFC"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14:paraId="4AF1BBF6" w14:textId="77777777" w:rsidR="003C50AD" w:rsidRPr="004F4D27" w:rsidRDefault="003C50AD" w:rsidP="004C087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34DFA" w14:paraId="06AA0033" w14:textId="77777777">
        <w:tc>
          <w:tcPr>
            <w:tcW w:w="993" w:type="dxa"/>
            <w:vMerge w:val="restart"/>
            <w:vAlign w:val="center"/>
          </w:tcPr>
          <w:p w14:paraId="334298BE" w14:textId="77777777" w:rsidR="00934DFA" w:rsidRDefault="00BC614E">
            <w:r>
              <w:rPr>
                <w:rFonts w:ascii="宋体" w:hAnsi="宋体" w:hint="eastAsia"/>
                <w:bCs/>
                <w:color w:val="000000"/>
                <w:kern w:val="0"/>
              </w:rPr>
              <w:t>机构</w:t>
            </w:r>
          </w:p>
        </w:tc>
        <w:tc>
          <w:tcPr>
            <w:tcW w:w="992" w:type="dxa"/>
            <w:vAlign w:val="center"/>
          </w:tcPr>
          <w:p w14:paraId="1CEA870B" w14:textId="77777777" w:rsidR="00934DFA" w:rsidRDefault="00BC614E">
            <w:pPr>
              <w:jc w:val="center"/>
            </w:pPr>
            <w:r>
              <w:rPr>
                <w:rFonts w:ascii="宋体" w:hAnsi="宋体"/>
                <w:color w:val="000000"/>
                <w:kern w:val="0"/>
              </w:rPr>
              <w:t>1</w:t>
            </w:r>
          </w:p>
        </w:tc>
        <w:tc>
          <w:tcPr>
            <w:tcW w:w="1843" w:type="dxa"/>
            <w:vAlign w:val="center"/>
          </w:tcPr>
          <w:p w14:paraId="6C4B788D" w14:textId="77777777" w:rsidR="00934DFA" w:rsidRDefault="00BC614E">
            <w:pPr>
              <w:jc w:val="center"/>
            </w:pPr>
            <w:r>
              <w:rPr>
                <w:rFonts w:ascii="宋体" w:hAnsi="宋体"/>
                <w:color w:val="000000"/>
                <w:kern w:val="0"/>
              </w:rPr>
              <w:t>20240701-20240930</w:t>
            </w:r>
          </w:p>
        </w:tc>
        <w:tc>
          <w:tcPr>
            <w:tcW w:w="851" w:type="dxa"/>
            <w:vAlign w:val="center"/>
          </w:tcPr>
          <w:p w14:paraId="265CA4F9" w14:textId="77777777" w:rsidR="00934DFA" w:rsidRDefault="00BC614E">
            <w:pPr>
              <w:jc w:val="center"/>
            </w:pPr>
            <w:r>
              <w:rPr>
                <w:rFonts w:ascii="宋体" w:hAnsi="宋体"/>
                <w:color w:val="000000"/>
                <w:kern w:val="0"/>
              </w:rPr>
              <w:t>50,005,944.44</w:t>
            </w:r>
          </w:p>
        </w:tc>
        <w:tc>
          <w:tcPr>
            <w:tcW w:w="850" w:type="dxa"/>
            <w:vAlign w:val="center"/>
          </w:tcPr>
          <w:p w14:paraId="4B319FBA" w14:textId="77777777" w:rsidR="00934DFA" w:rsidRDefault="00BC614E">
            <w:pPr>
              <w:jc w:val="center"/>
            </w:pPr>
            <w:r>
              <w:rPr>
                <w:rFonts w:ascii="宋体" w:hAnsi="宋体"/>
                <w:color w:val="000000"/>
                <w:kern w:val="0"/>
              </w:rPr>
              <w:t>0.00</w:t>
            </w:r>
          </w:p>
        </w:tc>
        <w:tc>
          <w:tcPr>
            <w:tcW w:w="1134" w:type="dxa"/>
            <w:vAlign w:val="center"/>
          </w:tcPr>
          <w:p w14:paraId="49C9700C" w14:textId="77777777" w:rsidR="00934DFA" w:rsidRDefault="00BC614E">
            <w:pPr>
              <w:jc w:val="center"/>
            </w:pPr>
            <w:r>
              <w:rPr>
                <w:rFonts w:ascii="宋体" w:hAnsi="宋体"/>
                <w:color w:val="000000"/>
                <w:kern w:val="0"/>
              </w:rPr>
              <w:t>0.00</w:t>
            </w:r>
          </w:p>
        </w:tc>
        <w:tc>
          <w:tcPr>
            <w:tcW w:w="1419" w:type="dxa"/>
            <w:vAlign w:val="center"/>
          </w:tcPr>
          <w:p w14:paraId="4FDC4F28" w14:textId="77777777" w:rsidR="00934DFA" w:rsidRDefault="00BC614E">
            <w:pPr>
              <w:jc w:val="center"/>
            </w:pPr>
            <w:r>
              <w:rPr>
                <w:rFonts w:ascii="宋体" w:hAnsi="宋体"/>
                <w:color w:val="000000"/>
                <w:kern w:val="0"/>
              </w:rPr>
              <w:t>50,005,944.44</w:t>
            </w:r>
          </w:p>
        </w:tc>
        <w:tc>
          <w:tcPr>
            <w:tcW w:w="1130" w:type="dxa"/>
            <w:vAlign w:val="center"/>
          </w:tcPr>
          <w:p w14:paraId="51D5805B" w14:textId="77777777" w:rsidR="00934DFA" w:rsidRDefault="00BC614E">
            <w:pPr>
              <w:jc w:val="center"/>
            </w:pPr>
            <w:r>
              <w:rPr>
                <w:rFonts w:ascii="宋体" w:hAnsi="宋体"/>
                <w:color w:val="000000"/>
                <w:kern w:val="0"/>
              </w:rPr>
              <w:t>99.80%</w:t>
            </w:r>
          </w:p>
        </w:tc>
      </w:tr>
      <w:tr w:rsidR="003C50AD" w:rsidRPr="004F4D27" w14:paraId="32B61EA6" w14:textId="77777777" w:rsidTr="004C0877">
        <w:tc>
          <w:tcPr>
            <w:tcW w:w="9212" w:type="dxa"/>
            <w:gridSpan w:val="8"/>
            <w:vAlign w:val="center"/>
          </w:tcPr>
          <w:p w14:paraId="42D64F89" w14:textId="77777777" w:rsidR="003C50AD" w:rsidRPr="004F4D27" w:rsidRDefault="003C50AD" w:rsidP="004C087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14:paraId="394154B5" w14:textId="77777777" w:rsidTr="004C0877">
        <w:tc>
          <w:tcPr>
            <w:tcW w:w="9212" w:type="dxa"/>
            <w:gridSpan w:val="8"/>
            <w:vAlign w:val="center"/>
          </w:tcPr>
          <w:p w14:paraId="0FC2A504" w14:textId="77777777" w:rsidR="003C50AD" w:rsidRPr="004F4D27" w:rsidRDefault="003C50AD" w:rsidP="004C0877">
            <w:pPr>
              <w:autoSpaceDE w:val="0"/>
              <w:autoSpaceDN w:val="0"/>
              <w:adjustRightInd w:val="0"/>
              <w:jc w:val="left"/>
              <w:rPr>
                <w:rFonts w:ascii="宋体" w:hAnsi="宋体"/>
                <w:kern w:val="0"/>
              </w:rPr>
            </w:pPr>
            <w:r w:rsidRPr="004F4D27">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A5B7DD2" w14:textId="77777777"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11</w:t>
      </w:r>
      <w:r w:rsidR="00834E74">
        <w:rPr>
          <w:color w:val="000000"/>
          <w:kern w:val="0"/>
          <w:sz w:val="24"/>
          <w:szCs w:val="24"/>
        </w:rPr>
        <w:t xml:space="preserve">  </w:t>
      </w:r>
      <w:r w:rsidRPr="00414345">
        <w:rPr>
          <w:color w:val="000000"/>
          <w:kern w:val="0"/>
          <w:sz w:val="24"/>
          <w:szCs w:val="24"/>
        </w:rPr>
        <w:t>备查文件目录</w:t>
      </w:r>
    </w:p>
    <w:p w14:paraId="42F6A181"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14:paraId="0A9E9EE5" w14:textId="77777777" w:rsidR="00934DFA" w:rsidRDefault="00BC614E">
      <w:pPr>
        <w:spacing w:before="29" w:line="288" w:lineRule="auto"/>
        <w:ind w:firstLineChars="200" w:firstLine="480"/>
        <w:rPr>
          <w:color w:val="000000"/>
          <w:sz w:val="24"/>
          <w:szCs w:val="24"/>
        </w:rPr>
      </w:pPr>
      <w:r>
        <w:rPr>
          <w:color w:val="000000"/>
          <w:sz w:val="24"/>
          <w:szCs w:val="24"/>
        </w:rPr>
        <w:t>(</w:t>
      </w:r>
      <w:proofErr w:type="gramStart"/>
      <w:r>
        <w:rPr>
          <w:color w:val="000000"/>
          <w:sz w:val="24"/>
          <w:szCs w:val="24"/>
        </w:rPr>
        <w:t>一</w:t>
      </w:r>
      <w:proofErr w:type="gramEnd"/>
      <w:r>
        <w:rPr>
          <w:color w:val="000000"/>
          <w:sz w:val="24"/>
          <w:szCs w:val="24"/>
        </w:rPr>
        <w:t>)</w:t>
      </w:r>
      <w:r>
        <w:rPr>
          <w:color w:val="000000"/>
          <w:sz w:val="24"/>
          <w:szCs w:val="24"/>
        </w:rPr>
        <w:t>中国证监会准予本基金募集注册的文件</w:t>
      </w:r>
    </w:p>
    <w:p w14:paraId="0242602E"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二</w:t>
      </w:r>
      <w:r>
        <w:rPr>
          <w:color w:val="000000"/>
          <w:sz w:val="24"/>
          <w:szCs w:val="24"/>
        </w:rPr>
        <w:t>)</w:t>
      </w:r>
      <w:r>
        <w:rPr>
          <w:color w:val="000000"/>
          <w:sz w:val="24"/>
          <w:szCs w:val="24"/>
        </w:rPr>
        <w:t>摩根锦颐养</w:t>
      </w:r>
      <w:proofErr w:type="gramStart"/>
      <w:r>
        <w:rPr>
          <w:color w:val="000000"/>
          <w:sz w:val="24"/>
          <w:szCs w:val="24"/>
        </w:rPr>
        <w:t>老目标</w:t>
      </w:r>
      <w:proofErr w:type="gramEnd"/>
      <w:r>
        <w:rPr>
          <w:color w:val="000000"/>
          <w:sz w:val="24"/>
          <w:szCs w:val="24"/>
        </w:rPr>
        <w:t>日期</w:t>
      </w:r>
      <w:r>
        <w:rPr>
          <w:color w:val="000000"/>
          <w:sz w:val="24"/>
          <w:szCs w:val="24"/>
        </w:rPr>
        <w:t>2035</w:t>
      </w:r>
      <w:r>
        <w:rPr>
          <w:color w:val="000000"/>
          <w:sz w:val="24"/>
          <w:szCs w:val="24"/>
        </w:rPr>
        <w:t>三年持有期混合型发起</w:t>
      </w:r>
      <w:proofErr w:type="gramStart"/>
      <w:r>
        <w:rPr>
          <w:color w:val="000000"/>
          <w:sz w:val="24"/>
          <w:szCs w:val="24"/>
        </w:rPr>
        <w:t>式基金</w:t>
      </w:r>
      <w:proofErr w:type="gramEnd"/>
      <w:r>
        <w:rPr>
          <w:color w:val="000000"/>
          <w:sz w:val="24"/>
          <w:szCs w:val="24"/>
        </w:rPr>
        <w:t>中基金</w:t>
      </w:r>
      <w:r>
        <w:rPr>
          <w:color w:val="000000"/>
          <w:sz w:val="24"/>
          <w:szCs w:val="24"/>
        </w:rPr>
        <w:t>(FOF)</w:t>
      </w:r>
      <w:r>
        <w:rPr>
          <w:color w:val="000000"/>
          <w:sz w:val="24"/>
          <w:szCs w:val="24"/>
        </w:rPr>
        <w:t>基金合同</w:t>
      </w:r>
    </w:p>
    <w:p w14:paraId="477085E6"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三</w:t>
      </w:r>
      <w:r>
        <w:rPr>
          <w:color w:val="000000"/>
          <w:sz w:val="24"/>
          <w:szCs w:val="24"/>
        </w:rPr>
        <w:t>)</w:t>
      </w:r>
      <w:r>
        <w:rPr>
          <w:color w:val="000000"/>
          <w:sz w:val="24"/>
          <w:szCs w:val="24"/>
        </w:rPr>
        <w:t>摩根锦颐养</w:t>
      </w:r>
      <w:proofErr w:type="gramStart"/>
      <w:r>
        <w:rPr>
          <w:color w:val="000000"/>
          <w:sz w:val="24"/>
          <w:szCs w:val="24"/>
        </w:rPr>
        <w:t>老目标</w:t>
      </w:r>
      <w:proofErr w:type="gramEnd"/>
      <w:r>
        <w:rPr>
          <w:color w:val="000000"/>
          <w:sz w:val="24"/>
          <w:szCs w:val="24"/>
        </w:rPr>
        <w:t>日期</w:t>
      </w:r>
      <w:r>
        <w:rPr>
          <w:color w:val="000000"/>
          <w:sz w:val="24"/>
          <w:szCs w:val="24"/>
        </w:rPr>
        <w:t>2035</w:t>
      </w:r>
      <w:r>
        <w:rPr>
          <w:color w:val="000000"/>
          <w:sz w:val="24"/>
          <w:szCs w:val="24"/>
        </w:rPr>
        <w:t>三年持有期混合型发起</w:t>
      </w:r>
      <w:proofErr w:type="gramStart"/>
      <w:r>
        <w:rPr>
          <w:color w:val="000000"/>
          <w:sz w:val="24"/>
          <w:szCs w:val="24"/>
        </w:rPr>
        <w:t>式基金</w:t>
      </w:r>
      <w:proofErr w:type="gramEnd"/>
      <w:r>
        <w:rPr>
          <w:color w:val="000000"/>
          <w:sz w:val="24"/>
          <w:szCs w:val="24"/>
        </w:rPr>
        <w:t>中基金</w:t>
      </w:r>
      <w:r>
        <w:rPr>
          <w:color w:val="000000"/>
          <w:sz w:val="24"/>
          <w:szCs w:val="24"/>
        </w:rPr>
        <w:t>(FOF)</w:t>
      </w:r>
      <w:r>
        <w:rPr>
          <w:color w:val="000000"/>
          <w:sz w:val="24"/>
          <w:szCs w:val="24"/>
        </w:rPr>
        <w:t>托管协议</w:t>
      </w:r>
    </w:p>
    <w:p w14:paraId="42CDA372"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四</w:t>
      </w:r>
      <w:r>
        <w:rPr>
          <w:color w:val="000000"/>
          <w:sz w:val="24"/>
          <w:szCs w:val="24"/>
        </w:rPr>
        <w:t>)</w:t>
      </w:r>
      <w:r>
        <w:rPr>
          <w:color w:val="000000"/>
          <w:sz w:val="24"/>
          <w:szCs w:val="24"/>
        </w:rPr>
        <w:t>法律意见书</w:t>
      </w:r>
    </w:p>
    <w:p w14:paraId="6604238E"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五</w:t>
      </w:r>
      <w:r>
        <w:rPr>
          <w:color w:val="000000"/>
          <w:sz w:val="24"/>
          <w:szCs w:val="24"/>
        </w:rPr>
        <w:t>)</w:t>
      </w:r>
      <w:r>
        <w:rPr>
          <w:color w:val="000000"/>
          <w:sz w:val="24"/>
          <w:szCs w:val="24"/>
        </w:rPr>
        <w:t>基金管理人业务资格批件、营业执照</w:t>
      </w:r>
    </w:p>
    <w:p w14:paraId="47D4E1F1"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六</w:t>
      </w:r>
      <w:r>
        <w:rPr>
          <w:color w:val="000000"/>
          <w:sz w:val="24"/>
          <w:szCs w:val="24"/>
        </w:rPr>
        <w:t>)</w:t>
      </w:r>
      <w:r>
        <w:rPr>
          <w:color w:val="000000"/>
          <w:sz w:val="24"/>
          <w:szCs w:val="24"/>
        </w:rPr>
        <w:t>基金托管人业务资格批件、营业执照</w:t>
      </w:r>
    </w:p>
    <w:p w14:paraId="4CECAED8" w14:textId="77777777" w:rsidR="00934DFA" w:rsidRDefault="00BC614E">
      <w:pPr>
        <w:spacing w:before="29" w:line="288" w:lineRule="auto"/>
        <w:ind w:firstLineChars="200" w:firstLine="480"/>
        <w:rPr>
          <w:color w:val="000000"/>
          <w:sz w:val="24"/>
          <w:szCs w:val="24"/>
        </w:rPr>
      </w:pPr>
      <w:r>
        <w:rPr>
          <w:color w:val="000000"/>
          <w:sz w:val="24"/>
          <w:szCs w:val="24"/>
        </w:rPr>
        <w:t>(</w:t>
      </w:r>
      <w:r>
        <w:rPr>
          <w:color w:val="000000"/>
          <w:sz w:val="24"/>
          <w:szCs w:val="24"/>
        </w:rPr>
        <w:t>七</w:t>
      </w:r>
      <w:r>
        <w:rPr>
          <w:color w:val="000000"/>
          <w:sz w:val="24"/>
          <w:szCs w:val="24"/>
        </w:rPr>
        <w:t>)</w:t>
      </w:r>
      <w:r>
        <w:rPr>
          <w:color w:val="000000"/>
          <w:sz w:val="24"/>
          <w:szCs w:val="24"/>
        </w:rPr>
        <w:t>摩根基金管理（中国）有限公司开放式基金业务规则</w:t>
      </w:r>
    </w:p>
    <w:p w14:paraId="2EFC7B92"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w:t>
      </w:r>
      <w:r w:rsidRPr="00414345">
        <w:rPr>
          <w:color w:val="000000"/>
          <w:sz w:val="24"/>
          <w:szCs w:val="24"/>
        </w:rPr>
        <w:t>八</w:t>
      </w:r>
      <w:r w:rsidRPr="00414345">
        <w:rPr>
          <w:color w:val="000000"/>
          <w:sz w:val="24"/>
          <w:szCs w:val="24"/>
        </w:rPr>
        <w:t>)</w:t>
      </w:r>
      <w:r w:rsidRPr="00414345">
        <w:rPr>
          <w:color w:val="000000"/>
          <w:sz w:val="24"/>
          <w:szCs w:val="24"/>
        </w:rPr>
        <w:t>中国证监会要求的其他文件</w:t>
      </w:r>
    </w:p>
    <w:p w14:paraId="271D677B" w14:textId="77777777" w:rsidR="006A48FD" w:rsidRPr="00414345" w:rsidRDefault="006A48FD" w:rsidP="00C15CAC">
      <w:pPr>
        <w:spacing w:before="29" w:line="288" w:lineRule="auto"/>
        <w:ind w:firstLineChars="200" w:firstLine="480"/>
        <w:rPr>
          <w:color w:val="000000"/>
          <w:sz w:val="24"/>
          <w:szCs w:val="24"/>
        </w:rPr>
      </w:pPr>
    </w:p>
    <w:p w14:paraId="2E17B28D"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11</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14:paraId="5E298F08"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基金管理人或基金托管人处。</w:t>
      </w:r>
    </w:p>
    <w:p w14:paraId="7B610E81" w14:textId="77777777" w:rsidR="006A48FD" w:rsidRPr="00414345" w:rsidRDefault="006A48FD" w:rsidP="00C15CAC">
      <w:pPr>
        <w:spacing w:before="29" w:line="288" w:lineRule="auto"/>
        <w:ind w:firstLineChars="200" w:firstLine="480"/>
        <w:rPr>
          <w:color w:val="000000"/>
          <w:sz w:val="24"/>
          <w:szCs w:val="24"/>
        </w:rPr>
      </w:pPr>
    </w:p>
    <w:p w14:paraId="55765A95"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11</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14:paraId="387DD960"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投资者可在营业时间免费查阅，也可按工本费购买复印件。</w:t>
      </w:r>
    </w:p>
    <w:p w14:paraId="21F336A7" w14:textId="77777777" w:rsidR="00B41258" w:rsidRDefault="00B41258" w:rsidP="00B41258">
      <w:pPr>
        <w:spacing w:line="360" w:lineRule="auto"/>
        <w:jc w:val="right"/>
        <w:rPr>
          <w:rFonts w:eastAsiaTheme="minorEastAsia"/>
          <w:b/>
          <w:bCs/>
          <w:color w:val="000000" w:themeColor="text1"/>
        </w:rPr>
      </w:pPr>
    </w:p>
    <w:p w14:paraId="14FC552C" w14:textId="77777777" w:rsidR="00B41258" w:rsidRDefault="00B41258" w:rsidP="00B41258">
      <w:pPr>
        <w:spacing w:line="360" w:lineRule="auto"/>
        <w:jc w:val="right"/>
        <w:rPr>
          <w:rFonts w:eastAsiaTheme="minorEastAsia"/>
          <w:b/>
          <w:bCs/>
          <w:color w:val="000000" w:themeColor="text1"/>
        </w:rPr>
      </w:pPr>
    </w:p>
    <w:p w14:paraId="35AA1F5D" w14:textId="0A846AA8" w:rsidR="00B41258" w:rsidRPr="00B27A29" w:rsidRDefault="00B41258" w:rsidP="00B41258">
      <w:pPr>
        <w:spacing w:line="360" w:lineRule="auto"/>
        <w:jc w:val="right"/>
        <w:rPr>
          <w:rFonts w:eastAsiaTheme="minorEastAsia"/>
          <w:b/>
          <w:bCs/>
          <w:color w:val="000000" w:themeColor="text1"/>
        </w:rPr>
      </w:pPr>
      <w:r w:rsidRPr="00B27A29">
        <w:rPr>
          <w:rFonts w:eastAsiaTheme="minorEastAsia"/>
          <w:b/>
          <w:bCs/>
          <w:color w:val="000000" w:themeColor="text1"/>
        </w:rPr>
        <w:t>摩根基金管理（中国）有限公司</w:t>
      </w:r>
    </w:p>
    <w:p w14:paraId="5A821504" w14:textId="77777777" w:rsidR="00B41258" w:rsidRPr="00B27A29" w:rsidRDefault="00B41258" w:rsidP="00B41258">
      <w:pPr>
        <w:spacing w:line="360" w:lineRule="auto"/>
        <w:jc w:val="right"/>
        <w:rPr>
          <w:rFonts w:eastAsiaTheme="minorEastAsia"/>
          <w:b/>
          <w:bCs/>
          <w:color w:val="000000" w:themeColor="text1"/>
        </w:rPr>
      </w:pPr>
      <w:r w:rsidRPr="00B27A29">
        <w:rPr>
          <w:rFonts w:eastAsiaTheme="minorEastAsia"/>
          <w:b/>
          <w:bCs/>
          <w:color w:val="000000" w:themeColor="text1"/>
        </w:rPr>
        <w:t>二〇二四年十月二十五日</w:t>
      </w:r>
    </w:p>
    <w:p w14:paraId="4F090A25" w14:textId="77777777" w:rsidR="002C3C7A" w:rsidRPr="00B41258" w:rsidRDefault="002C3C7A" w:rsidP="00C15CAC">
      <w:pPr>
        <w:spacing w:before="29" w:line="288" w:lineRule="auto"/>
        <w:ind w:firstLineChars="200" w:firstLine="480"/>
        <w:rPr>
          <w:color w:val="000000"/>
          <w:sz w:val="24"/>
          <w:szCs w:val="24"/>
        </w:rPr>
      </w:pPr>
    </w:p>
    <w:sectPr w:rsidR="002C3C7A" w:rsidRPr="00B41258"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E12F" w14:textId="77777777" w:rsidR="00880770" w:rsidRDefault="00880770" w:rsidP="00876D65">
      <w:r>
        <w:separator/>
      </w:r>
    </w:p>
  </w:endnote>
  <w:endnote w:type="continuationSeparator" w:id="0">
    <w:p w14:paraId="4D75F704" w14:textId="77777777" w:rsidR="00880770" w:rsidRDefault="008807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305A" w14:textId="77777777" w:rsidR="004C0877" w:rsidRDefault="004C08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84C8" w14:textId="77777777" w:rsidR="004C0877" w:rsidRPr="001D0DB0" w:rsidRDefault="004C0877"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27</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E4DD" w14:textId="77777777" w:rsidR="004C0877" w:rsidRDefault="004C08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E7B2" w14:textId="77777777" w:rsidR="00880770" w:rsidRDefault="00880770" w:rsidP="00876D65">
      <w:r>
        <w:separator/>
      </w:r>
    </w:p>
  </w:footnote>
  <w:footnote w:type="continuationSeparator" w:id="0">
    <w:p w14:paraId="22CD59E0" w14:textId="77777777" w:rsidR="00880770" w:rsidRDefault="0088077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12A1" w14:textId="77777777" w:rsidR="004C0877" w:rsidRDefault="004C087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593" w14:textId="77777777" w:rsidR="004C0877" w:rsidRPr="00DC456F" w:rsidRDefault="004C0877" w:rsidP="00090A26">
    <w:pPr>
      <w:pStyle w:val="ac"/>
      <w:pBdr>
        <w:bottom w:val="single" w:sz="6" w:space="0" w:color="auto"/>
      </w:pBdr>
      <w:jc w:val="right"/>
      <w:rPr>
        <w:sz w:val="24"/>
        <w:szCs w:val="24"/>
      </w:rPr>
    </w:pPr>
    <w:r w:rsidRPr="003E676C">
      <w:rPr>
        <w:sz w:val="24"/>
        <w:szCs w:val="24"/>
      </w:rPr>
      <w:t>摩根锦颐养</w:t>
    </w:r>
    <w:proofErr w:type="gramStart"/>
    <w:r w:rsidRPr="003E676C">
      <w:rPr>
        <w:sz w:val="24"/>
        <w:szCs w:val="24"/>
      </w:rPr>
      <w:t>老目标</w:t>
    </w:r>
    <w:proofErr w:type="gramEnd"/>
    <w:r w:rsidRPr="003E676C">
      <w:rPr>
        <w:sz w:val="24"/>
        <w:szCs w:val="24"/>
      </w:rPr>
      <w:t>日期</w:t>
    </w:r>
    <w:r w:rsidRPr="003E676C">
      <w:rPr>
        <w:sz w:val="24"/>
        <w:szCs w:val="24"/>
      </w:rPr>
      <w:t>2035</w:t>
    </w:r>
    <w:r w:rsidRPr="003E676C">
      <w:rPr>
        <w:sz w:val="24"/>
        <w:szCs w:val="24"/>
      </w:rPr>
      <w:t>三年持有期混合型发起</w:t>
    </w:r>
    <w:proofErr w:type="gramStart"/>
    <w:r w:rsidRPr="003E676C">
      <w:rPr>
        <w:sz w:val="24"/>
        <w:szCs w:val="24"/>
      </w:rPr>
      <w:t>式基金</w:t>
    </w:r>
    <w:proofErr w:type="gramEnd"/>
    <w:r w:rsidRPr="003E676C">
      <w:rPr>
        <w:sz w:val="24"/>
        <w:szCs w:val="24"/>
      </w:rPr>
      <w:t>中基金</w:t>
    </w:r>
    <w:r w:rsidRPr="003E676C">
      <w:rPr>
        <w:sz w:val="24"/>
        <w:szCs w:val="24"/>
      </w:rPr>
      <w:t>(FOF)2024</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36F1" w14:textId="77777777" w:rsidR="004C0877" w:rsidRDefault="004C087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777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728"/>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5D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3D29"/>
    <w:rsid w:val="00213821"/>
    <w:rsid w:val="00213DFB"/>
    <w:rsid w:val="00217B92"/>
    <w:rsid w:val="0022165B"/>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877"/>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0B06"/>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0770"/>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34DFA"/>
    <w:rsid w:val="009431FA"/>
    <w:rsid w:val="00945AF6"/>
    <w:rsid w:val="009550BE"/>
    <w:rsid w:val="00955531"/>
    <w:rsid w:val="00955BE8"/>
    <w:rsid w:val="00957594"/>
    <w:rsid w:val="00963F40"/>
    <w:rsid w:val="00965745"/>
    <w:rsid w:val="009730B8"/>
    <w:rsid w:val="009734BB"/>
    <w:rsid w:val="0097424F"/>
    <w:rsid w:val="00975DED"/>
    <w:rsid w:val="0098122D"/>
    <w:rsid w:val="00986596"/>
    <w:rsid w:val="00990685"/>
    <w:rsid w:val="009A0ABE"/>
    <w:rsid w:val="009A4E5D"/>
    <w:rsid w:val="009B2D4B"/>
    <w:rsid w:val="009C5186"/>
    <w:rsid w:val="009C60F7"/>
    <w:rsid w:val="009D0952"/>
    <w:rsid w:val="009D10B9"/>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22AB"/>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34AA"/>
    <w:rsid w:val="00AB4DB6"/>
    <w:rsid w:val="00AB6E79"/>
    <w:rsid w:val="00AC063D"/>
    <w:rsid w:val="00AC592E"/>
    <w:rsid w:val="00AC5FC0"/>
    <w:rsid w:val="00AC6C10"/>
    <w:rsid w:val="00AC7BC6"/>
    <w:rsid w:val="00AD24AA"/>
    <w:rsid w:val="00AE02BF"/>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1258"/>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614E"/>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1323"/>
    <w:rsid w:val="00D346D9"/>
    <w:rsid w:val="00D43AFB"/>
    <w:rsid w:val="00D44EE8"/>
    <w:rsid w:val="00D57B7C"/>
    <w:rsid w:val="00D65B44"/>
    <w:rsid w:val="00D75E69"/>
    <w:rsid w:val="00D8099B"/>
    <w:rsid w:val="00D817AE"/>
    <w:rsid w:val="00D866A8"/>
    <w:rsid w:val="00D91E06"/>
    <w:rsid w:val="00D9393A"/>
    <w:rsid w:val="00D94B8D"/>
    <w:rsid w:val="00D96C8D"/>
    <w:rsid w:val="00D974EF"/>
    <w:rsid w:val="00DA0C61"/>
    <w:rsid w:val="00DA14B0"/>
    <w:rsid w:val="00DA2876"/>
    <w:rsid w:val="00DA5572"/>
    <w:rsid w:val="00DA66D0"/>
    <w:rsid w:val="00DC0B51"/>
    <w:rsid w:val="00DC141F"/>
    <w:rsid w:val="00DC28F1"/>
    <w:rsid w:val="00DC39D7"/>
    <w:rsid w:val="00DC456F"/>
    <w:rsid w:val="00DC6B55"/>
    <w:rsid w:val="00DE21C3"/>
    <w:rsid w:val="00DE27F7"/>
    <w:rsid w:val="00DE4B43"/>
    <w:rsid w:val="00DF25D5"/>
    <w:rsid w:val="00E02660"/>
    <w:rsid w:val="00E04BE1"/>
    <w:rsid w:val="00E12DBF"/>
    <w:rsid w:val="00E133DE"/>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4D7BA"/>
  <w15:docId w15:val="{565A4E32-8CFF-46CF-A377-E39D56DA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qFormat/>
    <w:rsid w:val="004061AC"/>
    <w:rPr>
      <w:rFonts w:ascii="宋体" w:hAnsi="Courier New" w:cs="宋体"/>
    </w:rPr>
  </w:style>
  <w:style w:type="character" w:customStyle="1" w:styleId="a7">
    <w:name w:val="纯文本 字符"/>
    <w:basedOn w:val="a1"/>
    <w:link w:val="a6"/>
    <w:uiPriority w:val="99"/>
    <w:qFormat/>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qFormat/>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uiPriority w:val="99"/>
    <w:qFormat/>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qFormat/>
    <w:rsid w:val="00275745"/>
    <w:pPr>
      <w:widowControl w:val="0"/>
      <w:autoSpaceDE w:val="0"/>
      <w:autoSpaceDN w:val="0"/>
      <w:adjustRightInd w:val="0"/>
    </w:pPr>
    <w:rPr>
      <w:rFonts w:ascii="仿宋" w:eastAsia="宋体" w:hAnsi="仿宋" w:cs="仿宋"/>
      <w:color w:val="000000"/>
      <w:kern w:val="0"/>
      <w:sz w:val="24"/>
      <w:szCs w:val="24"/>
    </w:rPr>
  </w:style>
  <w:style w:type="character" w:styleId="aff8">
    <w:name w:val="Strong"/>
    <w:basedOn w:val="a1"/>
    <w:uiPriority w:val="22"/>
    <w:qFormat/>
    <w:rsid w:val="00E52DBC"/>
    <w:rPr>
      <w:b/>
      <w:bCs/>
    </w:rPr>
  </w:style>
  <w:style w:type="character" w:customStyle="1" w:styleId="x-btn-inner">
    <w:name w:val="x-btn-inner"/>
    <w:basedOn w:val="a1"/>
    <w:rsid w:val="004C0877"/>
  </w:style>
  <w:style w:type="character" w:customStyle="1" w:styleId="x-btn-icon-el">
    <w:name w:val="x-btn-icon-el"/>
    <w:basedOn w:val="a1"/>
    <w:rsid w:val="004C0877"/>
  </w:style>
  <w:style w:type="character" w:customStyle="1" w:styleId="12">
    <w:name w:val="脚注文本 字符1"/>
    <w:qFormat/>
    <w:rsid w:val="004C087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4018532">
      <w:bodyDiv w:val="1"/>
      <w:marLeft w:val="0"/>
      <w:marRight w:val="0"/>
      <w:marTop w:val="0"/>
      <w:marBottom w:val="0"/>
      <w:divBdr>
        <w:top w:val="none" w:sz="0" w:space="0" w:color="auto"/>
        <w:left w:val="none" w:sz="0" w:space="0" w:color="auto"/>
        <w:bottom w:val="none" w:sz="0" w:space="0" w:color="auto"/>
        <w:right w:val="none" w:sz="0" w:space="0" w:color="auto"/>
      </w:divBdr>
    </w:div>
    <w:div w:id="1052463783">
      <w:bodyDiv w:val="1"/>
      <w:marLeft w:val="0"/>
      <w:marRight w:val="0"/>
      <w:marTop w:val="0"/>
      <w:marBottom w:val="0"/>
      <w:divBdr>
        <w:top w:val="none" w:sz="0" w:space="0" w:color="auto"/>
        <w:left w:val="none" w:sz="0" w:space="0" w:color="auto"/>
        <w:bottom w:val="none" w:sz="0" w:space="0" w:color="auto"/>
        <w:right w:val="none" w:sz="0" w:space="0" w:color="auto"/>
      </w:divBdr>
    </w:div>
    <w:div w:id="1100219347">
      <w:bodyDiv w:val="1"/>
      <w:marLeft w:val="0"/>
      <w:marRight w:val="0"/>
      <w:marTop w:val="0"/>
      <w:marBottom w:val="0"/>
      <w:divBdr>
        <w:top w:val="none" w:sz="0" w:space="0" w:color="auto"/>
        <w:left w:val="none" w:sz="0" w:space="0" w:color="auto"/>
        <w:bottom w:val="none" w:sz="0" w:space="0" w:color="auto"/>
        <w:right w:val="none" w:sz="0" w:space="0" w:color="auto"/>
      </w:divBdr>
    </w:div>
    <w:div w:id="137331072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928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4A72-F512-4724-8666-8129175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15</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594</cp:revision>
  <dcterms:created xsi:type="dcterms:W3CDTF">2012-10-16T06:07:00Z</dcterms:created>
  <dcterms:modified xsi:type="dcterms:W3CDTF">2024-10-24T05:52:00Z</dcterms:modified>
</cp:coreProperties>
</file>