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BE3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535C01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2A17FAD8"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4FEEFEE"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734777E4"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17CF5E8A" w14:textId="77777777" w:rsidR="002279D3" w:rsidRPr="0081286B" w:rsidRDefault="002279D3" w:rsidP="00C15CAC">
      <w:pPr>
        <w:spacing w:before="29" w:line="288" w:lineRule="auto"/>
        <w:jc w:val="center"/>
        <w:rPr>
          <w:b/>
          <w:sz w:val="36"/>
          <w:szCs w:val="36"/>
        </w:rPr>
      </w:pPr>
      <w:r w:rsidRPr="0081286B">
        <w:rPr>
          <w:b/>
          <w:sz w:val="36"/>
          <w:szCs w:val="36"/>
        </w:rPr>
        <w:t>摩根锦颐养</w:t>
      </w:r>
      <w:proofErr w:type="gramStart"/>
      <w:r w:rsidRPr="0081286B">
        <w:rPr>
          <w:b/>
          <w:sz w:val="36"/>
          <w:szCs w:val="36"/>
        </w:rPr>
        <w:t>老目标</w:t>
      </w:r>
      <w:proofErr w:type="gramEnd"/>
      <w:r w:rsidRPr="0081286B">
        <w:rPr>
          <w:b/>
          <w:sz w:val="36"/>
          <w:szCs w:val="36"/>
        </w:rPr>
        <w:t>日期</w:t>
      </w:r>
      <w:r w:rsidRPr="0081286B">
        <w:rPr>
          <w:b/>
          <w:sz w:val="36"/>
          <w:szCs w:val="36"/>
        </w:rPr>
        <w:t>2035</w:t>
      </w:r>
      <w:r w:rsidRPr="0081286B">
        <w:rPr>
          <w:b/>
          <w:sz w:val="36"/>
          <w:szCs w:val="36"/>
        </w:rPr>
        <w:t>三年持有期混合型发起</w:t>
      </w:r>
      <w:proofErr w:type="gramStart"/>
      <w:r w:rsidRPr="0081286B">
        <w:rPr>
          <w:b/>
          <w:sz w:val="36"/>
          <w:szCs w:val="36"/>
        </w:rPr>
        <w:t>式基金</w:t>
      </w:r>
      <w:proofErr w:type="gramEnd"/>
      <w:r w:rsidRPr="0081286B">
        <w:rPr>
          <w:b/>
          <w:sz w:val="36"/>
          <w:szCs w:val="36"/>
        </w:rPr>
        <w:t>中基金</w:t>
      </w:r>
      <w:r w:rsidRPr="0081286B">
        <w:rPr>
          <w:b/>
          <w:sz w:val="36"/>
          <w:szCs w:val="36"/>
        </w:rPr>
        <w:t>(FOF)</w:t>
      </w:r>
    </w:p>
    <w:p w14:paraId="096A9F97" w14:textId="77777777" w:rsidR="002279D3" w:rsidRPr="0081286B" w:rsidRDefault="002279D3" w:rsidP="00C15CAC">
      <w:pPr>
        <w:spacing w:before="29" w:line="288" w:lineRule="auto"/>
        <w:jc w:val="center"/>
        <w:rPr>
          <w:b/>
          <w:sz w:val="36"/>
          <w:szCs w:val="36"/>
        </w:rPr>
      </w:pPr>
      <w:r w:rsidRPr="0081286B">
        <w:rPr>
          <w:b/>
          <w:sz w:val="36"/>
          <w:szCs w:val="36"/>
        </w:rPr>
        <w:t>2024</w:t>
      </w:r>
      <w:r w:rsidRPr="0081286B">
        <w:rPr>
          <w:b/>
          <w:sz w:val="36"/>
          <w:szCs w:val="36"/>
        </w:rPr>
        <w:t>年第</w:t>
      </w:r>
      <w:r w:rsidRPr="0081286B">
        <w:rPr>
          <w:b/>
          <w:sz w:val="36"/>
          <w:szCs w:val="36"/>
        </w:rPr>
        <w:t>4</w:t>
      </w:r>
      <w:r w:rsidRPr="0081286B">
        <w:rPr>
          <w:b/>
          <w:sz w:val="36"/>
          <w:szCs w:val="36"/>
        </w:rPr>
        <w:t>季度报告</w:t>
      </w:r>
    </w:p>
    <w:p w14:paraId="5A7913F5" w14:textId="77777777" w:rsidR="004061AC" w:rsidRPr="0081286B" w:rsidRDefault="00655CD8" w:rsidP="00C15CAC">
      <w:pPr>
        <w:spacing w:before="29" w:line="288" w:lineRule="auto"/>
        <w:jc w:val="center"/>
        <w:rPr>
          <w:b/>
          <w:sz w:val="36"/>
          <w:szCs w:val="36"/>
        </w:rPr>
      </w:pPr>
      <w:r w:rsidRPr="0081286B">
        <w:rPr>
          <w:b/>
          <w:sz w:val="36"/>
          <w:szCs w:val="36"/>
        </w:rPr>
        <w:t>2024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14:paraId="71FF8F5E" w14:textId="77777777" w:rsidR="004061AC" w:rsidRPr="00414345" w:rsidRDefault="004061AC" w:rsidP="00C15CAC">
      <w:pPr>
        <w:spacing w:before="29" w:line="288" w:lineRule="auto"/>
        <w:jc w:val="center"/>
        <w:rPr>
          <w:b/>
          <w:bCs/>
          <w:color w:val="000000"/>
          <w:sz w:val="24"/>
          <w:szCs w:val="24"/>
        </w:rPr>
      </w:pPr>
    </w:p>
    <w:p w14:paraId="742C0288" w14:textId="77777777" w:rsidR="004061AC" w:rsidRPr="00414345" w:rsidRDefault="004061AC" w:rsidP="00C15CAC">
      <w:pPr>
        <w:spacing w:before="29" w:line="288" w:lineRule="auto"/>
        <w:jc w:val="center"/>
        <w:rPr>
          <w:b/>
          <w:bCs/>
          <w:color w:val="000000"/>
          <w:sz w:val="24"/>
          <w:szCs w:val="24"/>
        </w:rPr>
      </w:pPr>
    </w:p>
    <w:p w14:paraId="5769FF22" w14:textId="77777777" w:rsidR="004061AC" w:rsidRPr="00414345" w:rsidRDefault="004061AC" w:rsidP="00C15CAC">
      <w:pPr>
        <w:spacing w:before="29" w:line="288" w:lineRule="auto"/>
        <w:jc w:val="center"/>
        <w:rPr>
          <w:b/>
          <w:bCs/>
          <w:color w:val="000000"/>
          <w:sz w:val="24"/>
          <w:szCs w:val="24"/>
        </w:rPr>
      </w:pPr>
    </w:p>
    <w:p w14:paraId="186DB291" w14:textId="77777777" w:rsidR="004061AC" w:rsidRPr="00414345" w:rsidRDefault="004061AC" w:rsidP="00C15CAC">
      <w:pPr>
        <w:spacing w:before="29" w:line="288" w:lineRule="auto"/>
        <w:jc w:val="center"/>
        <w:rPr>
          <w:b/>
          <w:bCs/>
          <w:color w:val="000000"/>
          <w:sz w:val="24"/>
          <w:szCs w:val="24"/>
        </w:rPr>
      </w:pPr>
    </w:p>
    <w:p w14:paraId="436817C7" w14:textId="77777777" w:rsidR="004061AC" w:rsidRPr="00414345" w:rsidRDefault="004061AC" w:rsidP="00C15CAC">
      <w:pPr>
        <w:spacing w:before="29" w:line="288" w:lineRule="auto"/>
        <w:jc w:val="center"/>
        <w:rPr>
          <w:b/>
          <w:bCs/>
          <w:color w:val="000000"/>
          <w:sz w:val="24"/>
          <w:szCs w:val="24"/>
        </w:rPr>
      </w:pPr>
    </w:p>
    <w:p w14:paraId="0B65027D" w14:textId="77777777" w:rsidR="004061AC" w:rsidRPr="00414345" w:rsidRDefault="004061AC" w:rsidP="00C15CAC">
      <w:pPr>
        <w:spacing w:before="29" w:line="288" w:lineRule="auto"/>
        <w:jc w:val="center"/>
        <w:rPr>
          <w:b/>
          <w:bCs/>
          <w:color w:val="000000"/>
          <w:sz w:val="24"/>
          <w:szCs w:val="24"/>
        </w:rPr>
      </w:pPr>
    </w:p>
    <w:p w14:paraId="3D1D3D0B" w14:textId="77777777" w:rsidR="004061AC" w:rsidRPr="00414345" w:rsidRDefault="004061AC" w:rsidP="00C15CAC">
      <w:pPr>
        <w:spacing w:before="29" w:line="288" w:lineRule="auto"/>
        <w:jc w:val="center"/>
        <w:rPr>
          <w:b/>
          <w:bCs/>
          <w:color w:val="000000"/>
          <w:sz w:val="24"/>
          <w:szCs w:val="24"/>
        </w:rPr>
      </w:pPr>
    </w:p>
    <w:p w14:paraId="25BB9B5A" w14:textId="77777777" w:rsidR="004061AC" w:rsidRPr="00414345" w:rsidRDefault="004061AC" w:rsidP="00C15CAC">
      <w:pPr>
        <w:spacing w:before="29" w:line="288" w:lineRule="auto"/>
        <w:jc w:val="center"/>
        <w:rPr>
          <w:b/>
          <w:bCs/>
          <w:color w:val="000000"/>
          <w:sz w:val="24"/>
          <w:szCs w:val="24"/>
        </w:rPr>
      </w:pPr>
    </w:p>
    <w:p w14:paraId="294382B2" w14:textId="77777777" w:rsidR="004061AC" w:rsidRPr="00414345" w:rsidRDefault="004061AC" w:rsidP="00C15CAC">
      <w:pPr>
        <w:spacing w:before="29" w:line="288" w:lineRule="auto"/>
        <w:jc w:val="center"/>
        <w:rPr>
          <w:b/>
          <w:bCs/>
          <w:color w:val="000000"/>
          <w:sz w:val="24"/>
          <w:szCs w:val="24"/>
        </w:rPr>
      </w:pPr>
    </w:p>
    <w:p w14:paraId="1DF9A695" w14:textId="77777777" w:rsidR="004061AC" w:rsidRPr="00414345" w:rsidRDefault="004061AC" w:rsidP="00C15CAC">
      <w:pPr>
        <w:spacing w:before="29" w:line="288" w:lineRule="auto"/>
        <w:jc w:val="center"/>
        <w:rPr>
          <w:b/>
          <w:bCs/>
          <w:color w:val="000000"/>
          <w:sz w:val="24"/>
          <w:szCs w:val="24"/>
        </w:rPr>
      </w:pPr>
    </w:p>
    <w:p w14:paraId="0D785349" w14:textId="77777777" w:rsidR="004061AC" w:rsidRPr="00414345" w:rsidRDefault="004061AC" w:rsidP="00C15CAC">
      <w:pPr>
        <w:spacing w:before="29" w:line="288" w:lineRule="auto"/>
        <w:jc w:val="center"/>
        <w:rPr>
          <w:b/>
          <w:bCs/>
          <w:color w:val="000000"/>
          <w:sz w:val="24"/>
          <w:szCs w:val="24"/>
        </w:rPr>
      </w:pPr>
    </w:p>
    <w:p w14:paraId="5C1FD0FD" w14:textId="77777777" w:rsidR="004061AC" w:rsidRPr="00414345" w:rsidRDefault="004061AC" w:rsidP="00C15CAC">
      <w:pPr>
        <w:spacing w:before="29" w:line="288" w:lineRule="auto"/>
        <w:jc w:val="center"/>
        <w:rPr>
          <w:b/>
          <w:bCs/>
          <w:color w:val="000000"/>
          <w:sz w:val="24"/>
          <w:szCs w:val="24"/>
        </w:rPr>
      </w:pPr>
    </w:p>
    <w:p w14:paraId="4BA15FF6"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基金管理人：摩根基金管理（中国）有限公司</w:t>
      </w:r>
    </w:p>
    <w:p w14:paraId="08EB4958"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14:paraId="45697ACD"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二〇二五年一月二十二日</w:t>
      </w:r>
    </w:p>
    <w:p w14:paraId="7A98EF66" w14:textId="77777777"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t xml:space="preserve">§1  </w:t>
      </w:r>
      <w:r w:rsidRPr="00414345">
        <w:rPr>
          <w:color w:val="000000"/>
          <w:kern w:val="0"/>
          <w:sz w:val="24"/>
          <w:szCs w:val="24"/>
        </w:rPr>
        <w:t>重要提示</w:t>
      </w:r>
    </w:p>
    <w:p w14:paraId="58250F98" w14:textId="77777777" w:rsidR="004665BA" w:rsidRDefault="003A308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14:paraId="20D417A8" w14:textId="77777777" w:rsidR="004665BA" w:rsidRDefault="003A3087">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14:paraId="039C4EEB" w14:textId="77777777" w:rsidR="004665BA" w:rsidRDefault="003A308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14:paraId="1E8C3A68" w14:textId="77777777" w:rsidR="004665BA" w:rsidRDefault="003A3087">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14:paraId="04A961A1" w14:textId="77777777" w:rsidR="004665BA" w:rsidRDefault="003A3087">
      <w:pPr>
        <w:spacing w:before="29" w:line="288" w:lineRule="auto"/>
        <w:ind w:firstLineChars="200" w:firstLine="480"/>
        <w:rPr>
          <w:color w:val="000000"/>
          <w:sz w:val="24"/>
          <w:szCs w:val="24"/>
        </w:rPr>
      </w:pPr>
      <w:r>
        <w:rPr>
          <w:color w:val="000000"/>
          <w:sz w:val="24"/>
          <w:szCs w:val="24"/>
        </w:rPr>
        <w:t>本报告中财务资料未经审计。</w:t>
      </w:r>
    </w:p>
    <w:p w14:paraId="711319A7"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14:paraId="04CC1668" w14:textId="77777777" w:rsidR="00627E2D" w:rsidRPr="00414345" w:rsidRDefault="00627E2D" w:rsidP="00C15CAC">
      <w:pPr>
        <w:spacing w:before="29" w:line="288" w:lineRule="auto"/>
        <w:ind w:firstLineChars="200" w:firstLine="480"/>
        <w:rPr>
          <w:color w:val="000000"/>
          <w:sz w:val="24"/>
          <w:szCs w:val="24"/>
        </w:rPr>
      </w:pPr>
    </w:p>
    <w:p w14:paraId="24843547"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14:paraId="2048FF4D" w14:textId="77777777" w:rsidTr="006E6726">
        <w:trPr>
          <w:jc w:val="center"/>
        </w:trPr>
        <w:tc>
          <w:tcPr>
            <w:tcW w:w="3023" w:type="dxa"/>
            <w:vAlign w:val="center"/>
          </w:tcPr>
          <w:p w14:paraId="7EFC9FAF"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14:paraId="3C86F3EF"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摩根锦颐养</w:t>
            </w:r>
            <w:proofErr w:type="gramStart"/>
            <w:r w:rsidRPr="00414345">
              <w:rPr>
                <w:color w:val="000000"/>
                <w:kern w:val="0"/>
                <w:sz w:val="24"/>
                <w:szCs w:val="24"/>
              </w:rPr>
              <w:t>老目标</w:t>
            </w:r>
            <w:proofErr w:type="gramEnd"/>
            <w:r w:rsidRPr="00414345">
              <w:rPr>
                <w:color w:val="000000"/>
                <w:kern w:val="0"/>
                <w:sz w:val="24"/>
                <w:szCs w:val="24"/>
              </w:rPr>
              <w:t>日期</w:t>
            </w:r>
            <w:r w:rsidRPr="00414345">
              <w:rPr>
                <w:color w:val="000000"/>
                <w:kern w:val="0"/>
                <w:sz w:val="24"/>
                <w:szCs w:val="24"/>
              </w:rPr>
              <w:t>2035</w:t>
            </w:r>
            <w:r w:rsidRPr="00414345">
              <w:rPr>
                <w:color w:val="000000"/>
                <w:kern w:val="0"/>
                <w:sz w:val="24"/>
                <w:szCs w:val="24"/>
              </w:rPr>
              <w:t>三年持有混合</w:t>
            </w:r>
            <w:r w:rsidRPr="00414345">
              <w:rPr>
                <w:color w:val="000000"/>
                <w:kern w:val="0"/>
                <w:sz w:val="24"/>
                <w:szCs w:val="24"/>
              </w:rPr>
              <w:t>(FOF)</w:t>
            </w:r>
          </w:p>
        </w:tc>
      </w:tr>
      <w:tr w:rsidR="00D94B8D" w:rsidRPr="00414345" w14:paraId="73C5C8D2"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2B7700E5"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0F6A1574"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017788</w:t>
            </w:r>
          </w:p>
        </w:tc>
      </w:tr>
      <w:tr w:rsidR="001B2F35" w:rsidRPr="00414345" w14:paraId="1D623DD5"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05B61DA6"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369C186F" w14:textId="77777777"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017788</w:t>
            </w:r>
          </w:p>
        </w:tc>
      </w:tr>
      <w:tr w:rsidR="001B2F35" w:rsidRPr="00414345" w14:paraId="41EB7A94" w14:textId="77777777" w:rsidTr="006E6726">
        <w:trPr>
          <w:jc w:val="center"/>
        </w:trPr>
        <w:tc>
          <w:tcPr>
            <w:tcW w:w="3023" w:type="dxa"/>
            <w:vAlign w:val="center"/>
          </w:tcPr>
          <w:p w14:paraId="5CEAD03F"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14:paraId="3743DFBF"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6C131446" w14:textId="77777777" w:rsidTr="006E6726">
        <w:trPr>
          <w:jc w:val="center"/>
        </w:trPr>
        <w:tc>
          <w:tcPr>
            <w:tcW w:w="3023" w:type="dxa"/>
            <w:vAlign w:val="center"/>
          </w:tcPr>
          <w:p w14:paraId="01CA5197"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14:paraId="49A8CED1"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14:paraId="5D8BC2F2" w14:textId="77777777" w:rsidTr="006E6726">
        <w:trPr>
          <w:jc w:val="center"/>
        </w:trPr>
        <w:tc>
          <w:tcPr>
            <w:tcW w:w="3023" w:type="dxa"/>
            <w:vAlign w:val="center"/>
          </w:tcPr>
          <w:p w14:paraId="32FDA4F0"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14:paraId="47AD470E"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50,105,472.47</w:t>
            </w:r>
            <w:r w:rsidRPr="00414345">
              <w:rPr>
                <w:color w:val="000000"/>
                <w:kern w:val="0"/>
                <w:sz w:val="24"/>
                <w:szCs w:val="24"/>
              </w:rPr>
              <w:t>份</w:t>
            </w:r>
          </w:p>
        </w:tc>
      </w:tr>
      <w:tr w:rsidR="001B2F35" w:rsidRPr="00414345" w14:paraId="599916D0" w14:textId="77777777" w:rsidTr="006E6726">
        <w:trPr>
          <w:jc w:val="center"/>
        </w:trPr>
        <w:tc>
          <w:tcPr>
            <w:tcW w:w="3023" w:type="dxa"/>
            <w:vAlign w:val="center"/>
          </w:tcPr>
          <w:p w14:paraId="55C2961B"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14:paraId="25055BA2"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本基金通过资产配置及优选基金，并结合严格的风险控制，力争实现基金资产的长期稳健增值。</w:t>
            </w:r>
          </w:p>
        </w:tc>
      </w:tr>
      <w:tr w:rsidR="001B2F35" w:rsidRPr="00414345" w14:paraId="432971D8" w14:textId="77777777" w:rsidTr="006E6726">
        <w:trPr>
          <w:jc w:val="center"/>
        </w:trPr>
        <w:tc>
          <w:tcPr>
            <w:tcW w:w="3023" w:type="dxa"/>
            <w:vAlign w:val="center"/>
          </w:tcPr>
          <w:p w14:paraId="610D15E8"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14:paraId="4E0E5825" w14:textId="77777777" w:rsidR="004665BA" w:rsidRDefault="003A3087">
            <w:pPr>
              <w:adjustRightInd w:val="0"/>
              <w:spacing w:before="29" w:line="288" w:lineRule="auto"/>
              <w:ind w:left="17"/>
              <w:jc w:val="left"/>
              <w:rPr>
                <w:color w:val="000000"/>
                <w:sz w:val="24"/>
                <w:szCs w:val="24"/>
              </w:rPr>
            </w:pPr>
            <w:r>
              <w:rPr>
                <w:color w:val="000000"/>
                <w:kern w:val="0"/>
                <w:sz w:val="24"/>
                <w:szCs w:val="24"/>
              </w:rPr>
              <w:t>本基金属于养老目标日期基金，采用目标日期投资策略。本基金的目标日期为</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日。随着目标日期的临近，本基金逐步降低所投资的权益类资产的比例，以使基金的风险收益水平与投资者所处的生命周期相匹配。</w:t>
            </w:r>
          </w:p>
          <w:p w14:paraId="17586EBE" w14:textId="77777777" w:rsidR="004665BA" w:rsidRDefault="003A3087">
            <w:pPr>
              <w:adjustRightInd w:val="0"/>
              <w:spacing w:before="29" w:line="288" w:lineRule="auto"/>
              <w:ind w:left="17"/>
              <w:jc w:val="left"/>
              <w:rPr>
                <w:color w:val="000000"/>
                <w:sz w:val="24"/>
                <w:szCs w:val="24"/>
              </w:rPr>
            </w:pPr>
            <w:r>
              <w:rPr>
                <w:color w:val="000000"/>
                <w:kern w:val="0"/>
                <w:sz w:val="24"/>
                <w:szCs w:val="24"/>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险的能力提升。本基金通过下滑曲线设计，使得投资者在整个生命周期中动态配置权益类资产，平衡投资者承担风险的意愿和能力，优化投资者效用。</w:t>
            </w:r>
          </w:p>
          <w:p w14:paraId="369D26B2" w14:textId="77777777" w:rsidR="004665BA" w:rsidRDefault="003A3087">
            <w:pPr>
              <w:adjustRightInd w:val="0"/>
              <w:spacing w:before="29" w:line="288" w:lineRule="auto"/>
              <w:ind w:left="17"/>
              <w:jc w:val="left"/>
              <w:rPr>
                <w:color w:val="000000"/>
                <w:sz w:val="24"/>
                <w:szCs w:val="24"/>
              </w:rPr>
            </w:pPr>
            <w:r>
              <w:rPr>
                <w:color w:val="000000"/>
                <w:kern w:val="0"/>
                <w:sz w:val="24"/>
                <w:szCs w:val="24"/>
              </w:rPr>
              <w:t>本基金在目标日期</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日之前（含当日），权益类资产投资比例如下表所示：</w:t>
            </w:r>
          </w:p>
          <w:p w14:paraId="45E252EE" w14:textId="77777777" w:rsidR="004665BA" w:rsidRDefault="003A3087">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14:paraId="16944D41" w14:textId="77777777" w:rsidR="004665BA" w:rsidRDefault="003A3087">
            <w:pPr>
              <w:adjustRightInd w:val="0"/>
              <w:spacing w:before="29" w:line="288" w:lineRule="auto"/>
              <w:ind w:left="17"/>
              <w:jc w:val="left"/>
              <w:rPr>
                <w:color w:val="000000"/>
                <w:sz w:val="24"/>
                <w:szCs w:val="24"/>
              </w:rPr>
            </w:pPr>
            <w:r>
              <w:rPr>
                <w:color w:val="000000"/>
                <w:kern w:val="0"/>
                <w:sz w:val="24"/>
                <w:szCs w:val="24"/>
              </w:rPr>
              <w:t>基金合同生效日</w:t>
            </w:r>
            <w:r>
              <w:rPr>
                <w:color w:val="000000"/>
                <w:kern w:val="0"/>
                <w:sz w:val="24"/>
                <w:szCs w:val="24"/>
              </w:rPr>
              <w:t>-2024/12/31 25%-55%</w:t>
            </w:r>
          </w:p>
          <w:p w14:paraId="52647374" w14:textId="77777777" w:rsidR="004665BA" w:rsidRDefault="003A3087">
            <w:pPr>
              <w:adjustRightInd w:val="0"/>
              <w:spacing w:before="29" w:line="288" w:lineRule="auto"/>
              <w:ind w:left="17"/>
              <w:jc w:val="left"/>
              <w:rPr>
                <w:color w:val="000000"/>
                <w:sz w:val="24"/>
                <w:szCs w:val="24"/>
              </w:rPr>
            </w:pPr>
            <w:r>
              <w:rPr>
                <w:color w:val="000000"/>
                <w:kern w:val="0"/>
                <w:sz w:val="24"/>
                <w:szCs w:val="24"/>
              </w:rPr>
              <w:t>2025/01/01-2027/12/31 19%-48%</w:t>
            </w:r>
          </w:p>
          <w:p w14:paraId="72AE15DC" w14:textId="77777777" w:rsidR="004665BA" w:rsidRDefault="003A3087">
            <w:pPr>
              <w:adjustRightInd w:val="0"/>
              <w:spacing w:before="29" w:line="288" w:lineRule="auto"/>
              <w:ind w:left="17"/>
              <w:jc w:val="left"/>
              <w:rPr>
                <w:color w:val="000000"/>
                <w:sz w:val="24"/>
                <w:szCs w:val="24"/>
              </w:rPr>
            </w:pPr>
            <w:r>
              <w:rPr>
                <w:color w:val="000000"/>
                <w:kern w:val="0"/>
                <w:sz w:val="24"/>
                <w:szCs w:val="24"/>
              </w:rPr>
              <w:t>2028/01/01-2031/12/31 12%-42%</w:t>
            </w:r>
          </w:p>
          <w:p w14:paraId="1B898845" w14:textId="77777777" w:rsidR="004665BA" w:rsidRDefault="003A3087">
            <w:pPr>
              <w:adjustRightInd w:val="0"/>
              <w:spacing w:before="29" w:line="288" w:lineRule="auto"/>
              <w:ind w:left="17"/>
              <w:jc w:val="left"/>
              <w:rPr>
                <w:color w:val="000000"/>
                <w:sz w:val="24"/>
                <w:szCs w:val="24"/>
              </w:rPr>
            </w:pPr>
            <w:r>
              <w:rPr>
                <w:color w:val="000000"/>
                <w:kern w:val="0"/>
                <w:sz w:val="24"/>
                <w:szCs w:val="24"/>
              </w:rPr>
              <w:t>2032/01/01-2035/12/31 8%-36%</w:t>
            </w:r>
          </w:p>
          <w:p w14:paraId="063D6F8D" w14:textId="77777777" w:rsidR="004665BA" w:rsidRDefault="003A3087">
            <w:pPr>
              <w:adjustRightInd w:val="0"/>
              <w:spacing w:before="29" w:line="288" w:lineRule="auto"/>
              <w:ind w:left="17"/>
              <w:jc w:val="left"/>
              <w:rPr>
                <w:color w:val="000000"/>
                <w:sz w:val="24"/>
                <w:szCs w:val="24"/>
              </w:rPr>
            </w:pPr>
            <w:r>
              <w:rPr>
                <w:color w:val="000000"/>
                <w:kern w:val="0"/>
                <w:sz w:val="24"/>
                <w:szCs w:val="24"/>
              </w:rPr>
              <w:t>本基金</w:t>
            </w:r>
            <w:r>
              <w:rPr>
                <w:color w:val="000000"/>
                <w:kern w:val="0"/>
                <w:sz w:val="24"/>
                <w:szCs w:val="24"/>
              </w:rPr>
              <w:t>2036</w:t>
            </w:r>
            <w:r>
              <w:rPr>
                <w:color w:val="000000"/>
                <w:kern w:val="0"/>
                <w:sz w:val="24"/>
                <w:szCs w:val="24"/>
              </w:rPr>
              <w:t>年</w:t>
            </w:r>
            <w:r>
              <w:rPr>
                <w:color w:val="000000"/>
                <w:kern w:val="0"/>
                <w:sz w:val="24"/>
                <w:szCs w:val="24"/>
              </w:rPr>
              <w:t>1</w:t>
            </w:r>
            <w:r>
              <w:rPr>
                <w:color w:val="000000"/>
                <w:kern w:val="0"/>
                <w:sz w:val="24"/>
                <w:szCs w:val="24"/>
              </w:rPr>
              <w:t>月</w:t>
            </w:r>
            <w:r>
              <w:rPr>
                <w:color w:val="000000"/>
                <w:kern w:val="0"/>
                <w:sz w:val="24"/>
                <w:szCs w:val="24"/>
              </w:rPr>
              <w:t>1</w:t>
            </w:r>
            <w:r>
              <w:rPr>
                <w:color w:val="000000"/>
                <w:kern w:val="0"/>
                <w:sz w:val="24"/>
                <w:szCs w:val="24"/>
              </w:rPr>
              <w:t>日转型为</w:t>
            </w:r>
            <w:r>
              <w:rPr>
                <w:color w:val="000000"/>
                <w:kern w:val="0"/>
                <w:sz w:val="24"/>
                <w:szCs w:val="24"/>
              </w:rPr>
              <w:t>“</w:t>
            </w:r>
            <w:r>
              <w:rPr>
                <w:color w:val="000000"/>
                <w:kern w:val="0"/>
                <w:sz w:val="24"/>
                <w:szCs w:val="24"/>
              </w:rPr>
              <w:t>摩根丰盈混合型基金中基金</w:t>
            </w:r>
            <w:r>
              <w:rPr>
                <w:color w:val="000000"/>
                <w:kern w:val="0"/>
                <w:sz w:val="24"/>
                <w:szCs w:val="24"/>
              </w:rPr>
              <w:t>(FOF)”</w:t>
            </w:r>
            <w:r>
              <w:rPr>
                <w:color w:val="000000"/>
                <w:kern w:val="0"/>
                <w:sz w:val="24"/>
                <w:szCs w:val="24"/>
              </w:rPr>
              <w:t>后，本基金将在较低的权益类资产配置比例下投资运作，权益类资产投资比例如下表所示：</w:t>
            </w:r>
          </w:p>
          <w:p w14:paraId="7DED1556" w14:textId="77777777" w:rsidR="004665BA" w:rsidRDefault="003A3087">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14:paraId="0B588F63" w14:textId="77777777" w:rsidR="004665BA" w:rsidRDefault="003A3087">
            <w:pPr>
              <w:adjustRightInd w:val="0"/>
              <w:spacing w:before="29" w:line="288" w:lineRule="auto"/>
              <w:ind w:left="17"/>
              <w:jc w:val="left"/>
              <w:rPr>
                <w:color w:val="000000"/>
                <w:sz w:val="24"/>
                <w:szCs w:val="24"/>
              </w:rPr>
            </w:pPr>
            <w:r>
              <w:rPr>
                <w:color w:val="000000"/>
                <w:kern w:val="0"/>
                <w:sz w:val="24"/>
                <w:szCs w:val="24"/>
              </w:rPr>
              <w:t>2036/01/01</w:t>
            </w:r>
            <w:r>
              <w:rPr>
                <w:color w:val="000000"/>
                <w:kern w:val="0"/>
                <w:sz w:val="24"/>
                <w:szCs w:val="24"/>
              </w:rPr>
              <w:t>起</w:t>
            </w:r>
            <w:r>
              <w:rPr>
                <w:color w:val="000000"/>
                <w:kern w:val="0"/>
                <w:sz w:val="24"/>
                <w:szCs w:val="24"/>
              </w:rPr>
              <w:t xml:space="preserve"> 0%-30%</w:t>
            </w:r>
          </w:p>
          <w:p w14:paraId="5F818847" w14:textId="77777777" w:rsidR="004665BA" w:rsidRDefault="003A3087">
            <w:pPr>
              <w:adjustRightInd w:val="0"/>
              <w:spacing w:before="29" w:line="288" w:lineRule="auto"/>
              <w:ind w:left="17"/>
              <w:jc w:val="left"/>
              <w:rPr>
                <w:color w:val="000000"/>
                <w:sz w:val="24"/>
                <w:szCs w:val="24"/>
              </w:rPr>
            </w:pPr>
            <w:r>
              <w:rPr>
                <w:color w:val="000000"/>
                <w:kern w:val="0"/>
                <w:sz w:val="24"/>
                <w:szCs w:val="24"/>
              </w:rPr>
              <w:t>权益类资产指股票、股票型基金、应计入权益类资产的混合型基金；应计入权益类资产的混合型基金应符合以下两种情况之一：基金合同中明确约定股票投资占基金资产的比例为</w:t>
            </w:r>
            <w:r>
              <w:rPr>
                <w:color w:val="000000"/>
                <w:kern w:val="0"/>
                <w:sz w:val="24"/>
                <w:szCs w:val="24"/>
              </w:rPr>
              <w:t>60%</w:t>
            </w:r>
            <w:r>
              <w:rPr>
                <w:color w:val="000000"/>
                <w:kern w:val="0"/>
                <w:sz w:val="24"/>
                <w:szCs w:val="24"/>
              </w:rPr>
              <w:t>以上或者根据定期报告最近</w:t>
            </w:r>
            <w:r>
              <w:rPr>
                <w:color w:val="000000"/>
                <w:kern w:val="0"/>
                <w:sz w:val="24"/>
                <w:szCs w:val="24"/>
              </w:rPr>
              <w:t>4</w:t>
            </w:r>
            <w:r>
              <w:rPr>
                <w:color w:val="000000"/>
                <w:kern w:val="0"/>
                <w:sz w:val="24"/>
                <w:szCs w:val="24"/>
              </w:rPr>
              <w:t>个季度披露的股票投资占基金资产的比例均在</w:t>
            </w:r>
            <w:r>
              <w:rPr>
                <w:color w:val="000000"/>
                <w:kern w:val="0"/>
                <w:sz w:val="24"/>
                <w:szCs w:val="24"/>
              </w:rPr>
              <w:t>60%</w:t>
            </w:r>
            <w:r>
              <w:rPr>
                <w:color w:val="000000"/>
                <w:kern w:val="0"/>
                <w:sz w:val="24"/>
                <w:szCs w:val="24"/>
              </w:rPr>
              <w:t>以上的混合型基金。</w:t>
            </w:r>
          </w:p>
          <w:p w14:paraId="0755F84B" w14:textId="77777777" w:rsidR="004665BA" w:rsidRDefault="003A3087">
            <w:pPr>
              <w:adjustRightInd w:val="0"/>
              <w:spacing w:before="29" w:line="288" w:lineRule="auto"/>
              <w:ind w:left="17"/>
              <w:jc w:val="left"/>
              <w:rPr>
                <w:color w:val="000000"/>
                <w:sz w:val="24"/>
                <w:szCs w:val="24"/>
              </w:rPr>
            </w:pPr>
            <w:r>
              <w:rPr>
                <w:color w:val="000000"/>
                <w:kern w:val="0"/>
                <w:sz w:val="24"/>
                <w:szCs w:val="24"/>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w:t>
            </w:r>
            <w:proofErr w:type="gramStart"/>
            <w:r>
              <w:rPr>
                <w:color w:val="000000"/>
                <w:kern w:val="0"/>
                <w:sz w:val="24"/>
                <w:szCs w:val="24"/>
              </w:rPr>
              <w:t>比范围</w:t>
            </w:r>
            <w:proofErr w:type="gramEnd"/>
            <w:r>
              <w:rPr>
                <w:color w:val="000000"/>
                <w:kern w:val="0"/>
                <w:sz w:val="24"/>
                <w:szCs w:val="24"/>
              </w:rPr>
              <w:t>及权益类资产的配置中枢（即下滑曲线值）。本基金在目标日期之前（含当日），权益类资产的投资比例在下滑曲线值的基础上向上偏离不超过</w:t>
            </w:r>
            <w:r>
              <w:rPr>
                <w:color w:val="000000"/>
                <w:kern w:val="0"/>
                <w:sz w:val="24"/>
                <w:szCs w:val="24"/>
              </w:rPr>
              <w:t>10%</w:t>
            </w:r>
            <w:r>
              <w:rPr>
                <w:color w:val="000000"/>
                <w:kern w:val="0"/>
                <w:sz w:val="24"/>
                <w:szCs w:val="24"/>
              </w:rPr>
              <w:t>，向下偏离不超过</w:t>
            </w:r>
            <w:r>
              <w:rPr>
                <w:color w:val="000000"/>
                <w:kern w:val="0"/>
                <w:sz w:val="24"/>
                <w:szCs w:val="24"/>
              </w:rPr>
              <w:t>15%</w:t>
            </w:r>
            <w:r>
              <w:rPr>
                <w:color w:val="000000"/>
                <w:kern w:val="0"/>
                <w:sz w:val="24"/>
                <w:szCs w:val="24"/>
              </w:rPr>
              <w:t>。如权益类资产配置比例超过上下限，基金管理人应当在</w:t>
            </w:r>
            <w:r>
              <w:rPr>
                <w:color w:val="000000"/>
                <w:kern w:val="0"/>
                <w:sz w:val="24"/>
                <w:szCs w:val="24"/>
              </w:rPr>
              <w:t>10</w:t>
            </w:r>
            <w:r>
              <w:rPr>
                <w:color w:val="000000"/>
                <w:kern w:val="0"/>
                <w:sz w:val="24"/>
                <w:szCs w:val="24"/>
              </w:rPr>
              <w:t>个交易日内进行调整。</w:t>
            </w:r>
          </w:p>
          <w:p w14:paraId="08230953"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本基金采用的投资策略包括：</w:t>
            </w:r>
            <w:r w:rsidRPr="00414345">
              <w:rPr>
                <w:color w:val="000000"/>
                <w:kern w:val="0"/>
                <w:sz w:val="24"/>
                <w:szCs w:val="24"/>
              </w:rPr>
              <w:t>1</w:t>
            </w:r>
            <w:r w:rsidRPr="00414345">
              <w:rPr>
                <w:color w:val="000000"/>
                <w:kern w:val="0"/>
                <w:sz w:val="24"/>
                <w:szCs w:val="24"/>
              </w:rPr>
              <w:t>、资产配置策略；</w:t>
            </w:r>
            <w:r w:rsidRPr="00414345">
              <w:rPr>
                <w:color w:val="000000"/>
                <w:kern w:val="0"/>
                <w:sz w:val="24"/>
                <w:szCs w:val="24"/>
              </w:rPr>
              <w:t>2</w:t>
            </w:r>
            <w:r w:rsidRPr="00414345">
              <w:rPr>
                <w:color w:val="000000"/>
                <w:kern w:val="0"/>
                <w:sz w:val="24"/>
                <w:szCs w:val="24"/>
              </w:rPr>
              <w:t>、主动管理型基金投资策略；</w:t>
            </w:r>
            <w:r w:rsidRPr="00414345">
              <w:rPr>
                <w:color w:val="000000"/>
                <w:kern w:val="0"/>
                <w:sz w:val="24"/>
                <w:szCs w:val="24"/>
              </w:rPr>
              <w:t>3</w:t>
            </w:r>
            <w:r w:rsidRPr="00414345">
              <w:rPr>
                <w:color w:val="000000"/>
                <w:kern w:val="0"/>
                <w:sz w:val="24"/>
                <w:szCs w:val="24"/>
              </w:rPr>
              <w:t>、指数基金投资策略；</w:t>
            </w:r>
            <w:r w:rsidRPr="00414345">
              <w:rPr>
                <w:color w:val="000000"/>
                <w:kern w:val="0"/>
                <w:sz w:val="24"/>
                <w:szCs w:val="24"/>
              </w:rPr>
              <w:t>4</w:t>
            </w:r>
            <w:r w:rsidRPr="00414345">
              <w:rPr>
                <w:color w:val="000000"/>
                <w:kern w:val="0"/>
                <w:sz w:val="24"/>
                <w:szCs w:val="24"/>
              </w:rPr>
              <w:t>、公募</w:t>
            </w:r>
            <w:r w:rsidRPr="00414345">
              <w:rPr>
                <w:color w:val="000000"/>
                <w:kern w:val="0"/>
                <w:sz w:val="24"/>
                <w:szCs w:val="24"/>
              </w:rPr>
              <w:t>REITs</w:t>
            </w:r>
            <w:r w:rsidRPr="00414345">
              <w:rPr>
                <w:color w:val="000000"/>
                <w:kern w:val="0"/>
                <w:sz w:val="24"/>
                <w:szCs w:val="24"/>
              </w:rPr>
              <w:t>投资策略；</w:t>
            </w:r>
            <w:r w:rsidRPr="00414345">
              <w:rPr>
                <w:color w:val="000000"/>
                <w:kern w:val="0"/>
                <w:sz w:val="24"/>
                <w:szCs w:val="24"/>
              </w:rPr>
              <w:t>5</w:t>
            </w:r>
            <w:r w:rsidRPr="00414345">
              <w:rPr>
                <w:color w:val="000000"/>
                <w:kern w:val="0"/>
                <w:sz w:val="24"/>
                <w:szCs w:val="24"/>
              </w:rPr>
              <w:t>、股票投资策略；</w:t>
            </w:r>
            <w:r w:rsidRPr="00414345">
              <w:rPr>
                <w:color w:val="000000"/>
                <w:kern w:val="0"/>
                <w:sz w:val="24"/>
                <w:szCs w:val="24"/>
              </w:rPr>
              <w:t>6</w:t>
            </w:r>
            <w:r w:rsidRPr="00414345">
              <w:rPr>
                <w:color w:val="000000"/>
                <w:kern w:val="0"/>
                <w:sz w:val="24"/>
                <w:szCs w:val="24"/>
              </w:rPr>
              <w:t>、港股投资策略；</w:t>
            </w:r>
            <w:r w:rsidRPr="00414345">
              <w:rPr>
                <w:color w:val="000000"/>
                <w:kern w:val="0"/>
                <w:sz w:val="24"/>
                <w:szCs w:val="24"/>
              </w:rPr>
              <w:t>7</w:t>
            </w:r>
            <w:r w:rsidRPr="00414345">
              <w:rPr>
                <w:color w:val="000000"/>
                <w:kern w:val="0"/>
                <w:sz w:val="24"/>
                <w:szCs w:val="24"/>
              </w:rPr>
              <w:t>、债券投资策略；</w:t>
            </w:r>
            <w:r w:rsidRPr="00414345">
              <w:rPr>
                <w:color w:val="000000"/>
                <w:kern w:val="0"/>
                <w:sz w:val="24"/>
                <w:szCs w:val="24"/>
              </w:rPr>
              <w:t>8</w:t>
            </w:r>
            <w:r w:rsidRPr="00414345">
              <w:rPr>
                <w:color w:val="000000"/>
                <w:kern w:val="0"/>
                <w:sz w:val="24"/>
                <w:szCs w:val="24"/>
              </w:rPr>
              <w:t>、证券公司短期公司债投资策略；</w:t>
            </w:r>
            <w:r w:rsidRPr="00414345">
              <w:rPr>
                <w:color w:val="000000"/>
                <w:kern w:val="0"/>
                <w:sz w:val="24"/>
                <w:szCs w:val="24"/>
              </w:rPr>
              <w:t>9</w:t>
            </w:r>
            <w:r w:rsidRPr="00414345">
              <w:rPr>
                <w:color w:val="000000"/>
                <w:kern w:val="0"/>
                <w:sz w:val="24"/>
                <w:szCs w:val="24"/>
              </w:rPr>
              <w:t>、资产支持证券投资策略；</w:t>
            </w:r>
            <w:r w:rsidRPr="00414345">
              <w:rPr>
                <w:color w:val="000000"/>
                <w:kern w:val="0"/>
                <w:sz w:val="24"/>
                <w:szCs w:val="24"/>
              </w:rPr>
              <w:t>10</w:t>
            </w:r>
            <w:r w:rsidRPr="00414345">
              <w:rPr>
                <w:color w:val="000000"/>
                <w:kern w:val="0"/>
                <w:sz w:val="24"/>
                <w:szCs w:val="24"/>
              </w:rPr>
              <w:t>、存托凭证投资策略。</w:t>
            </w:r>
          </w:p>
        </w:tc>
      </w:tr>
      <w:tr w:rsidR="001B2F35" w:rsidRPr="00414345" w14:paraId="5E1797AF" w14:textId="77777777" w:rsidTr="006E6726">
        <w:trPr>
          <w:jc w:val="center"/>
        </w:trPr>
        <w:tc>
          <w:tcPr>
            <w:tcW w:w="3023" w:type="dxa"/>
            <w:vAlign w:val="center"/>
          </w:tcPr>
          <w:p w14:paraId="28014A41"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14:paraId="548A70D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*X*95%</w:t>
            </w:r>
            <w:r w:rsidRPr="00414345">
              <w:rPr>
                <w:color w:val="000000"/>
                <w:kern w:val="0"/>
                <w:sz w:val="24"/>
                <w:szCs w:val="24"/>
              </w:rPr>
              <w:t>＋中证港股</w:t>
            </w:r>
            <w:proofErr w:type="gramStart"/>
            <w:r w:rsidRPr="00414345">
              <w:rPr>
                <w:color w:val="000000"/>
                <w:kern w:val="0"/>
                <w:sz w:val="24"/>
                <w:szCs w:val="24"/>
              </w:rPr>
              <w:t>通综合</w:t>
            </w:r>
            <w:proofErr w:type="gramEnd"/>
            <w:r w:rsidRPr="00414345">
              <w:rPr>
                <w:color w:val="000000"/>
                <w:kern w:val="0"/>
                <w:sz w:val="24"/>
                <w:szCs w:val="24"/>
              </w:rPr>
              <w:t>指数（人民币）收益率</w:t>
            </w:r>
            <w:r w:rsidRPr="00414345">
              <w:rPr>
                <w:color w:val="000000"/>
                <w:kern w:val="0"/>
                <w:sz w:val="24"/>
                <w:szCs w:val="24"/>
              </w:rPr>
              <w:t>*X*5%</w:t>
            </w:r>
            <w:r w:rsidRPr="00414345">
              <w:rPr>
                <w:color w:val="000000"/>
                <w:kern w:val="0"/>
                <w:sz w:val="24"/>
                <w:szCs w:val="24"/>
              </w:rPr>
              <w:t>＋中债</w:t>
            </w:r>
            <w:r w:rsidRPr="00414345">
              <w:rPr>
                <w:color w:val="000000"/>
                <w:kern w:val="0"/>
                <w:sz w:val="24"/>
                <w:szCs w:val="24"/>
              </w:rPr>
              <w:t>-</w:t>
            </w:r>
            <w:r w:rsidRPr="00414345">
              <w:rPr>
                <w:color w:val="000000"/>
                <w:kern w:val="0"/>
                <w:sz w:val="24"/>
                <w:szCs w:val="24"/>
              </w:rPr>
              <w:t>综合全价（总值）指数收益率</w:t>
            </w:r>
            <w:r w:rsidRPr="00414345">
              <w:rPr>
                <w:color w:val="000000"/>
                <w:kern w:val="0"/>
                <w:sz w:val="24"/>
                <w:szCs w:val="24"/>
              </w:rPr>
              <w:t>*(90%-X)+</w:t>
            </w:r>
            <w:r w:rsidRPr="00414345">
              <w:rPr>
                <w:color w:val="000000"/>
                <w:kern w:val="0"/>
                <w:sz w:val="24"/>
                <w:szCs w:val="24"/>
              </w:rPr>
              <w:t>活期存款利率（税后）</w:t>
            </w:r>
            <w:r w:rsidRPr="00414345">
              <w:rPr>
                <w:color w:val="000000"/>
                <w:kern w:val="0"/>
                <w:sz w:val="24"/>
                <w:szCs w:val="24"/>
              </w:rPr>
              <w:t>*10%</w:t>
            </w:r>
            <w:r w:rsidRPr="00414345">
              <w:rPr>
                <w:color w:val="000000"/>
                <w:kern w:val="0"/>
                <w:sz w:val="24"/>
                <w:szCs w:val="24"/>
              </w:rPr>
              <w:t>，其中</w:t>
            </w:r>
            <w:r w:rsidRPr="00414345">
              <w:rPr>
                <w:color w:val="000000"/>
                <w:kern w:val="0"/>
                <w:sz w:val="24"/>
                <w:szCs w:val="24"/>
              </w:rPr>
              <w:t>X</w:t>
            </w:r>
            <w:r w:rsidRPr="00414345">
              <w:rPr>
                <w:color w:val="000000"/>
                <w:kern w:val="0"/>
                <w:sz w:val="24"/>
                <w:szCs w:val="24"/>
              </w:rPr>
              <w:t>即本基金各年的下滑曲线值，按招募说明书的规定执行。</w:t>
            </w:r>
          </w:p>
        </w:tc>
      </w:tr>
      <w:tr w:rsidR="001B2F35" w:rsidRPr="00414345" w14:paraId="2A7E62F8" w14:textId="77777777" w:rsidTr="006E6726">
        <w:trPr>
          <w:jc w:val="center"/>
        </w:trPr>
        <w:tc>
          <w:tcPr>
            <w:tcW w:w="3023" w:type="dxa"/>
            <w:vAlign w:val="center"/>
          </w:tcPr>
          <w:p w14:paraId="4A22FB87"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14:paraId="3B18338C"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本基金属于混合型基金中基金，预期风险和收益水平低于股票型基金中基金，高于债券型基金中基金和货币型基金中基金。本基金可投资香港联合交易所上市的股票，将面临港股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14:paraId="1ABC41C4" w14:textId="77777777" w:rsidTr="006E6726">
        <w:trPr>
          <w:jc w:val="center"/>
        </w:trPr>
        <w:tc>
          <w:tcPr>
            <w:tcW w:w="3023" w:type="dxa"/>
            <w:vAlign w:val="center"/>
          </w:tcPr>
          <w:p w14:paraId="4DA78727"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14:paraId="2EF8D2D0"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摩根基金管理（中国）有限公司</w:t>
            </w:r>
          </w:p>
        </w:tc>
      </w:tr>
      <w:tr w:rsidR="001B2F35" w:rsidRPr="00414345" w14:paraId="67873BB5" w14:textId="77777777" w:rsidTr="006E6726">
        <w:trPr>
          <w:jc w:val="center"/>
        </w:trPr>
        <w:tc>
          <w:tcPr>
            <w:tcW w:w="3023" w:type="dxa"/>
            <w:vAlign w:val="center"/>
          </w:tcPr>
          <w:p w14:paraId="4333CBA1"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14:paraId="3517A7A5"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14:paraId="4A0A75A1"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0E4F8A64"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1C7CDD32"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7D3E89D9"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A3087" w:rsidRPr="00414345" w14:paraId="1E1F4D1F" w14:textId="77777777" w:rsidTr="003A3087">
        <w:trPr>
          <w:jc w:val="center"/>
        </w:trPr>
        <w:tc>
          <w:tcPr>
            <w:tcW w:w="3402" w:type="dxa"/>
            <w:vAlign w:val="center"/>
          </w:tcPr>
          <w:p w14:paraId="633B3CFF"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729FE384"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7AE839D5"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A3087" w:rsidRPr="00414345" w14:paraId="73793F8D" w14:textId="77777777" w:rsidTr="003A3087">
        <w:trPr>
          <w:jc w:val="center"/>
        </w:trPr>
        <w:tc>
          <w:tcPr>
            <w:tcW w:w="3402" w:type="dxa"/>
            <w:vAlign w:val="center"/>
          </w:tcPr>
          <w:p w14:paraId="31DE58DB"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3A03A50C"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-14,387.73</w:t>
            </w:r>
          </w:p>
        </w:tc>
      </w:tr>
      <w:tr w:rsidR="003A3087" w:rsidRPr="00414345" w14:paraId="67443462" w14:textId="77777777" w:rsidTr="003A3087">
        <w:trPr>
          <w:jc w:val="center"/>
        </w:trPr>
        <w:tc>
          <w:tcPr>
            <w:tcW w:w="3402" w:type="dxa"/>
            <w:vAlign w:val="center"/>
          </w:tcPr>
          <w:p w14:paraId="0D88010E"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359D413D"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-292,595.06</w:t>
            </w:r>
          </w:p>
        </w:tc>
      </w:tr>
      <w:tr w:rsidR="003A3087" w:rsidRPr="00414345" w14:paraId="62AA9851" w14:textId="77777777" w:rsidTr="003A3087">
        <w:trPr>
          <w:jc w:val="center"/>
        </w:trPr>
        <w:tc>
          <w:tcPr>
            <w:tcW w:w="3402" w:type="dxa"/>
            <w:vAlign w:val="center"/>
          </w:tcPr>
          <w:p w14:paraId="3E9A8B90"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49E8E5BC"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-0.0058</w:t>
            </w:r>
          </w:p>
        </w:tc>
      </w:tr>
      <w:tr w:rsidR="003A3087" w:rsidRPr="00414345" w14:paraId="547E91D6" w14:textId="77777777" w:rsidTr="003A3087">
        <w:trPr>
          <w:jc w:val="center"/>
        </w:trPr>
        <w:tc>
          <w:tcPr>
            <w:tcW w:w="3402" w:type="dxa"/>
            <w:vAlign w:val="center"/>
          </w:tcPr>
          <w:p w14:paraId="45A2514A"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7F155301"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46,889,480.31</w:t>
            </w:r>
          </w:p>
        </w:tc>
      </w:tr>
      <w:tr w:rsidR="003A3087" w:rsidRPr="00414345" w14:paraId="578250CC" w14:textId="77777777" w:rsidTr="003A3087">
        <w:trPr>
          <w:trHeight w:val="158"/>
          <w:jc w:val="center"/>
        </w:trPr>
        <w:tc>
          <w:tcPr>
            <w:tcW w:w="3402" w:type="dxa"/>
            <w:vAlign w:val="center"/>
          </w:tcPr>
          <w:p w14:paraId="16ADAB2B"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1F8C3DBB"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0.9358</w:t>
            </w:r>
          </w:p>
        </w:tc>
      </w:tr>
    </w:tbl>
    <w:p w14:paraId="3D6276DB" w14:textId="77777777" w:rsidR="004665BA" w:rsidRDefault="003A3087">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14:paraId="057673BF"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14:paraId="2C43251A"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26F3318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5AC10FFE"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0406B447" w14:textId="77777777" w:rsidTr="00A324F4">
        <w:trPr>
          <w:jc w:val="center"/>
        </w:trPr>
        <w:tc>
          <w:tcPr>
            <w:tcW w:w="1614" w:type="dxa"/>
            <w:vAlign w:val="center"/>
          </w:tcPr>
          <w:p w14:paraId="3B8F6355"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14:paraId="06E2887A"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14:paraId="3B9A6692"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14:paraId="2D5DB5FF"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14:paraId="7F1BD1FF"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14:paraId="69542616"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14:paraId="5C45FCF9"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665BA" w14:paraId="10F9B793" w14:textId="77777777">
        <w:trPr>
          <w:jc w:val="center"/>
        </w:trPr>
        <w:tc>
          <w:tcPr>
            <w:tcW w:w="1701" w:type="dxa"/>
            <w:vAlign w:val="center"/>
          </w:tcPr>
          <w:p w14:paraId="103EB6C7" w14:textId="77777777" w:rsidR="004665BA" w:rsidRDefault="003A3087">
            <w:pPr>
              <w:jc w:val="left"/>
            </w:pPr>
            <w:r>
              <w:rPr>
                <w:color w:val="000000"/>
                <w:sz w:val="24"/>
                <w:szCs w:val="24"/>
              </w:rPr>
              <w:t>过去三个月</w:t>
            </w:r>
          </w:p>
        </w:tc>
        <w:tc>
          <w:tcPr>
            <w:tcW w:w="1045" w:type="dxa"/>
            <w:vAlign w:val="center"/>
          </w:tcPr>
          <w:p w14:paraId="50F69F7F" w14:textId="77777777" w:rsidR="004665BA" w:rsidRDefault="003A3087">
            <w:pPr>
              <w:jc w:val="center"/>
            </w:pPr>
            <w:r>
              <w:rPr>
                <w:color w:val="000000"/>
                <w:sz w:val="24"/>
                <w:szCs w:val="24"/>
              </w:rPr>
              <w:t>-0.63%</w:t>
            </w:r>
          </w:p>
        </w:tc>
        <w:tc>
          <w:tcPr>
            <w:tcW w:w="1344" w:type="dxa"/>
            <w:vAlign w:val="center"/>
          </w:tcPr>
          <w:p w14:paraId="2051B59D" w14:textId="77777777" w:rsidR="004665BA" w:rsidRDefault="003A3087">
            <w:pPr>
              <w:jc w:val="center"/>
            </w:pPr>
            <w:r>
              <w:rPr>
                <w:color w:val="000000"/>
                <w:sz w:val="24"/>
                <w:szCs w:val="24"/>
              </w:rPr>
              <w:t>1.01%</w:t>
            </w:r>
          </w:p>
        </w:tc>
        <w:tc>
          <w:tcPr>
            <w:tcW w:w="1194" w:type="dxa"/>
            <w:vAlign w:val="center"/>
          </w:tcPr>
          <w:p w14:paraId="79B0FFC7" w14:textId="77777777" w:rsidR="004665BA" w:rsidRDefault="003A3087">
            <w:pPr>
              <w:jc w:val="center"/>
            </w:pPr>
            <w:r>
              <w:rPr>
                <w:color w:val="000000"/>
                <w:sz w:val="24"/>
                <w:szCs w:val="24"/>
              </w:rPr>
              <w:t>0.44%</w:t>
            </w:r>
          </w:p>
        </w:tc>
        <w:tc>
          <w:tcPr>
            <w:tcW w:w="1492" w:type="dxa"/>
            <w:vAlign w:val="center"/>
          </w:tcPr>
          <w:p w14:paraId="16517AE5" w14:textId="77777777" w:rsidR="004665BA" w:rsidRDefault="003A3087">
            <w:pPr>
              <w:jc w:val="center"/>
            </w:pPr>
            <w:r>
              <w:rPr>
                <w:color w:val="000000"/>
                <w:sz w:val="24"/>
                <w:szCs w:val="24"/>
              </w:rPr>
              <w:t>0.71%</w:t>
            </w:r>
          </w:p>
        </w:tc>
        <w:tc>
          <w:tcPr>
            <w:tcW w:w="1194" w:type="dxa"/>
            <w:vAlign w:val="center"/>
          </w:tcPr>
          <w:p w14:paraId="4EE45192" w14:textId="77777777" w:rsidR="004665BA" w:rsidRDefault="003A3087">
            <w:pPr>
              <w:jc w:val="center"/>
            </w:pPr>
            <w:r>
              <w:rPr>
                <w:color w:val="000000"/>
                <w:sz w:val="24"/>
                <w:szCs w:val="24"/>
              </w:rPr>
              <w:t>-1.07%</w:t>
            </w:r>
          </w:p>
        </w:tc>
        <w:tc>
          <w:tcPr>
            <w:tcW w:w="898" w:type="dxa"/>
            <w:vAlign w:val="center"/>
          </w:tcPr>
          <w:p w14:paraId="281A3897" w14:textId="77777777" w:rsidR="004665BA" w:rsidRDefault="003A3087">
            <w:pPr>
              <w:jc w:val="center"/>
            </w:pPr>
            <w:r>
              <w:rPr>
                <w:color w:val="000000"/>
                <w:sz w:val="24"/>
                <w:szCs w:val="24"/>
              </w:rPr>
              <w:t>0.30%</w:t>
            </w:r>
          </w:p>
        </w:tc>
      </w:tr>
      <w:tr w:rsidR="004665BA" w14:paraId="3F73838E" w14:textId="77777777">
        <w:trPr>
          <w:jc w:val="center"/>
        </w:trPr>
        <w:tc>
          <w:tcPr>
            <w:tcW w:w="1701" w:type="dxa"/>
            <w:vAlign w:val="center"/>
          </w:tcPr>
          <w:p w14:paraId="57043727" w14:textId="77777777" w:rsidR="004665BA" w:rsidRDefault="003A3087">
            <w:pPr>
              <w:jc w:val="left"/>
            </w:pPr>
            <w:r>
              <w:rPr>
                <w:color w:val="000000"/>
                <w:sz w:val="24"/>
                <w:szCs w:val="24"/>
              </w:rPr>
              <w:t>过去六个月</w:t>
            </w:r>
          </w:p>
        </w:tc>
        <w:tc>
          <w:tcPr>
            <w:tcW w:w="1045" w:type="dxa"/>
            <w:vAlign w:val="center"/>
          </w:tcPr>
          <w:p w14:paraId="57C4A836" w14:textId="77777777" w:rsidR="004665BA" w:rsidRDefault="003A3087">
            <w:pPr>
              <w:jc w:val="center"/>
            </w:pPr>
            <w:r>
              <w:rPr>
                <w:color w:val="000000"/>
                <w:sz w:val="24"/>
                <w:szCs w:val="24"/>
              </w:rPr>
              <w:t>7.07%</w:t>
            </w:r>
          </w:p>
        </w:tc>
        <w:tc>
          <w:tcPr>
            <w:tcW w:w="1344" w:type="dxa"/>
            <w:vAlign w:val="center"/>
          </w:tcPr>
          <w:p w14:paraId="2E75FFAD" w14:textId="77777777" w:rsidR="004665BA" w:rsidRDefault="003A3087">
            <w:pPr>
              <w:jc w:val="center"/>
            </w:pPr>
            <w:r>
              <w:rPr>
                <w:color w:val="000000"/>
                <w:sz w:val="24"/>
                <w:szCs w:val="24"/>
              </w:rPr>
              <w:t>0.99%</w:t>
            </w:r>
          </w:p>
        </w:tc>
        <w:tc>
          <w:tcPr>
            <w:tcW w:w="1194" w:type="dxa"/>
            <w:vAlign w:val="center"/>
          </w:tcPr>
          <w:p w14:paraId="7FDE6470" w14:textId="77777777" w:rsidR="004665BA" w:rsidRDefault="003A3087">
            <w:pPr>
              <w:jc w:val="center"/>
            </w:pPr>
            <w:r>
              <w:rPr>
                <w:color w:val="000000"/>
                <w:sz w:val="24"/>
                <w:szCs w:val="24"/>
              </w:rPr>
              <w:t>7.39%</w:t>
            </w:r>
          </w:p>
        </w:tc>
        <w:tc>
          <w:tcPr>
            <w:tcW w:w="1492" w:type="dxa"/>
            <w:vAlign w:val="center"/>
          </w:tcPr>
          <w:p w14:paraId="11C01FAA" w14:textId="77777777" w:rsidR="004665BA" w:rsidRDefault="003A3087">
            <w:pPr>
              <w:jc w:val="center"/>
            </w:pPr>
            <w:r>
              <w:rPr>
                <w:color w:val="000000"/>
                <w:sz w:val="24"/>
                <w:szCs w:val="24"/>
              </w:rPr>
              <w:t>0.69%</w:t>
            </w:r>
          </w:p>
        </w:tc>
        <w:tc>
          <w:tcPr>
            <w:tcW w:w="1194" w:type="dxa"/>
            <w:vAlign w:val="center"/>
          </w:tcPr>
          <w:p w14:paraId="128B83B8" w14:textId="77777777" w:rsidR="004665BA" w:rsidRDefault="003A3087">
            <w:pPr>
              <w:jc w:val="center"/>
            </w:pPr>
            <w:r>
              <w:rPr>
                <w:color w:val="000000"/>
                <w:sz w:val="24"/>
                <w:szCs w:val="24"/>
              </w:rPr>
              <w:t>-0.32%</w:t>
            </w:r>
          </w:p>
        </w:tc>
        <w:tc>
          <w:tcPr>
            <w:tcW w:w="898" w:type="dxa"/>
            <w:vAlign w:val="center"/>
          </w:tcPr>
          <w:p w14:paraId="0D48DDD9" w14:textId="77777777" w:rsidR="004665BA" w:rsidRDefault="003A3087">
            <w:pPr>
              <w:jc w:val="center"/>
            </w:pPr>
            <w:r>
              <w:rPr>
                <w:color w:val="000000"/>
                <w:sz w:val="24"/>
                <w:szCs w:val="24"/>
              </w:rPr>
              <w:t>0.30%</w:t>
            </w:r>
          </w:p>
        </w:tc>
      </w:tr>
      <w:tr w:rsidR="004665BA" w14:paraId="2E6FFD3F" w14:textId="77777777">
        <w:trPr>
          <w:jc w:val="center"/>
        </w:trPr>
        <w:tc>
          <w:tcPr>
            <w:tcW w:w="1701" w:type="dxa"/>
            <w:vAlign w:val="center"/>
          </w:tcPr>
          <w:p w14:paraId="4D8AC17E" w14:textId="77777777" w:rsidR="004665BA" w:rsidRDefault="003A3087">
            <w:pPr>
              <w:jc w:val="left"/>
            </w:pPr>
            <w:r>
              <w:rPr>
                <w:color w:val="000000"/>
                <w:sz w:val="24"/>
                <w:szCs w:val="24"/>
              </w:rPr>
              <w:t>过去一年</w:t>
            </w:r>
          </w:p>
        </w:tc>
        <w:tc>
          <w:tcPr>
            <w:tcW w:w="1045" w:type="dxa"/>
            <w:vAlign w:val="center"/>
          </w:tcPr>
          <w:p w14:paraId="5F2DCF9F" w14:textId="77777777" w:rsidR="004665BA" w:rsidRDefault="003A3087">
            <w:pPr>
              <w:jc w:val="center"/>
            </w:pPr>
            <w:r>
              <w:rPr>
                <w:color w:val="000000"/>
                <w:sz w:val="24"/>
                <w:szCs w:val="24"/>
              </w:rPr>
              <w:t>4.51%</w:t>
            </w:r>
          </w:p>
        </w:tc>
        <w:tc>
          <w:tcPr>
            <w:tcW w:w="1344" w:type="dxa"/>
            <w:vAlign w:val="center"/>
          </w:tcPr>
          <w:p w14:paraId="7B82E039" w14:textId="77777777" w:rsidR="004665BA" w:rsidRDefault="003A3087">
            <w:pPr>
              <w:jc w:val="center"/>
            </w:pPr>
            <w:r>
              <w:rPr>
                <w:color w:val="000000"/>
                <w:sz w:val="24"/>
                <w:szCs w:val="24"/>
              </w:rPr>
              <w:t>0.86%</w:t>
            </w:r>
          </w:p>
        </w:tc>
        <w:tc>
          <w:tcPr>
            <w:tcW w:w="1194" w:type="dxa"/>
            <w:vAlign w:val="center"/>
          </w:tcPr>
          <w:p w14:paraId="66E0E643" w14:textId="77777777" w:rsidR="004665BA" w:rsidRDefault="003A3087">
            <w:pPr>
              <w:jc w:val="center"/>
            </w:pPr>
            <w:r>
              <w:rPr>
                <w:color w:val="000000"/>
                <w:sz w:val="24"/>
                <w:szCs w:val="24"/>
              </w:rPr>
              <w:t>8.33%</w:t>
            </w:r>
          </w:p>
        </w:tc>
        <w:tc>
          <w:tcPr>
            <w:tcW w:w="1492" w:type="dxa"/>
            <w:vAlign w:val="center"/>
          </w:tcPr>
          <w:p w14:paraId="5CEE8668" w14:textId="77777777" w:rsidR="004665BA" w:rsidRDefault="003A3087">
            <w:pPr>
              <w:jc w:val="center"/>
            </w:pPr>
            <w:r>
              <w:rPr>
                <w:color w:val="000000"/>
                <w:sz w:val="24"/>
                <w:szCs w:val="24"/>
              </w:rPr>
              <w:t>0.57%</w:t>
            </w:r>
          </w:p>
        </w:tc>
        <w:tc>
          <w:tcPr>
            <w:tcW w:w="1194" w:type="dxa"/>
            <w:vAlign w:val="center"/>
          </w:tcPr>
          <w:p w14:paraId="45A73D77" w14:textId="77777777" w:rsidR="004665BA" w:rsidRDefault="003A3087">
            <w:pPr>
              <w:jc w:val="center"/>
            </w:pPr>
            <w:r>
              <w:rPr>
                <w:color w:val="000000"/>
                <w:sz w:val="24"/>
                <w:szCs w:val="24"/>
              </w:rPr>
              <w:t>-3.82%</w:t>
            </w:r>
          </w:p>
        </w:tc>
        <w:tc>
          <w:tcPr>
            <w:tcW w:w="898" w:type="dxa"/>
            <w:vAlign w:val="center"/>
          </w:tcPr>
          <w:p w14:paraId="3BEDD778" w14:textId="77777777" w:rsidR="004665BA" w:rsidRDefault="003A3087">
            <w:pPr>
              <w:jc w:val="center"/>
            </w:pPr>
            <w:r>
              <w:rPr>
                <w:color w:val="000000"/>
                <w:sz w:val="24"/>
                <w:szCs w:val="24"/>
              </w:rPr>
              <w:t>0.29%</w:t>
            </w:r>
          </w:p>
        </w:tc>
      </w:tr>
      <w:tr w:rsidR="004665BA" w14:paraId="62F321A9" w14:textId="77777777">
        <w:trPr>
          <w:jc w:val="center"/>
        </w:trPr>
        <w:tc>
          <w:tcPr>
            <w:tcW w:w="1701" w:type="dxa"/>
            <w:vAlign w:val="center"/>
          </w:tcPr>
          <w:p w14:paraId="19532DE2" w14:textId="77777777" w:rsidR="004665BA" w:rsidRDefault="003A3087">
            <w:pPr>
              <w:jc w:val="left"/>
            </w:pPr>
            <w:r>
              <w:rPr>
                <w:color w:val="000000"/>
                <w:sz w:val="24"/>
                <w:szCs w:val="24"/>
              </w:rPr>
              <w:t>过去三年</w:t>
            </w:r>
          </w:p>
        </w:tc>
        <w:tc>
          <w:tcPr>
            <w:tcW w:w="1045" w:type="dxa"/>
            <w:vAlign w:val="center"/>
          </w:tcPr>
          <w:p w14:paraId="27140255" w14:textId="77777777" w:rsidR="004665BA" w:rsidRDefault="003A3087">
            <w:pPr>
              <w:jc w:val="center"/>
            </w:pPr>
            <w:r>
              <w:rPr>
                <w:color w:val="000000"/>
                <w:sz w:val="24"/>
                <w:szCs w:val="24"/>
              </w:rPr>
              <w:t>-</w:t>
            </w:r>
          </w:p>
        </w:tc>
        <w:tc>
          <w:tcPr>
            <w:tcW w:w="1344" w:type="dxa"/>
            <w:vAlign w:val="center"/>
          </w:tcPr>
          <w:p w14:paraId="45AA3871" w14:textId="77777777" w:rsidR="004665BA" w:rsidRDefault="003A3087">
            <w:pPr>
              <w:jc w:val="center"/>
            </w:pPr>
            <w:r>
              <w:rPr>
                <w:color w:val="000000"/>
                <w:sz w:val="24"/>
                <w:szCs w:val="24"/>
              </w:rPr>
              <w:t>-</w:t>
            </w:r>
          </w:p>
        </w:tc>
        <w:tc>
          <w:tcPr>
            <w:tcW w:w="1194" w:type="dxa"/>
            <w:vAlign w:val="center"/>
          </w:tcPr>
          <w:p w14:paraId="2E441E6B" w14:textId="77777777" w:rsidR="004665BA" w:rsidRDefault="003A3087">
            <w:pPr>
              <w:jc w:val="center"/>
            </w:pPr>
            <w:r>
              <w:rPr>
                <w:color w:val="000000"/>
                <w:sz w:val="24"/>
                <w:szCs w:val="24"/>
              </w:rPr>
              <w:t>-</w:t>
            </w:r>
          </w:p>
        </w:tc>
        <w:tc>
          <w:tcPr>
            <w:tcW w:w="1492" w:type="dxa"/>
            <w:vAlign w:val="center"/>
          </w:tcPr>
          <w:p w14:paraId="064FC0C6" w14:textId="77777777" w:rsidR="004665BA" w:rsidRDefault="003A3087">
            <w:pPr>
              <w:jc w:val="center"/>
            </w:pPr>
            <w:r>
              <w:rPr>
                <w:color w:val="000000"/>
                <w:sz w:val="24"/>
                <w:szCs w:val="24"/>
              </w:rPr>
              <w:t>-</w:t>
            </w:r>
          </w:p>
        </w:tc>
        <w:tc>
          <w:tcPr>
            <w:tcW w:w="1194" w:type="dxa"/>
            <w:vAlign w:val="center"/>
          </w:tcPr>
          <w:p w14:paraId="3CA30D80" w14:textId="77777777" w:rsidR="004665BA" w:rsidRDefault="003A3087">
            <w:pPr>
              <w:jc w:val="center"/>
            </w:pPr>
            <w:r>
              <w:rPr>
                <w:color w:val="000000"/>
                <w:sz w:val="24"/>
                <w:szCs w:val="24"/>
              </w:rPr>
              <w:t>-</w:t>
            </w:r>
          </w:p>
        </w:tc>
        <w:tc>
          <w:tcPr>
            <w:tcW w:w="898" w:type="dxa"/>
            <w:vAlign w:val="center"/>
          </w:tcPr>
          <w:p w14:paraId="5649A95C" w14:textId="77777777" w:rsidR="004665BA" w:rsidRDefault="003A3087">
            <w:pPr>
              <w:jc w:val="center"/>
            </w:pPr>
            <w:r>
              <w:rPr>
                <w:color w:val="000000"/>
                <w:sz w:val="24"/>
                <w:szCs w:val="24"/>
              </w:rPr>
              <w:t>-</w:t>
            </w:r>
          </w:p>
        </w:tc>
      </w:tr>
      <w:tr w:rsidR="004665BA" w14:paraId="011DB358" w14:textId="77777777">
        <w:trPr>
          <w:jc w:val="center"/>
        </w:trPr>
        <w:tc>
          <w:tcPr>
            <w:tcW w:w="1701" w:type="dxa"/>
            <w:vAlign w:val="center"/>
          </w:tcPr>
          <w:p w14:paraId="245F382C" w14:textId="77777777" w:rsidR="004665BA" w:rsidRDefault="003A3087">
            <w:pPr>
              <w:jc w:val="left"/>
            </w:pPr>
            <w:r>
              <w:rPr>
                <w:color w:val="000000"/>
                <w:sz w:val="24"/>
                <w:szCs w:val="24"/>
              </w:rPr>
              <w:t>过去五年</w:t>
            </w:r>
          </w:p>
        </w:tc>
        <w:tc>
          <w:tcPr>
            <w:tcW w:w="1045" w:type="dxa"/>
            <w:vAlign w:val="center"/>
          </w:tcPr>
          <w:p w14:paraId="73FAB969" w14:textId="77777777" w:rsidR="004665BA" w:rsidRDefault="003A3087">
            <w:pPr>
              <w:jc w:val="center"/>
            </w:pPr>
            <w:r>
              <w:rPr>
                <w:color w:val="000000"/>
                <w:sz w:val="24"/>
                <w:szCs w:val="24"/>
              </w:rPr>
              <w:t>-</w:t>
            </w:r>
          </w:p>
        </w:tc>
        <w:tc>
          <w:tcPr>
            <w:tcW w:w="1344" w:type="dxa"/>
            <w:vAlign w:val="center"/>
          </w:tcPr>
          <w:p w14:paraId="74A7F1A5" w14:textId="77777777" w:rsidR="004665BA" w:rsidRDefault="003A3087">
            <w:pPr>
              <w:jc w:val="center"/>
            </w:pPr>
            <w:r>
              <w:rPr>
                <w:color w:val="000000"/>
                <w:sz w:val="24"/>
                <w:szCs w:val="24"/>
              </w:rPr>
              <w:t>-</w:t>
            </w:r>
          </w:p>
        </w:tc>
        <w:tc>
          <w:tcPr>
            <w:tcW w:w="1194" w:type="dxa"/>
            <w:vAlign w:val="center"/>
          </w:tcPr>
          <w:p w14:paraId="69EE348F" w14:textId="77777777" w:rsidR="004665BA" w:rsidRDefault="003A3087">
            <w:pPr>
              <w:jc w:val="center"/>
            </w:pPr>
            <w:r>
              <w:rPr>
                <w:color w:val="000000"/>
                <w:sz w:val="24"/>
                <w:szCs w:val="24"/>
              </w:rPr>
              <w:t>-</w:t>
            </w:r>
          </w:p>
        </w:tc>
        <w:tc>
          <w:tcPr>
            <w:tcW w:w="1492" w:type="dxa"/>
            <w:vAlign w:val="center"/>
          </w:tcPr>
          <w:p w14:paraId="72634842" w14:textId="77777777" w:rsidR="004665BA" w:rsidRDefault="003A3087">
            <w:pPr>
              <w:jc w:val="center"/>
            </w:pPr>
            <w:r>
              <w:rPr>
                <w:color w:val="000000"/>
                <w:sz w:val="24"/>
                <w:szCs w:val="24"/>
              </w:rPr>
              <w:t>-</w:t>
            </w:r>
          </w:p>
        </w:tc>
        <w:tc>
          <w:tcPr>
            <w:tcW w:w="1194" w:type="dxa"/>
            <w:vAlign w:val="center"/>
          </w:tcPr>
          <w:p w14:paraId="65D804E9" w14:textId="77777777" w:rsidR="004665BA" w:rsidRDefault="003A3087">
            <w:pPr>
              <w:jc w:val="center"/>
            </w:pPr>
            <w:r>
              <w:rPr>
                <w:color w:val="000000"/>
                <w:sz w:val="24"/>
                <w:szCs w:val="24"/>
              </w:rPr>
              <w:t>-</w:t>
            </w:r>
          </w:p>
        </w:tc>
        <w:tc>
          <w:tcPr>
            <w:tcW w:w="898" w:type="dxa"/>
            <w:vAlign w:val="center"/>
          </w:tcPr>
          <w:p w14:paraId="2B413F14" w14:textId="77777777" w:rsidR="004665BA" w:rsidRDefault="003A3087">
            <w:pPr>
              <w:jc w:val="center"/>
            </w:pPr>
            <w:r>
              <w:rPr>
                <w:color w:val="000000"/>
                <w:sz w:val="24"/>
                <w:szCs w:val="24"/>
              </w:rPr>
              <w:t>-</w:t>
            </w:r>
          </w:p>
        </w:tc>
      </w:tr>
      <w:tr w:rsidR="004665BA" w14:paraId="4DE712A6" w14:textId="77777777">
        <w:trPr>
          <w:jc w:val="center"/>
        </w:trPr>
        <w:tc>
          <w:tcPr>
            <w:tcW w:w="1701" w:type="dxa"/>
            <w:vAlign w:val="center"/>
          </w:tcPr>
          <w:p w14:paraId="6B75D89C" w14:textId="77777777" w:rsidR="004665BA" w:rsidRDefault="003A3087">
            <w:pPr>
              <w:jc w:val="left"/>
            </w:pPr>
            <w:r>
              <w:rPr>
                <w:color w:val="000000"/>
                <w:sz w:val="24"/>
                <w:szCs w:val="24"/>
              </w:rPr>
              <w:t>自基金合同生效起至今</w:t>
            </w:r>
          </w:p>
        </w:tc>
        <w:tc>
          <w:tcPr>
            <w:tcW w:w="1045" w:type="dxa"/>
            <w:vAlign w:val="center"/>
          </w:tcPr>
          <w:p w14:paraId="2303C7DE" w14:textId="77777777" w:rsidR="004665BA" w:rsidRDefault="003A3087">
            <w:pPr>
              <w:jc w:val="center"/>
            </w:pPr>
            <w:r>
              <w:rPr>
                <w:color w:val="000000"/>
                <w:sz w:val="24"/>
                <w:szCs w:val="24"/>
              </w:rPr>
              <w:t>-6.42%</w:t>
            </w:r>
          </w:p>
        </w:tc>
        <w:tc>
          <w:tcPr>
            <w:tcW w:w="1344" w:type="dxa"/>
            <w:vAlign w:val="center"/>
          </w:tcPr>
          <w:p w14:paraId="631763F1" w14:textId="77777777" w:rsidR="004665BA" w:rsidRDefault="003A3087">
            <w:pPr>
              <w:jc w:val="center"/>
            </w:pPr>
            <w:r>
              <w:rPr>
                <w:color w:val="000000"/>
                <w:sz w:val="24"/>
                <w:szCs w:val="24"/>
              </w:rPr>
              <w:t>0.72%</w:t>
            </w:r>
          </w:p>
        </w:tc>
        <w:tc>
          <w:tcPr>
            <w:tcW w:w="1194" w:type="dxa"/>
            <w:vAlign w:val="center"/>
          </w:tcPr>
          <w:p w14:paraId="1361FBA8" w14:textId="77777777" w:rsidR="004665BA" w:rsidRDefault="003A3087">
            <w:pPr>
              <w:jc w:val="center"/>
            </w:pPr>
            <w:r>
              <w:rPr>
                <w:color w:val="000000"/>
                <w:sz w:val="24"/>
                <w:szCs w:val="24"/>
              </w:rPr>
              <w:t>1.81%</w:t>
            </w:r>
          </w:p>
        </w:tc>
        <w:tc>
          <w:tcPr>
            <w:tcW w:w="1492" w:type="dxa"/>
            <w:vAlign w:val="center"/>
          </w:tcPr>
          <w:p w14:paraId="31000D1C" w14:textId="77777777" w:rsidR="004665BA" w:rsidRDefault="003A3087">
            <w:pPr>
              <w:jc w:val="center"/>
            </w:pPr>
            <w:r>
              <w:rPr>
                <w:color w:val="000000"/>
                <w:sz w:val="24"/>
                <w:szCs w:val="24"/>
              </w:rPr>
              <w:t>0.48%</w:t>
            </w:r>
          </w:p>
        </w:tc>
        <w:tc>
          <w:tcPr>
            <w:tcW w:w="1194" w:type="dxa"/>
            <w:vAlign w:val="center"/>
          </w:tcPr>
          <w:p w14:paraId="6A03C409" w14:textId="77777777" w:rsidR="004665BA" w:rsidRDefault="003A3087">
            <w:pPr>
              <w:jc w:val="center"/>
            </w:pPr>
            <w:r>
              <w:rPr>
                <w:color w:val="000000"/>
                <w:sz w:val="24"/>
                <w:szCs w:val="24"/>
              </w:rPr>
              <w:t>-8.23%</w:t>
            </w:r>
          </w:p>
        </w:tc>
        <w:tc>
          <w:tcPr>
            <w:tcW w:w="898" w:type="dxa"/>
            <w:vAlign w:val="center"/>
          </w:tcPr>
          <w:p w14:paraId="2D847772" w14:textId="77777777" w:rsidR="004665BA" w:rsidRDefault="003A3087">
            <w:pPr>
              <w:jc w:val="center"/>
            </w:pPr>
            <w:r>
              <w:rPr>
                <w:color w:val="000000"/>
                <w:sz w:val="24"/>
                <w:szCs w:val="24"/>
              </w:rPr>
              <w:t>0.24%</w:t>
            </w:r>
          </w:p>
        </w:tc>
      </w:tr>
    </w:tbl>
    <w:p w14:paraId="34C35A0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5616B5A"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45602700"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t>摩根锦颐养</w:t>
      </w:r>
      <w:proofErr w:type="gramStart"/>
      <w:r w:rsidRPr="00414345">
        <w:rPr>
          <w:color w:val="000000"/>
          <w:sz w:val="24"/>
          <w:szCs w:val="24"/>
        </w:rPr>
        <w:t>老目标</w:t>
      </w:r>
      <w:proofErr w:type="gramEnd"/>
      <w:r w:rsidRPr="00414345">
        <w:rPr>
          <w:color w:val="000000"/>
          <w:sz w:val="24"/>
          <w:szCs w:val="24"/>
        </w:rPr>
        <w:t>日期</w:t>
      </w:r>
      <w:r w:rsidRPr="00414345">
        <w:rPr>
          <w:color w:val="000000"/>
          <w:sz w:val="24"/>
          <w:szCs w:val="24"/>
        </w:rPr>
        <w:t>2035</w:t>
      </w:r>
      <w:r w:rsidRPr="00414345">
        <w:rPr>
          <w:color w:val="000000"/>
          <w:sz w:val="24"/>
          <w:szCs w:val="24"/>
        </w:rPr>
        <w:t>三年持有期混合型发起</w:t>
      </w:r>
      <w:proofErr w:type="gramStart"/>
      <w:r w:rsidRPr="00414345">
        <w:rPr>
          <w:color w:val="000000"/>
          <w:sz w:val="24"/>
          <w:szCs w:val="24"/>
        </w:rPr>
        <w:t>式基金</w:t>
      </w:r>
      <w:proofErr w:type="gramEnd"/>
      <w:r w:rsidRPr="00414345">
        <w:rPr>
          <w:color w:val="000000"/>
          <w:sz w:val="24"/>
          <w:szCs w:val="24"/>
        </w:rPr>
        <w:t>中基金</w:t>
      </w:r>
      <w:r w:rsidRPr="00414345">
        <w:rPr>
          <w:color w:val="000000"/>
          <w:sz w:val="24"/>
          <w:szCs w:val="24"/>
        </w:rPr>
        <w:t>(FOF)</w:t>
      </w:r>
    </w:p>
    <w:p w14:paraId="14C4F389" w14:textId="77777777"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62BF7BA6" w14:textId="77777777"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66F787F0" w14:textId="77777777"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1453DC87" wp14:editId="703FECA6">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14:paraId="4126ECF6" w14:textId="77777777" w:rsidR="004665BA" w:rsidRDefault="003A3087">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2023</w:t>
      </w:r>
      <w:r>
        <w:rPr>
          <w:color w:val="000000"/>
          <w:sz w:val="24"/>
          <w:szCs w:val="24"/>
        </w:rPr>
        <w:t>年</w:t>
      </w:r>
      <w:r>
        <w:rPr>
          <w:color w:val="000000"/>
          <w:sz w:val="24"/>
          <w:szCs w:val="24"/>
        </w:rPr>
        <w:t>4</w:t>
      </w:r>
      <w:r>
        <w:rPr>
          <w:color w:val="000000"/>
          <w:sz w:val="24"/>
          <w:szCs w:val="24"/>
        </w:rPr>
        <w:t>月</w:t>
      </w:r>
      <w:r>
        <w:rPr>
          <w:color w:val="000000"/>
          <w:sz w:val="24"/>
          <w:szCs w:val="24"/>
        </w:rPr>
        <w:t>4</w:t>
      </w:r>
      <w:r>
        <w:rPr>
          <w:color w:val="000000"/>
          <w:sz w:val="24"/>
          <w:szCs w:val="24"/>
        </w:rPr>
        <w:t>日，图示的时间段为合同生效日至本报告期末。</w:t>
      </w:r>
    </w:p>
    <w:p w14:paraId="0D5D6CFE"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w:t>
      </w:r>
      <w:proofErr w:type="gramStart"/>
      <w:r w:rsidRPr="00414345">
        <w:rPr>
          <w:color w:val="000000"/>
          <w:sz w:val="24"/>
          <w:szCs w:val="24"/>
        </w:rPr>
        <w:t>基金基金</w:t>
      </w:r>
      <w:proofErr w:type="gramEnd"/>
      <w:r w:rsidRPr="00414345">
        <w:rPr>
          <w:color w:val="000000"/>
          <w:sz w:val="24"/>
          <w:szCs w:val="24"/>
        </w:rPr>
        <w:t>合同规定。</w:t>
      </w:r>
    </w:p>
    <w:p w14:paraId="542AF4A9" w14:textId="77777777" w:rsidR="00957594" w:rsidRPr="00414345" w:rsidRDefault="00957594" w:rsidP="00C15CAC">
      <w:pPr>
        <w:tabs>
          <w:tab w:val="left" w:pos="1800"/>
        </w:tabs>
        <w:spacing w:before="29" w:line="288" w:lineRule="auto"/>
        <w:rPr>
          <w:color w:val="000000"/>
          <w:sz w:val="24"/>
          <w:szCs w:val="24"/>
        </w:rPr>
      </w:pPr>
    </w:p>
    <w:p w14:paraId="0EF8CD91" w14:textId="77777777" w:rsidR="00693843" w:rsidRPr="00414345" w:rsidRDefault="00693843" w:rsidP="00C15CAC">
      <w:pPr>
        <w:tabs>
          <w:tab w:val="left" w:pos="1800"/>
        </w:tabs>
        <w:spacing w:before="29" w:line="288" w:lineRule="auto"/>
        <w:rPr>
          <w:color w:val="000000"/>
          <w:sz w:val="24"/>
          <w:szCs w:val="24"/>
        </w:rPr>
      </w:pPr>
    </w:p>
    <w:p w14:paraId="79F2E2CD" w14:textId="77777777" w:rsidR="00627E2D" w:rsidRPr="00414345" w:rsidRDefault="00627E2D" w:rsidP="00C15CAC">
      <w:pPr>
        <w:autoSpaceDE w:val="0"/>
        <w:autoSpaceDN w:val="0"/>
        <w:adjustRightInd w:val="0"/>
        <w:spacing w:before="29" w:line="288" w:lineRule="auto"/>
        <w:jc w:val="left"/>
        <w:rPr>
          <w:color w:val="000000"/>
          <w:sz w:val="24"/>
          <w:szCs w:val="24"/>
        </w:rPr>
      </w:pPr>
    </w:p>
    <w:p w14:paraId="75F3DC56"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2758D7D7"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6BC03E95" w14:textId="77777777" w:rsidTr="006A10AB">
        <w:trPr>
          <w:trHeight w:val="292"/>
          <w:jc w:val="center"/>
        </w:trPr>
        <w:tc>
          <w:tcPr>
            <w:tcW w:w="851" w:type="dxa"/>
            <w:vMerge w:val="restart"/>
            <w:vAlign w:val="center"/>
          </w:tcPr>
          <w:p w14:paraId="165D0BAE"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0A95CB03"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2F99D96E"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14:paraId="3C37124D"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27C5D670"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66AB0638" w14:textId="77777777" w:rsidTr="006A10AB">
        <w:trPr>
          <w:jc w:val="center"/>
        </w:trPr>
        <w:tc>
          <w:tcPr>
            <w:tcW w:w="851" w:type="dxa"/>
            <w:vMerge/>
            <w:vAlign w:val="center"/>
          </w:tcPr>
          <w:p w14:paraId="492DC74D"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7C43A179"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49968A41"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2F42BDA6"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2E726192"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7515F6D4" w14:textId="77777777" w:rsidR="004061AC" w:rsidRPr="00414345" w:rsidRDefault="004061AC" w:rsidP="00C15CAC">
            <w:pPr>
              <w:widowControl/>
              <w:spacing w:before="29" w:line="288" w:lineRule="auto"/>
              <w:jc w:val="left"/>
              <w:rPr>
                <w:color w:val="000000"/>
                <w:kern w:val="0"/>
                <w:sz w:val="24"/>
                <w:szCs w:val="24"/>
              </w:rPr>
            </w:pPr>
          </w:p>
        </w:tc>
      </w:tr>
      <w:tr w:rsidR="004665BA" w14:paraId="34723FF6" w14:textId="77777777">
        <w:trPr>
          <w:jc w:val="center"/>
        </w:trPr>
        <w:tc>
          <w:tcPr>
            <w:tcW w:w="846" w:type="dxa"/>
            <w:vAlign w:val="center"/>
          </w:tcPr>
          <w:p w14:paraId="4A1A7F10" w14:textId="77777777" w:rsidR="004665BA" w:rsidRDefault="003A3087">
            <w:pPr>
              <w:jc w:val="center"/>
            </w:pPr>
            <w:r>
              <w:rPr>
                <w:color w:val="000000"/>
                <w:sz w:val="24"/>
                <w:szCs w:val="24"/>
              </w:rPr>
              <w:t>吴春杰</w:t>
            </w:r>
          </w:p>
        </w:tc>
        <w:tc>
          <w:tcPr>
            <w:tcW w:w="845" w:type="dxa"/>
            <w:vAlign w:val="center"/>
          </w:tcPr>
          <w:p w14:paraId="75897827" w14:textId="77777777" w:rsidR="004665BA" w:rsidRDefault="003A3087">
            <w:pPr>
              <w:jc w:val="center"/>
            </w:pPr>
            <w:r>
              <w:rPr>
                <w:color w:val="000000"/>
                <w:sz w:val="24"/>
                <w:szCs w:val="24"/>
              </w:rPr>
              <w:t>本</w:t>
            </w:r>
            <w:proofErr w:type="gramStart"/>
            <w:r>
              <w:rPr>
                <w:color w:val="000000"/>
                <w:sz w:val="24"/>
                <w:szCs w:val="24"/>
              </w:rPr>
              <w:t>基金基金</w:t>
            </w:r>
            <w:proofErr w:type="gramEnd"/>
            <w:r>
              <w:rPr>
                <w:color w:val="000000"/>
                <w:sz w:val="24"/>
                <w:szCs w:val="24"/>
              </w:rPr>
              <w:t>经理</w:t>
            </w:r>
          </w:p>
        </w:tc>
        <w:tc>
          <w:tcPr>
            <w:tcW w:w="1549" w:type="dxa"/>
            <w:vAlign w:val="center"/>
          </w:tcPr>
          <w:p w14:paraId="35D36D39" w14:textId="77777777" w:rsidR="004665BA" w:rsidRDefault="003A3087">
            <w:pPr>
              <w:jc w:val="center"/>
            </w:pPr>
            <w:r>
              <w:rPr>
                <w:color w:val="000000"/>
                <w:sz w:val="24"/>
                <w:szCs w:val="24"/>
              </w:rPr>
              <w:t>2023-04-06</w:t>
            </w:r>
          </w:p>
        </w:tc>
        <w:tc>
          <w:tcPr>
            <w:tcW w:w="1548" w:type="dxa"/>
            <w:vAlign w:val="center"/>
          </w:tcPr>
          <w:p w14:paraId="0B1203B2" w14:textId="77777777" w:rsidR="004665BA" w:rsidRDefault="003A3087">
            <w:pPr>
              <w:jc w:val="center"/>
            </w:pPr>
            <w:r>
              <w:rPr>
                <w:color w:val="000000"/>
                <w:sz w:val="24"/>
                <w:szCs w:val="24"/>
              </w:rPr>
              <w:t>-</w:t>
            </w:r>
          </w:p>
        </w:tc>
        <w:tc>
          <w:tcPr>
            <w:tcW w:w="1407" w:type="dxa"/>
            <w:vAlign w:val="center"/>
          </w:tcPr>
          <w:p w14:paraId="4D246AED" w14:textId="77777777" w:rsidR="004665BA" w:rsidRDefault="003A3087">
            <w:pPr>
              <w:jc w:val="center"/>
            </w:pPr>
            <w:r>
              <w:rPr>
                <w:color w:val="000000"/>
                <w:sz w:val="24"/>
                <w:szCs w:val="24"/>
              </w:rPr>
              <w:t>14</w:t>
            </w:r>
            <w:r>
              <w:rPr>
                <w:color w:val="000000"/>
                <w:sz w:val="24"/>
                <w:szCs w:val="24"/>
              </w:rPr>
              <w:t>年</w:t>
            </w:r>
          </w:p>
        </w:tc>
        <w:tc>
          <w:tcPr>
            <w:tcW w:w="2673" w:type="dxa"/>
            <w:vAlign w:val="center"/>
          </w:tcPr>
          <w:p w14:paraId="0926E6D5" w14:textId="77777777" w:rsidR="004665BA" w:rsidRDefault="003A3087">
            <w:r>
              <w:rPr>
                <w:color w:val="000000"/>
                <w:sz w:val="24"/>
                <w:szCs w:val="24"/>
              </w:rPr>
              <w:t>吴春杰女士曾任长江证券股份有限公司宏观策略分析师，中国太平洋人寿保险有限公司资产配置中心配置策略经理，上海景熙资产管理有限公司投资经理</w:t>
            </w:r>
            <w:r>
              <w:rPr>
                <w:color w:val="000000"/>
                <w:sz w:val="24"/>
                <w:szCs w:val="24"/>
              </w:rPr>
              <w:t>/</w:t>
            </w:r>
            <w:r>
              <w:rPr>
                <w:color w:val="000000"/>
                <w:sz w:val="24"/>
                <w:szCs w:val="24"/>
              </w:rPr>
              <w:t>宏观策略研究。</w:t>
            </w:r>
            <w:r>
              <w:rPr>
                <w:color w:val="000000"/>
                <w:sz w:val="24"/>
                <w:szCs w:val="24"/>
              </w:rPr>
              <w:t>2018</w:t>
            </w:r>
            <w:r>
              <w:rPr>
                <w:color w:val="000000"/>
                <w:sz w:val="24"/>
                <w:szCs w:val="24"/>
              </w:rPr>
              <w:t>年</w:t>
            </w:r>
            <w:r>
              <w:rPr>
                <w:color w:val="000000"/>
                <w:sz w:val="24"/>
                <w:szCs w:val="24"/>
              </w:rPr>
              <w:t>7</w:t>
            </w:r>
            <w:r>
              <w:rPr>
                <w:color w:val="000000"/>
                <w:sz w:val="24"/>
                <w:szCs w:val="24"/>
              </w:rPr>
              <w:t>月加入摩根基金管理（中国）有限公司（原上投摩根基金管理有限公司），历任宏观研究员，现任高级基金经理。</w:t>
            </w:r>
          </w:p>
        </w:tc>
      </w:tr>
    </w:tbl>
    <w:p w14:paraId="1E0C9E41" w14:textId="77777777" w:rsidR="004665BA" w:rsidRDefault="003A30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任职日期和离任日期均指根据公司决定确定的聘任日期和解聘日期。</w:t>
      </w:r>
    </w:p>
    <w:p w14:paraId="651FEDF1"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证券从业的含义遵从行业协会《证券业从业人员资格管理办法》的相关规定。</w:t>
      </w:r>
    </w:p>
    <w:p w14:paraId="14F81796"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0CAD9197"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414345">
        <w:rPr>
          <w:color w:val="000000"/>
          <w:sz w:val="24"/>
          <w:szCs w:val="24"/>
        </w:rPr>
        <w:t>基金基金</w:t>
      </w:r>
      <w:proofErr w:type="gramEnd"/>
      <w:r w:rsidRPr="00414345">
        <w:rPr>
          <w:color w:val="000000"/>
          <w:sz w:val="24"/>
          <w:szCs w:val="24"/>
        </w:rPr>
        <w:t>合同的规定。</w:t>
      </w:r>
    </w:p>
    <w:p w14:paraId="79B6F4E4"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ADDC104"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2842AFC4"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215DA8AE" w14:textId="77777777" w:rsidR="004665BA" w:rsidRDefault="003A3087">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11CD0B6" w14:textId="77777777" w:rsidR="004665BA" w:rsidRDefault="003A3087">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97FA41E"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14:paraId="60C7F01C"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71533A82" w14:textId="77777777" w:rsidR="004665BA" w:rsidRDefault="003A3087">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14:paraId="20F8935A"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14:paraId="7B399C90" w14:textId="77777777" w:rsidR="004061AC" w:rsidRPr="00414345" w:rsidRDefault="004061AC" w:rsidP="00C15CAC">
      <w:pPr>
        <w:spacing w:before="29" w:line="288" w:lineRule="auto"/>
        <w:ind w:firstLineChars="200" w:firstLine="480"/>
        <w:rPr>
          <w:color w:val="000000"/>
          <w:sz w:val="24"/>
          <w:szCs w:val="24"/>
        </w:rPr>
      </w:pPr>
    </w:p>
    <w:p w14:paraId="6C383B58"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444982B3" w14:textId="77777777" w:rsidR="004665BA" w:rsidRDefault="003A3087">
      <w:pPr>
        <w:spacing w:before="29" w:line="288" w:lineRule="auto"/>
        <w:ind w:firstLineChars="200" w:firstLine="480"/>
        <w:rPr>
          <w:color w:val="000000"/>
          <w:sz w:val="24"/>
          <w:szCs w:val="24"/>
        </w:rPr>
      </w:pPr>
      <w:r>
        <w:rPr>
          <w:color w:val="000000"/>
          <w:sz w:val="24"/>
          <w:szCs w:val="24"/>
        </w:rPr>
        <w:t>回顾</w:t>
      </w:r>
      <w:r>
        <w:rPr>
          <w:color w:val="000000"/>
          <w:sz w:val="24"/>
          <w:szCs w:val="24"/>
        </w:rPr>
        <w:t>2024</w:t>
      </w:r>
      <w:r>
        <w:rPr>
          <w:color w:val="000000"/>
          <w:sz w:val="24"/>
          <w:szCs w:val="24"/>
        </w:rPr>
        <w:t>年四季度，国内权益市场走势以震荡为主，区间中证</w:t>
      </w:r>
      <w:r>
        <w:rPr>
          <w:color w:val="000000"/>
          <w:sz w:val="24"/>
          <w:szCs w:val="24"/>
        </w:rPr>
        <w:t>800</w:t>
      </w:r>
      <w:r>
        <w:rPr>
          <w:color w:val="000000"/>
          <w:sz w:val="24"/>
          <w:szCs w:val="24"/>
        </w:rPr>
        <w:t>涨跌幅为</w:t>
      </w:r>
      <w:r>
        <w:rPr>
          <w:color w:val="000000"/>
          <w:sz w:val="24"/>
          <w:szCs w:val="24"/>
        </w:rPr>
        <w:t>-1.6%</w:t>
      </w:r>
      <w:r>
        <w:rPr>
          <w:color w:val="000000"/>
          <w:sz w:val="24"/>
          <w:szCs w:val="24"/>
        </w:rPr>
        <w:t>。三季度末，</w:t>
      </w:r>
      <w:r>
        <w:rPr>
          <w:color w:val="000000"/>
          <w:sz w:val="24"/>
          <w:szCs w:val="24"/>
        </w:rPr>
        <w:t>9</w:t>
      </w:r>
      <w:r>
        <w:rPr>
          <w:color w:val="000000"/>
          <w:sz w:val="24"/>
          <w:szCs w:val="24"/>
        </w:rPr>
        <w:t>月</w:t>
      </w:r>
      <w:r>
        <w:rPr>
          <w:color w:val="000000"/>
          <w:sz w:val="24"/>
          <w:szCs w:val="24"/>
        </w:rPr>
        <w:t>24</w:t>
      </w:r>
      <w:r>
        <w:rPr>
          <w:color w:val="000000"/>
          <w:sz w:val="24"/>
          <w:szCs w:val="24"/>
        </w:rPr>
        <w:t>日金融部门的国新办发布会及</w:t>
      </w:r>
      <w:r>
        <w:rPr>
          <w:color w:val="000000"/>
          <w:sz w:val="24"/>
          <w:szCs w:val="24"/>
        </w:rPr>
        <w:t>9</w:t>
      </w:r>
      <w:r>
        <w:rPr>
          <w:color w:val="000000"/>
          <w:sz w:val="24"/>
          <w:szCs w:val="24"/>
        </w:rPr>
        <w:t>月</w:t>
      </w:r>
      <w:r>
        <w:rPr>
          <w:color w:val="000000"/>
          <w:sz w:val="24"/>
          <w:szCs w:val="24"/>
        </w:rPr>
        <w:t>26</w:t>
      </w:r>
      <w:r>
        <w:rPr>
          <w:color w:val="000000"/>
          <w:sz w:val="24"/>
          <w:szCs w:val="24"/>
        </w:rPr>
        <w:t>日的政治局会议，政策面释放了稳股市、稳房市、</w:t>
      </w:r>
      <w:proofErr w:type="gramStart"/>
      <w:r>
        <w:rPr>
          <w:color w:val="000000"/>
          <w:sz w:val="24"/>
          <w:szCs w:val="24"/>
        </w:rPr>
        <w:t>稳经济</w:t>
      </w:r>
      <w:proofErr w:type="gramEnd"/>
      <w:r>
        <w:rPr>
          <w:color w:val="000000"/>
          <w:sz w:val="24"/>
          <w:szCs w:val="24"/>
        </w:rPr>
        <w:t>的信号，</w:t>
      </w:r>
      <w:r>
        <w:rPr>
          <w:color w:val="000000"/>
          <w:sz w:val="24"/>
          <w:szCs w:val="24"/>
        </w:rPr>
        <w:t>A</w:t>
      </w:r>
      <w:proofErr w:type="gramStart"/>
      <w:r>
        <w:rPr>
          <w:color w:val="000000"/>
          <w:sz w:val="24"/>
          <w:szCs w:val="24"/>
        </w:rPr>
        <w:t>股经历</w:t>
      </w:r>
      <w:proofErr w:type="gramEnd"/>
      <w:r>
        <w:rPr>
          <w:color w:val="000000"/>
          <w:sz w:val="24"/>
          <w:szCs w:val="24"/>
        </w:rPr>
        <w:t>快速上涨后，四季度进入对</w:t>
      </w:r>
      <w:proofErr w:type="gramStart"/>
      <w:r>
        <w:rPr>
          <w:color w:val="000000"/>
          <w:sz w:val="24"/>
          <w:szCs w:val="24"/>
        </w:rPr>
        <w:t>具体稳增长</w:t>
      </w:r>
      <w:proofErr w:type="gramEnd"/>
      <w:r>
        <w:rPr>
          <w:color w:val="000000"/>
          <w:sz w:val="24"/>
          <w:szCs w:val="24"/>
        </w:rPr>
        <w:t>政策力度、政策效果的观察期。国内债券方面，在适度宽松的货币政策基调下，市场对降准、降息持有较高期待，国债收益率曲线整体下移，截至季末，</w:t>
      </w:r>
      <w:r>
        <w:rPr>
          <w:color w:val="000000"/>
          <w:sz w:val="24"/>
          <w:szCs w:val="24"/>
        </w:rPr>
        <w:t>10</w:t>
      </w:r>
      <w:r>
        <w:rPr>
          <w:color w:val="000000"/>
          <w:sz w:val="24"/>
          <w:szCs w:val="24"/>
        </w:rPr>
        <w:t>年期国债本季度下行</w:t>
      </w:r>
      <w:r>
        <w:rPr>
          <w:color w:val="000000"/>
          <w:sz w:val="24"/>
          <w:szCs w:val="24"/>
        </w:rPr>
        <w:t>48BP</w:t>
      </w:r>
      <w:r>
        <w:rPr>
          <w:color w:val="000000"/>
          <w:sz w:val="24"/>
          <w:szCs w:val="24"/>
        </w:rPr>
        <w:t>至</w:t>
      </w:r>
      <w:r>
        <w:rPr>
          <w:color w:val="000000"/>
          <w:sz w:val="24"/>
          <w:szCs w:val="24"/>
        </w:rPr>
        <w:t>1.68%</w:t>
      </w:r>
      <w:r>
        <w:rPr>
          <w:color w:val="000000"/>
          <w:sz w:val="24"/>
          <w:szCs w:val="24"/>
        </w:rPr>
        <w:t>。</w:t>
      </w:r>
    </w:p>
    <w:p w14:paraId="5327DDE0" w14:textId="77777777" w:rsidR="004665BA" w:rsidRDefault="003A3087">
      <w:pPr>
        <w:spacing w:before="29" w:line="288" w:lineRule="auto"/>
        <w:ind w:firstLineChars="200" w:firstLine="480"/>
        <w:rPr>
          <w:color w:val="000000"/>
          <w:sz w:val="24"/>
          <w:szCs w:val="24"/>
        </w:rPr>
      </w:pPr>
      <w:r>
        <w:rPr>
          <w:color w:val="000000"/>
          <w:sz w:val="24"/>
          <w:szCs w:val="24"/>
        </w:rPr>
        <w:t>海外方面，美股延续小幅反弹。美国大选落定，胜选者主张更大力度的减税政策、放松监管政策或将有利于美股盈利增长，</w:t>
      </w:r>
      <w:proofErr w:type="gramStart"/>
      <w:r>
        <w:rPr>
          <w:color w:val="000000"/>
          <w:sz w:val="24"/>
          <w:szCs w:val="24"/>
        </w:rPr>
        <w:t>标普</w:t>
      </w:r>
      <w:proofErr w:type="gramEnd"/>
      <w:r>
        <w:rPr>
          <w:color w:val="000000"/>
          <w:sz w:val="24"/>
          <w:szCs w:val="24"/>
        </w:rPr>
        <w:t>500</w:t>
      </w:r>
      <w:r>
        <w:rPr>
          <w:color w:val="000000"/>
          <w:sz w:val="24"/>
          <w:szCs w:val="24"/>
        </w:rPr>
        <w:t>指数季度涨跌幅为</w:t>
      </w:r>
      <w:r>
        <w:rPr>
          <w:color w:val="000000"/>
          <w:sz w:val="24"/>
          <w:szCs w:val="24"/>
        </w:rPr>
        <w:t>2.1%</w:t>
      </w:r>
      <w:r>
        <w:rPr>
          <w:color w:val="000000"/>
          <w:sz w:val="24"/>
          <w:szCs w:val="24"/>
        </w:rPr>
        <w:t>。在随后</w:t>
      </w:r>
      <w:r>
        <w:rPr>
          <w:color w:val="000000"/>
          <w:sz w:val="24"/>
          <w:szCs w:val="24"/>
        </w:rPr>
        <w:t>12</w:t>
      </w:r>
      <w:r>
        <w:rPr>
          <w:color w:val="000000"/>
          <w:sz w:val="24"/>
          <w:szCs w:val="24"/>
        </w:rPr>
        <w:t>月议</w:t>
      </w:r>
      <w:proofErr w:type="gramStart"/>
      <w:r>
        <w:rPr>
          <w:color w:val="000000"/>
          <w:sz w:val="24"/>
          <w:szCs w:val="24"/>
        </w:rPr>
        <w:t>息会议</w:t>
      </w:r>
      <w:proofErr w:type="gramEnd"/>
      <w:r>
        <w:rPr>
          <w:color w:val="000000"/>
          <w:sz w:val="24"/>
          <w:szCs w:val="24"/>
        </w:rPr>
        <w:t>上，美联储虽延续降息</w:t>
      </w:r>
      <w:r>
        <w:rPr>
          <w:color w:val="000000"/>
          <w:sz w:val="24"/>
          <w:szCs w:val="24"/>
        </w:rPr>
        <w:t>25BP</w:t>
      </w:r>
      <w:r>
        <w:rPr>
          <w:color w:val="000000"/>
          <w:sz w:val="24"/>
          <w:szCs w:val="24"/>
        </w:rPr>
        <w:t>，但对后续降息节奏偏谨慎，亦反映了大选对美国未来经济前景可能发生的潜在影响的预期变化，截至季末，</w:t>
      </w:r>
      <w:proofErr w:type="gramStart"/>
      <w:r>
        <w:rPr>
          <w:color w:val="000000"/>
          <w:sz w:val="24"/>
          <w:szCs w:val="24"/>
        </w:rPr>
        <w:t>10</w:t>
      </w:r>
      <w:r>
        <w:rPr>
          <w:color w:val="000000"/>
          <w:sz w:val="24"/>
          <w:szCs w:val="24"/>
        </w:rPr>
        <w:t>年期美债</w:t>
      </w:r>
      <w:proofErr w:type="gramEnd"/>
      <w:r>
        <w:rPr>
          <w:color w:val="000000"/>
          <w:sz w:val="24"/>
          <w:szCs w:val="24"/>
        </w:rPr>
        <w:t>收益率季度大幅上行</w:t>
      </w:r>
      <w:r>
        <w:rPr>
          <w:color w:val="000000"/>
          <w:sz w:val="24"/>
          <w:szCs w:val="24"/>
        </w:rPr>
        <w:t>77BP</w:t>
      </w:r>
      <w:r>
        <w:rPr>
          <w:color w:val="000000"/>
          <w:sz w:val="24"/>
          <w:szCs w:val="24"/>
        </w:rPr>
        <w:t>至</w:t>
      </w:r>
      <w:r>
        <w:rPr>
          <w:color w:val="000000"/>
          <w:sz w:val="24"/>
          <w:szCs w:val="24"/>
        </w:rPr>
        <w:t>4.58%</w:t>
      </w:r>
      <w:r>
        <w:rPr>
          <w:color w:val="000000"/>
          <w:sz w:val="24"/>
          <w:szCs w:val="24"/>
        </w:rPr>
        <w:t>。</w:t>
      </w:r>
    </w:p>
    <w:p w14:paraId="3B77B3D7" w14:textId="77777777" w:rsidR="004665BA" w:rsidRDefault="003A3087">
      <w:pPr>
        <w:spacing w:before="29" w:line="288" w:lineRule="auto"/>
        <w:ind w:firstLineChars="200" w:firstLine="480"/>
        <w:rPr>
          <w:color w:val="000000"/>
          <w:sz w:val="24"/>
          <w:szCs w:val="24"/>
        </w:rPr>
      </w:pPr>
      <w:r>
        <w:rPr>
          <w:color w:val="000000"/>
          <w:sz w:val="24"/>
          <w:szCs w:val="24"/>
        </w:rPr>
        <w:t>四季度，基金累计收益率</w:t>
      </w:r>
      <w:r>
        <w:rPr>
          <w:color w:val="000000"/>
          <w:sz w:val="24"/>
          <w:szCs w:val="24"/>
        </w:rPr>
        <w:t>-0.63%</w:t>
      </w:r>
      <w:r>
        <w:rPr>
          <w:color w:val="000000"/>
          <w:sz w:val="24"/>
          <w:szCs w:val="24"/>
        </w:rPr>
        <w:t>，组合围绕业绩比较基准运作，结合战术资产配置观点进行多元化配置，整体超配高风险资产，结构上阶段性超配国内权益及电子板块</w:t>
      </w:r>
      <w:proofErr w:type="gramStart"/>
      <w:r>
        <w:rPr>
          <w:color w:val="000000"/>
          <w:sz w:val="24"/>
          <w:szCs w:val="24"/>
        </w:rPr>
        <w:t>具正贡献</w:t>
      </w:r>
      <w:proofErr w:type="gramEnd"/>
      <w:r>
        <w:rPr>
          <w:color w:val="000000"/>
          <w:sz w:val="24"/>
          <w:szCs w:val="24"/>
        </w:rPr>
        <w:t>，黄金等多元资产丰富收益来源。</w:t>
      </w:r>
    </w:p>
    <w:p w14:paraId="7A3B144C" w14:textId="77777777" w:rsidR="004665BA" w:rsidRDefault="003A3087">
      <w:pPr>
        <w:spacing w:before="29" w:line="288" w:lineRule="auto"/>
        <w:ind w:firstLineChars="200" w:firstLine="480"/>
        <w:rPr>
          <w:color w:val="000000"/>
          <w:sz w:val="24"/>
          <w:szCs w:val="24"/>
        </w:rPr>
      </w:pPr>
      <w:r>
        <w:rPr>
          <w:color w:val="000000"/>
          <w:sz w:val="24"/>
          <w:szCs w:val="24"/>
        </w:rPr>
        <w:t>从全球宏观变化来讲，美联储降息周期的开启叠加美国大选结束，市场对于基准情形经济</w:t>
      </w:r>
      <w:r>
        <w:rPr>
          <w:color w:val="000000"/>
          <w:sz w:val="24"/>
          <w:szCs w:val="24"/>
        </w:rPr>
        <w:t>“</w:t>
      </w:r>
      <w:r>
        <w:rPr>
          <w:color w:val="000000"/>
          <w:sz w:val="24"/>
          <w:szCs w:val="24"/>
        </w:rPr>
        <w:t>软着陆</w:t>
      </w:r>
      <w:r>
        <w:rPr>
          <w:color w:val="000000"/>
          <w:sz w:val="24"/>
          <w:szCs w:val="24"/>
        </w:rPr>
        <w:t>”</w:t>
      </w:r>
      <w:r>
        <w:rPr>
          <w:color w:val="000000"/>
          <w:sz w:val="24"/>
          <w:szCs w:val="24"/>
        </w:rPr>
        <w:t>的信心逐步上升，从而支持对风险资产的配置，发达市场债券有利的配置时点有所延后。</w:t>
      </w:r>
    </w:p>
    <w:p w14:paraId="4786959B" w14:textId="77777777" w:rsidR="004665BA" w:rsidRDefault="003A3087">
      <w:pPr>
        <w:spacing w:before="29" w:line="288" w:lineRule="auto"/>
        <w:ind w:firstLineChars="200" w:firstLine="480"/>
        <w:rPr>
          <w:color w:val="000000"/>
          <w:sz w:val="24"/>
          <w:szCs w:val="24"/>
        </w:rPr>
      </w:pPr>
      <w:r>
        <w:rPr>
          <w:color w:val="000000"/>
          <w:sz w:val="24"/>
          <w:szCs w:val="24"/>
        </w:rPr>
        <w:t>国内权益市场方面，三季度以来，国内宏观经济政策开始积极调整，</w:t>
      </w:r>
      <w:r>
        <w:rPr>
          <w:color w:val="000000"/>
          <w:sz w:val="24"/>
          <w:szCs w:val="24"/>
        </w:rPr>
        <w:t>11</w:t>
      </w:r>
      <w:r>
        <w:rPr>
          <w:color w:val="000000"/>
          <w:sz w:val="24"/>
          <w:szCs w:val="24"/>
        </w:rPr>
        <w:t>月初</w:t>
      </w:r>
      <w:r>
        <w:rPr>
          <w:color w:val="000000"/>
          <w:sz w:val="24"/>
          <w:szCs w:val="24"/>
        </w:rPr>
        <w:t>12</w:t>
      </w:r>
      <w:proofErr w:type="gramStart"/>
      <w:r>
        <w:rPr>
          <w:color w:val="000000"/>
          <w:sz w:val="24"/>
          <w:szCs w:val="24"/>
        </w:rPr>
        <w:t>万亿</w:t>
      </w:r>
      <w:proofErr w:type="gramEnd"/>
      <w:r>
        <w:rPr>
          <w:color w:val="000000"/>
          <w:sz w:val="24"/>
          <w:szCs w:val="24"/>
        </w:rPr>
        <w:t>地方财政债务置换方案出台、四季度货币政策表述转为</w:t>
      </w:r>
      <w:r>
        <w:rPr>
          <w:color w:val="000000"/>
          <w:sz w:val="24"/>
          <w:szCs w:val="24"/>
        </w:rPr>
        <w:t>“</w:t>
      </w:r>
      <w:r>
        <w:rPr>
          <w:color w:val="000000"/>
          <w:sz w:val="24"/>
          <w:szCs w:val="24"/>
        </w:rPr>
        <w:t>适度宽松</w:t>
      </w:r>
      <w:r>
        <w:rPr>
          <w:color w:val="000000"/>
          <w:sz w:val="24"/>
          <w:szCs w:val="24"/>
        </w:rPr>
        <w:t>”</w:t>
      </w:r>
      <w:r>
        <w:rPr>
          <w:color w:val="000000"/>
          <w:sz w:val="24"/>
          <w:szCs w:val="24"/>
        </w:rPr>
        <w:t>，总体起到了稳定资本市场信心的效果。一方面，</w:t>
      </w:r>
      <w:r>
        <w:rPr>
          <w:color w:val="000000"/>
          <w:sz w:val="24"/>
          <w:szCs w:val="24"/>
        </w:rPr>
        <w:t>A</w:t>
      </w:r>
      <w:r>
        <w:rPr>
          <w:color w:val="000000"/>
          <w:sz w:val="24"/>
          <w:szCs w:val="24"/>
        </w:rPr>
        <w:t>股成交量持续处在较高水平，市场活跃度较好；另一方面，市场增量资金来源扩展，央行创设的互换便利工具逐步落地，以中证</w:t>
      </w:r>
      <w:r>
        <w:rPr>
          <w:color w:val="000000"/>
          <w:sz w:val="24"/>
          <w:szCs w:val="24"/>
        </w:rPr>
        <w:t>A500</w:t>
      </w:r>
      <w:r>
        <w:rPr>
          <w:color w:val="000000"/>
          <w:sz w:val="24"/>
          <w:szCs w:val="24"/>
        </w:rPr>
        <w:t>指数为代表</w:t>
      </w:r>
      <w:proofErr w:type="gramStart"/>
      <w:r>
        <w:rPr>
          <w:color w:val="000000"/>
          <w:sz w:val="24"/>
          <w:szCs w:val="24"/>
        </w:rPr>
        <w:t>的宽基</w:t>
      </w:r>
      <w:proofErr w:type="gramEnd"/>
      <w:r>
        <w:rPr>
          <w:color w:val="000000"/>
          <w:sz w:val="24"/>
          <w:szCs w:val="24"/>
        </w:rPr>
        <w:t>ETF</w:t>
      </w:r>
      <w:r>
        <w:rPr>
          <w:color w:val="000000"/>
          <w:sz w:val="24"/>
          <w:szCs w:val="24"/>
        </w:rPr>
        <w:t>基金批量新发，同时，高风险偏好的两融资金余额呈现上升趋势。结构上，已经出台的</w:t>
      </w:r>
      <w:r>
        <w:rPr>
          <w:color w:val="000000"/>
          <w:sz w:val="24"/>
          <w:szCs w:val="24"/>
        </w:rPr>
        <w:t>“</w:t>
      </w:r>
      <w:r>
        <w:rPr>
          <w:color w:val="000000"/>
          <w:sz w:val="24"/>
          <w:szCs w:val="24"/>
        </w:rPr>
        <w:t>以旧换新</w:t>
      </w:r>
      <w:r>
        <w:rPr>
          <w:color w:val="000000"/>
          <w:sz w:val="24"/>
          <w:szCs w:val="24"/>
        </w:rPr>
        <w:t>”</w:t>
      </w:r>
      <w:r>
        <w:rPr>
          <w:color w:val="000000"/>
          <w:sz w:val="24"/>
          <w:szCs w:val="24"/>
        </w:rPr>
        <w:t>补贴中对于拉动以家电、汽车为代表的消费品起到了较好的效果，预计</w:t>
      </w:r>
      <w:r>
        <w:rPr>
          <w:color w:val="000000"/>
          <w:sz w:val="24"/>
          <w:szCs w:val="24"/>
        </w:rPr>
        <w:t>2025</w:t>
      </w:r>
      <w:r>
        <w:rPr>
          <w:color w:val="000000"/>
          <w:sz w:val="24"/>
          <w:szCs w:val="24"/>
        </w:rPr>
        <w:t>年内需消费政策仍将是稳定经济增长的有力抓手。同时，与中长期经济结构调整方向相匹配的科技成长方向，也有望受益于相关产业的支持性政策。目前，我们对高风险资产持中性</w:t>
      </w:r>
      <w:proofErr w:type="gramStart"/>
      <w:r>
        <w:rPr>
          <w:color w:val="000000"/>
          <w:sz w:val="24"/>
          <w:szCs w:val="24"/>
        </w:rPr>
        <w:t>偏积极</w:t>
      </w:r>
      <w:proofErr w:type="gramEnd"/>
      <w:r>
        <w:rPr>
          <w:color w:val="000000"/>
          <w:sz w:val="24"/>
          <w:szCs w:val="24"/>
        </w:rPr>
        <w:t>的看法，后续关注春节前后市场流动性的变化、</w:t>
      </w:r>
      <w:r>
        <w:rPr>
          <w:color w:val="000000"/>
          <w:sz w:val="24"/>
          <w:szCs w:val="24"/>
        </w:rPr>
        <w:t>3</w:t>
      </w:r>
      <w:r>
        <w:rPr>
          <w:color w:val="000000"/>
          <w:sz w:val="24"/>
          <w:szCs w:val="24"/>
        </w:rPr>
        <w:t>月初两会制定的经济工作目标、财政政策的发力方向，跟踪评估政策对经济基本面的影响，进而评估是否调整投资组合。港股方面，与国内经济复苏密切相关，部分港股上市企业盈利预期有所改善，同时有望受益于海外流动性环境改善，估值具吸引力。</w:t>
      </w:r>
    </w:p>
    <w:p w14:paraId="112627AA"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对于国内债券来讲，托底经济增长的政策在发力中，内外利差仍为负值，国内债相对</w:t>
      </w:r>
      <w:r w:rsidRPr="00414345">
        <w:rPr>
          <w:color w:val="000000"/>
          <w:sz w:val="24"/>
          <w:szCs w:val="24"/>
        </w:rPr>
        <w:t>A</w:t>
      </w:r>
      <w:r w:rsidRPr="00414345">
        <w:rPr>
          <w:color w:val="000000"/>
          <w:sz w:val="24"/>
          <w:szCs w:val="24"/>
        </w:rPr>
        <w:t>股股息率所反映的估值亦较贵。但考虑到当前处在地方政府化</w:t>
      </w:r>
      <w:proofErr w:type="gramStart"/>
      <w:r w:rsidRPr="00414345">
        <w:rPr>
          <w:color w:val="000000"/>
          <w:sz w:val="24"/>
          <w:szCs w:val="24"/>
        </w:rPr>
        <w:t>债进程</w:t>
      </w:r>
      <w:proofErr w:type="gramEnd"/>
      <w:r w:rsidRPr="00414345">
        <w:rPr>
          <w:color w:val="000000"/>
          <w:sz w:val="24"/>
          <w:szCs w:val="24"/>
        </w:rPr>
        <w:t>中，实际利率高位下，货币政策为支持性的基调，国内债券的风险相对可控。考虑四季度债券收益率的大幅下行反映出对于潜在的降准、降息已有较大程度的抢跑，且年初将进入新</w:t>
      </w:r>
      <w:proofErr w:type="gramStart"/>
      <w:r w:rsidRPr="00414345">
        <w:rPr>
          <w:color w:val="000000"/>
          <w:sz w:val="24"/>
          <w:szCs w:val="24"/>
        </w:rPr>
        <w:t>一轮稳增长</w:t>
      </w:r>
      <w:proofErr w:type="gramEnd"/>
      <w:r w:rsidRPr="00414345">
        <w:rPr>
          <w:color w:val="000000"/>
          <w:sz w:val="24"/>
          <w:szCs w:val="24"/>
        </w:rPr>
        <w:t>政策验证期，长久期利率的波动或有上升，</w:t>
      </w:r>
      <w:proofErr w:type="gramStart"/>
      <w:r w:rsidRPr="00414345">
        <w:rPr>
          <w:color w:val="000000"/>
          <w:sz w:val="24"/>
          <w:szCs w:val="24"/>
        </w:rPr>
        <w:t>后续仍</w:t>
      </w:r>
      <w:proofErr w:type="gramEnd"/>
      <w:r w:rsidRPr="00414345">
        <w:rPr>
          <w:color w:val="000000"/>
          <w:sz w:val="24"/>
          <w:szCs w:val="24"/>
        </w:rPr>
        <w:t>以中短债策略为主。</w:t>
      </w:r>
    </w:p>
    <w:p w14:paraId="7FCC5BC0" w14:textId="77777777" w:rsidR="00627E2D" w:rsidRPr="00414345" w:rsidRDefault="00627E2D" w:rsidP="00C15CAC">
      <w:pPr>
        <w:spacing w:before="29" w:line="288" w:lineRule="auto"/>
        <w:ind w:firstLineChars="200" w:firstLine="480"/>
        <w:rPr>
          <w:color w:val="000000"/>
          <w:sz w:val="24"/>
          <w:szCs w:val="24"/>
        </w:rPr>
      </w:pPr>
    </w:p>
    <w:p w14:paraId="5DE8E164"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4A1B90EB"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本报告期摩根锦颐养</w:t>
      </w:r>
      <w:proofErr w:type="gramStart"/>
      <w:r w:rsidRPr="00414345">
        <w:rPr>
          <w:color w:val="000000"/>
          <w:sz w:val="24"/>
          <w:szCs w:val="24"/>
        </w:rPr>
        <w:t>老目标</w:t>
      </w:r>
      <w:proofErr w:type="gramEnd"/>
      <w:r w:rsidRPr="00414345">
        <w:rPr>
          <w:color w:val="000000"/>
          <w:sz w:val="24"/>
          <w:szCs w:val="24"/>
        </w:rPr>
        <w:t>日期</w:t>
      </w:r>
      <w:r w:rsidRPr="00414345">
        <w:rPr>
          <w:color w:val="000000"/>
          <w:sz w:val="24"/>
          <w:szCs w:val="24"/>
        </w:rPr>
        <w:t>2035</w:t>
      </w:r>
      <w:r w:rsidRPr="00414345">
        <w:rPr>
          <w:color w:val="000000"/>
          <w:sz w:val="24"/>
          <w:szCs w:val="24"/>
        </w:rPr>
        <w:t>三年份额净值增长率为</w:t>
      </w:r>
      <w:r w:rsidRPr="00414345">
        <w:rPr>
          <w:color w:val="000000"/>
          <w:sz w:val="24"/>
          <w:szCs w:val="24"/>
        </w:rPr>
        <w:t>:-0.63%</w:t>
      </w:r>
      <w:r w:rsidRPr="00414345">
        <w:rPr>
          <w:color w:val="000000"/>
          <w:sz w:val="24"/>
          <w:szCs w:val="24"/>
        </w:rPr>
        <w:t>，同期业绩比较基准收益率为</w:t>
      </w:r>
      <w:r w:rsidRPr="00414345">
        <w:rPr>
          <w:color w:val="000000"/>
          <w:sz w:val="24"/>
          <w:szCs w:val="24"/>
        </w:rPr>
        <w:t>:0.44%</w:t>
      </w:r>
      <w:r w:rsidRPr="00414345">
        <w:rPr>
          <w:color w:val="000000"/>
          <w:sz w:val="24"/>
          <w:szCs w:val="24"/>
        </w:rPr>
        <w:t>。</w:t>
      </w:r>
    </w:p>
    <w:p w14:paraId="1E936E2D" w14:textId="77777777" w:rsidR="009C5186" w:rsidRPr="00414345" w:rsidRDefault="009C5186" w:rsidP="00C15CAC">
      <w:pPr>
        <w:spacing w:before="29" w:line="288" w:lineRule="auto"/>
        <w:ind w:firstLineChars="200" w:firstLine="480"/>
        <w:rPr>
          <w:color w:val="000000"/>
          <w:sz w:val="24"/>
          <w:szCs w:val="24"/>
        </w:rPr>
      </w:pPr>
    </w:p>
    <w:p w14:paraId="18F66FEB" w14:textId="77777777"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41304D5B" w14:textId="77777777" w:rsidR="00421CD2" w:rsidRDefault="00421CD2" w:rsidP="00421CD2">
      <w:pPr>
        <w:spacing w:before="29" w:line="288" w:lineRule="auto"/>
        <w:ind w:firstLineChars="200" w:firstLine="480"/>
        <w:rPr>
          <w:color w:val="000000"/>
          <w:sz w:val="24"/>
        </w:rPr>
      </w:pPr>
      <w:r w:rsidRPr="002070B4">
        <w:rPr>
          <w:color w:val="000000"/>
          <w:sz w:val="24"/>
        </w:rPr>
        <w:t>无。</w:t>
      </w:r>
    </w:p>
    <w:p w14:paraId="751484BB"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14:paraId="2F34F09F" w14:textId="77777777"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14:paraId="75280A49" w14:textId="77777777" w:rsidTr="004C0877">
        <w:tc>
          <w:tcPr>
            <w:tcW w:w="720" w:type="dxa"/>
            <w:vAlign w:val="center"/>
          </w:tcPr>
          <w:p w14:paraId="1CFFD2D0"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14:paraId="1D47413E"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14:paraId="519EAC88"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14:paraId="4F4DC269"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14:paraId="20B4ABD3" w14:textId="77777777" w:rsidTr="004C0877">
        <w:tc>
          <w:tcPr>
            <w:tcW w:w="720" w:type="dxa"/>
            <w:vAlign w:val="center"/>
          </w:tcPr>
          <w:p w14:paraId="1C1F920D"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14:paraId="0232B632"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14:paraId="6E845BDA"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66C4A32C"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72FBA899" w14:textId="77777777" w:rsidTr="004C0877">
        <w:tc>
          <w:tcPr>
            <w:tcW w:w="720" w:type="dxa"/>
            <w:vAlign w:val="center"/>
          </w:tcPr>
          <w:p w14:paraId="4E307327"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33BE6D2B"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14:paraId="2B6EE7D5"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58C0AEB8"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78970AE6" w14:textId="77777777" w:rsidTr="004C0877">
        <w:tc>
          <w:tcPr>
            <w:tcW w:w="720" w:type="dxa"/>
            <w:vAlign w:val="center"/>
          </w:tcPr>
          <w:p w14:paraId="3B7FFB08"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14:paraId="37CE28B7"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14:paraId="7AFCC0E7"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42,291,261.67</w:t>
            </w:r>
          </w:p>
        </w:tc>
        <w:tc>
          <w:tcPr>
            <w:tcW w:w="2801" w:type="dxa"/>
            <w:vAlign w:val="center"/>
          </w:tcPr>
          <w:p w14:paraId="4D81689C"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89.85</w:t>
            </w:r>
          </w:p>
        </w:tc>
      </w:tr>
      <w:tr w:rsidR="00BF0019" w:rsidRPr="007B5F21" w14:paraId="12616236" w14:textId="77777777" w:rsidTr="004C0877">
        <w:tc>
          <w:tcPr>
            <w:tcW w:w="720" w:type="dxa"/>
            <w:vAlign w:val="center"/>
          </w:tcPr>
          <w:p w14:paraId="558A1EC7"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14:paraId="2ECB90A3"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14:paraId="5278769C"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2,219,024.55</w:t>
            </w:r>
          </w:p>
        </w:tc>
        <w:tc>
          <w:tcPr>
            <w:tcW w:w="2801" w:type="dxa"/>
            <w:vAlign w:val="center"/>
          </w:tcPr>
          <w:p w14:paraId="726B1DC1"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4.71</w:t>
            </w:r>
          </w:p>
        </w:tc>
      </w:tr>
      <w:tr w:rsidR="00BF0019" w:rsidRPr="007B5F21" w14:paraId="23F147B9" w14:textId="77777777" w:rsidTr="004C0877">
        <w:tc>
          <w:tcPr>
            <w:tcW w:w="720" w:type="dxa"/>
            <w:vAlign w:val="center"/>
          </w:tcPr>
          <w:p w14:paraId="3D017714"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7C41FC59"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14:paraId="0A7AEA7B"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2,219,024.55</w:t>
            </w:r>
          </w:p>
        </w:tc>
        <w:tc>
          <w:tcPr>
            <w:tcW w:w="2801" w:type="dxa"/>
            <w:vAlign w:val="center"/>
          </w:tcPr>
          <w:p w14:paraId="288225CF"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4.71</w:t>
            </w:r>
          </w:p>
        </w:tc>
      </w:tr>
      <w:tr w:rsidR="00BF0019" w:rsidRPr="007B5F21" w14:paraId="438C376E" w14:textId="77777777" w:rsidTr="004C0877">
        <w:tc>
          <w:tcPr>
            <w:tcW w:w="720" w:type="dxa"/>
            <w:vAlign w:val="center"/>
          </w:tcPr>
          <w:p w14:paraId="7A594FA8"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4F51DCDC" w14:textId="77777777"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14:paraId="1292D571"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26130AA6"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5AA8C8FE" w14:textId="77777777" w:rsidTr="004C0877">
        <w:tc>
          <w:tcPr>
            <w:tcW w:w="720" w:type="dxa"/>
            <w:vAlign w:val="center"/>
          </w:tcPr>
          <w:p w14:paraId="7537487B"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14:paraId="64E4887F" w14:textId="77777777" w:rsidR="00BF0019" w:rsidRPr="007B5F21" w:rsidRDefault="00BF0019" w:rsidP="004C0877">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14:paraId="2E556D0B"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1E4510F8"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386B84EE" w14:textId="77777777" w:rsidTr="004C0877">
        <w:tc>
          <w:tcPr>
            <w:tcW w:w="720" w:type="dxa"/>
            <w:vAlign w:val="center"/>
          </w:tcPr>
          <w:p w14:paraId="18339C61"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14:paraId="0F03027E"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14:paraId="018359AB"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2713A9F3"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5BC49D35" w14:textId="77777777" w:rsidTr="004C0877">
        <w:tc>
          <w:tcPr>
            <w:tcW w:w="720" w:type="dxa"/>
            <w:vAlign w:val="center"/>
          </w:tcPr>
          <w:p w14:paraId="0FD75F8A"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14:paraId="5478EE6C"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14:paraId="3E5F9567"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73F36708"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6B5C996A" w14:textId="77777777" w:rsidTr="004C0877">
        <w:tc>
          <w:tcPr>
            <w:tcW w:w="720" w:type="dxa"/>
            <w:vAlign w:val="center"/>
          </w:tcPr>
          <w:p w14:paraId="20CFEB79"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6389460A"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14:paraId="2450D99B"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4CB8DF55"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5B08F920" w14:textId="77777777" w:rsidTr="004C0877">
        <w:tc>
          <w:tcPr>
            <w:tcW w:w="720" w:type="dxa"/>
            <w:vAlign w:val="center"/>
          </w:tcPr>
          <w:p w14:paraId="5A767A08"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14:paraId="0E346EEF"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14:paraId="0C907B21"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1,510,369.65</w:t>
            </w:r>
          </w:p>
        </w:tc>
        <w:tc>
          <w:tcPr>
            <w:tcW w:w="2801" w:type="dxa"/>
            <w:vAlign w:val="center"/>
          </w:tcPr>
          <w:p w14:paraId="1DD04C39"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3.21</w:t>
            </w:r>
          </w:p>
        </w:tc>
      </w:tr>
      <w:tr w:rsidR="00BF0019" w:rsidRPr="007B5F21" w14:paraId="3026DF2D" w14:textId="77777777" w:rsidTr="004C0877">
        <w:tc>
          <w:tcPr>
            <w:tcW w:w="720" w:type="dxa"/>
            <w:vAlign w:val="center"/>
          </w:tcPr>
          <w:p w14:paraId="024A3957"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14:paraId="7486639E" w14:textId="77777777"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14:paraId="62A89A43"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1,050,598.84</w:t>
            </w:r>
          </w:p>
        </w:tc>
        <w:tc>
          <w:tcPr>
            <w:tcW w:w="2801" w:type="dxa"/>
            <w:vAlign w:val="center"/>
          </w:tcPr>
          <w:p w14:paraId="7932E277"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2.23</w:t>
            </w:r>
          </w:p>
        </w:tc>
      </w:tr>
      <w:tr w:rsidR="00BF0019" w:rsidRPr="007B5F21" w14:paraId="24421ACF" w14:textId="77777777" w:rsidTr="004C0877">
        <w:tc>
          <w:tcPr>
            <w:tcW w:w="720" w:type="dxa"/>
            <w:vAlign w:val="center"/>
          </w:tcPr>
          <w:p w14:paraId="5E4C8335"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14:paraId="38527B7F" w14:textId="77777777"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14:paraId="4F58788C"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47,071,254.71</w:t>
            </w:r>
          </w:p>
        </w:tc>
        <w:tc>
          <w:tcPr>
            <w:tcW w:w="2801" w:type="dxa"/>
            <w:vAlign w:val="center"/>
          </w:tcPr>
          <w:p w14:paraId="101582A8"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170B3E62"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2564FE82"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14:paraId="2E8490F4" w14:textId="77777777"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14:paraId="2EB99E4F"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14:paraId="21FB02FC" w14:textId="77777777" w:rsidR="004061AC" w:rsidRPr="00F51C4E" w:rsidRDefault="004061AC" w:rsidP="00C15CAC">
      <w:pPr>
        <w:autoSpaceDE w:val="0"/>
        <w:autoSpaceDN w:val="0"/>
        <w:adjustRightInd w:val="0"/>
        <w:spacing w:before="29" w:line="288" w:lineRule="auto"/>
        <w:jc w:val="left"/>
        <w:rPr>
          <w:color w:val="000000"/>
          <w:kern w:val="0"/>
          <w:sz w:val="24"/>
          <w:szCs w:val="24"/>
        </w:rPr>
      </w:pPr>
    </w:p>
    <w:p w14:paraId="35AE3F8F" w14:textId="77777777"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 </w:t>
      </w:r>
      <w:r w:rsidR="004061AC" w:rsidRPr="00E133DE">
        <w:rPr>
          <w:b/>
          <w:bCs/>
          <w:kern w:val="0"/>
          <w:sz w:val="24"/>
          <w:szCs w:val="24"/>
        </w:rPr>
        <w:t>报告期末按公允价值占基金资产净值比例大小排序的前十名股票投资明细</w:t>
      </w:r>
    </w:p>
    <w:p w14:paraId="78C92BC2" w14:textId="77777777"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14:paraId="58A0B75F" w14:textId="77777777" w:rsidR="00E133DE" w:rsidRPr="00975DED" w:rsidRDefault="00E133DE" w:rsidP="00C15CAC">
      <w:pPr>
        <w:autoSpaceDE w:val="0"/>
        <w:autoSpaceDN w:val="0"/>
        <w:adjustRightInd w:val="0"/>
        <w:spacing w:before="29" w:line="288" w:lineRule="auto"/>
        <w:jc w:val="left"/>
        <w:rPr>
          <w:b/>
          <w:bCs/>
          <w:color w:val="000000"/>
          <w:kern w:val="0"/>
          <w:sz w:val="24"/>
          <w:szCs w:val="24"/>
        </w:rPr>
      </w:pPr>
    </w:p>
    <w:p w14:paraId="28A7A82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14:paraId="2DD710F6" w14:textId="77777777" w:rsidTr="00F323FF">
        <w:trPr>
          <w:jc w:val="center"/>
        </w:trPr>
        <w:tc>
          <w:tcPr>
            <w:tcW w:w="828" w:type="dxa"/>
            <w:vAlign w:val="center"/>
          </w:tcPr>
          <w:p w14:paraId="42E9D40D"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1F78DD4D"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7ACE9FFF"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14:paraId="63DCEF59"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14:paraId="11264B87" w14:textId="77777777" w:rsidTr="00F323FF">
        <w:trPr>
          <w:jc w:val="center"/>
        </w:trPr>
        <w:tc>
          <w:tcPr>
            <w:tcW w:w="828" w:type="dxa"/>
            <w:vAlign w:val="center"/>
          </w:tcPr>
          <w:p w14:paraId="2EB268DD"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0D6DA24E"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41F850C5"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2,219,024.55</w:t>
            </w:r>
          </w:p>
        </w:tc>
        <w:tc>
          <w:tcPr>
            <w:tcW w:w="1751" w:type="dxa"/>
            <w:vAlign w:val="center"/>
          </w:tcPr>
          <w:p w14:paraId="6E3F6583"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4.73</w:t>
            </w:r>
          </w:p>
        </w:tc>
      </w:tr>
      <w:tr w:rsidR="00AC592E" w:rsidRPr="00414345" w14:paraId="522003C0" w14:textId="77777777" w:rsidTr="00F323FF">
        <w:trPr>
          <w:jc w:val="center"/>
        </w:trPr>
        <w:tc>
          <w:tcPr>
            <w:tcW w:w="828" w:type="dxa"/>
            <w:vAlign w:val="center"/>
          </w:tcPr>
          <w:p w14:paraId="052C341E"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0BD80D9C"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7A8EE1AD"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5674990A"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78BCD073" w14:textId="77777777" w:rsidTr="00F323FF">
        <w:trPr>
          <w:jc w:val="center"/>
        </w:trPr>
        <w:tc>
          <w:tcPr>
            <w:tcW w:w="828" w:type="dxa"/>
            <w:vAlign w:val="center"/>
          </w:tcPr>
          <w:p w14:paraId="313CC4E7"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035A97D5"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457F658D"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3679B47"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607A6D4D" w14:textId="77777777" w:rsidTr="00F323FF">
        <w:trPr>
          <w:jc w:val="center"/>
        </w:trPr>
        <w:tc>
          <w:tcPr>
            <w:tcW w:w="828" w:type="dxa"/>
            <w:vAlign w:val="center"/>
          </w:tcPr>
          <w:p w14:paraId="7E95CDED" w14:textId="77777777" w:rsidR="00AC592E" w:rsidRPr="00414345" w:rsidRDefault="00AC592E" w:rsidP="00C15CAC">
            <w:pPr>
              <w:spacing w:before="29" w:line="288" w:lineRule="auto"/>
              <w:ind w:left="17"/>
              <w:jc w:val="center"/>
              <w:rPr>
                <w:color w:val="000000"/>
                <w:sz w:val="24"/>
                <w:szCs w:val="24"/>
              </w:rPr>
            </w:pPr>
          </w:p>
        </w:tc>
        <w:tc>
          <w:tcPr>
            <w:tcW w:w="3302" w:type="dxa"/>
            <w:vAlign w:val="center"/>
          </w:tcPr>
          <w:p w14:paraId="5409EA91"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1B78A50E"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E60BE8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1FC924B0" w14:textId="77777777" w:rsidTr="00F323FF">
        <w:trPr>
          <w:jc w:val="center"/>
        </w:trPr>
        <w:tc>
          <w:tcPr>
            <w:tcW w:w="828" w:type="dxa"/>
            <w:vAlign w:val="center"/>
          </w:tcPr>
          <w:p w14:paraId="53C01397"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0ABC61EC"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78055AF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07EE94F"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2C9FA626" w14:textId="77777777" w:rsidTr="00F323FF">
        <w:trPr>
          <w:jc w:val="center"/>
        </w:trPr>
        <w:tc>
          <w:tcPr>
            <w:tcW w:w="828" w:type="dxa"/>
            <w:vAlign w:val="center"/>
          </w:tcPr>
          <w:p w14:paraId="02913521"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17AFF304"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14:paraId="540AAF3E"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8F1BAFF"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14:paraId="2CF8A63D" w14:textId="77777777" w:rsidTr="00F323FF">
        <w:trPr>
          <w:jc w:val="center"/>
        </w:trPr>
        <w:tc>
          <w:tcPr>
            <w:tcW w:w="828" w:type="dxa"/>
            <w:vAlign w:val="center"/>
          </w:tcPr>
          <w:p w14:paraId="03B5CDA9" w14:textId="77777777"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709F754E" w14:textId="77777777"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306411EB"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A104375"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5BB26633" w14:textId="77777777" w:rsidTr="00F323FF">
        <w:trPr>
          <w:jc w:val="center"/>
        </w:trPr>
        <w:tc>
          <w:tcPr>
            <w:tcW w:w="828" w:type="dxa"/>
            <w:vAlign w:val="center"/>
          </w:tcPr>
          <w:p w14:paraId="5A0E379E" w14:textId="77777777"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6E7890D9"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14:paraId="2259B69E"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6BF8085"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14:paraId="49C4EF85" w14:textId="77777777" w:rsidTr="004C0877">
        <w:trPr>
          <w:jc w:val="center"/>
        </w:trPr>
        <w:tc>
          <w:tcPr>
            <w:tcW w:w="828" w:type="dxa"/>
            <w:vAlign w:val="center"/>
          </w:tcPr>
          <w:p w14:paraId="6607A457" w14:textId="77777777" w:rsidR="00F323FF" w:rsidRPr="007A70C2" w:rsidRDefault="00F323FF" w:rsidP="004C0877">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4E389A6F" w14:textId="77777777" w:rsidR="00F323FF" w:rsidRPr="007A70C2" w:rsidRDefault="00F323FF" w:rsidP="004C0877">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6C8985B0" w14:textId="77777777"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72DAAA52" w14:textId="77777777"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14:paraId="1112FDF3" w14:textId="77777777" w:rsidTr="00F323FF">
        <w:trPr>
          <w:jc w:val="center"/>
        </w:trPr>
        <w:tc>
          <w:tcPr>
            <w:tcW w:w="828" w:type="dxa"/>
            <w:vAlign w:val="center"/>
          </w:tcPr>
          <w:p w14:paraId="2325922B"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73652EB8"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0BBE4467"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D52EB20"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48629E2F" w14:textId="77777777" w:rsidTr="00F323FF">
        <w:trPr>
          <w:jc w:val="center"/>
        </w:trPr>
        <w:tc>
          <w:tcPr>
            <w:tcW w:w="828" w:type="dxa"/>
            <w:vAlign w:val="center"/>
          </w:tcPr>
          <w:p w14:paraId="20A50628"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75E9ECD1"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2A2F0849"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2,219,024.55</w:t>
            </w:r>
          </w:p>
        </w:tc>
        <w:tc>
          <w:tcPr>
            <w:tcW w:w="1751" w:type="dxa"/>
            <w:vAlign w:val="center"/>
          </w:tcPr>
          <w:p w14:paraId="695DA3D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4.73</w:t>
            </w:r>
          </w:p>
        </w:tc>
      </w:tr>
    </w:tbl>
    <w:p w14:paraId="0A5B4453"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A58D00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14:paraId="7D676365" w14:textId="77777777" w:rsidTr="00A324F4">
        <w:trPr>
          <w:jc w:val="center"/>
        </w:trPr>
        <w:tc>
          <w:tcPr>
            <w:tcW w:w="817" w:type="dxa"/>
            <w:vAlign w:val="center"/>
          </w:tcPr>
          <w:p w14:paraId="6C32BA38"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711EF053"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4AF69544"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70C927F1"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14:paraId="700E4B5F"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6F6E8168"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665BA" w14:paraId="252B1162" w14:textId="77777777">
        <w:trPr>
          <w:jc w:val="center"/>
        </w:trPr>
        <w:tc>
          <w:tcPr>
            <w:tcW w:w="850" w:type="dxa"/>
            <w:vAlign w:val="center"/>
          </w:tcPr>
          <w:p w14:paraId="025D1A33" w14:textId="77777777" w:rsidR="004665BA" w:rsidRDefault="003A3087">
            <w:pPr>
              <w:jc w:val="center"/>
            </w:pPr>
            <w:r>
              <w:rPr>
                <w:color w:val="000000"/>
                <w:sz w:val="24"/>
                <w:szCs w:val="24"/>
              </w:rPr>
              <w:t>1</w:t>
            </w:r>
          </w:p>
        </w:tc>
        <w:tc>
          <w:tcPr>
            <w:tcW w:w="1475" w:type="dxa"/>
            <w:vAlign w:val="center"/>
          </w:tcPr>
          <w:p w14:paraId="48C2B76C" w14:textId="77777777" w:rsidR="004665BA" w:rsidRDefault="003A3087">
            <w:pPr>
              <w:jc w:val="center"/>
            </w:pPr>
            <w:r>
              <w:rPr>
                <w:color w:val="000000"/>
                <w:sz w:val="24"/>
                <w:szCs w:val="24"/>
              </w:rPr>
              <w:t>019749</w:t>
            </w:r>
          </w:p>
        </w:tc>
        <w:tc>
          <w:tcPr>
            <w:tcW w:w="1769" w:type="dxa"/>
            <w:vAlign w:val="center"/>
          </w:tcPr>
          <w:p w14:paraId="71037A1C" w14:textId="77777777" w:rsidR="004665BA" w:rsidRDefault="003A3087">
            <w:pPr>
              <w:jc w:val="center"/>
            </w:pPr>
            <w:r>
              <w:rPr>
                <w:color w:val="000000"/>
                <w:sz w:val="24"/>
                <w:szCs w:val="24"/>
              </w:rPr>
              <w:t>24</w:t>
            </w:r>
            <w:r>
              <w:rPr>
                <w:color w:val="000000"/>
                <w:sz w:val="24"/>
                <w:szCs w:val="24"/>
              </w:rPr>
              <w:t>国债</w:t>
            </w:r>
            <w:r>
              <w:rPr>
                <w:color w:val="000000"/>
                <w:sz w:val="24"/>
                <w:szCs w:val="24"/>
              </w:rPr>
              <w:t>15</w:t>
            </w:r>
          </w:p>
        </w:tc>
        <w:tc>
          <w:tcPr>
            <w:tcW w:w="1387" w:type="dxa"/>
            <w:vAlign w:val="center"/>
          </w:tcPr>
          <w:p w14:paraId="2D7066C7" w14:textId="77777777" w:rsidR="004665BA" w:rsidRDefault="003A3087">
            <w:pPr>
              <w:jc w:val="right"/>
            </w:pPr>
            <w:r>
              <w:rPr>
                <w:color w:val="000000"/>
                <w:sz w:val="24"/>
                <w:szCs w:val="24"/>
              </w:rPr>
              <w:t>18,000</w:t>
            </w:r>
          </w:p>
        </w:tc>
        <w:tc>
          <w:tcPr>
            <w:tcW w:w="2150" w:type="dxa"/>
            <w:vAlign w:val="center"/>
          </w:tcPr>
          <w:p w14:paraId="4C23BBA1" w14:textId="77777777" w:rsidR="004665BA" w:rsidRDefault="003A3087">
            <w:pPr>
              <w:jc w:val="right"/>
            </w:pPr>
            <w:r>
              <w:rPr>
                <w:color w:val="000000"/>
                <w:sz w:val="24"/>
                <w:szCs w:val="24"/>
              </w:rPr>
              <w:t>1,813,970.96</w:t>
            </w:r>
          </w:p>
        </w:tc>
        <w:tc>
          <w:tcPr>
            <w:tcW w:w="1237" w:type="dxa"/>
            <w:vAlign w:val="center"/>
          </w:tcPr>
          <w:p w14:paraId="11E1F971" w14:textId="77777777" w:rsidR="004665BA" w:rsidRDefault="003A3087">
            <w:pPr>
              <w:jc w:val="right"/>
            </w:pPr>
            <w:r>
              <w:rPr>
                <w:color w:val="000000"/>
                <w:sz w:val="24"/>
                <w:szCs w:val="24"/>
              </w:rPr>
              <w:t>3.87</w:t>
            </w:r>
          </w:p>
        </w:tc>
      </w:tr>
      <w:tr w:rsidR="004665BA" w14:paraId="037287B9" w14:textId="77777777">
        <w:trPr>
          <w:jc w:val="center"/>
        </w:trPr>
        <w:tc>
          <w:tcPr>
            <w:tcW w:w="850" w:type="dxa"/>
            <w:vAlign w:val="center"/>
          </w:tcPr>
          <w:p w14:paraId="0046B253" w14:textId="77777777" w:rsidR="004665BA" w:rsidRDefault="003A3087">
            <w:pPr>
              <w:jc w:val="center"/>
            </w:pPr>
            <w:r>
              <w:rPr>
                <w:color w:val="000000"/>
                <w:sz w:val="24"/>
                <w:szCs w:val="24"/>
              </w:rPr>
              <w:t>2</w:t>
            </w:r>
          </w:p>
        </w:tc>
        <w:tc>
          <w:tcPr>
            <w:tcW w:w="1475" w:type="dxa"/>
            <w:vAlign w:val="center"/>
          </w:tcPr>
          <w:p w14:paraId="3333C5D6" w14:textId="77777777" w:rsidR="004665BA" w:rsidRDefault="003A3087">
            <w:pPr>
              <w:jc w:val="center"/>
            </w:pPr>
            <w:r>
              <w:rPr>
                <w:color w:val="000000"/>
                <w:sz w:val="24"/>
                <w:szCs w:val="24"/>
              </w:rPr>
              <w:t>019740</w:t>
            </w:r>
          </w:p>
        </w:tc>
        <w:tc>
          <w:tcPr>
            <w:tcW w:w="1769" w:type="dxa"/>
            <w:vAlign w:val="center"/>
          </w:tcPr>
          <w:p w14:paraId="6439789C" w14:textId="77777777" w:rsidR="004665BA" w:rsidRDefault="003A3087">
            <w:pPr>
              <w:jc w:val="center"/>
            </w:pPr>
            <w:r>
              <w:rPr>
                <w:color w:val="000000"/>
                <w:sz w:val="24"/>
                <w:szCs w:val="24"/>
              </w:rPr>
              <w:t>24</w:t>
            </w:r>
            <w:r>
              <w:rPr>
                <w:color w:val="000000"/>
                <w:sz w:val="24"/>
                <w:szCs w:val="24"/>
              </w:rPr>
              <w:t>国债</w:t>
            </w:r>
            <w:r>
              <w:rPr>
                <w:color w:val="000000"/>
                <w:sz w:val="24"/>
                <w:szCs w:val="24"/>
              </w:rPr>
              <w:t>09</w:t>
            </w:r>
          </w:p>
        </w:tc>
        <w:tc>
          <w:tcPr>
            <w:tcW w:w="1387" w:type="dxa"/>
            <w:vAlign w:val="center"/>
          </w:tcPr>
          <w:p w14:paraId="0BD4E70B" w14:textId="77777777" w:rsidR="004665BA" w:rsidRDefault="003A3087">
            <w:pPr>
              <w:jc w:val="right"/>
            </w:pPr>
            <w:r>
              <w:rPr>
                <w:color w:val="000000"/>
                <w:sz w:val="24"/>
                <w:szCs w:val="24"/>
              </w:rPr>
              <w:t>4,000</w:t>
            </w:r>
          </w:p>
        </w:tc>
        <w:tc>
          <w:tcPr>
            <w:tcW w:w="2150" w:type="dxa"/>
            <w:vAlign w:val="center"/>
          </w:tcPr>
          <w:p w14:paraId="01B059D5" w14:textId="77777777" w:rsidR="004665BA" w:rsidRDefault="003A3087">
            <w:pPr>
              <w:jc w:val="right"/>
            </w:pPr>
            <w:r>
              <w:rPr>
                <w:color w:val="000000"/>
                <w:sz w:val="24"/>
                <w:szCs w:val="24"/>
              </w:rPr>
              <w:t>405,053.59</w:t>
            </w:r>
          </w:p>
        </w:tc>
        <w:tc>
          <w:tcPr>
            <w:tcW w:w="1237" w:type="dxa"/>
            <w:vAlign w:val="center"/>
          </w:tcPr>
          <w:p w14:paraId="6572E2C5" w14:textId="77777777" w:rsidR="004665BA" w:rsidRDefault="003A3087">
            <w:pPr>
              <w:jc w:val="right"/>
            </w:pPr>
            <w:r>
              <w:rPr>
                <w:color w:val="000000"/>
                <w:sz w:val="24"/>
                <w:szCs w:val="24"/>
              </w:rPr>
              <w:t>0.86</w:t>
            </w:r>
          </w:p>
        </w:tc>
      </w:tr>
    </w:tbl>
    <w:p w14:paraId="5BCD7AC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74EB20F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7B5BADCA"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0727227C" w14:textId="77777777" w:rsidR="00A54C7D" w:rsidRPr="00414345" w:rsidRDefault="00A54C7D" w:rsidP="00C15CAC">
      <w:pPr>
        <w:autoSpaceDE w:val="0"/>
        <w:autoSpaceDN w:val="0"/>
        <w:adjustRightInd w:val="0"/>
        <w:spacing w:before="29" w:line="288" w:lineRule="auto"/>
        <w:jc w:val="left"/>
        <w:rPr>
          <w:color w:val="000000"/>
          <w:sz w:val="24"/>
          <w:szCs w:val="24"/>
        </w:rPr>
      </w:pPr>
    </w:p>
    <w:p w14:paraId="0362AB85"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14:paraId="7B5AB0D4"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613EB8F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E4AB0A0"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5266BC3F"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4A5099B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1262A13"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14:paraId="0028C28B"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36BC0558" w14:textId="77777777" w:rsidR="00AA3A38" w:rsidRPr="00414345" w:rsidRDefault="00AA3A38" w:rsidP="00C15CAC">
      <w:pPr>
        <w:adjustRightInd w:val="0"/>
        <w:snapToGrid w:val="0"/>
        <w:spacing w:before="29" w:line="288" w:lineRule="auto"/>
        <w:rPr>
          <w:sz w:val="24"/>
          <w:szCs w:val="24"/>
        </w:rPr>
      </w:pPr>
    </w:p>
    <w:p w14:paraId="6625D94F"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14:paraId="550E99D8"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2C30CDC2"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67526098"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14:paraId="5E508E3E"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14:paraId="536DD75C"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14:paraId="37EBC169"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699AEDE5" w14:textId="77777777" w:rsidTr="000243BD">
        <w:trPr>
          <w:jc w:val="center"/>
        </w:trPr>
        <w:tc>
          <w:tcPr>
            <w:tcW w:w="1235" w:type="dxa"/>
            <w:vAlign w:val="center"/>
          </w:tcPr>
          <w:p w14:paraId="6A679C94"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23EEC5E4"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1A2A736D"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14:paraId="436187F1" w14:textId="77777777" w:rsidTr="000243BD">
        <w:trPr>
          <w:jc w:val="center"/>
        </w:trPr>
        <w:tc>
          <w:tcPr>
            <w:tcW w:w="1235" w:type="dxa"/>
            <w:vAlign w:val="center"/>
          </w:tcPr>
          <w:p w14:paraId="77A54719"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1AA59347"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5D0FD4BF"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598.84</w:t>
            </w:r>
          </w:p>
        </w:tc>
      </w:tr>
      <w:tr w:rsidR="004C0914" w:rsidRPr="00414345" w14:paraId="44662ED1" w14:textId="77777777" w:rsidTr="000243BD">
        <w:trPr>
          <w:jc w:val="center"/>
        </w:trPr>
        <w:tc>
          <w:tcPr>
            <w:tcW w:w="1235" w:type="dxa"/>
            <w:vAlign w:val="center"/>
          </w:tcPr>
          <w:p w14:paraId="0FA8F940"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606ED7C7"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1758CABB"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1,050,000.00</w:t>
            </w:r>
          </w:p>
        </w:tc>
      </w:tr>
      <w:tr w:rsidR="004C0914" w:rsidRPr="00414345" w14:paraId="3B11D311" w14:textId="77777777" w:rsidTr="000243BD">
        <w:trPr>
          <w:jc w:val="center"/>
        </w:trPr>
        <w:tc>
          <w:tcPr>
            <w:tcW w:w="1235" w:type="dxa"/>
            <w:vAlign w:val="center"/>
          </w:tcPr>
          <w:p w14:paraId="1F1EDB5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7DD0B8FE"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4B55F12B"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0480EE78" w14:textId="77777777" w:rsidTr="000243BD">
        <w:trPr>
          <w:jc w:val="center"/>
        </w:trPr>
        <w:tc>
          <w:tcPr>
            <w:tcW w:w="1235" w:type="dxa"/>
            <w:vAlign w:val="center"/>
          </w:tcPr>
          <w:p w14:paraId="35DB01DA"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2DE2D765"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726E174E"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57192565" w14:textId="77777777" w:rsidTr="000243BD">
        <w:trPr>
          <w:jc w:val="center"/>
        </w:trPr>
        <w:tc>
          <w:tcPr>
            <w:tcW w:w="1235" w:type="dxa"/>
            <w:vAlign w:val="center"/>
          </w:tcPr>
          <w:p w14:paraId="6149310E"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4FEBE085"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27112084"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C329952" w14:textId="77777777" w:rsidTr="000243BD">
        <w:trPr>
          <w:jc w:val="center"/>
        </w:trPr>
        <w:tc>
          <w:tcPr>
            <w:tcW w:w="1235" w:type="dxa"/>
            <w:vAlign w:val="center"/>
          </w:tcPr>
          <w:p w14:paraId="7ABC6B6E"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29724FB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21685FDE"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7847BD9A" w14:textId="77777777" w:rsidTr="000243BD">
        <w:trPr>
          <w:jc w:val="center"/>
        </w:trPr>
        <w:tc>
          <w:tcPr>
            <w:tcW w:w="1235" w:type="dxa"/>
            <w:vAlign w:val="center"/>
          </w:tcPr>
          <w:p w14:paraId="7C30B82D"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74168AEF"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1FDCE4F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4D3B7F18" w14:textId="77777777" w:rsidTr="000243BD">
        <w:trPr>
          <w:jc w:val="center"/>
        </w:trPr>
        <w:tc>
          <w:tcPr>
            <w:tcW w:w="1235" w:type="dxa"/>
            <w:vAlign w:val="center"/>
          </w:tcPr>
          <w:p w14:paraId="7341A4CB"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385BF6A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3B126F10"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45CA6BB" w14:textId="77777777" w:rsidTr="000243BD">
        <w:trPr>
          <w:jc w:val="center"/>
        </w:trPr>
        <w:tc>
          <w:tcPr>
            <w:tcW w:w="1235" w:type="dxa"/>
            <w:vAlign w:val="center"/>
          </w:tcPr>
          <w:p w14:paraId="7E87A417"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34AF078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39C0CBF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1,050,598.84</w:t>
            </w:r>
          </w:p>
        </w:tc>
      </w:tr>
    </w:tbl>
    <w:p w14:paraId="61752707" w14:textId="77777777" w:rsidR="002918E3" w:rsidRPr="00414345" w:rsidRDefault="002918E3" w:rsidP="00C15CAC">
      <w:pPr>
        <w:autoSpaceDE w:val="0"/>
        <w:autoSpaceDN w:val="0"/>
        <w:adjustRightInd w:val="0"/>
        <w:spacing w:before="29" w:line="288" w:lineRule="auto"/>
        <w:rPr>
          <w:color w:val="000000"/>
          <w:sz w:val="24"/>
          <w:szCs w:val="24"/>
        </w:rPr>
      </w:pPr>
    </w:p>
    <w:p w14:paraId="6667223D"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14:paraId="1D99712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22979E38" w14:textId="77777777" w:rsidR="002918E3" w:rsidRPr="00414345" w:rsidRDefault="002918E3" w:rsidP="00C15CAC">
      <w:pPr>
        <w:autoSpaceDE w:val="0"/>
        <w:autoSpaceDN w:val="0"/>
        <w:adjustRightInd w:val="0"/>
        <w:spacing w:before="29" w:line="288" w:lineRule="auto"/>
        <w:rPr>
          <w:color w:val="000000"/>
          <w:sz w:val="24"/>
          <w:szCs w:val="24"/>
        </w:rPr>
      </w:pPr>
    </w:p>
    <w:p w14:paraId="2D9DA023"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14:paraId="131537BC"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14:paraId="3007D2AF" w14:textId="77777777" w:rsidR="002918E3" w:rsidRPr="00414345" w:rsidRDefault="002918E3" w:rsidP="00C15CAC">
      <w:pPr>
        <w:autoSpaceDE w:val="0"/>
        <w:autoSpaceDN w:val="0"/>
        <w:adjustRightInd w:val="0"/>
        <w:spacing w:before="29" w:line="288" w:lineRule="auto"/>
        <w:rPr>
          <w:color w:val="000000"/>
          <w:sz w:val="24"/>
          <w:szCs w:val="24"/>
        </w:rPr>
      </w:pPr>
    </w:p>
    <w:p w14:paraId="372A3D92"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14:paraId="6A88D424" w14:textId="77777777" w:rsidR="006B2FF6" w:rsidRPr="00414345" w:rsidRDefault="004061AC" w:rsidP="00E40D31">
      <w:pPr>
        <w:spacing w:before="29" w:line="288" w:lineRule="auto"/>
        <w:rPr>
          <w:color w:val="000000"/>
          <w:sz w:val="24"/>
          <w:szCs w:val="24"/>
        </w:rPr>
      </w:pPr>
      <w:r w:rsidRPr="00414345">
        <w:rPr>
          <w:color w:val="000000"/>
          <w:sz w:val="24"/>
          <w:szCs w:val="24"/>
        </w:rPr>
        <w:t>因四舍五入原因，投资组合报告中分项之和与合计可能存在尾差。</w:t>
      </w:r>
    </w:p>
    <w:p w14:paraId="1E3F5B92" w14:textId="77777777" w:rsidR="006B2FF6" w:rsidRDefault="006B2FF6" w:rsidP="00C15CAC">
      <w:pPr>
        <w:spacing w:before="29" w:line="288" w:lineRule="auto"/>
        <w:ind w:firstLineChars="200" w:firstLine="480"/>
        <w:rPr>
          <w:color w:val="000000"/>
          <w:sz w:val="24"/>
          <w:szCs w:val="24"/>
        </w:rPr>
      </w:pPr>
    </w:p>
    <w:p w14:paraId="7FA8B87E" w14:textId="77777777" w:rsidR="001F3E2A" w:rsidRDefault="001F3E2A" w:rsidP="00C15CAC">
      <w:pPr>
        <w:spacing w:before="29" w:line="288" w:lineRule="auto"/>
        <w:ind w:firstLineChars="200" w:firstLine="480"/>
        <w:rPr>
          <w:color w:val="000000"/>
          <w:sz w:val="24"/>
          <w:szCs w:val="24"/>
        </w:rPr>
      </w:pPr>
    </w:p>
    <w:p w14:paraId="06BAAC6B" w14:textId="77777777"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4275350D" w14:textId="77777777"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14:paraId="057D7563" w14:textId="77777777" w:rsidTr="004C0877">
        <w:tc>
          <w:tcPr>
            <w:tcW w:w="452" w:type="pct"/>
            <w:vAlign w:val="center"/>
          </w:tcPr>
          <w:p w14:paraId="258105B2"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61C44C90"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42BA146B"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77AE1A1E"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6D2CFB83"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71B9D24A"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00C54AE9" w14:textId="77777777"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2BD78105" w14:textId="77777777"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4665BA" w14:paraId="569DDA83" w14:textId="77777777">
        <w:tc>
          <w:tcPr>
            <w:tcW w:w="835" w:type="dxa"/>
            <w:vAlign w:val="center"/>
          </w:tcPr>
          <w:p w14:paraId="390D0A67" w14:textId="77777777" w:rsidR="004665BA" w:rsidRDefault="003A3087">
            <w:pPr>
              <w:jc w:val="center"/>
            </w:pPr>
            <w:r>
              <w:rPr>
                <w:sz w:val="24"/>
                <w:szCs w:val="24"/>
              </w:rPr>
              <w:t>1</w:t>
            </w:r>
          </w:p>
        </w:tc>
        <w:tc>
          <w:tcPr>
            <w:tcW w:w="1159" w:type="dxa"/>
            <w:vAlign w:val="center"/>
          </w:tcPr>
          <w:p w14:paraId="4454F2CA" w14:textId="77777777" w:rsidR="004665BA" w:rsidRDefault="003A3087">
            <w:pPr>
              <w:jc w:val="center"/>
            </w:pPr>
            <w:r>
              <w:rPr>
                <w:sz w:val="24"/>
                <w:szCs w:val="24"/>
              </w:rPr>
              <w:t>513890</w:t>
            </w:r>
          </w:p>
        </w:tc>
        <w:tc>
          <w:tcPr>
            <w:tcW w:w="1161" w:type="dxa"/>
            <w:vAlign w:val="center"/>
          </w:tcPr>
          <w:p w14:paraId="09F2F79E" w14:textId="77777777" w:rsidR="004665BA" w:rsidRDefault="003A3087">
            <w:pPr>
              <w:jc w:val="center"/>
            </w:pPr>
            <w:r>
              <w:rPr>
                <w:sz w:val="24"/>
                <w:szCs w:val="24"/>
              </w:rPr>
              <w:t>摩根恒生科技</w:t>
            </w:r>
            <w:r>
              <w:rPr>
                <w:sz w:val="24"/>
                <w:szCs w:val="24"/>
              </w:rPr>
              <w:t>ETF(QDII)</w:t>
            </w:r>
          </w:p>
        </w:tc>
        <w:tc>
          <w:tcPr>
            <w:tcW w:w="1161" w:type="dxa"/>
            <w:vAlign w:val="center"/>
          </w:tcPr>
          <w:p w14:paraId="49121FC5" w14:textId="77777777" w:rsidR="004665BA" w:rsidRDefault="003A3087">
            <w:pPr>
              <w:jc w:val="center"/>
            </w:pPr>
            <w:r>
              <w:rPr>
                <w:sz w:val="24"/>
                <w:szCs w:val="24"/>
              </w:rPr>
              <w:t>交易型开放式</w:t>
            </w:r>
          </w:p>
        </w:tc>
        <w:tc>
          <w:tcPr>
            <w:tcW w:w="1159" w:type="dxa"/>
            <w:vAlign w:val="center"/>
          </w:tcPr>
          <w:p w14:paraId="5759AB52" w14:textId="77777777" w:rsidR="004665BA" w:rsidRDefault="003A3087">
            <w:pPr>
              <w:jc w:val="center"/>
            </w:pPr>
            <w:r>
              <w:rPr>
                <w:sz w:val="24"/>
                <w:szCs w:val="24"/>
              </w:rPr>
              <w:t>2,522,800.00</w:t>
            </w:r>
          </w:p>
        </w:tc>
        <w:tc>
          <w:tcPr>
            <w:tcW w:w="1305" w:type="dxa"/>
            <w:vAlign w:val="center"/>
          </w:tcPr>
          <w:p w14:paraId="260E5211" w14:textId="77777777" w:rsidR="004665BA" w:rsidRDefault="003A3087">
            <w:pPr>
              <w:jc w:val="center"/>
            </w:pPr>
            <w:r>
              <w:rPr>
                <w:sz w:val="24"/>
                <w:szCs w:val="24"/>
              </w:rPr>
              <w:t>2,295,748.00</w:t>
            </w:r>
          </w:p>
        </w:tc>
        <w:tc>
          <w:tcPr>
            <w:tcW w:w="1161" w:type="dxa"/>
            <w:vAlign w:val="center"/>
          </w:tcPr>
          <w:p w14:paraId="0E6F1186" w14:textId="77777777" w:rsidR="004665BA" w:rsidRDefault="003A3087">
            <w:pPr>
              <w:jc w:val="center"/>
            </w:pPr>
            <w:r>
              <w:rPr>
                <w:sz w:val="24"/>
                <w:szCs w:val="24"/>
              </w:rPr>
              <w:t>4.90%</w:t>
            </w:r>
          </w:p>
        </w:tc>
        <w:tc>
          <w:tcPr>
            <w:tcW w:w="1301" w:type="dxa"/>
            <w:vAlign w:val="center"/>
          </w:tcPr>
          <w:p w14:paraId="55FFEFC2" w14:textId="77777777" w:rsidR="004665BA" w:rsidRDefault="003A3087">
            <w:pPr>
              <w:jc w:val="center"/>
            </w:pPr>
            <w:r>
              <w:rPr>
                <w:sz w:val="24"/>
                <w:szCs w:val="24"/>
              </w:rPr>
              <w:t>是</w:t>
            </w:r>
          </w:p>
        </w:tc>
      </w:tr>
      <w:tr w:rsidR="004665BA" w14:paraId="162E21AC" w14:textId="77777777">
        <w:tc>
          <w:tcPr>
            <w:tcW w:w="835" w:type="dxa"/>
            <w:vAlign w:val="center"/>
          </w:tcPr>
          <w:p w14:paraId="00D4C928" w14:textId="77777777" w:rsidR="004665BA" w:rsidRDefault="003A3087">
            <w:pPr>
              <w:jc w:val="center"/>
            </w:pPr>
            <w:r>
              <w:rPr>
                <w:sz w:val="24"/>
                <w:szCs w:val="24"/>
              </w:rPr>
              <w:t>2</w:t>
            </w:r>
          </w:p>
        </w:tc>
        <w:tc>
          <w:tcPr>
            <w:tcW w:w="1159" w:type="dxa"/>
            <w:vAlign w:val="center"/>
          </w:tcPr>
          <w:p w14:paraId="7E35B6C7" w14:textId="77777777" w:rsidR="004665BA" w:rsidRDefault="003A3087">
            <w:pPr>
              <w:jc w:val="center"/>
            </w:pPr>
            <w:r>
              <w:rPr>
                <w:sz w:val="24"/>
                <w:szCs w:val="24"/>
              </w:rPr>
              <w:t>968050</w:t>
            </w:r>
          </w:p>
        </w:tc>
        <w:tc>
          <w:tcPr>
            <w:tcW w:w="1161" w:type="dxa"/>
            <w:vAlign w:val="center"/>
          </w:tcPr>
          <w:p w14:paraId="6DB1F9C9" w14:textId="77777777" w:rsidR="004665BA" w:rsidRDefault="003A3087">
            <w:pPr>
              <w:jc w:val="center"/>
            </w:pPr>
            <w:r>
              <w:rPr>
                <w:sz w:val="24"/>
                <w:szCs w:val="24"/>
              </w:rPr>
              <w:t>摩根国际债券人民币对冲累计</w:t>
            </w:r>
          </w:p>
        </w:tc>
        <w:tc>
          <w:tcPr>
            <w:tcW w:w="1161" w:type="dxa"/>
            <w:vAlign w:val="center"/>
          </w:tcPr>
          <w:p w14:paraId="5FC88562" w14:textId="77777777" w:rsidR="004665BA" w:rsidRDefault="003A3087">
            <w:pPr>
              <w:jc w:val="center"/>
            </w:pPr>
            <w:r>
              <w:rPr>
                <w:sz w:val="24"/>
                <w:szCs w:val="24"/>
              </w:rPr>
              <w:t>契约型开放式</w:t>
            </w:r>
          </w:p>
        </w:tc>
        <w:tc>
          <w:tcPr>
            <w:tcW w:w="1159" w:type="dxa"/>
            <w:vAlign w:val="center"/>
          </w:tcPr>
          <w:p w14:paraId="2AB1FA10" w14:textId="77777777" w:rsidR="004665BA" w:rsidRDefault="003A3087">
            <w:pPr>
              <w:jc w:val="center"/>
            </w:pPr>
            <w:r>
              <w:rPr>
                <w:sz w:val="24"/>
                <w:szCs w:val="24"/>
              </w:rPr>
              <w:t>189,772.73</w:t>
            </w:r>
          </w:p>
        </w:tc>
        <w:tc>
          <w:tcPr>
            <w:tcW w:w="1305" w:type="dxa"/>
            <w:vAlign w:val="center"/>
          </w:tcPr>
          <w:p w14:paraId="08D2FC27" w14:textId="77777777" w:rsidR="004665BA" w:rsidRDefault="003A3087">
            <w:pPr>
              <w:jc w:val="center"/>
            </w:pPr>
            <w:r>
              <w:rPr>
                <w:sz w:val="24"/>
                <w:szCs w:val="24"/>
              </w:rPr>
              <w:t>2,030,568.21</w:t>
            </w:r>
          </w:p>
        </w:tc>
        <w:tc>
          <w:tcPr>
            <w:tcW w:w="1161" w:type="dxa"/>
            <w:vAlign w:val="center"/>
          </w:tcPr>
          <w:p w14:paraId="21200A75" w14:textId="77777777" w:rsidR="004665BA" w:rsidRDefault="003A3087">
            <w:pPr>
              <w:jc w:val="center"/>
            </w:pPr>
            <w:r>
              <w:rPr>
                <w:sz w:val="24"/>
                <w:szCs w:val="24"/>
              </w:rPr>
              <w:t>4.33%</w:t>
            </w:r>
          </w:p>
        </w:tc>
        <w:tc>
          <w:tcPr>
            <w:tcW w:w="1301" w:type="dxa"/>
            <w:vAlign w:val="center"/>
          </w:tcPr>
          <w:p w14:paraId="653DFD5F" w14:textId="77777777" w:rsidR="004665BA" w:rsidRDefault="003A3087">
            <w:pPr>
              <w:jc w:val="center"/>
            </w:pPr>
            <w:r>
              <w:rPr>
                <w:sz w:val="24"/>
                <w:szCs w:val="24"/>
              </w:rPr>
              <w:t>是</w:t>
            </w:r>
          </w:p>
        </w:tc>
      </w:tr>
      <w:tr w:rsidR="004665BA" w14:paraId="526D81A3" w14:textId="77777777">
        <w:tc>
          <w:tcPr>
            <w:tcW w:w="835" w:type="dxa"/>
            <w:vAlign w:val="center"/>
          </w:tcPr>
          <w:p w14:paraId="02CE7624" w14:textId="77777777" w:rsidR="004665BA" w:rsidRDefault="003A3087">
            <w:pPr>
              <w:jc w:val="center"/>
            </w:pPr>
            <w:r>
              <w:rPr>
                <w:sz w:val="24"/>
                <w:szCs w:val="24"/>
              </w:rPr>
              <w:t>3</w:t>
            </w:r>
          </w:p>
        </w:tc>
        <w:tc>
          <w:tcPr>
            <w:tcW w:w="1159" w:type="dxa"/>
            <w:vAlign w:val="center"/>
          </w:tcPr>
          <w:p w14:paraId="4596EE76" w14:textId="77777777" w:rsidR="004665BA" w:rsidRDefault="003A3087">
            <w:pPr>
              <w:jc w:val="center"/>
            </w:pPr>
            <w:r>
              <w:rPr>
                <w:sz w:val="24"/>
                <w:szCs w:val="24"/>
              </w:rPr>
              <w:t>020009</w:t>
            </w:r>
          </w:p>
        </w:tc>
        <w:tc>
          <w:tcPr>
            <w:tcW w:w="1161" w:type="dxa"/>
            <w:vAlign w:val="center"/>
          </w:tcPr>
          <w:p w14:paraId="4A47053A" w14:textId="77777777" w:rsidR="004665BA" w:rsidRDefault="003A3087">
            <w:pPr>
              <w:jc w:val="center"/>
            </w:pPr>
            <w:r>
              <w:rPr>
                <w:sz w:val="24"/>
                <w:szCs w:val="24"/>
              </w:rPr>
              <w:t>国泰金</w:t>
            </w:r>
            <w:proofErr w:type="gramStart"/>
            <w:r>
              <w:rPr>
                <w:sz w:val="24"/>
                <w:szCs w:val="24"/>
              </w:rPr>
              <w:t>鹏蓝筹价值</w:t>
            </w:r>
            <w:proofErr w:type="gramEnd"/>
            <w:r>
              <w:rPr>
                <w:sz w:val="24"/>
                <w:szCs w:val="24"/>
              </w:rPr>
              <w:t>混合</w:t>
            </w:r>
          </w:p>
        </w:tc>
        <w:tc>
          <w:tcPr>
            <w:tcW w:w="1161" w:type="dxa"/>
            <w:vAlign w:val="center"/>
          </w:tcPr>
          <w:p w14:paraId="21A0632E" w14:textId="77777777" w:rsidR="004665BA" w:rsidRDefault="003A3087">
            <w:pPr>
              <w:jc w:val="center"/>
            </w:pPr>
            <w:r>
              <w:rPr>
                <w:sz w:val="24"/>
                <w:szCs w:val="24"/>
              </w:rPr>
              <w:t>契约型开放式</w:t>
            </w:r>
          </w:p>
        </w:tc>
        <w:tc>
          <w:tcPr>
            <w:tcW w:w="1159" w:type="dxa"/>
            <w:vAlign w:val="center"/>
          </w:tcPr>
          <w:p w14:paraId="21099EC6" w14:textId="77777777" w:rsidR="004665BA" w:rsidRDefault="003A3087">
            <w:pPr>
              <w:jc w:val="center"/>
            </w:pPr>
            <w:r>
              <w:rPr>
                <w:sz w:val="24"/>
                <w:szCs w:val="24"/>
              </w:rPr>
              <w:t>1,352,152.34</w:t>
            </w:r>
          </w:p>
        </w:tc>
        <w:tc>
          <w:tcPr>
            <w:tcW w:w="1305" w:type="dxa"/>
            <w:vAlign w:val="center"/>
          </w:tcPr>
          <w:p w14:paraId="091CDB37" w14:textId="77777777" w:rsidR="004665BA" w:rsidRDefault="003A3087">
            <w:pPr>
              <w:jc w:val="center"/>
            </w:pPr>
            <w:r>
              <w:rPr>
                <w:sz w:val="24"/>
                <w:szCs w:val="24"/>
              </w:rPr>
              <w:t>1,715,881.32</w:t>
            </w:r>
          </w:p>
        </w:tc>
        <w:tc>
          <w:tcPr>
            <w:tcW w:w="1161" w:type="dxa"/>
            <w:vAlign w:val="center"/>
          </w:tcPr>
          <w:p w14:paraId="331272D2" w14:textId="77777777" w:rsidR="004665BA" w:rsidRDefault="003A3087">
            <w:pPr>
              <w:jc w:val="center"/>
            </w:pPr>
            <w:r>
              <w:rPr>
                <w:sz w:val="24"/>
                <w:szCs w:val="24"/>
              </w:rPr>
              <w:t>3.66%</w:t>
            </w:r>
          </w:p>
        </w:tc>
        <w:tc>
          <w:tcPr>
            <w:tcW w:w="1301" w:type="dxa"/>
            <w:vAlign w:val="center"/>
          </w:tcPr>
          <w:p w14:paraId="65CBB1B6" w14:textId="77777777" w:rsidR="004665BA" w:rsidRDefault="003A3087">
            <w:pPr>
              <w:jc w:val="center"/>
            </w:pPr>
            <w:r>
              <w:rPr>
                <w:sz w:val="24"/>
                <w:szCs w:val="24"/>
              </w:rPr>
              <w:t>否</w:t>
            </w:r>
          </w:p>
        </w:tc>
      </w:tr>
      <w:tr w:rsidR="004665BA" w14:paraId="027D7386" w14:textId="77777777">
        <w:tc>
          <w:tcPr>
            <w:tcW w:w="835" w:type="dxa"/>
            <w:vAlign w:val="center"/>
          </w:tcPr>
          <w:p w14:paraId="4E1320FB" w14:textId="77777777" w:rsidR="004665BA" w:rsidRDefault="003A3087">
            <w:pPr>
              <w:jc w:val="center"/>
            </w:pPr>
            <w:r>
              <w:rPr>
                <w:sz w:val="24"/>
                <w:szCs w:val="24"/>
              </w:rPr>
              <w:t>4</w:t>
            </w:r>
          </w:p>
        </w:tc>
        <w:tc>
          <w:tcPr>
            <w:tcW w:w="1159" w:type="dxa"/>
            <w:vAlign w:val="center"/>
          </w:tcPr>
          <w:p w14:paraId="4EE5240F" w14:textId="77777777" w:rsidR="004665BA" w:rsidRDefault="003A3087">
            <w:pPr>
              <w:jc w:val="center"/>
            </w:pPr>
            <w:r>
              <w:rPr>
                <w:sz w:val="24"/>
                <w:szCs w:val="24"/>
              </w:rPr>
              <w:t>100018</w:t>
            </w:r>
          </w:p>
        </w:tc>
        <w:tc>
          <w:tcPr>
            <w:tcW w:w="1161" w:type="dxa"/>
            <w:vAlign w:val="center"/>
          </w:tcPr>
          <w:p w14:paraId="47A53C59" w14:textId="77777777" w:rsidR="004665BA" w:rsidRDefault="003A3087">
            <w:pPr>
              <w:jc w:val="center"/>
            </w:pPr>
            <w:r>
              <w:rPr>
                <w:sz w:val="24"/>
                <w:szCs w:val="24"/>
              </w:rPr>
              <w:t>富国天利增长债券</w:t>
            </w:r>
            <w:r>
              <w:rPr>
                <w:sz w:val="24"/>
                <w:szCs w:val="24"/>
              </w:rPr>
              <w:t>A/B</w:t>
            </w:r>
          </w:p>
        </w:tc>
        <w:tc>
          <w:tcPr>
            <w:tcW w:w="1161" w:type="dxa"/>
            <w:vAlign w:val="center"/>
          </w:tcPr>
          <w:p w14:paraId="29090790" w14:textId="77777777" w:rsidR="004665BA" w:rsidRDefault="003A3087">
            <w:pPr>
              <w:jc w:val="center"/>
            </w:pPr>
            <w:r>
              <w:rPr>
                <w:sz w:val="24"/>
                <w:szCs w:val="24"/>
              </w:rPr>
              <w:t>契约型开放式</w:t>
            </w:r>
          </w:p>
        </w:tc>
        <w:tc>
          <w:tcPr>
            <w:tcW w:w="1159" w:type="dxa"/>
            <w:vAlign w:val="center"/>
          </w:tcPr>
          <w:p w14:paraId="5A73E1FF" w14:textId="77777777" w:rsidR="004665BA" w:rsidRDefault="003A3087">
            <w:pPr>
              <w:jc w:val="center"/>
            </w:pPr>
            <w:r>
              <w:rPr>
                <w:sz w:val="24"/>
                <w:szCs w:val="24"/>
              </w:rPr>
              <w:t>1,168,059.81</w:t>
            </w:r>
          </w:p>
        </w:tc>
        <w:tc>
          <w:tcPr>
            <w:tcW w:w="1305" w:type="dxa"/>
            <w:vAlign w:val="center"/>
          </w:tcPr>
          <w:p w14:paraId="2AB1E6CE" w14:textId="77777777" w:rsidR="004665BA" w:rsidRDefault="003A3087">
            <w:pPr>
              <w:jc w:val="center"/>
            </w:pPr>
            <w:r>
              <w:rPr>
                <w:sz w:val="24"/>
                <w:szCs w:val="24"/>
              </w:rPr>
              <w:t>1,612,272.96</w:t>
            </w:r>
          </w:p>
        </w:tc>
        <w:tc>
          <w:tcPr>
            <w:tcW w:w="1161" w:type="dxa"/>
            <w:vAlign w:val="center"/>
          </w:tcPr>
          <w:p w14:paraId="05F02749" w14:textId="77777777" w:rsidR="004665BA" w:rsidRDefault="003A3087">
            <w:pPr>
              <w:jc w:val="center"/>
            </w:pPr>
            <w:r>
              <w:rPr>
                <w:sz w:val="24"/>
                <w:szCs w:val="24"/>
              </w:rPr>
              <w:t>3.44%</w:t>
            </w:r>
          </w:p>
        </w:tc>
        <w:tc>
          <w:tcPr>
            <w:tcW w:w="1301" w:type="dxa"/>
            <w:vAlign w:val="center"/>
          </w:tcPr>
          <w:p w14:paraId="691FC2B4" w14:textId="77777777" w:rsidR="004665BA" w:rsidRDefault="003A3087">
            <w:pPr>
              <w:jc w:val="center"/>
            </w:pPr>
            <w:r>
              <w:rPr>
                <w:sz w:val="24"/>
                <w:szCs w:val="24"/>
              </w:rPr>
              <w:t>否</w:t>
            </w:r>
          </w:p>
        </w:tc>
      </w:tr>
      <w:tr w:rsidR="004665BA" w14:paraId="47D9F299" w14:textId="77777777">
        <w:tc>
          <w:tcPr>
            <w:tcW w:w="835" w:type="dxa"/>
            <w:vAlign w:val="center"/>
          </w:tcPr>
          <w:p w14:paraId="21C58006" w14:textId="77777777" w:rsidR="004665BA" w:rsidRDefault="003A3087">
            <w:pPr>
              <w:jc w:val="center"/>
            </w:pPr>
            <w:r>
              <w:rPr>
                <w:sz w:val="24"/>
                <w:szCs w:val="24"/>
              </w:rPr>
              <w:t>5</w:t>
            </w:r>
          </w:p>
        </w:tc>
        <w:tc>
          <w:tcPr>
            <w:tcW w:w="1159" w:type="dxa"/>
            <w:vAlign w:val="center"/>
          </w:tcPr>
          <w:p w14:paraId="30CD1D55" w14:textId="77777777" w:rsidR="004665BA" w:rsidRDefault="003A3087">
            <w:pPr>
              <w:jc w:val="center"/>
            </w:pPr>
            <w:r>
              <w:rPr>
                <w:sz w:val="24"/>
                <w:szCs w:val="24"/>
              </w:rPr>
              <w:t>002701</w:t>
            </w:r>
          </w:p>
        </w:tc>
        <w:tc>
          <w:tcPr>
            <w:tcW w:w="1161" w:type="dxa"/>
            <w:vAlign w:val="center"/>
          </w:tcPr>
          <w:p w14:paraId="47EB045E" w14:textId="77777777" w:rsidR="004665BA" w:rsidRDefault="003A3087">
            <w:pPr>
              <w:jc w:val="center"/>
            </w:pPr>
            <w:proofErr w:type="gramStart"/>
            <w:r>
              <w:rPr>
                <w:sz w:val="24"/>
                <w:szCs w:val="24"/>
              </w:rPr>
              <w:t>东方红汇阳债券</w:t>
            </w:r>
            <w:proofErr w:type="gramEnd"/>
            <w:r>
              <w:rPr>
                <w:sz w:val="24"/>
                <w:szCs w:val="24"/>
              </w:rPr>
              <w:t>A</w:t>
            </w:r>
          </w:p>
        </w:tc>
        <w:tc>
          <w:tcPr>
            <w:tcW w:w="1161" w:type="dxa"/>
            <w:vAlign w:val="center"/>
          </w:tcPr>
          <w:p w14:paraId="1E1376B9" w14:textId="77777777" w:rsidR="004665BA" w:rsidRDefault="003A3087">
            <w:pPr>
              <w:jc w:val="center"/>
            </w:pPr>
            <w:r>
              <w:rPr>
                <w:sz w:val="24"/>
                <w:szCs w:val="24"/>
              </w:rPr>
              <w:t>契约型开放式</w:t>
            </w:r>
          </w:p>
        </w:tc>
        <w:tc>
          <w:tcPr>
            <w:tcW w:w="1159" w:type="dxa"/>
            <w:vAlign w:val="center"/>
          </w:tcPr>
          <w:p w14:paraId="6BBE5240" w14:textId="77777777" w:rsidR="004665BA" w:rsidRDefault="003A3087">
            <w:pPr>
              <w:jc w:val="center"/>
            </w:pPr>
            <w:r>
              <w:rPr>
                <w:sz w:val="24"/>
                <w:szCs w:val="24"/>
              </w:rPr>
              <w:t>1,399,508.44</w:t>
            </w:r>
          </w:p>
        </w:tc>
        <w:tc>
          <w:tcPr>
            <w:tcW w:w="1305" w:type="dxa"/>
            <w:vAlign w:val="center"/>
          </w:tcPr>
          <w:p w14:paraId="7F66402E" w14:textId="77777777" w:rsidR="004665BA" w:rsidRDefault="003A3087">
            <w:pPr>
              <w:jc w:val="center"/>
            </w:pPr>
            <w:r>
              <w:rPr>
                <w:sz w:val="24"/>
                <w:szCs w:val="24"/>
              </w:rPr>
              <w:t>1,565,630.09</w:t>
            </w:r>
          </w:p>
        </w:tc>
        <w:tc>
          <w:tcPr>
            <w:tcW w:w="1161" w:type="dxa"/>
            <w:vAlign w:val="center"/>
          </w:tcPr>
          <w:p w14:paraId="10B92A50" w14:textId="77777777" w:rsidR="004665BA" w:rsidRDefault="003A3087">
            <w:pPr>
              <w:jc w:val="center"/>
            </w:pPr>
            <w:r>
              <w:rPr>
                <w:sz w:val="24"/>
                <w:szCs w:val="24"/>
              </w:rPr>
              <w:t>3.34%</w:t>
            </w:r>
          </w:p>
        </w:tc>
        <w:tc>
          <w:tcPr>
            <w:tcW w:w="1301" w:type="dxa"/>
            <w:vAlign w:val="center"/>
          </w:tcPr>
          <w:p w14:paraId="2A98ED72" w14:textId="77777777" w:rsidR="004665BA" w:rsidRDefault="003A3087">
            <w:pPr>
              <w:jc w:val="center"/>
            </w:pPr>
            <w:r>
              <w:rPr>
                <w:sz w:val="24"/>
                <w:szCs w:val="24"/>
              </w:rPr>
              <w:t>否</w:t>
            </w:r>
          </w:p>
        </w:tc>
      </w:tr>
      <w:tr w:rsidR="004665BA" w14:paraId="41E6FEE4" w14:textId="77777777">
        <w:tc>
          <w:tcPr>
            <w:tcW w:w="835" w:type="dxa"/>
            <w:vAlign w:val="center"/>
          </w:tcPr>
          <w:p w14:paraId="0F3CBCAA" w14:textId="77777777" w:rsidR="004665BA" w:rsidRDefault="003A3087">
            <w:pPr>
              <w:jc w:val="center"/>
            </w:pPr>
            <w:r>
              <w:rPr>
                <w:sz w:val="24"/>
                <w:szCs w:val="24"/>
              </w:rPr>
              <w:t>6</w:t>
            </w:r>
          </w:p>
        </w:tc>
        <w:tc>
          <w:tcPr>
            <w:tcW w:w="1159" w:type="dxa"/>
            <w:vAlign w:val="center"/>
          </w:tcPr>
          <w:p w14:paraId="281E7A82" w14:textId="77777777" w:rsidR="004665BA" w:rsidRDefault="003A3087">
            <w:pPr>
              <w:jc w:val="center"/>
            </w:pPr>
            <w:r>
              <w:rPr>
                <w:sz w:val="24"/>
                <w:szCs w:val="24"/>
              </w:rPr>
              <w:t>004571</w:t>
            </w:r>
          </w:p>
        </w:tc>
        <w:tc>
          <w:tcPr>
            <w:tcW w:w="1161" w:type="dxa"/>
            <w:vAlign w:val="center"/>
          </w:tcPr>
          <w:p w14:paraId="344EA245" w14:textId="77777777" w:rsidR="004665BA" w:rsidRDefault="003A3087">
            <w:pPr>
              <w:jc w:val="center"/>
            </w:pPr>
            <w:r>
              <w:rPr>
                <w:sz w:val="24"/>
                <w:szCs w:val="24"/>
              </w:rPr>
              <w:t>万家家瑞债券</w:t>
            </w:r>
            <w:r>
              <w:rPr>
                <w:sz w:val="24"/>
                <w:szCs w:val="24"/>
              </w:rPr>
              <w:t>A</w:t>
            </w:r>
          </w:p>
        </w:tc>
        <w:tc>
          <w:tcPr>
            <w:tcW w:w="1161" w:type="dxa"/>
            <w:vAlign w:val="center"/>
          </w:tcPr>
          <w:p w14:paraId="47B41120" w14:textId="77777777" w:rsidR="004665BA" w:rsidRDefault="003A3087">
            <w:pPr>
              <w:jc w:val="center"/>
            </w:pPr>
            <w:r>
              <w:rPr>
                <w:sz w:val="24"/>
                <w:szCs w:val="24"/>
              </w:rPr>
              <w:t>契约型开放式</w:t>
            </w:r>
          </w:p>
        </w:tc>
        <w:tc>
          <w:tcPr>
            <w:tcW w:w="1159" w:type="dxa"/>
            <w:vAlign w:val="center"/>
          </w:tcPr>
          <w:p w14:paraId="6201CD38" w14:textId="77777777" w:rsidR="004665BA" w:rsidRDefault="003A3087">
            <w:pPr>
              <w:jc w:val="center"/>
            </w:pPr>
            <w:r>
              <w:rPr>
                <w:sz w:val="24"/>
                <w:szCs w:val="24"/>
              </w:rPr>
              <w:t>1,367,257.90</w:t>
            </w:r>
          </w:p>
        </w:tc>
        <w:tc>
          <w:tcPr>
            <w:tcW w:w="1305" w:type="dxa"/>
            <w:vAlign w:val="center"/>
          </w:tcPr>
          <w:p w14:paraId="7A2AB9F4" w14:textId="77777777" w:rsidR="004665BA" w:rsidRDefault="003A3087">
            <w:pPr>
              <w:jc w:val="center"/>
            </w:pPr>
            <w:r>
              <w:rPr>
                <w:sz w:val="24"/>
                <w:szCs w:val="24"/>
              </w:rPr>
              <w:t>1,524,355.83</w:t>
            </w:r>
          </w:p>
        </w:tc>
        <w:tc>
          <w:tcPr>
            <w:tcW w:w="1161" w:type="dxa"/>
            <w:vAlign w:val="center"/>
          </w:tcPr>
          <w:p w14:paraId="542CB2F6" w14:textId="77777777" w:rsidR="004665BA" w:rsidRDefault="003A3087">
            <w:pPr>
              <w:jc w:val="center"/>
            </w:pPr>
            <w:r>
              <w:rPr>
                <w:sz w:val="24"/>
                <w:szCs w:val="24"/>
              </w:rPr>
              <w:t>3.25%</w:t>
            </w:r>
          </w:p>
        </w:tc>
        <w:tc>
          <w:tcPr>
            <w:tcW w:w="1301" w:type="dxa"/>
            <w:vAlign w:val="center"/>
          </w:tcPr>
          <w:p w14:paraId="51DA61CE" w14:textId="77777777" w:rsidR="004665BA" w:rsidRDefault="003A3087">
            <w:pPr>
              <w:jc w:val="center"/>
            </w:pPr>
            <w:r>
              <w:rPr>
                <w:sz w:val="24"/>
                <w:szCs w:val="24"/>
              </w:rPr>
              <w:t>否</w:t>
            </w:r>
          </w:p>
        </w:tc>
      </w:tr>
      <w:tr w:rsidR="004665BA" w14:paraId="0D8D40A1" w14:textId="77777777">
        <w:tc>
          <w:tcPr>
            <w:tcW w:w="835" w:type="dxa"/>
            <w:vAlign w:val="center"/>
          </w:tcPr>
          <w:p w14:paraId="55CD4F9D" w14:textId="77777777" w:rsidR="004665BA" w:rsidRDefault="003A3087">
            <w:pPr>
              <w:jc w:val="center"/>
            </w:pPr>
            <w:r>
              <w:rPr>
                <w:sz w:val="24"/>
                <w:szCs w:val="24"/>
              </w:rPr>
              <w:t>7</w:t>
            </w:r>
          </w:p>
        </w:tc>
        <w:tc>
          <w:tcPr>
            <w:tcW w:w="1159" w:type="dxa"/>
            <w:vAlign w:val="center"/>
          </w:tcPr>
          <w:p w14:paraId="40740B42" w14:textId="77777777" w:rsidR="004665BA" w:rsidRDefault="003A3087">
            <w:pPr>
              <w:jc w:val="center"/>
            </w:pPr>
            <w:r>
              <w:rPr>
                <w:sz w:val="24"/>
                <w:szCs w:val="24"/>
              </w:rPr>
              <w:t>001751</w:t>
            </w:r>
          </w:p>
        </w:tc>
        <w:tc>
          <w:tcPr>
            <w:tcW w:w="1161" w:type="dxa"/>
            <w:vAlign w:val="center"/>
          </w:tcPr>
          <w:p w14:paraId="3EE0B8EB" w14:textId="77777777" w:rsidR="004665BA" w:rsidRDefault="003A3087">
            <w:pPr>
              <w:jc w:val="center"/>
            </w:pPr>
            <w:r>
              <w:rPr>
                <w:sz w:val="24"/>
                <w:szCs w:val="24"/>
              </w:rPr>
              <w:t>华商信用增强债券</w:t>
            </w:r>
            <w:r>
              <w:rPr>
                <w:sz w:val="24"/>
                <w:szCs w:val="24"/>
              </w:rPr>
              <w:t>A</w:t>
            </w:r>
          </w:p>
        </w:tc>
        <w:tc>
          <w:tcPr>
            <w:tcW w:w="1161" w:type="dxa"/>
            <w:vAlign w:val="center"/>
          </w:tcPr>
          <w:p w14:paraId="4E22F652" w14:textId="77777777" w:rsidR="004665BA" w:rsidRDefault="003A3087">
            <w:pPr>
              <w:jc w:val="center"/>
            </w:pPr>
            <w:r>
              <w:rPr>
                <w:sz w:val="24"/>
                <w:szCs w:val="24"/>
              </w:rPr>
              <w:t>契约型开放式</w:t>
            </w:r>
          </w:p>
        </w:tc>
        <w:tc>
          <w:tcPr>
            <w:tcW w:w="1159" w:type="dxa"/>
            <w:vAlign w:val="center"/>
          </w:tcPr>
          <w:p w14:paraId="2E5097A9" w14:textId="77777777" w:rsidR="004665BA" w:rsidRDefault="003A3087">
            <w:pPr>
              <w:jc w:val="center"/>
            </w:pPr>
            <w:r>
              <w:rPr>
                <w:sz w:val="24"/>
                <w:szCs w:val="24"/>
              </w:rPr>
              <w:t>957,667.63</w:t>
            </w:r>
          </w:p>
        </w:tc>
        <w:tc>
          <w:tcPr>
            <w:tcW w:w="1305" w:type="dxa"/>
            <w:vAlign w:val="center"/>
          </w:tcPr>
          <w:p w14:paraId="64D6E923" w14:textId="77777777" w:rsidR="004665BA" w:rsidRDefault="003A3087">
            <w:pPr>
              <w:jc w:val="center"/>
            </w:pPr>
            <w:r>
              <w:rPr>
                <w:sz w:val="24"/>
                <w:szCs w:val="24"/>
              </w:rPr>
              <w:t>1,452,781.79</w:t>
            </w:r>
          </w:p>
        </w:tc>
        <w:tc>
          <w:tcPr>
            <w:tcW w:w="1161" w:type="dxa"/>
            <w:vAlign w:val="center"/>
          </w:tcPr>
          <w:p w14:paraId="23BACD24" w14:textId="77777777" w:rsidR="004665BA" w:rsidRDefault="003A3087">
            <w:pPr>
              <w:jc w:val="center"/>
            </w:pPr>
            <w:r>
              <w:rPr>
                <w:sz w:val="24"/>
                <w:szCs w:val="24"/>
              </w:rPr>
              <w:t>3.10%</w:t>
            </w:r>
          </w:p>
        </w:tc>
        <w:tc>
          <w:tcPr>
            <w:tcW w:w="1301" w:type="dxa"/>
            <w:vAlign w:val="center"/>
          </w:tcPr>
          <w:p w14:paraId="505CA75B" w14:textId="77777777" w:rsidR="004665BA" w:rsidRDefault="003A3087">
            <w:pPr>
              <w:jc w:val="center"/>
            </w:pPr>
            <w:r>
              <w:rPr>
                <w:sz w:val="24"/>
                <w:szCs w:val="24"/>
              </w:rPr>
              <w:t>否</w:t>
            </w:r>
          </w:p>
        </w:tc>
      </w:tr>
      <w:tr w:rsidR="004665BA" w14:paraId="2987B506" w14:textId="77777777">
        <w:tc>
          <w:tcPr>
            <w:tcW w:w="835" w:type="dxa"/>
            <w:vAlign w:val="center"/>
          </w:tcPr>
          <w:p w14:paraId="7EF5098C" w14:textId="77777777" w:rsidR="004665BA" w:rsidRDefault="003A3087">
            <w:pPr>
              <w:jc w:val="center"/>
            </w:pPr>
            <w:r>
              <w:rPr>
                <w:sz w:val="24"/>
                <w:szCs w:val="24"/>
              </w:rPr>
              <w:t>8</w:t>
            </w:r>
          </w:p>
        </w:tc>
        <w:tc>
          <w:tcPr>
            <w:tcW w:w="1159" w:type="dxa"/>
            <w:vAlign w:val="center"/>
          </w:tcPr>
          <w:p w14:paraId="197C2E62" w14:textId="77777777" w:rsidR="004665BA" w:rsidRDefault="003A3087">
            <w:pPr>
              <w:jc w:val="center"/>
            </w:pPr>
            <w:r>
              <w:rPr>
                <w:sz w:val="24"/>
                <w:szCs w:val="24"/>
              </w:rPr>
              <w:t>968052</w:t>
            </w:r>
          </w:p>
        </w:tc>
        <w:tc>
          <w:tcPr>
            <w:tcW w:w="1161" w:type="dxa"/>
            <w:vAlign w:val="center"/>
          </w:tcPr>
          <w:p w14:paraId="4C0C1614" w14:textId="77777777" w:rsidR="004665BA" w:rsidRDefault="003A3087">
            <w:pPr>
              <w:jc w:val="center"/>
            </w:pPr>
            <w:r>
              <w:rPr>
                <w:sz w:val="24"/>
                <w:szCs w:val="24"/>
              </w:rPr>
              <w:t>摩根国际债券人民币累计</w:t>
            </w:r>
          </w:p>
        </w:tc>
        <w:tc>
          <w:tcPr>
            <w:tcW w:w="1161" w:type="dxa"/>
            <w:vAlign w:val="center"/>
          </w:tcPr>
          <w:p w14:paraId="06B7EB1D" w14:textId="77777777" w:rsidR="004665BA" w:rsidRDefault="003A3087">
            <w:pPr>
              <w:jc w:val="center"/>
            </w:pPr>
            <w:r>
              <w:rPr>
                <w:sz w:val="24"/>
                <w:szCs w:val="24"/>
              </w:rPr>
              <w:t>契约型开放式</w:t>
            </w:r>
          </w:p>
        </w:tc>
        <w:tc>
          <w:tcPr>
            <w:tcW w:w="1159" w:type="dxa"/>
            <w:vAlign w:val="center"/>
          </w:tcPr>
          <w:p w14:paraId="58C375F3" w14:textId="77777777" w:rsidR="004665BA" w:rsidRDefault="003A3087">
            <w:pPr>
              <w:jc w:val="center"/>
            </w:pPr>
            <w:r>
              <w:rPr>
                <w:sz w:val="24"/>
                <w:szCs w:val="24"/>
              </w:rPr>
              <w:t>112,061.21</w:t>
            </w:r>
          </w:p>
        </w:tc>
        <w:tc>
          <w:tcPr>
            <w:tcW w:w="1305" w:type="dxa"/>
            <w:vAlign w:val="center"/>
          </w:tcPr>
          <w:p w14:paraId="5D90D0E1" w14:textId="77777777" w:rsidR="004665BA" w:rsidRDefault="003A3087">
            <w:pPr>
              <w:jc w:val="center"/>
            </w:pPr>
            <w:r>
              <w:rPr>
                <w:sz w:val="24"/>
                <w:szCs w:val="24"/>
              </w:rPr>
              <w:t>1,267,412.29</w:t>
            </w:r>
          </w:p>
        </w:tc>
        <w:tc>
          <w:tcPr>
            <w:tcW w:w="1161" w:type="dxa"/>
            <w:vAlign w:val="center"/>
          </w:tcPr>
          <w:p w14:paraId="17AA2D45" w14:textId="77777777" w:rsidR="004665BA" w:rsidRDefault="003A3087">
            <w:pPr>
              <w:jc w:val="center"/>
            </w:pPr>
            <w:r>
              <w:rPr>
                <w:sz w:val="24"/>
                <w:szCs w:val="24"/>
              </w:rPr>
              <w:t>2.70%</w:t>
            </w:r>
          </w:p>
        </w:tc>
        <w:tc>
          <w:tcPr>
            <w:tcW w:w="1301" w:type="dxa"/>
            <w:vAlign w:val="center"/>
          </w:tcPr>
          <w:p w14:paraId="76976842" w14:textId="77777777" w:rsidR="004665BA" w:rsidRDefault="003A3087">
            <w:pPr>
              <w:jc w:val="center"/>
            </w:pPr>
            <w:r>
              <w:rPr>
                <w:sz w:val="24"/>
                <w:szCs w:val="24"/>
              </w:rPr>
              <w:t>是</w:t>
            </w:r>
          </w:p>
        </w:tc>
      </w:tr>
      <w:tr w:rsidR="004665BA" w14:paraId="69BFDD08" w14:textId="77777777">
        <w:tc>
          <w:tcPr>
            <w:tcW w:w="835" w:type="dxa"/>
            <w:vAlign w:val="center"/>
          </w:tcPr>
          <w:p w14:paraId="56386332" w14:textId="77777777" w:rsidR="004665BA" w:rsidRDefault="003A3087">
            <w:pPr>
              <w:jc w:val="center"/>
            </w:pPr>
            <w:r>
              <w:rPr>
                <w:sz w:val="24"/>
                <w:szCs w:val="24"/>
              </w:rPr>
              <w:t>9</w:t>
            </w:r>
          </w:p>
        </w:tc>
        <w:tc>
          <w:tcPr>
            <w:tcW w:w="1159" w:type="dxa"/>
            <w:vAlign w:val="center"/>
          </w:tcPr>
          <w:p w14:paraId="4C4261F6" w14:textId="77777777" w:rsidR="004665BA" w:rsidRDefault="003A3087">
            <w:pPr>
              <w:jc w:val="center"/>
            </w:pPr>
            <w:r>
              <w:rPr>
                <w:sz w:val="24"/>
                <w:szCs w:val="24"/>
              </w:rPr>
              <w:t>000385</w:t>
            </w:r>
          </w:p>
        </w:tc>
        <w:tc>
          <w:tcPr>
            <w:tcW w:w="1161" w:type="dxa"/>
            <w:vAlign w:val="center"/>
          </w:tcPr>
          <w:p w14:paraId="29B4EA51" w14:textId="77777777" w:rsidR="004665BA" w:rsidRDefault="003A3087">
            <w:pPr>
              <w:jc w:val="center"/>
            </w:pPr>
            <w:r>
              <w:rPr>
                <w:sz w:val="24"/>
                <w:szCs w:val="24"/>
              </w:rPr>
              <w:t>景顺长城景颐双利债券</w:t>
            </w:r>
            <w:r>
              <w:rPr>
                <w:sz w:val="24"/>
                <w:szCs w:val="24"/>
              </w:rPr>
              <w:t>A</w:t>
            </w:r>
            <w:r>
              <w:rPr>
                <w:sz w:val="24"/>
                <w:szCs w:val="24"/>
              </w:rPr>
              <w:t>类</w:t>
            </w:r>
          </w:p>
        </w:tc>
        <w:tc>
          <w:tcPr>
            <w:tcW w:w="1161" w:type="dxa"/>
            <w:vAlign w:val="center"/>
          </w:tcPr>
          <w:p w14:paraId="1C8DF800" w14:textId="77777777" w:rsidR="004665BA" w:rsidRDefault="003A3087">
            <w:pPr>
              <w:jc w:val="center"/>
            </w:pPr>
            <w:r>
              <w:rPr>
                <w:sz w:val="24"/>
                <w:szCs w:val="24"/>
              </w:rPr>
              <w:t>契约型开放式</w:t>
            </w:r>
          </w:p>
        </w:tc>
        <w:tc>
          <w:tcPr>
            <w:tcW w:w="1159" w:type="dxa"/>
            <w:vAlign w:val="center"/>
          </w:tcPr>
          <w:p w14:paraId="0D6FD1EC" w14:textId="77777777" w:rsidR="004665BA" w:rsidRDefault="003A3087">
            <w:pPr>
              <w:jc w:val="center"/>
            </w:pPr>
            <w:r>
              <w:rPr>
                <w:sz w:val="24"/>
                <w:szCs w:val="24"/>
              </w:rPr>
              <w:t>707,659.96</w:t>
            </w:r>
          </w:p>
        </w:tc>
        <w:tc>
          <w:tcPr>
            <w:tcW w:w="1305" w:type="dxa"/>
            <w:vAlign w:val="center"/>
          </w:tcPr>
          <w:p w14:paraId="15D50DDF" w14:textId="77777777" w:rsidR="004665BA" w:rsidRDefault="003A3087">
            <w:pPr>
              <w:jc w:val="center"/>
            </w:pPr>
            <w:r>
              <w:rPr>
                <w:sz w:val="24"/>
                <w:szCs w:val="24"/>
              </w:rPr>
              <w:t>1,210,098.53</w:t>
            </w:r>
          </w:p>
        </w:tc>
        <w:tc>
          <w:tcPr>
            <w:tcW w:w="1161" w:type="dxa"/>
            <w:vAlign w:val="center"/>
          </w:tcPr>
          <w:p w14:paraId="2981F443" w14:textId="77777777" w:rsidR="004665BA" w:rsidRDefault="003A3087">
            <w:pPr>
              <w:jc w:val="center"/>
            </w:pPr>
            <w:r>
              <w:rPr>
                <w:sz w:val="24"/>
                <w:szCs w:val="24"/>
              </w:rPr>
              <w:t>2.58%</w:t>
            </w:r>
          </w:p>
        </w:tc>
        <w:tc>
          <w:tcPr>
            <w:tcW w:w="1301" w:type="dxa"/>
            <w:vAlign w:val="center"/>
          </w:tcPr>
          <w:p w14:paraId="7984766B" w14:textId="77777777" w:rsidR="004665BA" w:rsidRDefault="003A3087">
            <w:pPr>
              <w:jc w:val="center"/>
            </w:pPr>
            <w:r>
              <w:rPr>
                <w:sz w:val="24"/>
                <w:szCs w:val="24"/>
              </w:rPr>
              <w:t>否</w:t>
            </w:r>
          </w:p>
        </w:tc>
      </w:tr>
      <w:tr w:rsidR="004665BA" w14:paraId="7267017F" w14:textId="77777777">
        <w:tc>
          <w:tcPr>
            <w:tcW w:w="835" w:type="dxa"/>
            <w:vAlign w:val="center"/>
          </w:tcPr>
          <w:p w14:paraId="008F66FC" w14:textId="77777777" w:rsidR="004665BA" w:rsidRDefault="003A3087">
            <w:pPr>
              <w:jc w:val="center"/>
            </w:pPr>
            <w:r>
              <w:rPr>
                <w:sz w:val="24"/>
                <w:szCs w:val="24"/>
              </w:rPr>
              <w:t>10</w:t>
            </w:r>
          </w:p>
        </w:tc>
        <w:tc>
          <w:tcPr>
            <w:tcW w:w="1159" w:type="dxa"/>
            <w:vAlign w:val="center"/>
          </w:tcPr>
          <w:p w14:paraId="186E7451" w14:textId="77777777" w:rsidR="004665BA" w:rsidRDefault="003A3087">
            <w:pPr>
              <w:jc w:val="center"/>
            </w:pPr>
            <w:r>
              <w:rPr>
                <w:sz w:val="24"/>
                <w:szCs w:val="24"/>
              </w:rPr>
              <w:t>000107</w:t>
            </w:r>
          </w:p>
        </w:tc>
        <w:tc>
          <w:tcPr>
            <w:tcW w:w="1161" w:type="dxa"/>
            <w:vAlign w:val="center"/>
          </w:tcPr>
          <w:p w14:paraId="607105B1" w14:textId="77777777" w:rsidR="004665BA" w:rsidRDefault="003A3087">
            <w:pPr>
              <w:jc w:val="center"/>
            </w:pPr>
            <w:r>
              <w:rPr>
                <w:sz w:val="24"/>
                <w:szCs w:val="24"/>
              </w:rPr>
              <w:t>富国</w:t>
            </w:r>
            <w:proofErr w:type="gramStart"/>
            <w:r>
              <w:rPr>
                <w:sz w:val="24"/>
                <w:szCs w:val="24"/>
              </w:rPr>
              <w:t>稳健增强</w:t>
            </w:r>
            <w:proofErr w:type="gramEnd"/>
            <w:r>
              <w:rPr>
                <w:sz w:val="24"/>
                <w:szCs w:val="24"/>
              </w:rPr>
              <w:t>债券</w:t>
            </w:r>
            <w:r>
              <w:rPr>
                <w:sz w:val="24"/>
                <w:szCs w:val="24"/>
              </w:rPr>
              <w:t>A/B</w:t>
            </w:r>
          </w:p>
        </w:tc>
        <w:tc>
          <w:tcPr>
            <w:tcW w:w="1161" w:type="dxa"/>
            <w:vAlign w:val="center"/>
          </w:tcPr>
          <w:p w14:paraId="6AF43A77" w14:textId="77777777" w:rsidR="004665BA" w:rsidRDefault="003A3087">
            <w:pPr>
              <w:jc w:val="center"/>
            </w:pPr>
            <w:r>
              <w:rPr>
                <w:sz w:val="24"/>
                <w:szCs w:val="24"/>
              </w:rPr>
              <w:t>契约型开放式</w:t>
            </w:r>
          </w:p>
        </w:tc>
        <w:tc>
          <w:tcPr>
            <w:tcW w:w="1159" w:type="dxa"/>
            <w:vAlign w:val="center"/>
          </w:tcPr>
          <w:p w14:paraId="3673E39D" w14:textId="77777777" w:rsidR="004665BA" w:rsidRDefault="003A3087">
            <w:pPr>
              <w:jc w:val="center"/>
            </w:pPr>
            <w:r>
              <w:rPr>
                <w:sz w:val="24"/>
                <w:szCs w:val="24"/>
              </w:rPr>
              <w:t>901,519.63</w:t>
            </w:r>
          </w:p>
        </w:tc>
        <w:tc>
          <w:tcPr>
            <w:tcW w:w="1305" w:type="dxa"/>
            <w:vAlign w:val="center"/>
          </w:tcPr>
          <w:p w14:paraId="16EFC598" w14:textId="77777777" w:rsidR="004665BA" w:rsidRDefault="003A3087">
            <w:pPr>
              <w:jc w:val="center"/>
            </w:pPr>
            <w:r>
              <w:rPr>
                <w:sz w:val="24"/>
                <w:szCs w:val="24"/>
              </w:rPr>
              <w:t>1,162,960.32</w:t>
            </w:r>
          </w:p>
        </w:tc>
        <w:tc>
          <w:tcPr>
            <w:tcW w:w="1161" w:type="dxa"/>
            <w:vAlign w:val="center"/>
          </w:tcPr>
          <w:p w14:paraId="077C1D9B" w14:textId="77777777" w:rsidR="004665BA" w:rsidRDefault="003A3087">
            <w:pPr>
              <w:jc w:val="center"/>
            </w:pPr>
            <w:r>
              <w:rPr>
                <w:sz w:val="24"/>
                <w:szCs w:val="24"/>
              </w:rPr>
              <w:t>2.48%</w:t>
            </w:r>
          </w:p>
        </w:tc>
        <w:tc>
          <w:tcPr>
            <w:tcW w:w="1301" w:type="dxa"/>
            <w:vAlign w:val="center"/>
          </w:tcPr>
          <w:p w14:paraId="3F887E6D" w14:textId="77777777" w:rsidR="004665BA" w:rsidRDefault="003A3087">
            <w:pPr>
              <w:jc w:val="center"/>
            </w:pPr>
            <w:r>
              <w:rPr>
                <w:sz w:val="24"/>
                <w:szCs w:val="24"/>
              </w:rPr>
              <w:t>否</w:t>
            </w:r>
          </w:p>
        </w:tc>
      </w:tr>
    </w:tbl>
    <w:p w14:paraId="74B16689" w14:textId="77777777"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3A3087" w14:paraId="41F83AAF"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3CE40B94" w14:textId="77777777" w:rsidR="003A3087" w:rsidRDefault="003A3087">
            <w:pPr>
              <w:adjustRightInd w:val="0"/>
              <w:snapToGrid w:val="0"/>
              <w:spacing w:beforeLines="50" w:before="156" w:line="276" w:lineRule="auto"/>
              <w:jc w:val="center"/>
              <w:rPr>
                <w:rFonts w:eastAsiaTheme="minorEastAsia"/>
                <w:color w:val="000000" w:themeColor="text1"/>
                <w:sz w:val="24"/>
                <w:szCs w:val="24"/>
              </w:rPr>
            </w:pPr>
            <w:r>
              <w:rPr>
                <w:rFonts w:hint="eastAsia"/>
                <w:sz w:val="24"/>
                <w:szCs w:val="24"/>
              </w:rPr>
              <w:t>项目</w:t>
            </w:r>
          </w:p>
        </w:tc>
        <w:tc>
          <w:tcPr>
            <w:tcW w:w="3012" w:type="dxa"/>
            <w:tcBorders>
              <w:top w:val="single" w:sz="4" w:space="0" w:color="auto"/>
              <w:left w:val="single" w:sz="4" w:space="0" w:color="auto"/>
              <w:bottom w:val="single" w:sz="4" w:space="0" w:color="auto"/>
              <w:right w:val="single" w:sz="4" w:space="0" w:color="auto"/>
            </w:tcBorders>
            <w:vAlign w:val="center"/>
            <w:hideMark/>
          </w:tcPr>
          <w:p w14:paraId="139D0B54" w14:textId="77777777" w:rsidR="003A3087" w:rsidRDefault="003A3087">
            <w:pPr>
              <w:spacing w:line="276" w:lineRule="auto"/>
              <w:jc w:val="center"/>
              <w:rPr>
                <w:sz w:val="24"/>
                <w:szCs w:val="24"/>
              </w:rPr>
            </w:pPr>
            <w:r>
              <w:rPr>
                <w:rFonts w:hint="eastAsia"/>
                <w:sz w:val="24"/>
                <w:szCs w:val="24"/>
              </w:rPr>
              <w:t>本期费用</w:t>
            </w:r>
          </w:p>
        </w:tc>
        <w:tc>
          <w:tcPr>
            <w:tcW w:w="3012" w:type="dxa"/>
            <w:tcBorders>
              <w:top w:val="single" w:sz="4" w:space="0" w:color="auto"/>
              <w:left w:val="single" w:sz="4" w:space="0" w:color="auto"/>
              <w:bottom w:val="single" w:sz="4" w:space="0" w:color="auto"/>
              <w:right w:val="single" w:sz="4" w:space="0" w:color="auto"/>
            </w:tcBorders>
            <w:vAlign w:val="center"/>
            <w:hideMark/>
          </w:tcPr>
          <w:p w14:paraId="0AC851D6" w14:textId="77777777" w:rsidR="003A3087" w:rsidRDefault="003A3087">
            <w:pPr>
              <w:spacing w:line="276" w:lineRule="auto"/>
              <w:jc w:val="center"/>
              <w:rPr>
                <w:sz w:val="24"/>
                <w:szCs w:val="24"/>
              </w:rPr>
            </w:pPr>
            <w:r>
              <w:rPr>
                <w:rFonts w:hint="eastAsia"/>
                <w:sz w:val="24"/>
                <w:szCs w:val="24"/>
              </w:rPr>
              <w:t>其中：交易及持有基金管理人以及管理人关联方所管理基金产生的费用</w:t>
            </w:r>
          </w:p>
        </w:tc>
      </w:tr>
      <w:tr w:rsidR="003A3087" w14:paraId="682EA6DA"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6AF03166" w14:textId="77777777" w:rsidR="003A3087" w:rsidRDefault="003A3087">
            <w:pPr>
              <w:adjustRightInd w:val="0"/>
              <w:snapToGrid w:val="0"/>
              <w:spacing w:beforeLines="50" w:before="156" w:line="276" w:lineRule="auto"/>
              <w:rPr>
                <w:rFonts w:eastAsiaTheme="minorEastAsia"/>
                <w:color w:val="000000" w:themeColor="text1"/>
                <w:sz w:val="24"/>
                <w:szCs w:val="24"/>
              </w:rPr>
            </w:pPr>
            <w:r>
              <w:rPr>
                <w:rFonts w:hint="eastAsia"/>
                <w:sz w:val="24"/>
                <w:szCs w:val="24"/>
              </w:rPr>
              <w:t>当期交易基金产生的申购费</w:t>
            </w:r>
          </w:p>
        </w:tc>
        <w:tc>
          <w:tcPr>
            <w:tcW w:w="3012" w:type="dxa"/>
            <w:tcBorders>
              <w:top w:val="single" w:sz="4" w:space="0" w:color="auto"/>
              <w:left w:val="single" w:sz="4" w:space="0" w:color="auto"/>
              <w:bottom w:val="single" w:sz="4" w:space="0" w:color="auto"/>
              <w:right w:val="single" w:sz="4" w:space="0" w:color="auto"/>
            </w:tcBorders>
            <w:vAlign w:val="center"/>
            <w:hideMark/>
          </w:tcPr>
          <w:p w14:paraId="1BA4107D"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w:t>
            </w:r>
          </w:p>
        </w:tc>
        <w:tc>
          <w:tcPr>
            <w:tcW w:w="3012" w:type="dxa"/>
            <w:tcBorders>
              <w:top w:val="single" w:sz="4" w:space="0" w:color="auto"/>
              <w:left w:val="single" w:sz="4" w:space="0" w:color="auto"/>
              <w:bottom w:val="single" w:sz="4" w:space="0" w:color="auto"/>
              <w:right w:val="single" w:sz="4" w:space="0" w:color="auto"/>
            </w:tcBorders>
            <w:vAlign w:val="center"/>
            <w:hideMark/>
          </w:tcPr>
          <w:p w14:paraId="00195DC3"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w:t>
            </w:r>
          </w:p>
        </w:tc>
      </w:tr>
      <w:tr w:rsidR="003A3087" w14:paraId="4AD6D6B6"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60C3EF0F" w14:textId="77777777" w:rsidR="003A3087" w:rsidRDefault="003A3087">
            <w:pPr>
              <w:adjustRightInd w:val="0"/>
              <w:snapToGrid w:val="0"/>
              <w:spacing w:beforeLines="50" w:before="156" w:line="276" w:lineRule="auto"/>
              <w:rPr>
                <w:rFonts w:eastAsiaTheme="minorEastAsia"/>
                <w:color w:val="000000" w:themeColor="text1"/>
                <w:sz w:val="24"/>
                <w:szCs w:val="24"/>
              </w:rPr>
            </w:pPr>
            <w:r>
              <w:rPr>
                <w:rFonts w:hint="eastAsia"/>
                <w:sz w:val="24"/>
                <w:szCs w:val="24"/>
              </w:rPr>
              <w:t>当期交易基金产生的赎回费（元）</w:t>
            </w:r>
          </w:p>
        </w:tc>
        <w:tc>
          <w:tcPr>
            <w:tcW w:w="3012" w:type="dxa"/>
            <w:tcBorders>
              <w:top w:val="single" w:sz="4" w:space="0" w:color="auto"/>
              <w:left w:val="single" w:sz="4" w:space="0" w:color="auto"/>
              <w:bottom w:val="single" w:sz="4" w:space="0" w:color="auto"/>
              <w:right w:val="single" w:sz="4" w:space="0" w:color="auto"/>
            </w:tcBorders>
            <w:vAlign w:val="center"/>
            <w:hideMark/>
          </w:tcPr>
          <w:p w14:paraId="57B6EF36"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3,314.99</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003BF83"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w:t>
            </w:r>
          </w:p>
        </w:tc>
      </w:tr>
      <w:tr w:rsidR="003A3087" w14:paraId="57478192"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2EF7E0F4" w14:textId="77777777" w:rsidR="003A3087" w:rsidRDefault="003A3087">
            <w:pPr>
              <w:adjustRightInd w:val="0"/>
              <w:snapToGrid w:val="0"/>
              <w:spacing w:beforeLines="50" w:before="156" w:line="276" w:lineRule="auto"/>
              <w:rPr>
                <w:rFonts w:eastAsiaTheme="minorEastAsia"/>
                <w:color w:val="000000" w:themeColor="text1"/>
                <w:sz w:val="24"/>
                <w:szCs w:val="24"/>
              </w:rPr>
            </w:pPr>
            <w:r>
              <w:rPr>
                <w:rFonts w:hint="eastAsia"/>
                <w:sz w:val="24"/>
                <w:szCs w:val="24"/>
              </w:rPr>
              <w:t>当期持有基金产生的应支付销售服务费（元）</w:t>
            </w:r>
          </w:p>
        </w:tc>
        <w:tc>
          <w:tcPr>
            <w:tcW w:w="3012" w:type="dxa"/>
            <w:tcBorders>
              <w:top w:val="single" w:sz="4" w:space="0" w:color="auto"/>
              <w:left w:val="single" w:sz="4" w:space="0" w:color="auto"/>
              <w:bottom w:val="single" w:sz="4" w:space="0" w:color="auto"/>
              <w:right w:val="single" w:sz="4" w:space="0" w:color="auto"/>
            </w:tcBorders>
            <w:vAlign w:val="center"/>
            <w:hideMark/>
          </w:tcPr>
          <w:p w14:paraId="767DCC80"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1,409.05</w:t>
            </w:r>
          </w:p>
        </w:tc>
        <w:tc>
          <w:tcPr>
            <w:tcW w:w="3012" w:type="dxa"/>
            <w:tcBorders>
              <w:top w:val="single" w:sz="4" w:space="0" w:color="auto"/>
              <w:left w:val="single" w:sz="4" w:space="0" w:color="auto"/>
              <w:bottom w:val="single" w:sz="4" w:space="0" w:color="auto"/>
              <w:right w:val="single" w:sz="4" w:space="0" w:color="auto"/>
            </w:tcBorders>
            <w:vAlign w:val="center"/>
            <w:hideMark/>
          </w:tcPr>
          <w:p w14:paraId="531B3EDD"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w:t>
            </w:r>
          </w:p>
        </w:tc>
      </w:tr>
      <w:tr w:rsidR="003A3087" w14:paraId="2A5AB9AB"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6D429D58" w14:textId="77777777" w:rsidR="003A3087" w:rsidRDefault="003A3087">
            <w:pPr>
              <w:adjustRightInd w:val="0"/>
              <w:snapToGrid w:val="0"/>
              <w:spacing w:beforeLines="50" w:before="156" w:line="276" w:lineRule="auto"/>
              <w:rPr>
                <w:rFonts w:eastAsiaTheme="minorEastAsia"/>
                <w:color w:val="000000" w:themeColor="text1"/>
                <w:sz w:val="24"/>
                <w:szCs w:val="24"/>
              </w:rPr>
            </w:pPr>
            <w:r>
              <w:rPr>
                <w:rFonts w:hint="eastAsia"/>
                <w:sz w:val="24"/>
                <w:szCs w:val="24"/>
              </w:rPr>
              <w:t>当期持有基金产生的应支付管理费（元）</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F9B3AF8"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90,197.72</w:t>
            </w:r>
          </w:p>
        </w:tc>
        <w:tc>
          <w:tcPr>
            <w:tcW w:w="3012" w:type="dxa"/>
            <w:tcBorders>
              <w:top w:val="single" w:sz="4" w:space="0" w:color="auto"/>
              <w:left w:val="single" w:sz="4" w:space="0" w:color="auto"/>
              <w:bottom w:val="single" w:sz="4" w:space="0" w:color="auto"/>
              <w:right w:val="single" w:sz="4" w:space="0" w:color="auto"/>
            </w:tcBorders>
            <w:vAlign w:val="center"/>
            <w:hideMark/>
          </w:tcPr>
          <w:p w14:paraId="71321BA0"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12,294.69</w:t>
            </w:r>
          </w:p>
        </w:tc>
      </w:tr>
      <w:tr w:rsidR="003A3087" w14:paraId="0D420462"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7591A85D" w14:textId="77777777" w:rsidR="003A3087" w:rsidRDefault="003A3087">
            <w:pPr>
              <w:adjustRightInd w:val="0"/>
              <w:snapToGrid w:val="0"/>
              <w:spacing w:beforeLines="50" w:before="156" w:line="276" w:lineRule="auto"/>
              <w:rPr>
                <w:rFonts w:eastAsiaTheme="minorEastAsia"/>
                <w:color w:val="000000" w:themeColor="text1"/>
                <w:sz w:val="24"/>
                <w:szCs w:val="24"/>
              </w:rPr>
            </w:pPr>
            <w:r>
              <w:rPr>
                <w:rFonts w:hint="eastAsia"/>
                <w:sz w:val="24"/>
                <w:szCs w:val="24"/>
              </w:rPr>
              <w:t>当期持有基金产生的应支付托管费（元）</w:t>
            </w:r>
          </w:p>
        </w:tc>
        <w:tc>
          <w:tcPr>
            <w:tcW w:w="3012" w:type="dxa"/>
            <w:tcBorders>
              <w:top w:val="single" w:sz="4" w:space="0" w:color="auto"/>
              <w:left w:val="single" w:sz="4" w:space="0" w:color="auto"/>
              <w:bottom w:val="single" w:sz="4" w:space="0" w:color="auto"/>
              <w:right w:val="single" w:sz="4" w:space="0" w:color="auto"/>
            </w:tcBorders>
            <w:vAlign w:val="center"/>
            <w:hideMark/>
          </w:tcPr>
          <w:p w14:paraId="6FF4F06B"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17,421.93</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2B823CC" w14:textId="77777777" w:rsidR="003A3087" w:rsidRDefault="003A3087">
            <w:pPr>
              <w:adjustRightInd w:val="0"/>
              <w:snapToGrid w:val="0"/>
              <w:spacing w:beforeLines="50" w:before="156" w:line="276" w:lineRule="auto"/>
              <w:jc w:val="right"/>
              <w:rPr>
                <w:rFonts w:eastAsiaTheme="minorEastAsia"/>
                <w:color w:val="000000" w:themeColor="text1"/>
                <w:sz w:val="24"/>
                <w:szCs w:val="24"/>
              </w:rPr>
            </w:pPr>
            <w:r>
              <w:rPr>
                <w:rFonts w:eastAsiaTheme="minorEastAsia"/>
                <w:color w:val="000000" w:themeColor="text1"/>
                <w:sz w:val="24"/>
                <w:szCs w:val="24"/>
              </w:rPr>
              <w:t>1,723.32</w:t>
            </w:r>
          </w:p>
        </w:tc>
      </w:tr>
      <w:tr w:rsidR="003A3087" w14:paraId="1EEB5D89"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38AECAB7" w14:textId="77777777" w:rsidR="003A3087" w:rsidRDefault="003A3087">
            <w:pPr>
              <w:jc w:val="left"/>
            </w:pPr>
            <w:r>
              <w:rPr>
                <w:rFonts w:eastAsiaTheme="minorEastAsia" w:hint="eastAsia"/>
                <w:color w:val="000000" w:themeColor="text1"/>
                <w:sz w:val="24"/>
                <w:szCs w:val="24"/>
              </w:rPr>
              <w:t>当期交易基金产生的交易费（元）</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4A3A147" w14:textId="77777777" w:rsidR="003A3087" w:rsidRDefault="003A3087">
            <w:pPr>
              <w:jc w:val="right"/>
            </w:pPr>
            <w:r>
              <w:rPr>
                <w:rFonts w:eastAsiaTheme="minorEastAsia"/>
                <w:color w:val="000000" w:themeColor="text1"/>
                <w:sz w:val="24"/>
                <w:szCs w:val="24"/>
              </w:rPr>
              <w:t>62.29</w:t>
            </w:r>
          </w:p>
        </w:tc>
        <w:tc>
          <w:tcPr>
            <w:tcW w:w="3012" w:type="dxa"/>
            <w:tcBorders>
              <w:top w:val="single" w:sz="4" w:space="0" w:color="auto"/>
              <w:left w:val="single" w:sz="4" w:space="0" w:color="auto"/>
              <w:bottom w:val="single" w:sz="4" w:space="0" w:color="auto"/>
              <w:right w:val="single" w:sz="4" w:space="0" w:color="auto"/>
            </w:tcBorders>
            <w:vAlign w:val="center"/>
            <w:hideMark/>
          </w:tcPr>
          <w:p w14:paraId="346EEF9E" w14:textId="77777777" w:rsidR="003A3087" w:rsidRDefault="003A3087">
            <w:pPr>
              <w:jc w:val="right"/>
            </w:pPr>
            <w:r>
              <w:rPr>
                <w:rFonts w:eastAsiaTheme="minorEastAsia"/>
                <w:color w:val="000000" w:themeColor="text1"/>
                <w:sz w:val="24"/>
                <w:szCs w:val="24"/>
              </w:rPr>
              <w:t>-</w:t>
            </w:r>
          </w:p>
        </w:tc>
      </w:tr>
      <w:tr w:rsidR="003A3087" w14:paraId="518C89BC" w14:textId="77777777" w:rsidTr="003A3087">
        <w:tc>
          <w:tcPr>
            <w:tcW w:w="3012" w:type="dxa"/>
            <w:tcBorders>
              <w:top w:val="single" w:sz="4" w:space="0" w:color="auto"/>
              <w:left w:val="single" w:sz="4" w:space="0" w:color="auto"/>
              <w:bottom w:val="single" w:sz="4" w:space="0" w:color="auto"/>
              <w:right w:val="single" w:sz="4" w:space="0" w:color="auto"/>
            </w:tcBorders>
            <w:vAlign w:val="center"/>
            <w:hideMark/>
          </w:tcPr>
          <w:p w14:paraId="46702224" w14:textId="77777777" w:rsidR="003A3087" w:rsidRDefault="003A3087">
            <w:pPr>
              <w:jc w:val="left"/>
            </w:pPr>
            <w:r>
              <w:rPr>
                <w:rFonts w:eastAsiaTheme="minorEastAsia" w:hint="eastAsia"/>
                <w:color w:val="000000" w:themeColor="text1"/>
                <w:sz w:val="24"/>
                <w:szCs w:val="24"/>
              </w:rPr>
              <w:t>当期交易基金产生的转换费（元）</w:t>
            </w:r>
          </w:p>
        </w:tc>
        <w:tc>
          <w:tcPr>
            <w:tcW w:w="3012" w:type="dxa"/>
            <w:tcBorders>
              <w:top w:val="single" w:sz="4" w:space="0" w:color="auto"/>
              <w:left w:val="single" w:sz="4" w:space="0" w:color="auto"/>
              <w:bottom w:val="single" w:sz="4" w:space="0" w:color="auto"/>
              <w:right w:val="single" w:sz="4" w:space="0" w:color="auto"/>
            </w:tcBorders>
            <w:vAlign w:val="center"/>
            <w:hideMark/>
          </w:tcPr>
          <w:p w14:paraId="56DAA2F5" w14:textId="77777777" w:rsidR="003A3087" w:rsidRDefault="003A3087">
            <w:pPr>
              <w:jc w:val="right"/>
            </w:pPr>
            <w:r>
              <w:rPr>
                <w:rFonts w:eastAsiaTheme="minorEastAsia"/>
                <w:color w:val="000000" w:themeColor="text1"/>
                <w:sz w:val="24"/>
                <w:szCs w:val="24"/>
              </w:rPr>
              <w:t>2,269.81</w:t>
            </w:r>
          </w:p>
        </w:tc>
        <w:tc>
          <w:tcPr>
            <w:tcW w:w="3012" w:type="dxa"/>
            <w:tcBorders>
              <w:top w:val="single" w:sz="4" w:space="0" w:color="auto"/>
              <w:left w:val="single" w:sz="4" w:space="0" w:color="auto"/>
              <w:bottom w:val="single" w:sz="4" w:space="0" w:color="auto"/>
              <w:right w:val="single" w:sz="4" w:space="0" w:color="auto"/>
            </w:tcBorders>
            <w:vAlign w:val="center"/>
            <w:hideMark/>
          </w:tcPr>
          <w:p w14:paraId="1CAA6FB7" w14:textId="77777777" w:rsidR="003A3087" w:rsidRDefault="003A3087">
            <w:pPr>
              <w:jc w:val="right"/>
            </w:pPr>
            <w:r>
              <w:rPr>
                <w:rFonts w:eastAsiaTheme="minorEastAsia"/>
                <w:color w:val="000000" w:themeColor="text1"/>
                <w:sz w:val="24"/>
                <w:szCs w:val="24"/>
              </w:rPr>
              <w:t>-</w:t>
            </w:r>
          </w:p>
        </w:tc>
      </w:tr>
    </w:tbl>
    <w:p w14:paraId="1C2F2733" w14:textId="77777777" w:rsidR="001F3E2A" w:rsidRPr="00414345" w:rsidRDefault="001F3E2A" w:rsidP="00C15CAC">
      <w:pPr>
        <w:spacing w:before="29" w:line="288" w:lineRule="auto"/>
        <w:ind w:firstLineChars="200" w:firstLine="480"/>
        <w:rPr>
          <w:color w:val="000000"/>
          <w:sz w:val="24"/>
          <w:szCs w:val="24"/>
        </w:rPr>
      </w:pPr>
    </w:p>
    <w:p w14:paraId="57FF8FE4" w14:textId="77777777"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14:paraId="023FF8CC"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32547410"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B384ADA"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99C757F"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50,105,409.04</w:t>
            </w:r>
          </w:p>
        </w:tc>
      </w:tr>
      <w:tr w:rsidR="004061AC" w:rsidRPr="00414345" w14:paraId="7B2BE8C9"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CF54501"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865243D"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63.43</w:t>
            </w:r>
          </w:p>
        </w:tc>
      </w:tr>
      <w:tr w:rsidR="004061AC" w:rsidRPr="00414345" w14:paraId="6C254614"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E8E62CD"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7712F03"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14:paraId="6D2ED53D"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CFE4BBF"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72ACE089"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14:paraId="31504289"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38B76D89"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FF1FBA8"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50,105,472.47</w:t>
            </w:r>
          </w:p>
        </w:tc>
      </w:tr>
    </w:tbl>
    <w:p w14:paraId="6F1547D3" w14:textId="77777777" w:rsidR="00320E90" w:rsidRDefault="00320E90" w:rsidP="00C15CAC">
      <w:pPr>
        <w:autoSpaceDE w:val="0"/>
        <w:autoSpaceDN w:val="0"/>
        <w:adjustRightInd w:val="0"/>
        <w:spacing w:before="29" w:line="288" w:lineRule="auto"/>
        <w:jc w:val="left"/>
        <w:rPr>
          <w:color w:val="000000"/>
          <w:sz w:val="24"/>
          <w:szCs w:val="24"/>
        </w:rPr>
      </w:pPr>
    </w:p>
    <w:p w14:paraId="1E71637D" w14:textId="77777777"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14:paraId="7F02735F" w14:textId="77777777"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14:paraId="1C10EFDC" w14:textId="77777777"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14:paraId="43CC1439"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50CE9793" w14:textId="77777777"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2099B546" w14:textId="77777777"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14:paraId="26E5B200"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0730A7BA" w14:textId="77777777"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709F35F3" w14:textId="77777777"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14:paraId="1C7EC26D"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54EA7441" w14:textId="77777777"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417ABBAD" w14:textId="77777777"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14:paraId="13558A83"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45F59CA0" w14:textId="77777777"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7A867579" w14:textId="77777777"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14:paraId="24963479"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53AF7843" w14:textId="77777777"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0DA596C8" w14:textId="77777777"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99.80</w:t>
            </w:r>
          </w:p>
        </w:tc>
      </w:tr>
    </w:tbl>
    <w:p w14:paraId="3167DA2D" w14:textId="77777777" w:rsidR="00410630" w:rsidRDefault="00410630" w:rsidP="00C15CAC">
      <w:pPr>
        <w:autoSpaceDE w:val="0"/>
        <w:autoSpaceDN w:val="0"/>
        <w:adjustRightInd w:val="0"/>
        <w:spacing w:before="29" w:line="288" w:lineRule="auto"/>
        <w:jc w:val="left"/>
        <w:rPr>
          <w:rFonts w:eastAsiaTheme="minorEastAsia"/>
          <w:color w:val="000000"/>
          <w:sz w:val="24"/>
        </w:rPr>
      </w:pPr>
    </w:p>
    <w:p w14:paraId="7829D07A" w14:textId="77777777"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14:paraId="772FDA3E"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14:paraId="01D47B88" w14:textId="77777777" w:rsidR="00480B35" w:rsidRPr="00414345" w:rsidRDefault="00480B35" w:rsidP="00C15CAC">
      <w:pPr>
        <w:autoSpaceDE w:val="0"/>
        <w:autoSpaceDN w:val="0"/>
        <w:adjustRightInd w:val="0"/>
        <w:spacing w:before="29" w:line="288" w:lineRule="auto"/>
        <w:jc w:val="left"/>
        <w:rPr>
          <w:color w:val="000000"/>
          <w:sz w:val="24"/>
        </w:rPr>
      </w:pPr>
    </w:p>
    <w:p w14:paraId="4F93BF63" w14:textId="77777777"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w:t>
      </w:r>
      <w:proofErr w:type="gramStart"/>
      <w:r w:rsidRPr="00414345">
        <w:rPr>
          <w:color w:val="000000"/>
          <w:kern w:val="0"/>
          <w:sz w:val="24"/>
          <w:szCs w:val="24"/>
        </w:rPr>
        <w:t>式基金</w:t>
      </w:r>
      <w:proofErr w:type="gramEnd"/>
      <w:r w:rsidRPr="00414345">
        <w:rPr>
          <w:color w:val="000000"/>
          <w:kern w:val="0"/>
          <w:sz w:val="24"/>
          <w:szCs w:val="24"/>
        </w:rPr>
        <w:t>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14:paraId="5877B1D6" w14:textId="77777777"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72220E88" w14:textId="77777777"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F9478E2"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DEE4B26"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9C5AA80"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F2AC519"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6D80654" w14:textId="77777777"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14:paraId="2F03816E"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2EE392F" w14:textId="77777777"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w:t>
            </w:r>
            <w:proofErr w:type="gramStart"/>
            <w:r w:rsidRPr="00414345">
              <w:rPr>
                <w:color w:val="000000"/>
                <w:sz w:val="24"/>
                <w:szCs w:val="24"/>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hideMark/>
          </w:tcPr>
          <w:p w14:paraId="08147CC5"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50349FE"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A3A5720"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B2D4A9D"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394656B"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14:paraId="45DFBB1A" w14:textId="77777777"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34891E58" w14:textId="77777777"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B5DF774"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EEADCAE"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320DA41"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E619754"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0F72F56"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6326E17E"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3319AB83"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AD59CF9"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FF3FB3C"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DFA1385"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DCBD6B7"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FF91EFF"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1E5632B5"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5A59C34"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w:t>
            </w:r>
            <w:proofErr w:type="gramStart"/>
            <w:r w:rsidRPr="00414345">
              <w:rPr>
                <w:color w:val="000000"/>
                <w:sz w:val="24"/>
                <w:szCs w:val="24"/>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hideMark/>
          </w:tcPr>
          <w:p w14:paraId="1D665348"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995A335"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CA30EFA"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6828E39"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996EEDC"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3131F9F7"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BE419DA"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8C0A0B4"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0E1F16F"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6F7F335"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13A27D3"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F169A80"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727C2EED"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54F4DEC"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E6D44BB"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0F28649"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3167BE1"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09B4D03"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0E669F9"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14:paraId="21212027" w14:textId="77777777" w:rsidR="005B09FA" w:rsidRPr="00414345" w:rsidRDefault="005B09FA" w:rsidP="00C15CAC">
      <w:pPr>
        <w:autoSpaceDE w:val="0"/>
        <w:autoSpaceDN w:val="0"/>
        <w:adjustRightInd w:val="0"/>
        <w:spacing w:before="29" w:line="288" w:lineRule="auto"/>
        <w:jc w:val="left"/>
        <w:rPr>
          <w:color w:val="000000"/>
          <w:sz w:val="24"/>
          <w:szCs w:val="24"/>
        </w:rPr>
      </w:pPr>
    </w:p>
    <w:p w14:paraId="0EDB3AEF" w14:textId="77777777"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14:paraId="0B70903C" w14:textId="77777777"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14:paraId="52F3D9AC" w14:textId="77777777" w:rsidTr="004C0877">
        <w:tc>
          <w:tcPr>
            <w:tcW w:w="993" w:type="dxa"/>
            <w:vMerge w:val="restart"/>
            <w:vAlign w:val="center"/>
          </w:tcPr>
          <w:p w14:paraId="785A041E"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14:paraId="305CE730"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14:paraId="771DF2AD"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14:paraId="748FC6DD" w14:textId="77777777" w:rsidTr="004C0877">
        <w:tc>
          <w:tcPr>
            <w:tcW w:w="993" w:type="dxa"/>
            <w:vMerge/>
            <w:vAlign w:val="center"/>
          </w:tcPr>
          <w:p w14:paraId="6FF27B04" w14:textId="77777777" w:rsidR="003C50AD" w:rsidRPr="004F4D27" w:rsidRDefault="003C50AD" w:rsidP="004C0877">
            <w:pPr>
              <w:autoSpaceDE w:val="0"/>
              <w:autoSpaceDN w:val="0"/>
              <w:adjustRightInd w:val="0"/>
              <w:jc w:val="center"/>
              <w:rPr>
                <w:rFonts w:ascii="宋体" w:hAnsi="宋体"/>
                <w:b/>
                <w:bCs/>
                <w:color w:val="000000"/>
                <w:kern w:val="0"/>
              </w:rPr>
            </w:pPr>
          </w:p>
        </w:tc>
        <w:tc>
          <w:tcPr>
            <w:tcW w:w="992" w:type="dxa"/>
            <w:vAlign w:val="center"/>
          </w:tcPr>
          <w:p w14:paraId="446638FF"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14:paraId="20A561E2"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14:paraId="03A8ED60" w14:textId="77777777"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14:paraId="02A7404A" w14:textId="77777777"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14:paraId="655A0423" w14:textId="77777777"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14:paraId="495DA7D4"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14:paraId="28FC5D30"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665BA" w14:paraId="60B0AE89" w14:textId="77777777">
        <w:tc>
          <w:tcPr>
            <w:tcW w:w="993" w:type="dxa"/>
            <w:vMerge w:val="restart"/>
            <w:vAlign w:val="center"/>
          </w:tcPr>
          <w:p w14:paraId="4ACCF09D" w14:textId="77777777" w:rsidR="004665BA" w:rsidRDefault="003A3087">
            <w:r>
              <w:rPr>
                <w:rFonts w:ascii="宋体" w:hAnsi="宋体" w:hint="eastAsia"/>
                <w:bCs/>
                <w:color w:val="000000"/>
                <w:kern w:val="0"/>
              </w:rPr>
              <w:t>机构</w:t>
            </w:r>
          </w:p>
        </w:tc>
        <w:tc>
          <w:tcPr>
            <w:tcW w:w="992" w:type="dxa"/>
            <w:vAlign w:val="center"/>
          </w:tcPr>
          <w:p w14:paraId="33379944" w14:textId="77777777" w:rsidR="004665BA" w:rsidRDefault="003A3087">
            <w:pPr>
              <w:jc w:val="center"/>
            </w:pPr>
            <w:r>
              <w:rPr>
                <w:rFonts w:ascii="宋体" w:hAnsi="宋体"/>
                <w:color w:val="000000"/>
                <w:kern w:val="0"/>
              </w:rPr>
              <w:t>1</w:t>
            </w:r>
          </w:p>
        </w:tc>
        <w:tc>
          <w:tcPr>
            <w:tcW w:w="1843" w:type="dxa"/>
            <w:vAlign w:val="center"/>
          </w:tcPr>
          <w:p w14:paraId="76FFA48F" w14:textId="77777777" w:rsidR="004665BA" w:rsidRDefault="003A3087">
            <w:pPr>
              <w:jc w:val="center"/>
            </w:pPr>
            <w:r>
              <w:rPr>
                <w:rFonts w:ascii="宋体" w:hAnsi="宋体"/>
                <w:color w:val="000000"/>
                <w:kern w:val="0"/>
              </w:rPr>
              <w:t>20241001-20241231</w:t>
            </w:r>
          </w:p>
        </w:tc>
        <w:tc>
          <w:tcPr>
            <w:tcW w:w="851" w:type="dxa"/>
            <w:vAlign w:val="center"/>
          </w:tcPr>
          <w:p w14:paraId="48590081" w14:textId="77777777" w:rsidR="004665BA" w:rsidRDefault="003A3087">
            <w:pPr>
              <w:jc w:val="center"/>
            </w:pPr>
            <w:r>
              <w:rPr>
                <w:rFonts w:ascii="宋体" w:hAnsi="宋体"/>
                <w:color w:val="000000"/>
                <w:kern w:val="0"/>
              </w:rPr>
              <w:t>50,005,944.44</w:t>
            </w:r>
          </w:p>
        </w:tc>
        <w:tc>
          <w:tcPr>
            <w:tcW w:w="850" w:type="dxa"/>
            <w:vAlign w:val="center"/>
          </w:tcPr>
          <w:p w14:paraId="197526C3" w14:textId="77777777" w:rsidR="004665BA" w:rsidRDefault="003A3087">
            <w:pPr>
              <w:jc w:val="center"/>
            </w:pPr>
            <w:r>
              <w:rPr>
                <w:rFonts w:ascii="宋体" w:hAnsi="宋体"/>
                <w:color w:val="000000"/>
                <w:kern w:val="0"/>
              </w:rPr>
              <w:t>0.00</w:t>
            </w:r>
          </w:p>
        </w:tc>
        <w:tc>
          <w:tcPr>
            <w:tcW w:w="1134" w:type="dxa"/>
            <w:vAlign w:val="center"/>
          </w:tcPr>
          <w:p w14:paraId="3E5CCEC5" w14:textId="77777777" w:rsidR="004665BA" w:rsidRDefault="003A3087">
            <w:pPr>
              <w:jc w:val="center"/>
            </w:pPr>
            <w:r>
              <w:rPr>
                <w:rFonts w:ascii="宋体" w:hAnsi="宋体"/>
                <w:color w:val="000000"/>
                <w:kern w:val="0"/>
              </w:rPr>
              <w:t>0.00</w:t>
            </w:r>
          </w:p>
        </w:tc>
        <w:tc>
          <w:tcPr>
            <w:tcW w:w="1419" w:type="dxa"/>
            <w:vAlign w:val="center"/>
          </w:tcPr>
          <w:p w14:paraId="097543CC" w14:textId="77777777" w:rsidR="004665BA" w:rsidRDefault="003A3087">
            <w:pPr>
              <w:jc w:val="center"/>
            </w:pPr>
            <w:r>
              <w:rPr>
                <w:rFonts w:ascii="宋体" w:hAnsi="宋体"/>
                <w:color w:val="000000"/>
                <w:kern w:val="0"/>
              </w:rPr>
              <w:t>50,005,944.44</w:t>
            </w:r>
          </w:p>
        </w:tc>
        <w:tc>
          <w:tcPr>
            <w:tcW w:w="1130" w:type="dxa"/>
            <w:vAlign w:val="center"/>
          </w:tcPr>
          <w:p w14:paraId="72B68F9F" w14:textId="77777777" w:rsidR="004665BA" w:rsidRDefault="003A3087">
            <w:pPr>
              <w:jc w:val="center"/>
            </w:pPr>
            <w:r>
              <w:rPr>
                <w:rFonts w:ascii="宋体" w:hAnsi="宋体"/>
                <w:color w:val="000000"/>
                <w:kern w:val="0"/>
              </w:rPr>
              <w:t>99.80%</w:t>
            </w:r>
          </w:p>
        </w:tc>
      </w:tr>
      <w:tr w:rsidR="003C50AD" w:rsidRPr="004F4D27" w14:paraId="1B262753" w14:textId="77777777" w:rsidTr="004C0877">
        <w:tc>
          <w:tcPr>
            <w:tcW w:w="9212" w:type="dxa"/>
            <w:gridSpan w:val="8"/>
            <w:vAlign w:val="center"/>
          </w:tcPr>
          <w:p w14:paraId="7524ADA2" w14:textId="77777777" w:rsidR="003C50AD" w:rsidRPr="004F4D27" w:rsidRDefault="003C50AD" w:rsidP="004C0877">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14:paraId="458E2D43" w14:textId="77777777" w:rsidTr="004C0877">
        <w:tc>
          <w:tcPr>
            <w:tcW w:w="9212" w:type="dxa"/>
            <w:gridSpan w:val="8"/>
            <w:vAlign w:val="center"/>
          </w:tcPr>
          <w:p w14:paraId="21BF5E37" w14:textId="77777777" w:rsidR="003C50AD" w:rsidRPr="004F4D27" w:rsidRDefault="003C50AD" w:rsidP="004C0877">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7A6B2F8A" w14:textId="77777777"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14:paraId="7D0BB6EB"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14:paraId="457543E4" w14:textId="77777777" w:rsidR="004665BA" w:rsidRDefault="003A3087">
      <w:pPr>
        <w:spacing w:before="29" w:line="288" w:lineRule="auto"/>
        <w:ind w:firstLineChars="200" w:firstLine="480"/>
        <w:rPr>
          <w:color w:val="000000"/>
          <w:sz w:val="24"/>
          <w:szCs w:val="24"/>
        </w:rPr>
      </w:pPr>
      <w:r>
        <w:rPr>
          <w:color w:val="000000"/>
          <w:sz w:val="24"/>
          <w:szCs w:val="24"/>
        </w:rPr>
        <w:t>(</w:t>
      </w:r>
      <w:proofErr w:type="gramStart"/>
      <w:r>
        <w:rPr>
          <w:color w:val="000000"/>
          <w:sz w:val="24"/>
          <w:szCs w:val="24"/>
        </w:rPr>
        <w:t>一</w:t>
      </w:r>
      <w:proofErr w:type="gramEnd"/>
      <w:r>
        <w:rPr>
          <w:color w:val="000000"/>
          <w:sz w:val="24"/>
          <w:szCs w:val="24"/>
        </w:rPr>
        <w:t>)</w:t>
      </w:r>
      <w:r>
        <w:rPr>
          <w:color w:val="000000"/>
          <w:sz w:val="24"/>
          <w:szCs w:val="24"/>
        </w:rPr>
        <w:t>中国证监会准予本基金募集注册的文件</w:t>
      </w:r>
    </w:p>
    <w:p w14:paraId="3EBA58AC" w14:textId="77777777" w:rsidR="004665BA" w:rsidRDefault="003A3087">
      <w:pPr>
        <w:spacing w:before="29" w:line="288" w:lineRule="auto"/>
        <w:ind w:firstLineChars="200" w:firstLine="480"/>
        <w:rPr>
          <w:color w:val="000000"/>
          <w:sz w:val="24"/>
          <w:szCs w:val="24"/>
        </w:rPr>
      </w:pPr>
      <w:r>
        <w:rPr>
          <w:color w:val="000000"/>
          <w:sz w:val="24"/>
          <w:szCs w:val="24"/>
        </w:rPr>
        <w:t>(</w:t>
      </w:r>
      <w:r>
        <w:rPr>
          <w:color w:val="000000"/>
          <w:sz w:val="24"/>
          <w:szCs w:val="24"/>
        </w:rPr>
        <w:t>二</w:t>
      </w:r>
      <w:r>
        <w:rPr>
          <w:color w:val="000000"/>
          <w:sz w:val="24"/>
          <w:szCs w:val="24"/>
        </w:rPr>
        <w:t>)</w:t>
      </w:r>
      <w:r>
        <w:rPr>
          <w:color w:val="000000"/>
          <w:sz w:val="24"/>
          <w:szCs w:val="24"/>
        </w:rPr>
        <w:t>摩根锦颐养</w:t>
      </w:r>
      <w:proofErr w:type="gramStart"/>
      <w:r>
        <w:rPr>
          <w:color w:val="000000"/>
          <w:sz w:val="24"/>
          <w:szCs w:val="24"/>
        </w:rPr>
        <w:t>老目标</w:t>
      </w:r>
      <w:proofErr w:type="gramEnd"/>
      <w:r>
        <w:rPr>
          <w:color w:val="000000"/>
          <w:sz w:val="24"/>
          <w:szCs w:val="24"/>
        </w:rPr>
        <w:t>日期</w:t>
      </w:r>
      <w:r>
        <w:rPr>
          <w:color w:val="000000"/>
          <w:sz w:val="24"/>
          <w:szCs w:val="24"/>
        </w:rPr>
        <w:t>2035</w:t>
      </w:r>
      <w:r>
        <w:rPr>
          <w:color w:val="000000"/>
          <w:sz w:val="24"/>
          <w:szCs w:val="24"/>
        </w:rPr>
        <w:t>三年持有期混合型发起</w:t>
      </w:r>
      <w:proofErr w:type="gramStart"/>
      <w:r>
        <w:rPr>
          <w:color w:val="000000"/>
          <w:sz w:val="24"/>
          <w:szCs w:val="24"/>
        </w:rPr>
        <w:t>式基金</w:t>
      </w:r>
      <w:proofErr w:type="gramEnd"/>
      <w:r>
        <w:rPr>
          <w:color w:val="000000"/>
          <w:sz w:val="24"/>
          <w:szCs w:val="24"/>
        </w:rPr>
        <w:t>中基金</w:t>
      </w:r>
      <w:r>
        <w:rPr>
          <w:color w:val="000000"/>
          <w:sz w:val="24"/>
          <w:szCs w:val="24"/>
        </w:rPr>
        <w:t>(FOF)</w:t>
      </w:r>
      <w:r>
        <w:rPr>
          <w:color w:val="000000"/>
          <w:sz w:val="24"/>
          <w:szCs w:val="24"/>
        </w:rPr>
        <w:t>基金合同</w:t>
      </w:r>
    </w:p>
    <w:p w14:paraId="0DE885F8" w14:textId="77777777" w:rsidR="004665BA" w:rsidRDefault="003A3087">
      <w:pPr>
        <w:spacing w:before="29" w:line="288" w:lineRule="auto"/>
        <w:ind w:firstLineChars="200" w:firstLine="480"/>
        <w:rPr>
          <w:color w:val="000000"/>
          <w:sz w:val="24"/>
          <w:szCs w:val="24"/>
        </w:rPr>
      </w:pPr>
      <w:r>
        <w:rPr>
          <w:color w:val="000000"/>
          <w:sz w:val="24"/>
          <w:szCs w:val="24"/>
        </w:rPr>
        <w:t>(</w:t>
      </w:r>
      <w:r>
        <w:rPr>
          <w:color w:val="000000"/>
          <w:sz w:val="24"/>
          <w:szCs w:val="24"/>
        </w:rPr>
        <w:t>三</w:t>
      </w:r>
      <w:r>
        <w:rPr>
          <w:color w:val="000000"/>
          <w:sz w:val="24"/>
          <w:szCs w:val="24"/>
        </w:rPr>
        <w:t>)</w:t>
      </w:r>
      <w:r>
        <w:rPr>
          <w:color w:val="000000"/>
          <w:sz w:val="24"/>
          <w:szCs w:val="24"/>
        </w:rPr>
        <w:t>摩根锦颐养</w:t>
      </w:r>
      <w:proofErr w:type="gramStart"/>
      <w:r>
        <w:rPr>
          <w:color w:val="000000"/>
          <w:sz w:val="24"/>
          <w:szCs w:val="24"/>
        </w:rPr>
        <w:t>老目标</w:t>
      </w:r>
      <w:proofErr w:type="gramEnd"/>
      <w:r>
        <w:rPr>
          <w:color w:val="000000"/>
          <w:sz w:val="24"/>
          <w:szCs w:val="24"/>
        </w:rPr>
        <w:t>日期</w:t>
      </w:r>
      <w:r>
        <w:rPr>
          <w:color w:val="000000"/>
          <w:sz w:val="24"/>
          <w:szCs w:val="24"/>
        </w:rPr>
        <w:t>2035</w:t>
      </w:r>
      <w:r>
        <w:rPr>
          <w:color w:val="000000"/>
          <w:sz w:val="24"/>
          <w:szCs w:val="24"/>
        </w:rPr>
        <w:t>三年持有期混合型发起</w:t>
      </w:r>
      <w:proofErr w:type="gramStart"/>
      <w:r>
        <w:rPr>
          <w:color w:val="000000"/>
          <w:sz w:val="24"/>
          <w:szCs w:val="24"/>
        </w:rPr>
        <w:t>式基金</w:t>
      </w:r>
      <w:proofErr w:type="gramEnd"/>
      <w:r>
        <w:rPr>
          <w:color w:val="000000"/>
          <w:sz w:val="24"/>
          <w:szCs w:val="24"/>
        </w:rPr>
        <w:t>中基金</w:t>
      </w:r>
      <w:r>
        <w:rPr>
          <w:color w:val="000000"/>
          <w:sz w:val="24"/>
          <w:szCs w:val="24"/>
        </w:rPr>
        <w:t>(FOF)</w:t>
      </w:r>
      <w:r>
        <w:rPr>
          <w:color w:val="000000"/>
          <w:sz w:val="24"/>
          <w:szCs w:val="24"/>
        </w:rPr>
        <w:t>托管协议</w:t>
      </w:r>
    </w:p>
    <w:p w14:paraId="2C683983" w14:textId="77777777" w:rsidR="004665BA" w:rsidRDefault="003A3087">
      <w:pPr>
        <w:spacing w:before="29" w:line="288" w:lineRule="auto"/>
        <w:ind w:firstLineChars="200" w:firstLine="480"/>
        <w:rPr>
          <w:color w:val="000000"/>
          <w:sz w:val="24"/>
          <w:szCs w:val="24"/>
        </w:rPr>
      </w:pPr>
      <w:r>
        <w:rPr>
          <w:color w:val="000000"/>
          <w:sz w:val="24"/>
          <w:szCs w:val="24"/>
        </w:rPr>
        <w:t>(</w:t>
      </w:r>
      <w:r>
        <w:rPr>
          <w:color w:val="000000"/>
          <w:sz w:val="24"/>
          <w:szCs w:val="24"/>
        </w:rPr>
        <w:t>四</w:t>
      </w:r>
      <w:r>
        <w:rPr>
          <w:color w:val="000000"/>
          <w:sz w:val="24"/>
          <w:szCs w:val="24"/>
        </w:rPr>
        <w:t>)</w:t>
      </w:r>
      <w:r>
        <w:rPr>
          <w:color w:val="000000"/>
          <w:sz w:val="24"/>
          <w:szCs w:val="24"/>
        </w:rPr>
        <w:t>法律意见书</w:t>
      </w:r>
    </w:p>
    <w:p w14:paraId="357315D5" w14:textId="77777777" w:rsidR="004665BA" w:rsidRDefault="003A3087">
      <w:pPr>
        <w:spacing w:before="29" w:line="288" w:lineRule="auto"/>
        <w:ind w:firstLineChars="200" w:firstLine="480"/>
        <w:rPr>
          <w:color w:val="000000"/>
          <w:sz w:val="24"/>
          <w:szCs w:val="24"/>
        </w:rPr>
      </w:pPr>
      <w:r>
        <w:rPr>
          <w:color w:val="000000"/>
          <w:sz w:val="24"/>
          <w:szCs w:val="24"/>
        </w:rPr>
        <w:t>(</w:t>
      </w:r>
      <w:r>
        <w:rPr>
          <w:color w:val="000000"/>
          <w:sz w:val="24"/>
          <w:szCs w:val="24"/>
        </w:rPr>
        <w:t>五</w:t>
      </w:r>
      <w:r>
        <w:rPr>
          <w:color w:val="000000"/>
          <w:sz w:val="24"/>
          <w:szCs w:val="24"/>
        </w:rPr>
        <w:t>)</w:t>
      </w:r>
      <w:r>
        <w:rPr>
          <w:color w:val="000000"/>
          <w:sz w:val="24"/>
          <w:szCs w:val="24"/>
        </w:rPr>
        <w:t>基金管理人业务资格批件、营业执照</w:t>
      </w:r>
    </w:p>
    <w:p w14:paraId="1B194B8C" w14:textId="77777777" w:rsidR="004665BA" w:rsidRDefault="003A3087">
      <w:pPr>
        <w:spacing w:before="29" w:line="288" w:lineRule="auto"/>
        <w:ind w:firstLineChars="200" w:firstLine="480"/>
        <w:rPr>
          <w:color w:val="000000"/>
          <w:sz w:val="24"/>
          <w:szCs w:val="24"/>
        </w:rPr>
      </w:pPr>
      <w:r>
        <w:rPr>
          <w:color w:val="000000"/>
          <w:sz w:val="24"/>
          <w:szCs w:val="24"/>
        </w:rPr>
        <w:t>(</w:t>
      </w:r>
      <w:r>
        <w:rPr>
          <w:color w:val="000000"/>
          <w:sz w:val="24"/>
          <w:szCs w:val="24"/>
        </w:rPr>
        <w:t>六</w:t>
      </w:r>
      <w:r>
        <w:rPr>
          <w:color w:val="000000"/>
          <w:sz w:val="24"/>
          <w:szCs w:val="24"/>
        </w:rPr>
        <w:t>)</w:t>
      </w:r>
      <w:r>
        <w:rPr>
          <w:color w:val="000000"/>
          <w:sz w:val="24"/>
          <w:szCs w:val="24"/>
        </w:rPr>
        <w:t>基金托管人业务资格批件、营业执照</w:t>
      </w:r>
    </w:p>
    <w:p w14:paraId="3473F20E" w14:textId="77777777" w:rsidR="004665BA" w:rsidRDefault="003A3087">
      <w:pPr>
        <w:spacing w:before="29" w:line="288" w:lineRule="auto"/>
        <w:ind w:firstLineChars="200" w:firstLine="480"/>
        <w:rPr>
          <w:color w:val="000000"/>
          <w:sz w:val="24"/>
          <w:szCs w:val="24"/>
        </w:rPr>
      </w:pPr>
      <w:r>
        <w:rPr>
          <w:color w:val="000000"/>
          <w:sz w:val="24"/>
          <w:szCs w:val="24"/>
        </w:rPr>
        <w:t>(</w:t>
      </w:r>
      <w:r>
        <w:rPr>
          <w:color w:val="000000"/>
          <w:sz w:val="24"/>
          <w:szCs w:val="24"/>
        </w:rPr>
        <w:t>七</w:t>
      </w:r>
      <w:r>
        <w:rPr>
          <w:color w:val="000000"/>
          <w:sz w:val="24"/>
          <w:szCs w:val="24"/>
        </w:rPr>
        <w:t>)</w:t>
      </w:r>
      <w:r>
        <w:rPr>
          <w:color w:val="000000"/>
          <w:sz w:val="24"/>
          <w:szCs w:val="24"/>
        </w:rPr>
        <w:t>摩根基金管理（中国）有限公司开放式基金业务规则</w:t>
      </w:r>
    </w:p>
    <w:p w14:paraId="5F19E5C4"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w:t>
      </w:r>
      <w:r w:rsidRPr="00414345">
        <w:rPr>
          <w:color w:val="000000"/>
          <w:sz w:val="24"/>
          <w:szCs w:val="24"/>
        </w:rPr>
        <w:t>八</w:t>
      </w:r>
      <w:r w:rsidRPr="00414345">
        <w:rPr>
          <w:color w:val="000000"/>
          <w:sz w:val="24"/>
          <w:szCs w:val="24"/>
        </w:rPr>
        <w:t>)</w:t>
      </w:r>
      <w:r w:rsidRPr="00414345">
        <w:rPr>
          <w:color w:val="000000"/>
          <w:sz w:val="24"/>
          <w:szCs w:val="24"/>
        </w:rPr>
        <w:t>中国证监会要求的其他文件</w:t>
      </w:r>
    </w:p>
    <w:p w14:paraId="7F907281" w14:textId="77777777" w:rsidR="006A48FD" w:rsidRPr="00414345" w:rsidRDefault="006A48FD" w:rsidP="00C15CAC">
      <w:pPr>
        <w:spacing w:before="29" w:line="288" w:lineRule="auto"/>
        <w:ind w:firstLineChars="200" w:firstLine="480"/>
        <w:rPr>
          <w:color w:val="000000"/>
          <w:sz w:val="24"/>
          <w:szCs w:val="24"/>
        </w:rPr>
      </w:pPr>
    </w:p>
    <w:p w14:paraId="6385CB0D"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14:paraId="1ECBAC3C"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14:paraId="069B2C9A" w14:textId="77777777" w:rsidR="006A48FD" w:rsidRPr="00414345" w:rsidRDefault="006A48FD" w:rsidP="00C15CAC">
      <w:pPr>
        <w:spacing w:before="29" w:line="288" w:lineRule="auto"/>
        <w:ind w:firstLineChars="200" w:firstLine="480"/>
        <w:rPr>
          <w:color w:val="000000"/>
          <w:sz w:val="24"/>
          <w:szCs w:val="24"/>
        </w:rPr>
      </w:pPr>
    </w:p>
    <w:p w14:paraId="0A0AC945"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14:paraId="5AD80DD1" w14:textId="77777777"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14:paraId="2D96FC25" w14:textId="77777777"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ED3B" w14:textId="77777777" w:rsidR="00880770" w:rsidRDefault="00880770" w:rsidP="00876D65">
      <w:r>
        <w:separator/>
      </w:r>
    </w:p>
  </w:endnote>
  <w:endnote w:type="continuationSeparator" w:id="0">
    <w:p w14:paraId="4E863D1D" w14:textId="77777777" w:rsidR="00880770" w:rsidRDefault="008807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EA3C" w14:textId="77777777" w:rsidR="004C0877" w:rsidRDefault="004C08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BFF8" w14:textId="77777777" w:rsidR="004C0877" w:rsidRPr="001D0DB0" w:rsidRDefault="004C0877"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27</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DCC7" w14:textId="77777777" w:rsidR="004C0877" w:rsidRDefault="004C08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92B1" w14:textId="77777777" w:rsidR="00880770" w:rsidRDefault="00880770" w:rsidP="00876D65">
      <w:r>
        <w:separator/>
      </w:r>
    </w:p>
  </w:footnote>
  <w:footnote w:type="continuationSeparator" w:id="0">
    <w:p w14:paraId="5FE73944" w14:textId="77777777" w:rsidR="00880770" w:rsidRDefault="0088077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D07B" w14:textId="77777777" w:rsidR="004C0877" w:rsidRDefault="004C08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B033" w14:textId="77777777" w:rsidR="004C0877" w:rsidRPr="00DC456F" w:rsidRDefault="004C0877" w:rsidP="00090A26">
    <w:pPr>
      <w:pStyle w:val="ac"/>
      <w:pBdr>
        <w:bottom w:val="single" w:sz="6" w:space="0" w:color="auto"/>
      </w:pBdr>
      <w:jc w:val="right"/>
      <w:rPr>
        <w:sz w:val="24"/>
        <w:szCs w:val="24"/>
      </w:rPr>
    </w:pPr>
    <w:r w:rsidRPr="003E676C">
      <w:rPr>
        <w:sz w:val="24"/>
        <w:szCs w:val="24"/>
      </w:rPr>
      <w:t>摩根锦颐养</w:t>
    </w:r>
    <w:r w:rsidRPr="003E676C">
      <w:rPr>
        <w:sz w:val="24"/>
        <w:szCs w:val="24"/>
      </w:rPr>
      <w:t>老目标日期</w:t>
    </w:r>
    <w:r w:rsidRPr="003E676C">
      <w:rPr>
        <w:sz w:val="24"/>
        <w:szCs w:val="24"/>
      </w:rPr>
      <w:t>2035</w:t>
    </w:r>
    <w:r w:rsidRPr="003E676C">
      <w:rPr>
        <w:sz w:val="24"/>
        <w:szCs w:val="24"/>
      </w:rPr>
      <w:t>三年持有期混合型发起式基金中基金</w:t>
    </w:r>
    <w:r w:rsidRPr="003E676C">
      <w:rPr>
        <w:sz w:val="24"/>
        <w:szCs w:val="24"/>
      </w:rPr>
      <w:t>(FOF)2024</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1316" w14:textId="77777777" w:rsidR="004C0877" w:rsidRDefault="004C08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728"/>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5D02"/>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3D29"/>
    <w:rsid w:val="00213821"/>
    <w:rsid w:val="00213DFB"/>
    <w:rsid w:val="00217B92"/>
    <w:rsid w:val="0022165B"/>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3087"/>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665BA"/>
    <w:rsid w:val="00471408"/>
    <w:rsid w:val="00480B35"/>
    <w:rsid w:val="004858E0"/>
    <w:rsid w:val="00491C81"/>
    <w:rsid w:val="004934E9"/>
    <w:rsid w:val="004943C2"/>
    <w:rsid w:val="004949F3"/>
    <w:rsid w:val="004A11A7"/>
    <w:rsid w:val="004A459C"/>
    <w:rsid w:val="004A7B1D"/>
    <w:rsid w:val="004B2AF4"/>
    <w:rsid w:val="004C0877"/>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0770"/>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65745"/>
    <w:rsid w:val="009730B8"/>
    <w:rsid w:val="009734BB"/>
    <w:rsid w:val="0097424F"/>
    <w:rsid w:val="00975DED"/>
    <w:rsid w:val="0098122D"/>
    <w:rsid w:val="00986596"/>
    <w:rsid w:val="00990685"/>
    <w:rsid w:val="009A0ABE"/>
    <w:rsid w:val="009A4E5D"/>
    <w:rsid w:val="009B2D4B"/>
    <w:rsid w:val="009C5186"/>
    <w:rsid w:val="009C60F7"/>
    <w:rsid w:val="009D0952"/>
    <w:rsid w:val="009D10B9"/>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22AB"/>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34AA"/>
    <w:rsid w:val="00AB4DB6"/>
    <w:rsid w:val="00AB6E79"/>
    <w:rsid w:val="00AC063D"/>
    <w:rsid w:val="00AC592E"/>
    <w:rsid w:val="00AC5FC0"/>
    <w:rsid w:val="00AC6C10"/>
    <w:rsid w:val="00AC7BC6"/>
    <w:rsid w:val="00AD24AA"/>
    <w:rsid w:val="00AE02BF"/>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1421"/>
    <w:rsid w:val="00D75E69"/>
    <w:rsid w:val="00D8099B"/>
    <w:rsid w:val="00D817AE"/>
    <w:rsid w:val="00D866A8"/>
    <w:rsid w:val="00D91E06"/>
    <w:rsid w:val="00D9393A"/>
    <w:rsid w:val="00D94B8D"/>
    <w:rsid w:val="00D96C8D"/>
    <w:rsid w:val="00D974EF"/>
    <w:rsid w:val="00DA0C61"/>
    <w:rsid w:val="00DA14B0"/>
    <w:rsid w:val="00DA2876"/>
    <w:rsid w:val="00DA5572"/>
    <w:rsid w:val="00DA66D0"/>
    <w:rsid w:val="00DC0B51"/>
    <w:rsid w:val="00DC141F"/>
    <w:rsid w:val="00DC28F1"/>
    <w:rsid w:val="00DC39D7"/>
    <w:rsid w:val="00DC456F"/>
    <w:rsid w:val="00DC6B55"/>
    <w:rsid w:val="00DE21C3"/>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6A97B"/>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qFormat/>
    <w:rsid w:val="004061AC"/>
    <w:rPr>
      <w:rFonts w:ascii="宋体" w:hAnsi="Courier New" w:cs="宋体"/>
    </w:rPr>
  </w:style>
  <w:style w:type="character" w:customStyle="1" w:styleId="a7">
    <w:name w:val="纯文本 字符"/>
    <w:basedOn w:val="a1"/>
    <w:link w:val="a6"/>
    <w:uiPriority w:val="99"/>
    <w:qFormat/>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qFormat/>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uiPriority w:val="99"/>
    <w:qFormat/>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qFormat/>
    <w:rsid w:val="00275745"/>
    <w:pPr>
      <w:widowControl w:val="0"/>
      <w:autoSpaceDE w:val="0"/>
      <w:autoSpaceDN w:val="0"/>
      <w:adjustRightInd w:val="0"/>
    </w:pPr>
    <w:rPr>
      <w:rFonts w:ascii="仿宋" w:eastAsia="宋体" w:hAnsi="仿宋" w:cs="仿宋"/>
      <w:color w:val="000000"/>
      <w:kern w:val="0"/>
      <w:sz w:val="24"/>
      <w:szCs w:val="24"/>
    </w:rPr>
  </w:style>
  <w:style w:type="character" w:styleId="aff8">
    <w:name w:val="Strong"/>
    <w:basedOn w:val="a1"/>
    <w:uiPriority w:val="22"/>
    <w:qFormat/>
    <w:rsid w:val="00E52DBC"/>
    <w:rPr>
      <w:b/>
      <w:bCs/>
    </w:rPr>
  </w:style>
  <w:style w:type="character" w:customStyle="1" w:styleId="x-btn-inner">
    <w:name w:val="x-btn-inner"/>
    <w:basedOn w:val="a1"/>
    <w:rsid w:val="004C0877"/>
  </w:style>
  <w:style w:type="character" w:customStyle="1" w:styleId="x-btn-icon-el">
    <w:name w:val="x-btn-icon-el"/>
    <w:basedOn w:val="a1"/>
    <w:rsid w:val="004C0877"/>
  </w:style>
  <w:style w:type="character" w:customStyle="1" w:styleId="12">
    <w:name w:val="脚注文本 字符1"/>
    <w:qFormat/>
    <w:rsid w:val="004C08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18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100219347">
      <w:bodyDiv w:val="1"/>
      <w:marLeft w:val="0"/>
      <w:marRight w:val="0"/>
      <w:marTop w:val="0"/>
      <w:marBottom w:val="0"/>
      <w:divBdr>
        <w:top w:val="none" w:sz="0" w:space="0" w:color="auto"/>
        <w:left w:val="none" w:sz="0" w:space="0" w:color="auto"/>
        <w:bottom w:val="none" w:sz="0" w:space="0" w:color="auto"/>
        <w:right w:val="none" w:sz="0" w:space="0" w:color="auto"/>
      </w:divBdr>
    </w:div>
    <w:div w:id="137331072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92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4A72-F512-4724-8666-8129175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594</cp:revision>
  <dcterms:created xsi:type="dcterms:W3CDTF">2012-10-16T06:07:00Z</dcterms:created>
  <dcterms:modified xsi:type="dcterms:W3CDTF">2025-01-21T06:32:00Z</dcterms:modified>
</cp:coreProperties>
</file>