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bookmarkStart w:id="0" w:name="_GoBack"/>
      <w:bookmarkEnd w:id="0"/>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397616" w:rsidRPr="00A76A42" w:rsidRDefault="00397616" w:rsidP="00397616">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F22F00">
      <w:pPr>
        <w:autoSpaceDE w:val="0"/>
        <w:autoSpaceDN w:val="0"/>
        <w:adjustRightInd w:val="0"/>
        <w:spacing w:line="360" w:lineRule="auto"/>
        <w:jc w:val="left"/>
        <w:rPr>
          <w:rFonts w:eastAsiaTheme="minorEastAsia"/>
          <w:color w:val="000000" w:themeColor="text1"/>
          <w:kern w:val="0"/>
          <w:sz w:val="24"/>
        </w:rPr>
      </w:pP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摩根海外稳健配置混合型证券投资基金</w:t>
      </w:r>
      <w:r w:rsidRPr="00A76A42">
        <w:rPr>
          <w:rFonts w:eastAsiaTheme="minorEastAsia"/>
          <w:b/>
          <w:color w:val="000000" w:themeColor="text1"/>
          <w:sz w:val="36"/>
          <w:szCs w:val="36"/>
        </w:rPr>
        <w:t>(QDII-FOF)</w:t>
      </w:r>
    </w:p>
    <w:p w:rsidR="00F22F00" w:rsidRPr="00A76A42" w:rsidRDefault="00F22F00"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年第</w:t>
      </w:r>
      <w:r w:rsidRPr="00A76A42">
        <w:rPr>
          <w:rFonts w:eastAsiaTheme="minorEastAsia"/>
          <w:b/>
          <w:color w:val="000000" w:themeColor="text1"/>
          <w:sz w:val="36"/>
          <w:szCs w:val="36"/>
        </w:rPr>
        <w:t>3</w:t>
      </w:r>
      <w:r w:rsidRPr="00A76A42">
        <w:rPr>
          <w:rFonts w:eastAsiaTheme="minorEastAsia"/>
          <w:b/>
          <w:color w:val="000000" w:themeColor="text1"/>
          <w:sz w:val="36"/>
          <w:szCs w:val="36"/>
        </w:rPr>
        <w:t>季度报告</w:t>
      </w:r>
    </w:p>
    <w:p w:rsidR="00397616" w:rsidRPr="00A76A42" w:rsidRDefault="00623556" w:rsidP="00506D57">
      <w:pPr>
        <w:spacing w:line="360" w:lineRule="auto"/>
        <w:jc w:val="center"/>
        <w:rPr>
          <w:rFonts w:eastAsiaTheme="minorEastAsia"/>
          <w:b/>
          <w:color w:val="000000" w:themeColor="text1"/>
          <w:sz w:val="36"/>
          <w:szCs w:val="36"/>
        </w:rPr>
      </w:pPr>
      <w:r w:rsidRPr="00A76A42">
        <w:rPr>
          <w:rFonts w:eastAsiaTheme="minorEastAsia"/>
          <w:b/>
          <w:color w:val="000000" w:themeColor="text1"/>
          <w:sz w:val="36"/>
          <w:szCs w:val="36"/>
        </w:rPr>
        <w:t>2023</w:t>
      </w:r>
      <w:r w:rsidRPr="00A76A42">
        <w:rPr>
          <w:rFonts w:eastAsiaTheme="minorEastAsia"/>
          <w:b/>
          <w:color w:val="000000" w:themeColor="text1"/>
          <w:sz w:val="36"/>
          <w:szCs w:val="36"/>
        </w:rPr>
        <w:t>年</w:t>
      </w:r>
      <w:r w:rsidRPr="00A76A42">
        <w:rPr>
          <w:rFonts w:eastAsiaTheme="minorEastAsia"/>
          <w:b/>
          <w:color w:val="000000" w:themeColor="text1"/>
          <w:sz w:val="36"/>
          <w:szCs w:val="36"/>
        </w:rPr>
        <w:t>9</w:t>
      </w:r>
      <w:r w:rsidRPr="00A76A42">
        <w:rPr>
          <w:rFonts w:eastAsiaTheme="minorEastAsia"/>
          <w:b/>
          <w:color w:val="000000" w:themeColor="text1"/>
          <w:sz w:val="36"/>
          <w:szCs w:val="36"/>
        </w:rPr>
        <w:t>月</w:t>
      </w:r>
      <w:r w:rsidRPr="00A76A42">
        <w:rPr>
          <w:rFonts w:eastAsiaTheme="minorEastAsia"/>
          <w:b/>
          <w:color w:val="000000" w:themeColor="text1"/>
          <w:sz w:val="36"/>
          <w:szCs w:val="36"/>
        </w:rPr>
        <w:t>30</w:t>
      </w:r>
      <w:r w:rsidRPr="00A76A42">
        <w:rPr>
          <w:rFonts w:eastAsiaTheme="minorEastAsia"/>
          <w:b/>
          <w:color w:val="000000" w:themeColor="text1"/>
          <w:sz w:val="36"/>
          <w:szCs w:val="36"/>
        </w:rPr>
        <w:t>日</w:t>
      </w: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397616">
      <w:pPr>
        <w:spacing w:line="360" w:lineRule="auto"/>
        <w:jc w:val="center"/>
        <w:rPr>
          <w:rFonts w:eastAsiaTheme="minorEastAsia"/>
          <w:b/>
          <w:color w:val="000000" w:themeColor="text1"/>
          <w:sz w:val="24"/>
        </w:rPr>
      </w:pPr>
    </w:p>
    <w:p w:rsidR="00397616" w:rsidRPr="00A76A42" w:rsidRDefault="00397616" w:rsidP="00826B12">
      <w:pPr>
        <w:spacing w:line="288" w:lineRule="auto"/>
        <w:ind w:firstLineChars="900" w:firstLine="2168"/>
        <w:rPr>
          <w:rFonts w:eastAsiaTheme="minorEastAsia"/>
          <w:b/>
          <w:color w:val="000000" w:themeColor="text1"/>
          <w:sz w:val="24"/>
        </w:rPr>
      </w:pP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基金管理人：摩根基金管理（中国）有限公司</w:t>
      </w:r>
    </w:p>
    <w:p w:rsidR="007D1292" w:rsidRPr="00A76A42" w:rsidRDefault="007D1292" w:rsidP="00506D57">
      <w:pPr>
        <w:spacing w:line="360" w:lineRule="auto"/>
        <w:ind w:firstLineChars="900" w:firstLine="2168"/>
        <w:rPr>
          <w:rFonts w:eastAsiaTheme="minorEastAsia"/>
          <w:b/>
          <w:color w:val="000000" w:themeColor="text1"/>
          <w:sz w:val="24"/>
        </w:rPr>
      </w:pPr>
      <w:r w:rsidRPr="00A76A42">
        <w:rPr>
          <w:rFonts w:eastAsiaTheme="minorEastAsia"/>
          <w:b/>
          <w:color w:val="000000" w:themeColor="text1"/>
          <w:sz w:val="24"/>
        </w:rPr>
        <w:t>基金托管人：招商银行股份有限公司</w:t>
      </w:r>
    </w:p>
    <w:p w:rsidR="007D1292" w:rsidRPr="00A76A42" w:rsidRDefault="007D1292" w:rsidP="00506D57">
      <w:pPr>
        <w:spacing w:line="360" w:lineRule="auto"/>
        <w:ind w:firstLineChars="900" w:firstLine="2168"/>
        <w:rPr>
          <w:rFonts w:eastAsiaTheme="minorEastAsia"/>
          <w:b/>
          <w:color w:val="000000" w:themeColor="text1"/>
          <w:sz w:val="24"/>
        </w:rPr>
        <w:sectPr w:rsidR="007D1292" w:rsidRPr="00A76A42" w:rsidSect="00B918B8">
          <w:headerReference w:type="default" r:id="rId7"/>
          <w:footerReference w:type="default" r:id="rId8"/>
          <w:pgSz w:w="11926" w:h="15840"/>
          <w:pgMar w:top="1418" w:right="1418" w:bottom="851" w:left="1418" w:header="851" w:footer="992" w:gutter="0"/>
          <w:cols w:space="720"/>
          <w:noEndnote/>
        </w:sectPr>
      </w:pPr>
      <w:r w:rsidRPr="00A76A42">
        <w:rPr>
          <w:rFonts w:eastAsiaTheme="minorEastAsia"/>
          <w:b/>
          <w:color w:val="000000" w:themeColor="text1"/>
          <w:sz w:val="24"/>
        </w:rPr>
        <w:t>报告送出日期：</w:t>
      </w:r>
      <w:r w:rsidR="00CB44DE" w:rsidRPr="00A76A42">
        <w:rPr>
          <w:rFonts w:eastAsiaTheme="minorEastAsia"/>
          <w:b/>
          <w:color w:val="000000" w:themeColor="text1"/>
          <w:sz w:val="24"/>
        </w:rPr>
        <w:t>二〇二三年十月二十五日</w:t>
      </w:r>
    </w:p>
    <w:p w:rsidR="0076518F" w:rsidRPr="00A76A42" w:rsidRDefault="0076518F" w:rsidP="007449EE">
      <w:pPr>
        <w:pStyle w:val="1"/>
        <w:spacing w:beforeLines="100" w:before="312" w:afterLines="100" w:after="312" w:line="360" w:lineRule="auto"/>
        <w:jc w:val="center"/>
        <w:rPr>
          <w:rFonts w:eastAsiaTheme="minorEastAsia"/>
          <w:b w:val="0"/>
          <w:color w:val="000000" w:themeColor="text1"/>
          <w:kern w:val="0"/>
          <w:sz w:val="24"/>
          <w:szCs w:val="24"/>
        </w:rPr>
      </w:pPr>
      <w:r w:rsidRPr="00A76A42">
        <w:rPr>
          <w:rFonts w:eastAsiaTheme="minorEastAsia"/>
          <w:color w:val="000000" w:themeColor="text1"/>
          <w:kern w:val="0"/>
          <w:sz w:val="24"/>
          <w:szCs w:val="24"/>
        </w:rPr>
        <w:lastRenderedPageBreak/>
        <w:t xml:space="preserve">§1  </w:t>
      </w:r>
      <w:r w:rsidRPr="00A76A42">
        <w:rPr>
          <w:rFonts w:eastAsiaTheme="minorEastAsia"/>
          <w:color w:val="000000" w:themeColor="text1"/>
          <w:kern w:val="0"/>
          <w:sz w:val="24"/>
          <w:szCs w:val="24"/>
        </w:rPr>
        <w:t>重要提示</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基金托管人招商银行股份有限公司根据本基金合同规定，于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7D1292" w:rsidRPr="00A76A42" w:rsidRDefault="007D1292" w:rsidP="006669C9">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本报告期自</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日起至</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日止。</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§2  </w:t>
      </w:r>
      <w:r w:rsidRPr="00A76A42">
        <w:rPr>
          <w:rFonts w:eastAsiaTheme="minorEastAsia"/>
          <w:color w:val="000000" w:themeColor="text1"/>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5443"/>
      </w:tblGrid>
      <w:tr w:rsidR="008277FF" w:rsidRPr="00A76A42" w:rsidTr="006669C9">
        <w:tc>
          <w:tcPr>
            <w:tcW w:w="2977"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基金简称</w:t>
            </w:r>
          </w:p>
        </w:tc>
        <w:tc>
          <w:tcPr>
            <w:tcW w:w="5443" w:type="dxa"/>
            <w:vAlign w:val="center"/>
          </w:tcPr>
          <w:p w:rsidR="00363E15" w:rsidRPr="00A76A42" w:rsidRDefault="00363E15"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摩根海外稳健配置混合</w:t>
            </w:r>
            <w:r w:rsidRPr="00A76A42">
              <w:rPr>
                <w:rFonts w:eastAsiaTheme="minorEastAsia"/>
                <w:color w:val="000000" w:themeColor="text1"/>
                <w:kern w:val="0"/>
                <w:szCs w:val="21"/>
              </w:rPr>
              <w:t>(QDII-FOF)</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基金主代码</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017970</w:t>
            </w:r>
          </w:p>
        </w:tc>
      </w:tr>
      <w:tr w:rsidR="008277FF" w:rsidRPr="00A76A42" w:rsidTr="006669C9">
        <w:tc>
          <w:tcPr>
            <w:tcW w:w="2977"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交易代码</w:t>
            </w:r>
          </w:p>
        </w:tc>
        <w:tc>
          <w:tcPr>
            <w:tcW w:w="5443" w:type="dxa"/>
            <w:vAlign w:val="center"/>
          </w:tcPr>
          <w:p w:rsidR="005837E4" w:rsidRPr="00A76A42" w:rsidRDefault="005837E4"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017970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基金运作方式</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契约型开放式</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基金合同生效日</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2023</w:t>
            </w:r>
            <w:r w:rsidRPr="00A76A42">
              <w:rPr>
                <w:rFonts w:eastAsiaTheme="minorEastAsia"/>
                <w:color w:val="000000" w:themeColor="text1"/>
                <w:kern w:val="0"/>
                <w:szCs w:val="21"/>
              </w:rPr>
              <w:t>年</w:t>
            </w:r>
            <w:r w:rsidRPr="00A76A42">
              <w:rPr>
                <w:rFonts w:eastAsiaTheme="minorEastAsia"/>
                <w:color w:val="000000" w:themeColor="text1"/>
                <w:kern w:val="0"/>
                <w:szCs w:val="21"/>
              </w:rPr>
              <w:t>5</w:t>
            </w:r>
            <w:r w:rsidRPr="00A76A42">
              <w:rPr>
                <w:rFonts w:eastAsiaTheme="minorEastAsia"/>
                <w:color w:val="000000" w:themeColor="text1"/>
                <w:kern w:val="0"/>
                <w:szCs w:val="21"/>
              </w:rPr>
              <w:t>月</w:t>
            </w:r>
            <w:r w:rsidRPr="00A76A42">
              <w:rPr>
                <w:rFonts w:eastAsiaTheme="minorEastAsia"/>
                <w:color w:val="000000" w:themeColor="text1"/>
                <w:kern w:val="0"/>
                <w:szCs w:val="21"/>
              </w:rPr>
              <w:t>23</w:t>
            </w:r>
            <w:r w:rsidRPr="00A76A42">
              <w:rPr>
                <w:rFonts w:eastAsiaTheme="minorEastAsia"/>
                <w:color w:val="000000" w:themeColor="text1"/>
                <w:kern w:val="0"/>
                <w:szCs w:val="21"/>
              </w:rPr>
              <w:t>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报告期末基金份额总额</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710,768,637.78</w:t>
            </w:r>
            <w:r w:rsidRPr="00A76A42">
              <w:rPr>
                <w:rFonts w:eastAsiaTheme="minorEastAsia"/>
                <w:color w:val="000000" w:themeColor="text1"/>
                <w:kern w:val="0"/>
                <w:szCs w:val="21"/>
              </w:rPr>
              <w:t>份</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投资目标</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通过全球化的资产配置和组合管理，有效地分散投资风险；在降低组合波动性的同时，实现资产的长期增值。</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投资策略</w:t>
            </w:r>
          </w:p>
        </w:tc>
        <w:tc>
          <w:tcPr>
            <w:tcW w:w="5443" w:type="dxa"/>
            <w:vAlign w:val="center"/>
          </w:tcPr>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、大类资产配置策略</w:t>
            </w:r>
          </w:p>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本基金在大类资产配置层面将贯彻</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的资产组合配置策略，运用定性和定量相结合的方式确定基金资产配置长期比例。</w:t>
            </w:r>
          </w:p>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、区域资产配置策略</w:t>
            </w:r>
          </w:p>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根据全球经济以及区域化经济发展、不同国家或地区经济体的宏观经济变化和经济增长情况，以及各证券市场的表现、全球资本的流动情况，挑选部分特定国家或地区作为重点投资对象，增加该目标市场在资产组合中的配置比例。本基金管理人在确定国家或地区配置比例后，将动态跟踪各国家或地区的权重，对其估值水平及风险收益特征进行研究并结合风险预算确定超配和低配比例。</w:t>
            </w:r>
          </w:p>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、标的基金投资策略</w:t>
            </w:r>
          </w:p>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本基金通过定量分析策略和定性分析策略相结合的方式优选标的基金，通过分析各标的基金的定量及定性指标，挑选出合适的基金组成标的基金池，构建基金投资组合。</w:t>
            </w:r>
          </w:p>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目前本基金将主要投资于摩根资产管理（</w:t>
            </w:r>
            <w:r>
              <w:rPr>
                <w:rFonts w:eastAsiaTheme="minorEastAsia"/>
                <w:color w:val="000000" w:themeColor="text1"/>
                <w:kern w:val="0"/>
                <w:szCs w:val="21"/>
              </w:rPr>
              <w:t>J.P. Morgan Asset Management</w:t>
            </w:r>
            <w:r>
              <w:rPr>
                <w:rFonts w:eastAsiaTheme="minorEastAsia"/>
                <w:color w:val="000000" w:themeColor="text1"/>
                <w:kern w:val="0"/>
                <w:szCs w:val="21"/>
              </w:rPr>
              <w:t>）旗下的公募基金，并根据定量及定性分析策略优选标的基金。摩根资产管理（</w:t>
            </w:r>
            <w:r>
              <w:rPr>
                <w:rFonts w:eastAsiaTheme="minorEastAsia"/>
                <w:color w:val="000000" w:themeColor="text1"/>
                <w:kern w:val="0"/>
                <w:szCs w:val="21"/>
              </w:rPr>
              <w:t>J.P. Morgan Asset Management</w:t>
            </w:r>
            <w:r>
              <w:rPr>
                <w:rFonts w:eastAsiaTheme="minorEastAsia"/>
                <w:color w:val="000000" w:themeColor="text1"/>
                <w:kern w:val="0"/>
                <w:szCs w:val="21"/>
              </w:rPr>
              <w:t>）主要是指与基金管理人存在关联关系的摩根资产管理旗下的法人实体，包括但不限于</w:t>
            </w:r>
            <w:r>
              <w:rPr>
                <w:rFonts w:eastAsiaTheme="minorEastAsia"/>
                <w:color w:val="000000" w:themeColor="text1"/>
                <w:kern w:val="0"/>
                <w:szCs w:val="21"/>
              </w:rPr>
              <w:t>JPMorgan Funds (Asia) Limited</w:t>
            </w:r>
            <w:r>
              <w:rPr>
                <w:rFonts w:eastAsiaTheme="minorEastAsia"/>
                <w:color w:val="000000" w:themeColor="text1"/>
                <w:kern w:val="0"/>
                <w:szCs w:val="21"/>
              </w:rPr>
              <w:t>、</w:t>
            </w:r>
            <w:r>
              <w:rPr>
                <w:rFonts w:eastAsiaTheme="minorEastAsia"/>
                <w:color w:val="000000" w:themeColor="text1"/>
                <w:kern w:val="0"/>
                <w:szCs w:val="21"/>
              </w:rPr>
              <w:t>JPMorgan Asset Management (UK) Limited</w:t>
            </w:r>
            <w:r>
              <w:rPr>
                <w:rFonts w:eastAsiaTheme="minorEastAsia"/>
                <w:color w:val="000000" w:themeColor="text1"/>
                <w:kern w:val="0"/>
                <w:szCs w:val="21"/>
              </w:rPr>
              <w:t>等。</w:t>
            </w:r>
          </w:p>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、金融衍生品投资策略</w:t>
            </w:r>
          </w:p>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本基金可本着谨慎和风险可控的原则，适度投资于金融衍生品，以避险和增值、管理汇率风险。</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、其他投资策略包括股票投资策略、港股投资策略、债券投资策略、资产支持证券投资策略、存托凭证投资策略。</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业绩比较基准</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MSCI</w:t>
            </w:r>
            <w:r w:rsidRPr="00A76A42">
              <w:rPr>
                <w:rFonts w:eastAsiaTheme="minorEastAsia"/>
                <w:color w:val="000000" w:themeColor="text1"/>
                <w:kern w:val="0"/>
                <w:szCs w:val="21"/>
              </w:rPr>
              <w:t>全球指数（</w:t>
            </w:r>
            <w:r w:rsidRPr="00A76A42">
              <w:rPr>
                <w:rFonts w:eastAsiaTheme="minorEastAsia"/>
                <w:color w:val="000000" w:themeColor="text1"/>
                <w:kern w:val="0"/>
                <w:szCs w:val="21"/>
              </w:rPr>
              <w:t>MSCI ACWI</w:t>
            </w:r>
            <w:r w:rsidRPr="00A76A42">
              <w:rPr>
                <w:rFonts w:eastAsiaTheme="minorEastAsia"/>
                <w:color w:val="000000" w:themeColor="text1"/>
                <w:kern w:val="0"/>
                <w:szCs w:val="21"/>
              </w:rPr>
              <w:t>）</w:t>
            </w:r>
            <w:r w:rsidRPr="00A76A42">
              <w:rPr>
                <w:rFonts w:eastAsiaTheme="minorEastAsia"/>
                <w:color w:val="000000" w:themeColor="text1"/>
                <w:kern w:val="0"/>
                <w:szCs w:val="21"/>
              </w:rPr>
              <w:t>*20%+</w:t>
            </w:r>
            <w:r w:rsidRPr="00A76A42">
              <w:rPr>
                <w:rFonts w:eastAsiaTheme="minorEastAsia"/>
                <w:color w:val="000000" w:themeColor="text1"/>
                <w:kern w:val="0"/>
                <w:szCs w:val="21"/>
              </w:rPr>
              <w:t>摩根大通全球债券指数（</w:t>
            </w:r>
            <w:r w:rsidRPr="00A76A42">
              <w:rPr>
                <w:rFonts w:eastAsiaTheme="minorEastAsia"/>
                <w:color w:val="000000" w:themeColor="text1"/>
                <w:kern w:val="0"/>
                <w:szCs w:val="21"/>
              </w:rPr>
              <w:t>J.P. Morgan Global Aggregate Bond Index</w:t>
            </w:r>
            <w:r w:rsidRPr="00A76A42">
              <w:rPr>
                <w:rFonts w:eastAsiaTheme="minorEastAsia"/>
                <w:color w:val="000000" w:themeColor="text1"/>
                <w:kern w:val="0"/>
                <w:szCs w:val="21"/>
              </w:rPr>
              <w:t>）</w:t>
            </w:r>
            <w:r w:rsidRPr="00A76A42">
              <w:rPr>
                <w:rFonts w:eastAsiaTheme="minorEastAsia"/>
                <w:color w:val="000000" w:themeColor="text1"/>
                <w:kern w:val="0"/>
                <w:szCs w:val="21"/>
              </w:rPr>
              <w:t>*80%</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风险收益特征</w:t>
            </w:r>
          </w:p>
        </w:tc>
        <w:tc>
          <w:tcPr>
            <w:tcW w:w="5443" w:type="dxa"/>
            <w:vAlign w:val="center"/>
          </w:tcPr>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本基金主要投资于境外公募基金，预期风险和收益水平低于股票型基金，高于债券型基金和货币市场基金。</w:t>
            </w:r>
          </w:p>
          <w:p w:rsidR="00FB1BD0" w:rsidRDefault="0017081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本基金投资于境外证券市场，因此还面临汇率风险等境外证券市场投资所面临的特别投资风险。</w:t>
            </w:r>
          </w:p>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本基金若通过港股通机制投资港股通标的股票，将面临港股通机制下因投资环境、投资标的、市场制度以及交易规则等差异带来的特有风险。</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lastRenderedPageBreak/>
              <w:t>基金管理人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摩根基金管理（中国）有限公司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基金托管人</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szCs w:val="21"/>
              </w:rPr>
            </w:pPr>
            <w:r w:rsidRPr="00A76A42">
              <w:rPr>
                <w:rFonts w:eastAsiaTheme="minorEastAsia"/>
                <w:color w:val="000000" w:themeColor="text1"/>
                <w:kern w:val="0"/>
                <w:szCs w:val="21"/>
              </w:rPr>
              <w:t>招商银行股份有限公司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JPMORGAN ASSET MANAGEMENT (ASIA PACIFIC)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境外投资顾问中文名称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摩根资产管理</w:t>
            </w:r>
            <w:r w:rsidRPr="00A76A42">
              <w:rPr>
                <w:rFonts w:eastAsiaTheme="minorEastAsia"/>
                <w:color w:val="000000" w:themeColor="text1"/>
                <w:kern w:val="0"/>
                <w:szCs w:val="21"/>
              </w:rPr>
              <w:t>(</w:t>
            </w:r>
            <w:r w:rsidRPr="00A76A42">
              <w:rPr>
                <w:rFonts w:eastAsiaTheme="minorEastAsia"/>
                <w:color w:val="000000" w:themeColor="text1"/>
                <w:kern w:val="0"/>
                <w:szCs w:val="21"/>
              </w:rPr>
              <w:t>亚太</w:t>
            </w:r>
            <w:r w:rsidRPr="00A76A42">
              <w:rPr>
                <w:rFonts w:eastAsiaTheme="minorEastAsia"/>
                <w:color w:val="000000" w:themeColor="text1"/>
                <w:kern w:val="0"/>
                <w:szCs w:val="21"/>
              </w:rPr>
              <w:t>)</w:t>
            </w:r>
            <w:r w:rsidRPr="00A76A42">
              <w:rPr>
                <w:rFonts w:eastAsiaTheme="minorEastAsia"/>
                <w:color w:val="000000" w:themeColor="text1"/>
                <w:kern w:val="0"/>
                <w:szCs w:val="21"/>
              </w:rPr>
              <w:t>有限公司</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境外资产托管人英文名称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The Hong Kong and Shanghai Banking Corporation Limited</w:t>
            </w:r>
          </w:p>
        </w:tc>
      </w:tr>
      <w:tr w:rsidR="008277FF" w:rsidRPr="00A76A42" w:rsidTr="006669C9">
        <w:tc>
          <w:tcPr>
            <w:tcW w:w="2977"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境外资产托管人中文名称</w:t>
            </w:r>
          </w:p>
        </w:tc>
        <w:tc>
          <w:tcPr>
            <w:tcW w:w="5443" w:type="dxa"/>
            <w:vAlign w:val="center"/>
          </w:tcPr>
          <w:p w:rsidR="0066726C" w:rsidRPr="00A76A42" w:rsidRDefault="0066726C" w:rsidP="006669C9">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香港上海汇丰银行有限公司</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§3  </w:t>
      </w:r>
      <w:r w:rsidRPr="00A76A42">
        <w:rPr>
          <w:rFonts w:eastAsiaTheme="minorEastAsia"/>
          <w:color w:val="000000" w:themeColor="text1"/>
          <w:kern w:val="0"/>
          <w:sz w:val="24"/>
          <w:szCs w:val="24"/>
        </w:rPr>
        <w:t>主要财务指标和基金净值表现</w:t>
      </w:r>
    </w:p>
    <w:p w:rsidR="0076518F" w:rsidRPr="00A76A42" w:rsidRDefault="0076518F" w:rsidP="00506D57">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3.1 </w:t>
      </w:r>
      <w:r w:rsidRPr="00A76A42">
        <w:rPr>
          <w:rFonts w:eastAsiaTheme="minorEastAsia"/>
          <w:b/>
          <w:color w:val="000000" w:themeColor="text1"/>
          <w:kern w:val="0"/>
          <w:sz w:val="24"/>
        </w:rPr>
        <w:t>主要财务指标</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F27314" w:rsidRPr="00A76A42" w:rsidTr="00F27314">
        <w:tc>
          <w:tcPr>
            <w:tcW w:w="3402" w:type="dxa"/>
            <w:vAlign w:val="center"/>
          </w:tcPr>
          <w:p w:rsidR="007D1292" w:rsidRPr="00A76A42" w:rsidRDefault="007D1292" w:rsidP="001D369F">
            <w:pPr>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主要财务指标</w:t>
            </w:r>
          </w:p>
        </w:tc>
        <w:tc>
          <w:tcPr>
            <w:tcW w:w="4962" w:type="dxa"/>
            <w:vAlign w:val="center"/>
          </w:tcPr>
          <w:p w:rsidR="000306F0"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报告期</w:t>
            </w:r>
          </w:p>
          <w:p w:rsidR="007D1292" w:rsidRPr="00A76A42" w:rsidRDefault="000306F0" w:rsidP="001D369F">
            <w:pPr>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7</w:t>
            </w:r>
            <w:r w:rsidRPr="00A76A42">
              <w:rPr>
                <w:rFonts w:eastAsiaTheme="minorEastAsia"/>
                <w:color w:val="000000" w:themeColor="text1"/>
                <w:szCs w:val="21"/>
              </w:rPr>
              <w:t>月</w:t>
            </w:r>
            <w:r w:rsidRPr="00A76A42">
              <w:rPr>
                <w:rFonts w:eastAsiaTheme="minorEastAsia"/>
                <w:color w:val="000000" w:themeColor="text1"/>
                <w:szCs w:val="21"/>
              </w:rPr>
              <w:t>1</w:t>
            </w:r>
            <w:r w:rsidRPr="00A76A42">
              <w:rPr>
                <w:rFonts w:eastAsiaTheme="minorEastAsia"/>
                <w:color w:val="000000" w:themeColor="text1"/>
                <w:szCs w:val="21"/>
              </w:rPr>
              <w:t>日</w:t>
            </w:r>
            <w:r w:rsidRPr="00A76A42">
              <w:rPr>
                <w:rFonts w:eastAsiaTheme="minorEastAsia"/>
                <w:color w:val="000000" w:themeColor="text1"/>
                <w:szCs w:val="21"/>
              </w:rPr>
              <w:t>-2023</w:t>
            </w:r>
            <w:r w:rsidRPr="00A76A42">
              <w:rPr>
                <w:rFonts w:eastAsiaTheme="minorEastAsia"/>
                <w:color w:val="000000" w:themeColor="text1"/>
                <w:szCs w:val="21"/>
              </w:rPr>
              <w:t>年</w:t>
            </w:r>
            <w:r w:rsidRPr="00A76A42">
              <w:rPr>
                <w:rFonts w:eastAsiaTheme="minorEastAsia"/>
                <w:color w:val="000000" w:themeColor="text1"/>
                <w:szCs w:val="21"/>
              </w:rPr>
              <w:t>9</w:t>
            </w:r>
            <w:r w:rsidRPr="00A76A42">
              <w:rPr>
                <w:rFonts w:eastAsiaTheme="minorEastAsia"/>
                <w:color w:val="000000" w:themeColor="text1"/>
                <w:szCs w:val="21"/>
              </w:rPr>
              <w:t>月</w:t>
            </w:r>
            <w:r w:rsidRPr="00A76A42">
              <w:rPr>
                <w:rFonts w:eastAsiaTheme="minorEastAsia"/>
                <w:color w:val="000000" w:themeColor="text1"/>
                <w:szCs w:val="21"/>
              </w:rPr>
              <w:t>30</w:t>
            </w:r>
            <w:r w:rsidRPr="00A76A42">
              <w:rPr>
                <w:rFonts w:eastAsiaTheme="minorEastAsia"/>
                <w:color w:val="000000" w:themeColor="text1"/>
                <w:szCs w:val="21"/>
              </w:rPr>
              <w:t>日</w:t>
            </w:r>
            <w:r w:rsidRPr="00A76A42">
              <w:rPr>
                <w:rFonts w:eastAsiaTheme="minorEastAsia"/>
                <w:color w:val="000000" w:themeColor="text1"/>
                <w:szCs w:val="21"/>
              </w:rPr>
              <w:t>)</w:t>
            </w:r>
          </w:p>
        </w:tc>
      </w:tr>
      <w:tr w:rsidR="00F27314" w:rsidRPr="00A76A42" w:rsidTr="00F27314">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1.</w:t>
            </w:r>
            <w:r w:rsidRPr="00A76A42">
              <w:rPr>
                <w:rFonts w:eastAsiaTheme="minorEastAsia"/>
                <w:color w:val="000000" w:themeColor="text1"/>
                <w:kern w:val="0"/>
                <w:szCs w:val="21"/>
              </w:rPr>
              <w:t>本期已实现收益</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6,373,343.61</w:t>
            </w:r>
          </w:p>
        </w:tc>
      </w:tr>
      <w:tr w:rsidR="00F27314" w:rsidRPr="00A76A42" w:rsidTr="00F27314">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2.</w:t>
            </w:r>
            <w:r w:rsidRPr="00A76A42">
              <w:rPr>
                <w:rFonts w:eastAsiaTheme="minorEastAsia"/>
                <w:color w:val="000000" w:themeColor="text1"/>
                <w:kern w:val="0"/>
                <w:szCs w:val="21"/>
              </w:rPr>
              <w:t>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1,157,085.73</w:t>
            </w:r>
          </w:p>
        </w:tc>
      </w:tr>
      <w:tr w:rsidR="00F27314" w:rsidRPr="00A76A42" w:rsidTr="00F27314">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3.</w:t>
            </w:r>
            <w:r w:rsidRPr="00A76A42">
              <w:rPr>
                <w:rFonts w:eastAsiaTheme="minorEastAsia"/>
                <w:color w:val="000000" w:themeColor="text1"/>
                <w:kern w:val="0"/>
                <w:szCs w:val="21"/>
              </w:rPr>
              <w:t>加权平均基金份额本期利润</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0.0018</w:t>
            </w:r>
          </w:p>
        </w:tc>
      </w:tr>
      <w:tr w:rsidR="00F27314" w:rsidRPr="00A76A42" w:rsidTr="00F27314">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4.</w:t>
            </w:r>
            <w:r w:rsidRPr="00A76A42">
              <w:rPr>
                <w:rFonts w:eastAsiaTheme="minorEastAsia"/>
                <w:color w:val="000000" w:themeColor="text1"/>
                <w:kern w:val="0"/>
                <w:szCs w:val="21"/>
              </w:rPr>
              <w:t>期末基金资产净值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732,335,191.01</w:t>
            </w:r>
          </w:p>
        </w:tc>
      </w:tr>
      <w:tr w:rsidR="00F27314" w:rsidRPr="00A76A42" w:rsidTr="00F27314">
        <w:trPr>
          <w:trHeight w:val="158"/>
        </w:trPr>
        <w:tc>
          <w:tcPr>
            <w:tcW w:w="3402" w:type="dxa"/>
            <w:vAlign w:val="center"/>
          </w:tcPr>
          <w:p w:rsidR="007D1292" w:rsidRPr="00A76A42" w:rsidRDefault="007D1292" w:rsidP="001D369F">
            <w:pPr>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5.</w:t>
            </w:r>
            <w:r w:rsidRPr="00A76A42">
              <w:rPr>
                <w:rFonts w:eastAsiaTheme="minorEastAsia"/>
                <w:color w:val="000000" w:themeColor="text1"/>
                <w:kern w:val="0"/>
                <w:szCs w:val="21"/>
              </w:rPr>
              <w:t>期末基金份额净值</w:t>
            </w:r>
          </w:p>
        </w:tc>
        <w:tc>
          <w:tcPr>
            <w:tcW w:w="4962" w:type="dxa"/>
            <w:vAlign w:val="center"/>
          </w:tcPr>
          <w:p w:rsidR="007D1292" w:rsidRPr="00A76A42" w:rsidRDefault="007D1292" w:rsidP="001D369F">
            <w:pPr>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1.0303</w:t>
            </w:r>
          </w:p>
        </w:tc>
      </w:tr>
    </w:tbl>
    <w:p w:rsidR="00FB1BD0" w:rsidRDefault="0017081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注：本期已实现收益指基金本期利息收入、投资收益、其他收入（不含公允价值变动收益）扣除相关费用后的余额，本期利润为本期已实现收益加上本期公允价值变动收益。</w:t>
      </w:r>
    </w:p>
    <w:p w:rsidR="007D1292" w:rsidRPr="00A76A42" w:rsidRDefault="007D1292"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3.2 </w:t>
      </w:r>
      <w:r w:rsidRPr="00A76A42">
        <w:rPr>
          <w:rFonts w:eastAsiaTheme="minorEastAsia"/>
          <w:b/>
          <w:color w:val="000000" w:themeColor="text1"/>
          <w:kern w:val="0"/>
          <w:sz w:val="24"/>
        </w:rPr>
        <w:t>基金净值表现</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A76A42">
          <w:rPr>
            <w:rFonts w:eastAsiaTheme="minorEastAsia"/>
            <w:b/>
            <w:color w:val="000000" w:themeColor="text1"/>
            <w:kern w:val="0"/>
            <w:sz w:val="24"/>
          </w:rPr>
          <w:t>3.2.1</w:t>
        </w:r>
      </w:smartTag>
      <w:r w:rsidRPr="00A76A42">
        <w:rPr>
          <w:rFonts w:eastAsiaTheme="minorEastAsia"/>
          <w:b/>
          <w:color w:val="000000" w:themeColor="text1"/>
          <w:kern w:val="0"/>
          <w:sz w:val="24"/>
        </w:rPr>
        <w:t>本报告期基金份额净值增长率及其与同期业绩比较基准收益率的比较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8277FF" w:rsidRPr="00A76A42" w:rsidTr="00B918B8">
        <w:tc>
          <w:tcPr>
            <w:tcW w:w="1395"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lastRenderedPageBreak/>
              <w:t>阶段</w:t>
            </w:r>
          </w:p>
        </w:tc>
        <w:tc>
          <w:tcPr>
            <w:tcW w:w="1092"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w:t>
            </w:r>
            <w:r w:rsidRPr="00A76A42">
              <w:rPr>
                <w:rFonts w:ascii="宋体" w:hAnsi="宋体" w:cs="宋体" w:hint="eastAsia"/>
                <w:color w:val="000000" w:themeColor="text1"/>
                <w:szCs w:val="21"/>
              </w:rPr>
              <w:t>①</w:t>
            </w:r>
          </w:p>
        </w:tc>
        <w:tc>
          <w:tcPr>
            <w:tcW w:w="116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净值增长率标准差</w:t>
            </w:r>
            <w:r w:rsidRPr="00A76A42">
              <w:rPr>
                <w:rFonts w:ascii="宋体" w:hAnsi="宋体" w:cs="宋体" w:hint="eastAsia"/>
                <w:color w:val="000000" w:themeColor="text1"/>
                <w:szCs w:val="21"/>
              </w:rPr>
              <w:t>②</w:t>
            </w:r>
          </w:p>
        </w:tc>
        <w:tc>
          <w:tcPr>
            <w:tcW w:w="1181"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w:t>
            </w:r>
            <w:r w:rsidRPr="00A76A42">
              <w:rPr>
                <w:rFonts w:ascii="宋体" w:hAnsi="宋体" w:cs="宋体" w:hint="eastAsia"/>
                <w:color w:val="000000" w:themeColor="text1"/>
                <w:szCs w:val="21"/>
              </w:rPr>
              <w:t>③</w:t>
            </w:r>
          </w:p>
        </w:tc>
        <w:tc>
          <w:tcPr>
            <w:tcW w:w="1188"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业绩比较基准收益率标准差</w:t>
            </w:r>
            <w:r w:rsidRPr="00A76A42">
              <w:rPr>
                <w:rFonts w:ascii="宋体" w:hAnsi="宋体" w:cs="宋体" w:hint="eastAsia"/>
                <w:color w:val="000000" w:themeColor="text1"/>
                <w:szCs w:val="21"/>
              </w:rPr>
              <w:t>④</w:t>
            </w:r>
          </w:p>
        </w:tc>
        <w:tc>
          <w:tcPr>
            <w:tcW w:w="1199"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①</w:t>
            </w:r>
            <w:r w:rsidRPr="00A76A42">
              <w:rPr>
                <w:rFonts w:eastAsiaTheme="minorEastAsia"/>
                <w:color w:val="000000" w:themeColor="text1"/>
                <w:szCs w:val="21"/>
              </w:rPr>
              <w:t>-</w:t>
            </w:r>
            <w:r w:rsidRPr="00A76A42">
              <w:rPr>
                <w:rFonts w:ascii="宋体" w:hAnsi="宋体" w:cs="宋体" w:hint="eastAsia"/>
                <w:color w:val="000000" w:themeColor="text1"/>
                <w:szCs w:val="21"/>
              </w:rPr>
              <w:t>③</w:t>
            </w:r>
          </w:p>
        </w:tc>
        <w:tc>
          <w:tcPr>
            <w:tcW w:w="1204" w:type="dxa"/>
            <w:shd w:val="clear" w:color="auto" w:fill="auto"/>
            <w:vAlign w:val="center"/>
          </w:tcPr>
          <w:p w:rsidR="007D1292" w:rsidRPr="00A76A42" w:rsidRDefault="007D1292" w:rsidP="00B918B8">
            <w:pPr>
              <w:autoSpaceDE w:val="0"/>
              <w:autoSpaceDN w:val="0"/>
              <w:adjustRightInd w:val="0"/>
              <w:spacing w:before="29" w:line="360" w:lineRule="auto"/>
              <w:ind w:left="17"/>
              <w:jc w:val="center"/>
              <w:rPr>
                <w:rFonts w:eastAsiaTheme="minorEastAsia"/>
                <w:color w:val="000000" w:themeColor="text1"/>
                <w:szCs w:val="21"/>
              </w:rPr>
            </w:pPr>
            <w:r w:rsidRPr="00A76A42">
              <w:rPr>
                <w:rFonts w:ascii="宋体" w:hAnsi="宋体" w:cs="宋体" w:hint="eastAsia"/>
                <w:color w:val="000000" w:themeColor="text1"/>
                <w:szCs w:val="21"/>
              </w:rPr>
              <w:t>②</w:t>
            </w:r>
            <w:r w:rsidRPr="00A76A42">
              <w:rPr>
                <w:rFonts w:eastAsiaTheme="minorEastAsia"/>
                <w:color w:val="000000" w:themeColor="text1"/>
                <w:szCs w:val="21"/>
              </w:rPr>
              <w:t>-</w:t>
            </w:r>
            <w:r w:rsidRPr="00A76A42">
              <w:rPr>
                <w:rFonts w:ascii="宋体" w:hAnsi="宋体" w:cs="宋体" w:hint="eastAsia"/>
                <w:color w:val="000000" w:themeColor="text1"/>
                <w:szCs w:val="21"/>
              </w:rPr>
              <w:t>④</w:t>
            </w:r>
          </w:p>
        </w:tc>
      </w:tr>
      <w:tr w:rsidR="00FB1BD0">
        <w:tc>
          <w:tcPr>
            <w:tcW w:w="1395" w:type="dxa"/>
            <w:vAlign w:val="center"/>
          </w:tcPr>
          <w:p w:rsidR="00FB1BD0" w:rsidRDefault="00170813">
            <w:pPr>
              <w:jc w:val="left"/>
            </w:pPr>
            <w:r>
              <w:rPr>
                <w:rFonts w:eastAsiaTheme="minorEastAsia"/>
                <w:color w:val="000000" w:themeColor="text1"/>
                <w:szCs w:val="21"/>
              </w:rPr>
              <w:t>过去三个月</w:t>
            </w:r>
          </w:p>
        </w:tc>
        <w:tc>
          <w:tcPr>
            <w:tcW w:w="1092" w:type="dxa"/>
            <w:vAlign w:val="center"/>
          </w:tcPr>
          <w:p w:rsidR="00FB1BD0" w:rsidRDefault="00170813">
            <w:pPr>
              <w:jc w:val="right"/>
            </w:pPr>
            <w:r>
              <w:rPr>
                <w:rFonts w:eastAsiaTheme="minorEastAsia"/>
                <w:color w:val="000000" w:themeColor="text1"/>
                <w:szCs w:val="21"/>
              </w:rPr>
              <w:t>0.18%</w:t>
            </w:r>
          </w:p>
        </w:tc>
        <w:tc>
          <w:tcPr>
            <w:tcW w:w="1161" w:type="dxa"/>
            <w:vAlign w:val="center"/>
          </w:tcPr>
          <w:p w:rsidR="00FB1BD0" w:rsidRDefault="00170813">
            <w:pPr>
              <w:jc w:val="right"/>
            </w:pPr>
            <w:r>
              <w:rPr>
                <w:rFonts w:eastAsiaTheme="minorEastAsia"/>
                <w:color w:val="000000" w:themeColor="text1"/>
                <w:szCs w:val="21"/>
              </w:rPr>
              <w:t>0.12%</w:t>
            </w:r>
          </w:p>
        </w:tc>
        <w:tc>
          <w:tcPr>
            <w:tcW w:w="1181" w:type="dxa"/>
            <w:vAlign w:val="center"/>
          </w:tcPr>
          <w:p w:rsidR="00FB1BD0" w:rsidRDefault="00170813">
            <w:pPr>
              <w:jc w:val="right"/>
            </w:pPr>
            <w:r>
              <w:rPr>
                <w:rFonts w:eastAsiaTheme="minorEastAsia"/>
                <w:color w:val="000000" w:themeColor="text1"/>
                <w:szCs w:val="21"/>
              </w:rPr>
              <w:t>-4.16%</w:t>
            </w:r>
          </w:p>
        </w:tc>
        <w:tc>
          <w:tcPr>
            <w:tcW w:w="1188" w:type="dxa"/>
            <w:vAlign w:val="center"/>
          </w:tcPr>
          <w:p w:rsidR="00FB1BD0" w:rsidRDefault="00170813">
            <w:pPr>
              <w:jc w:val="right"/>
            </w:pPr>
            <w:r>
              <w:rPr>
                <w:rFonts w:eastAsiaTheme="minorEastAsia"/>
                <w:color w:val="000000" w:themeColor="text1"/>
                <w:szCs w:val="21"/>
              </w:rPr>
              <w:t>0.36%</w:t>
            </w:r>
          </w:p>
        </w:tc>
        <w:tc>
          <w:tcPr>
            <w:tcW w:w="1199" w:type="dxa"/>
            <w:vAlign w:val="center"/>
          </w:tcPr>
          <w:p w:rsidR="00FB1BD0" w:rsidRDefault="00170813">
            <w:pPr>
              <w:jc w:val="right"/>
            </w:pPr>
            <w:r>
              <w:rPr>
                <w:rFonts w:eastAsiaTheme="minorEastAsia"/>
                <w:color w:val="000000" w:themeColor="text1"/>
                <w:szCs w:val="21"/>
              </w:rPr>
              <w:t>4.34%</w:t>
            </w:r>
          </w:p>
        </w:tc>
        <w:tc>
          <w:tcPr>
            <w:tcW w:w="1204" w:type="dxa"/>
            <w:vAlign w:val="center"/>
          </w:tcPr>
          <w:p w:rsidR="00FB1BD0" w:rsidRDefault="00170813">
            <w:pPr>
              <w:jc w:val="right"/>
            </w:pPr>
            <w:r>
              <w:rPr>
                <w:rFonts w:eastAsiaTheme="minorEastAsia"/>
                <w:color w:val="000000" w:themeColor="text1"/>
                <w:szCs w:val="21"/>
              </w:rPr>
              <w:t>-0.24%</w:t>
            </w:r>
          </w:p>
        </w:tc>
      </w:tr>
      <w:tr w:rsidR="00FB1BD0">
        <w:tc>
          <w:tcPr>
            <w:tcW w:w="1395" w:type="dxa"/>
            <w:vAlign w:val="center"/>
          </w:tcPr>
          <w:p w:rsidR="00FB1BD0" w:rsidRDefault="00170813">
            <w:pPr>
              <w:jc w:val="left"/>
            </w:pPr>
            <w:r>
              <w:rPr>
                <w:rFonts w:eastAsiaTheme="minorEastAsia"/>
                <w:color w:val="000000" w:themeColor="text1"/>
                <w:szCs w:val="21"/>
              </w:rPr>
              <w:t>过去六个月</w:t>
            </w:r>
          </w:p>
        </w:tc>
        <w:tc>
          <w:tcPr>
            <w:tcW w:w="1092" w:type="dxa"/>
            <w:vAlign w:val="center"/>
          </w:tcPr>
          <w:p w:rsidR="00FB1BD0" w:rsidRDefault="00170813">
            <w:pPr>
              <w:jc w:val="right"/>
            </w:pPr>
            <w:r>
              <w:rPr>
                <w:rFonts w:eastAsiaTheme="minorEastAsia"/>
                <w:color w:val="000000" w:themeColor="text1"/>
                <w:szCs w:val="21"/>
              </w:rPr>
              <w:t>-</w:t>
            </w:r>
          </w:p>
        </w:tc>
        <w:tc>
          <w:tcPr>
            <w:tcW w:w="1161" w:type="dxa"/>
            <w:vAlign w:val="center"/>
          </w:tcPr>
          <w:p w:rsidR="00FB1BD0" w:rsidRDefault="00170813">
            <w:pPr>
              <w:jc w:val="right"/>
            </w:pPr>
            <w:r>
              <w:rPr>
                <w:rFonts w:eastAsiaTheme="minorEastAsia"/>
                <w:color w:val="000000" w:themeColor="text1"/>
                <w:szCs w:val="21"/>
              </w:rPr>
              <w:t>-</w:t>
            </w:r>
          </w:p>
        </w:tc>
        <w:tc>
          <w:tcPr>
            <w:tcW w:w="1181" w:type="dxa"/>
            <w:vAlign w:val="center"/>
          </w:tcPr>
          <w:p w:rsidR="00FB1BD0" w:rsidRDefault="00170813">
            <w:pPr>
              <w:jc w:val="right"/>
            </w:pPr>
            <w:r>
              <w:rPr>
                <w:rFonts w:eastAsiaTheme="minorEastAsia"/>
                <w:color w:val="000000" w:themeColor="text1"/>
                <w:szCs w:val="21"/>
              </w:rPr>
              <w:t>-</w:t>
            </w:r>
          </w:p>
        </w:tc>
        <w:tc>
          <w:tcPr>
            <w:tcW w:w="1188" w:type="dxa"/>
            <w:vAlign w:val="center"/>
          </w:tcPr>
          <w:p w:rsidR="00FB1BD0" w:rsidRDefault="00170813">
            <w:pPr>
              <w:jc w:val="right"/>
            </w:pPr>
            <w:r>
              <w:rPr>
                <w:rFonts w:eastAsiaTheme="minorEastAsia"/>
                <w:color w:val="000000" w:themeColor="text1"/>
                <w:szCs w:val="21"/>
              </w:rPr>
              <w:t>-</w:t>
            </w:r>
          </w:p>
        </w:tc>
        <w:tc>
          <w:tcPr>
            <w:tcW w:w="1199" w:type="dxa"/>
            <w:vAlign w:val="center"/>
          </w:tcPr>
          <w:p w:rsidR="00FB1BD0" w:rsidRDefault="00170813">
            <w:pPr>
              <w:jc w:val="right"/>
            </w:pPr>
            <w:r>
              <w:rPr>
                <w:rFonts w:eastAsiaTheme="minorEastAsia"/>
                <w:color w:val="000000" w:themeColor="text1"/>
                <w:szCs w:val="21"/>
              </w:rPr>
              <w:t>-</w:t>
            </w:r>
          </w:p>
        </w:tc>
        <w:tc>
          <w:tcPr>
            <w:tcW w:w="1204" w:type="dxa"/>
            <w:vAlign w:val="center"/>
          </w:tcPr>
          <w:p w:rsidR="00FB1BD0" w:rsidRDefault="00170813">
            <w:pPr>
              <w:jc w:val="right"/>
            </w:pPr>
            <w:r>
              <w:rPr>
                <w:rFonts w:eastAsiaTheme="minorEastAsia"/>
                <w:color w:val="000000" w:themeColor="text1"/>
                <w:szCs w:val="21"/>
              </w:rPr>
              <w:t>-</w:t>
            </w:r>
          </w:p>
        </w:tc>
      </w:tr>
      <w:tr w:rsidR="00FB1BD0">
        <w:tc>
          <w:tcPr>
            <w:tcW w:w="1395" w:type="dxa"/>
            <w:vAlign w:val="center"/>
          </w:tcPr>
          <w:p w:rsidR="00FB1BD0" w:rsidRDefault="00170813">
            <w:pPr>
              <w:jc w:val="left"/>
            </w:pPr>
            <w:r>
              <w:rPr>
                <w:rFonts w:eastAsiaTheme="minorEastAsia"/>
                <w:color w:val="000000" w:themeColor="text1"/>
                <w:szCs w:val="21"/>
              </w:rPr>
              <w:t>过去一年</w:t>
            </w:r>
          </w:p>
        </w:tc>
        <w:tc>
          <w:tcPr>
            <w:tcW w:w="1092" w:type="dxa"/>
            <w:vAlign w:val="center"/>
          </w:tcPr>
          <w:p w:rsidR="00FB1BD0" w:rsidRDefault="00170813">
            <w:pPr>
              <w:jc w:val="right"/>
            </w:pPr>
            <w:r>
              <w:rPr>
                <w:rFonts w:eastAsiaTheme="minorEastAsia"/>
                <w:color w:val="000000" w:themeColor="text1"/>
                <w:szCs w:val="21"/>
              </w:rPr>
              <w:t>-</w:t>
            </w:r>
          </w:p>
        </w:tc>
        <w:tc>
          <w:tcPr>
            <w:tcW w:w="1161" w:type="dxa"/>
            <w:vAlign w:val="center"/>
          </w:tcPr>
          <w:p w:rsidR="00FB1BD0" w:rsidRDefault="00170813">
            <w:pPr>
              <w:jc w:val="right"/>
            </w:pPr>
            <w:r>
              <w:rPr>
                <w:rFonts w:eastAsiaTheme="minorEastAsia"/>
                <w:color w:val="000000" w:themeColor="text1"/>
                <w:szCs w:val="21"/>
              </w:rPr>
              <w:t>-</w:t>
            </w:r>
          </w:p>
        </w:tc>
        <w:tc>
          <w:tcPr>
            <w:tcW w:w="1181" w:type="dxa"/>
            <w:vAlign w:val="center"/>
          </w:tcPr>
          <w:p w:rsidR="00FB1BD0" w:rsidRDefault="00170813">
            <w:pPr>
              <w:jc w:val="right"/>
            </w:pPr>
            <w:r>
              <w:rPr>
                <w:rFonts w:eastAsiaTheme="minorEastAsia"/>
                <w:color w:val="000000" w:themeColor="text1"/>
                <w:szCs w:val="21"/>
              </w:rPr>
              <w:t>-</w:t>
            </w:r>
          </w:p>
        </w:tc>
        <w:tc>
          <w:tcPr>
            <w:tcW w:w="1188" w:type="dxa"/>
            <w:vAlign w:val="center"/>
          </w:tcPr>
          <w:p w:rsidR="00FB1BD0" w:rsidRDefault="00170813">
            <w:pPr>
              <w:jc w:val="right"/>
            </w:pPr>
            <w:r>
              <w:rPr>
                <w:rFonts w:eastAsiaTheme="minorEastAsia"/>
                <w:color w:val="000000" w:themeColor="text1"/>
                <w:szCs w:val="21"/>
              </w:rPr>
              <w:t>-</w:t>
            </w:r>
          </w:p>
        </w:tc>
        <w:tc>
          <w:tcPr>
            <w:tcW w:w="1199" w:type="dxa"/>
            <w:vAlign w:val="center"/>
          </w:tcPr>
          <w:p w:rsidR="00FB1BD0" w:rsidRDefault="00170813">
            <w:pPr>
              <w:jc w:val="right"/>
            </w:pPr>
            <w:r>
              <w:rPr>
                <w:rFonts w:eastAsiaTheme="minorEastAsia"/>
                <w:color w:val="000000" w:themeColor="text1"/>
                <w:szCs w:val="21"/>
              </w:rPr>
              <w:t>-</w:t>
            </w:r>
          </w:p>
        </w:tc>
        <w:tc>
          <w:tcPr>
            <w:tcW w:w="1204" w:type="dxa"/>
            <w:vAlign w:val="center"/>
          </w:tcPr>
          <w:p w:rsidR="00FB1BD0" w:rsidRDefault="00170813">
            <w:pPr>
              <w:jc w:val="right"/>
            </w:pPr>
            <w:r>
              <w:rPr>
                <w:rFonts w:eastAsiaTheme="minorEastAsia"/>
                <w:color w:val="000000" w:themeColor="text1"/>
                <w:szCs w:val="21"/>
              </w:rPr>
              <w:t>-</w:t>
            </w:r>
          </w:p>
        </w:tc>
      </w:tr>
      <w:tr w:rsidR="00FB1BD0">
        <w:tc>
          <w:tcPr>
            <w:tcW w:w="1395" w:type="dxa"/>
            <w:vAlign w:val="center"/>
          </w:tcPr>
          <w:p w:rsidR="00FB1BD0" w:rsidRDefault="00170813">
            <w:pPr>
              <w:jc w:val="left"/>
            </w:pPr>
            <w:r>
              <w:rPr>
                <w:rFonts w:eastAsiaTheme="minorEastAsia"/>
                <w:color w:val="000000" w:themeColor="text1"/>
                <w:szCs w:val="21"/>
              </w:rPr>
              <w:t>过去三年</w:t>
            </w:r>
          </w:p>
        </w:tc>
        <w:tc>
          <w:tcPr>
            <w:tcW w:w="1092" w:type="dxa"/>
            <w:vAlign w:val="center"/>
          </w:tcPr>
          <w:p w:rsidR="00FB1BD0" w:rsidRDefault="00170813">
            <w:pPr>
              <w:jc w:val="right"/>
            </w:pPr>
            <w:r>
              <w:rPr>
                <w:rFonts w:eastAsiaTheme="minorEastAsia"/>
                <w:color w:val="000000" w:themeColor="text1"/>
                <w:szCs w:val="21"/>
              </w:rPr>
              <w:t>-</w:t>
            </w:r>
          </w:p>
        </w:tc>
        <w:tc>
          <w:tcPr>
            <w:tcW w:w="1161" w:type="dxa"/>
            <w:vAlign w:val="center"/>
          </w:tcPr>
          <w:p w:rsidR="00FB1BD0" w:rsidRDefault="00170813">
            <w:pPr>
              <w:jc w:val="right"/>
            </w:pPr>
            <w:r>
              <w:rPr>
                <w:rFonts w:eastAsiaTheme="minorEastAsia"/>
                <w:color w:val="000000" w:themeColor="text1"/>
                <w:szCs w:val="21"/>
              </w:rPr>
              <w:t>-</w:t>
            </w:r>
          </w:p>
        </w:tc>
        <w:tc>
          <w:tcPr>
            <w:tcW w:w="1181" w:type="dxa"/>
            <w:vAlign w:val="center"/>
          </w:tcPr>
          <w:p w:rsidR="00FB1BD0" w:rsidRDefault="00170813">
            <w:pPr>
              <w:jc w:val="right"/>
            </w:pPr>
            <w:r>
              <w:rPr>
                <w:rFonts w:eastAsiaTheme="minorEastAsia"/>
                <w:color w:val="000000" w:themeColor="text1"/>
                <w:szCs w:val="21"/>
              </w:rPr>
              <w:t>-</w:t>
            </w:r>
          </w:p>
        </w:tc>
        <w:tc>
          <w:tcPr>
            <w:tcW w:w="1188" w:type="dxa"/>
            <w:vAlign w:val="center"/>
          </w:tcPr>
          <w:p w:rsidR="00FB1BD0" w:rsidRDefault="00170813">
            <w:pPr>
              <w:jc w:val="right"/>
            </w:pPr>
            <w:r>
              <w:rPr>
                <w:rFonts w:eastAsiaTheme="minorEastAsia"/>
                <w:color w:val="000000" w:themeColor="text1"/>
                <w:szCs w:val="21"/>
              </w:rPr>
              <w:t>-</w:t>
            </w:r>
          </w:p>
        </w:tc>
        <w:tc>
          <w:tcPr>
            <w:tcW w:w="1199" w:type="dxa"/>
            <w:vAlign w:val="center"/>
          </w:tcPr>
          <w:p w:rsidR="00FB1BD0" w:rsidRDefault="00170813">
            <w:pPr>
              <w:jc w:val="right"/>
            </w:pPr>
            <w:r>
              <w:rPr>
                <w:rFonts w:eastAsiaTheme="minorEastAsia"/>
                <w:color w:val="000000" w:themeColor="text1"/>
                <w:szCs w:val="21"/>
              </w:rPr>
              <w:t>-</w:t>
            </w:r>
          </w:p>
        </w:tc>
        <w:tc>
          <w:tcPr>
            <w:tcW w:w="1204" w:type="dxa"/>
            <w:vAlign w:val="center"/>
          </w:tcPr>
          <w:p w:rsidR="00FB1BD0" w:rsidRDefault="00170813">
            <w:pPr>
              <w:jc w:val="right"/>
            </w:pPr>
            <w:r>
              <w:rPr>
                <w:rFonts w:eastAsiaTheme="minorEastAsia"/>
                <w:color w:val="000000" w:themeColor="text1"/>
                <w:szCs w:val="21"/>
              </w:rPr>
              <w:t>-</w:t>
            </w:r>
          </w:p>
        </w:tc>
      </w:tr>
      <w:tr w:rsidR="00FB1BD0">
        <w:tc>
          <w:tcPr>
            <w:tcW w:w="1395" w:type="dxa"/>
            <w:vAlign w:val="center"/>
          </w:tcPr>
          <w:p w:rsidR="00FB1BD0" w:rsidRDefault="00170813">
            <w:pPr>
              <w:jc w:val="left"/>
            </w:pPr>
            <w:r>
              <w:rPr>
                <w:rFonts w:eastAsiaTheme="minorEastAsia"/>
                <w:color w:val="000000" w:themeColor="text1"/>
                <w:szCs w:val="21"/>
              </w:rPr>
              <w:t>过去五年</w:t>
            </w:r>
          </w:p>
        </w:tc>
        <w:tc>
          <w:tcPr>
            <w:tcW w:w="1092" w:type="dxa"/>
            <w:vAlign w:val="center"/>
          </w:tcPr>
          <w:p w:rsidR="00FB1BD0" w:rsidRDefault="00170813">
            <w:pPr>
              <w:jc w:val="right"/>
            </w:pPr>
            <w:r>
              <w:rPr>
                <w:rFonts w:eastAsiaTheme="minorEastAsia"/>
                <w:color w:val="000000" w:themeColor="text1"/>
                <w:szCs w:val="21"/>
              </w:rPr>
              <w:t>-</w:t>
            </w:r>
          </w:p>
        </w:tc>
        <w:tc>
          <w:tcPr>
            <w:tcW w:w="1161" w:type="dxa"/>
            <w:vAlign w:val="center"/>
          </w:tcPr>
          <w:p w:rsidR="00FB1BD0" w:rsidRDefault="00170813">
            <w:pPr>
              <w:jc w:val="right"/>
            </w:pPr>
            <w:r>
              <w:rPr>
                <w:rFonts w:eastAsiaTheme="minorEastAsia"/>
                <w:color w:val="000000" w:themeColor="text1"/>
                <w:szCs w:val="21"/>
              </w:rPr>
              <w:t>-</w:t>
            </w:r>
          </w:p>
        </w:tc>
        <w:tc>
          <w:tcPr>
            <w:tcW w:w="1181" w:type="dxa"/>
            <w:vAlign w:val="center"/>
          </w:tcPr>
          <w:p w:rsidR="00FB1BD0" w:rsidRDefault="00170813">
            <w:pPr>
              <w:jc w:val="right"/>
            </w:pPr>
            <w:r>
              <w:rPr>
                <w:rFonts w:eastAsiaTheme="minorEastAsia"/>
                <w:color w:val="000000" w:themeColor="text1"/>
                <w:szCs w:val="21"/>
              </w:rPr>
              <w:t>-</w:t>
            </w:r>
          </w:p>
        </w:tc>
        <w:tc>
          <w:tcPr>
            <w:tcW w:w="1188" w:type="dxa"/>
            <w:vAlign w:val="center"/>
          </w:tcPr>
          <w:p w:rsidR="00FB1BD0" w:rsidRDefault="00170813">
            <w:pPr>
              <w:jc w:val="right"/>
            </w:pPr>
            <w:r>
              <w:rPr>
                <w:rFonts w:eastAsiaTheme="minorEastAsia"/>
                <w:color w:val="000000" w:themeColor="text1"/>
                <w:szCs w:val="21"/>
              </w:rPr>
              <w:t>-</w:t>
            </w:r>
          </w:p>
        </w:tc>
        <w:tc>
          <w:tcPr>
            <w:tcW w:w="1199" w:type="dxa"/>
            <w:vAlign w:val="center"/>
          </w:tcPr>
          <w:p w:rsidR="00FB1BD0" w:rsidRDefault="00170813">
            <w:pPr>
              <w:jc w:val="right"/>
            </w:pPr>
            <w:r>
              <w:rPr>
                <w:rFonts w:eastAsiaTheme="minorEastAsia"/>
                <w:color w:val="000000" w:themeColor="text1"/>
                <w:szCs w:val="21"/>
              </w:rPr>
              <w:t>-</w:t>
            </w:r>
          </w:p>
        </w:tc>
        <w:tc>
          <w:tcPr>
            <w:tcW w:w="1204" w:type="dxa"/>
            <w:vAlign w:val="center"/>
          </w:tcPr>
          <w:p w:rsidR="00FB1BD0" w:rsidRDefault="00170813">
            <w:pPr>
              <w:jc w:val="right"/>
            </w:pPr>
            <w:r>
              <w:rPr>
                <w:rFonts w:eastAsiaTheme="minorEastAsia"/>
                <w:color w:val="000000" w:themeColor="text1"/>
                <w:szCs w:val="21"/>
              </w:rPr>
              <w:t>-</w:t>
            </w:r>
          </w:p>
        </w:tc>
      </w:tr>
      <w:tr w:rsidR="00FB1BD0">
        <w:tc>
          <w:tcPr>
            <w:tcW w:w="1395" w:type="dxa"/>
            <w:vAlign w:val="center"/>
          </w:tcPr>
          <w:p w:rsidR="00FB1BD0" w:rsidRDefault="00170813">
            <w:pPr>
              <w:jc w:val="left"/>
            </w:pPr>
            <w:r>
              <w:rPr>
                <w:rFonts w:eastAsiaTheme="minorEastAsia"/>
                <w:color w:val="000000" w:themeColor="text1"/>
                <w:szCs w:val="21"/>
              </w:rPr>
              <w:t>自基金合同生效起至今</w:t>
            </w:r>
          </w:p>
        </w:tc>
        <w:tc>
          <w:tcPr>
            <w:tcW w:w="1092" w:type="dxa"/>
            <w:vAlign w:val="center"/>
          </w:tcPr>
          <w:p w:rsidR="00FB1BD0" w:rsidRDefault="00170813">
            <w:pPr>
              <w:jc w:val="right"/>
            </w:pPr>
            <w:r>
              <w:rPr>
                <w:rFonts w:eastAsiaTheme="minorEastAsia"/>
                <w:color w:val="000000" w:themeColor="text1"/>
                <w:szCs w:val="21"/>
              </w:rPr>
              <w:t>3.03%</w:t>
            </w:r>
          </w:p>
        </w:tc>
        <w:tc>
          <w:tcPr>
            <w:tcW w:w="1161" w:type="dxa"/>
            <w:vAlign w:val="center"/>
          </w:tcPr>
          <w:p w:rsidR="00FB1BD0" w:rsidRDefault="00170813">
            <w:pPr>
              <w:jc w:val="right"/>
            </w:pPr>
            <w:r>
              <w:rPr>
                <w:rFonts w:eastAsiaTheme="minorEastAsia"/>
                <w:color w:val="000000" w:themeColor="text1"/>
                <w:szCs w:val="21"/>
              </w:rPr>
              <w:t>0.16%</w:t>
            </w:r>
          </w:p>
        </w:tc>
        <w:tc>
          <w:tcPr>
            <w:tcW w:w="1181" w:type="dxa"/>
            <w:vAlign w:val="center"/>
          </w:tcPr>
          <w:p w:rsidR="00FB1BD0" w:rsidRDefault="00170813">
            <w:pPr>
              <w:jc w:val="right"/>
            </w:pPr>
            <w:r>
              <w:rPr>
                <w:rFonts w:eastAsiaTheme="minorEastAsia"/>
                <w:color w:val="000000" w:themeColor="text1"/>
                <w:szCs w:val="21"/>
              </w:rPr>
              <w:t>-0.36%</w:t>
            </w:r>
          </w:p>
        </w:tc>
        <w:tc>
          <w:tcPr>
            <w:tcW w:w="1188" w:type="dxa"/>
            <w:vAlign w:val="center"/>
          </w:tcPr>
          <w:p w:rsidR="00FB1BD0" w:rsidRDefault="00170813">
            <w:pPr>
              <w:jc w:val="right"/>
            </w:pPr>
            <w:r>
              <w:rPr>
                <w:rFonts w:eastAsiaTheme="minorEastAsia"/>
                <w:color w:val="000000" w:themeColor="text1"/>
                <w:szCs w:val="21"/>
              </w:rPr>
              <w:t>0.37%</w:t>
            </w:r>
          </w:p>
        </w:tc>
        <w:tc>
          <w:tcPr>
            <w:tcW w:w="1199" w:type="dxa"/>
            <w:vAlign w:val="center"/>
          </w:tcPr>
          <w:p w:rsidR="00FB1BD0" w:rsidRDefault="00170813">
            <w:pPr>
              <w:jc w:val="right"/>
            </w:pPr>
            <w:r>
              <w:rPr>
                <w:rFonts w:eastAsiaTheme="minorEastAsia"/>
                <w:color w:val="000000" w:themeColor="text1"/>
                <w:szCs w:val="21"/>
              </w:rPr>
              <w:t>3.39%</w:t>
            </w:r>
          </w:p>
        </w:tc>
        <w:tc>
          <w:tcPr>
            <w:tcW w:w="1204" w:type="dxa"/>
            <w:vAlign w:val="center"/>
          </w:tcPr>
          <w:p w:rsidR="00FB1BD0" w:rsidRDefault="00170813">
            <w:pPr>
              <w:jc w:val="right"/>
            </w:pPr>
            <w:r>
              <w:rPr>
                <w:rFonts w:eastAsiaTheme="minorEastAsia"/>
                <w:color w:val="000000" w:themeColor="text1"/>
                <w:szCs w:val="21"/>
              </w:rPr>
              <w:t>-0.21%</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3.2.2</w:t>
      </w:r>
      <w:r w:rsidRPr="00A76A42">
        <w:rPr>
          <w:rFonts w:eastAsiaTheme="minorEastAsia"/>
          <w:b/>
          <w:color w:val="000000" w:themeColor="text1"/>
          <w:kern w:val="0"/>
          <w:sz w:val="24"/>
        </w:rPr>
        <w:t xml:space="preserve">　</w:t>
      </w:r>
      <w:r w:rsidR="009779FD" w:rsidRPr="00A76A42">
        <w:rPr>
          <w:rStyle w:val="afb"/>
          <w:color w:val="000000" w:themeColor="text1"/>
          <w:sz w:val="24"/>
          <w:shd w:val="clear" w:color="auto" w:fill="FFFFFF"/>
        </w:rPr>
        <w:t>自基金合同生效以来</w:t>
      </w:r>
      <w:r w:rsidRPr="00A76A42">
        <w:rPr>
          <w:rFonts w:eastAsiaTheme="minorEastAsia"/>
          <w:b/>
          <w:color w:val="000000" w:themeColor="text1"/>
          <w:kern w:val="0"/>
          <w:sz w:val="24"/>
        </w:rPr>
        <w:t>基金累计</w:t>
      </w:r>
      <w:r w:rsidR="004339D9" w:rsidRPr="00A76A42">
        <w:rPr>
          <w:rFonts w:eastAsiaTheme="minorEastAsia"/>
          <w:b/>
          <w:color w:val="000000" w:themeColor="text1"/>
          <w:kern w:val="0"/>
          <w:sz w:val="24"/>
        </w:rPr>
        <w:t>份额</w:t>
      </w:r>
      <w:r w:rsidRPr="00A76A42">
        <w:rPr>
          <w:rFonts w:eastAsiaTheme="minorEastAsia"/>
          <w:b/>
          <w:color w:val="000000" w:themeColor="text1"/>
          <w:kern w:val="0"/>
          <w:sz w:val="24"/>
        </w:rPr>
        <w:t>净值增长率变动及其与同期业绩比较基准收益率变动的比较</w:t>
      </w:r>
    </w:p>
    <w:p w:rsidR="00A96FD9" w:rsidRPr="00A76A42" w:rsidRDefault="00A96FD9" w:rsidP="00EC4BA3">
      <w:pPr>
        <w:spacing w:line="360" w:lineRule="auto"/>
        <w:jc w:val="center"/>
        <w:rPr>
          <w:rFonts w:eastAsiaTheme="minorEastAsia"/>
          <w:color w:val="000000" w:themeColor="text1"/>
          <w:szCs w:val="21"/>
        </w:rPr>
      </w:pPr>
      <w:r w:rsidRPr="00A76A42">
        <w:rPr>
          <w:rFonts w:eastAsiaTheme="minorEastAsia"/>
          <w:color w:val="000000" w:themeColor="text1"/>
          <w:szCs w:val="21"/>
        </w:rPr>
        <w:t>摩根海外稳健配置混合型证券投资基金</w:t>
      </w:r>
      <w:r w:rsidRPr="00A76A42">
        <w:rPr>
          <w:rFonts w:eastAsiaTheme="minorEastAsia"/>
          <w:color w:val="000000" w:themeColor="text1"/>
          <w:szCs w:val="21"/>
        </w:rPr>
        <w:t>(QDII-FOF)</w:t>
      </w:r>
    </w:p>
    <w:p w:rsidR="00FB39F7" w:rsidRPr="00A76A42" w:rsidRDefault="00FB39F7" w:rsidP="00EC4BA3">
      <w:pPr>
        <w:pStyle w:val="a5"/>
        <w:snapToGrid w:val="0"/>
        <w:spacing w:line="360" w:lineRule="auto"/>
        <w:ind w:firstLine="480"/>
        <w:jc w:val="center"/>
        <w:rPr>
          <w:rFonts w:ascii="Times New Roman" w:eastAsiaTheme="minorEastAsia" w:hAnsi="Times New Roman"/>
          <w:color w:val="000000" w:themeColor="text1"/>
        </w:rPr>
      </w:pPr>
      <w:r w:rsidRPr="00A76A42">
        <w:rPr>
          <w:rFonts w:ascii="Times New Roman" w:eastAsiaTheme="minorEastAsia" w:hAnsi="Times New Roman"/>
          <w:color w:val="000000" w:themeColor="text1"/>
        </w:rPr>
        <w:t>累计</w:t>
      </w:r>
      <w:r w:rsidR="00C67DCB" w:rsidRPr="00A76A42">
        <w:rPr>
          <w:rFonts w:ascii="Times New Roman" w:eastAsiaTheme="minorEastAsia" w:hAnsi="Times New Roman"/>
          <w:color w:val="000000" w:themeColor="text1"/>
        </w:rPr>
        <w:t>份额</w:t>
      </w:r>
      <w:r w:rsidRPr="00A76A42">
        <w:rPr>
          <w:rFonts w:ascii="Times New Roman" w:eastAsiaTheme="minorEastAsia" w:hAnsi="Times New Roman"/>
          <w:color w:val="000000" w:themeColor="text1"/>
        </w:rPr>
        <w:t>净值增长率与业绩比较基准收益率历史走势对比图</w:t>
      </w:r>
    </w:p>
    <w:p w:rsidR="005908C0" w:rsidRPr="00A76A42" w:rsidRDefault="005908C0" w:rsidP="00EC4BA3">
      <w:pPr>
        <w:spacing w:line="360" w:lineRule="auto"/>
        <w:jc w:val="center"/>
        <w:rPr>
          <w:rFonts w:eastAsiaTheme="minorEastAsia"/>
          <w:color w:val="000000" w:themeColor="text1"/>
          <w:szCs w:val="21"/>
        </w:rPr>
      </w:pPr>
      <w:r w:rsidRPr="00A76A42">
        <w:rPr>
          <w:rFonts w:eastAsiaTheme="minorEastAsia"/>
          <w:color w:val="000000" w:themeColor="text1"/>
          <w:kern w:val="0"/>
          <w:szCs w:val="21"/>
        </w:rPr>
        <w:t>（</w:t>
      </w:r>
      <w:r w:rsidR="00623556" w:rsidRPr="00A76A42">
        <w:rPr>
          <w:rFonts w:eastAsiaTheme="minorEastAsia"/>
          <w:color w:val="000000" w:themeColor="text1"/>
          <w:kern w:val="0"/>
          <w:szCs w:val="21"/>
        </w:rPr>
        <w:t>2023</w:t>
      </w:r>
      <w:r w:rsidR="00623556" w:rsidRPr="00A76A42">
        <w:rPr>
          <w:rFonts w:eastAsiaTheme="minorEastAsia"/>
          <w:color w:val="000000" w:themeColor="text1"/>
          <w:kern w:val="0"/>
          <w:szCs w:val="21"/>
        </w:rPr>
        <w:t>年</w:t>
      </w:r>
      <w:r w:rsidR="00623556" w:rsidRPr="00A76A42">
        <w:rPr>
          <w:rFonts w:eastAsiaTheme="minorEastAsia"/>
          <w:color w:val="000000" w:themeColor="text1"/>
          <w:kern w:val="0"/>
          <w:szCs w:val="21"/>
        </w:rPr>
        <w:t>5</w:t>
      </w:r>
      <w:r w:rsidR="00623556" w:rsidRPr="00A76A42">
        <w:rPr>
          <w:rFonts w:eastAsiaTheme="minorEastAsia"/>
          <w:color w:val="000000" w:themeColor="text1"/>
          <w:kern w:val="0"/>
          <w:szCs w:val="21"/>
        </w:rPr>
        <w:t>月</w:t>
      </w:r>
      <w:r w:rsidR="00623556" w:rsidRPr="00A76A42">
        <w:rPr>
          <w:rFonts w:eastAsiaTheme="minorEastAsia"/>
          <w:color w:val="000000" w:themeColor="text1"/>
          <w:kern w:val="0"/>
          <w:szCs w:val="21"/>
        </w:rPr>
        <w:t>23</w:t>
      </w:r>
      <w:r w:rsidR="00623556" w:rsidRPr="00A76A42">
        <w:rPr>
          <w:rFonts w:eastAsiaTheme="minorEastAsia"/>
          <w:color w:val="000000" w:themeColor="text1"/>
          <w:kern w:val="0"/>
          <w:szCs w:val="21"/>
        </w:rPr>
        <w:t>日</w:t>
      </w:r>
      <w:r w:rsidRPr="00A76A42">
        <w:rPr>
          <w:rFonts w:eastAsiaTheme="minorEastAsia"/>
          <w:color w:val="000000" w:themeColor="text1"/>
          <w:kern w:val="0"/>
          <w:szCs w:val="21"/>
        </w:rPr>
        <w:t>至</w:t>
      </w:r>
      <w:r w:rsidRPr="00A76A42">
        <w:rPr>
          <w:rFonts w:eastAsiaTheme="minorEastAsia"/>
          <w:color w:val="000000" w:themeColor="text1"/>
          <w:kern w:val="0"/>
          <w:szCs w:val="21"/>
        </w:rPr>
        <w:t>2023</w:t>
      </w:r>
      <w:r w:rsidRPr="00A76A42">
        <w:rPr>
          <w:rFonts w:eastAsiaTheme="minorEastAsia"/>
          <w:color w:val="000000" w:themeColor="text1"/>
          <w:kern w:val="0"/>
          <w:szCs w:val="21"/>
        </w:rPr>
        <w:t>年</w:t>
      </w:r>
      <w:r w:rsidRPr="00A76A42">
        <w:rPr>
          <w:rFonts w:eastAsiaTheme="minorEastAsia"/>
          <w:color w:val="000000" w:themeColor="text1"/>
          <w:kern w:val="0"/>
          <w:szCs w:val="21"/>
        </w:rPr>
        <w:t>9</w:t>
      </w:r>
      <w:r w:rsidRPr="00A76A42">
        <w:rPr>
          <w:rFonts w:eastAsiaTheme="minorEastAsia"/>
          <w:color w:val="000000" w:themeColor="text1"/>
          <w:kern w:val="0"/>
          <w:szCs w:val="21"/>
        </w:rPr>
        <w:t>月</w:t>
      </w:r>
      <w:r w:rsidRPr="00A76A42">
        <w:rPr>
          <w:rFonts w:eastAsiaTheme="minorEastAsia"/>
          <w:color w:val="000000" w:themeColor="text1"/>
          <w:kern w:val="0"/>
          <w:szCs w:val="21"/>
        </w:rPr>
        <w:t>30</w:t>
      </w:r>
      <w:r w:rsidRPr="00A76A42">
        <w:rPr>
          <w:rFonts w:eastAsiaTheme="minorEastAsia"/>
          <w:color w:val="000000" w:themeColor="text1"/>
          <w:kern w:val="0"/>
          <w:szCs w:val="21"/>
        </w:rPr>
        <w:t>日）</w:t>
      </w:r>
    </w:p>
    <w:p w:rsidR="00A96FD9" w:rsidRPr="00A76A42" w:rsidRDefault="004F16AD" w:rsidP="00A96FD9">
      <w:pPr>
        <w:tabs>
          <w:tab w:val="left" w:pos="1800"/>
        </w:tabs>
        <w:spacing w:line="360" w:lineRule="auto"/>
        <w:jc w:val="center"/>
        <w:rPr>
          <w:rFonts w:eastAsiaTheme="minorEastAsia"/>
          <w:color w:val="000000" w:themeColor="text1"/>
          <w:sz w:val="24"/>
        </w:rPr>
      </w:pPr>
      <w:r w:rsidRPr="00A76A42">
        <w:rPr>
          <w:rFonts w:eastAsiaTheme="minorEastAsia"/>
          <w:noProof/>
          <w:color w:val="000000" w:themeColor="text1"/>
          <w:sz w:val="24"/>
        </w:rPr>
        <w:drawing>
          <wp:inline distT="0" distB="0" distL="0" distR="0" wp14:anchorId="5F51B6ED" wp14:editId="5CE3850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FB1BD0" w:rsidRDefault="0017081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23</w:t>
      </w:r>
      <w:r>
        <w:rPr>
          <w:rFonts w:eastAsiaTheme="minorEastAsia"/>
          <w:color w:val="000000" w:themeColor="text1"/>
          <w:szCs w:val="21"/>
        </w:rPr>
        <w:t>日，截至本报告期末本基金合同生效未满一年。</w:t>
      </w:r>
    </w:p>
    <w:p w:rsidR="00A96FD9" w:rsidRPr="00A76A42" w:rsidRDefault="00A96FD9"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本基金建仓期为本基金合同生效日起</w:t>
      </w:r>
      <w:r w:rsidRPr="00A76A42">
        <w:rPr>
          <w:rFonts w:eastAsiaTheme="minorEastAsia"/>
          <w:color w:val="000000" w:themeColor="text1"/>
          <w:szCs w:val="21"/>
        </w:rPr>
        <w:t xml:space="preserve"> 6 </w:t>
      </w:r>
      <w:r w:rsidRPr="00A76A42">
        <w:rPr>
          <w:rFonts w:eastAsiaTheme="minorEastAsia"/>
          <w:color w:val="000000" w:themeColor="text1"/>
          <w:szCs w:val="21"/>
        </w:rPr>
        <w:t>个月，截至本报告期末本基金仍处于建仓期。</w:t>
      </w:r>
      <w:r w:rsidRPr="00A76A42">
        <w:rPr>
          <w:rFonts w:eastAsiaTheme="minorEastAsia"/>
          <w:color w:val="000000" w:themeColor="text1"/>
          <w:szCs w:val="21"/>
        </w:rPr>
        <w:t xml:space="preserve"> </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lastRenderedPageBreak/>
        <w:t xml:space="preserve">§4  </w:t>
      </w:r>
      <w:r w:rsidRPr="00A76A42">
        <w:rPr>
          <w:rFonts w:eastAsiaTheme="minorEastAsia"/>
          <w:color w:val="000000" w:themeColor="text1"/>
          <w:kern w:val="0"/>
          <w:sz w:val="24"/>
          <w:szCs w:val="24"/>
        </w:rPr>
        <w:t>管理人报告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4.1 </w:t>
      </w:r>
      <w:r w:rsidRPr="00A76A42">
        <w:rPr>
          <w:rFonts w:eastAsiaTheme="minorEastAsia"/>
          <w:b/>
          <w:color w:val="000000" w:themeColor="text1"/>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850"/>
        <w:gridCol w:w="1560"/>
        <w:gridCol w:w="1559"/>
        <w:gridCol w:w="1417"/>
        <w:gridCol w:w="2694"/>
      </w:tblGrid>
      <w:tr w:rsidR="008277FF" w:rsidRPr="00A76A42" w:rsidTr="00797DD2">
        <w:trPr>
          <w:cantSplit/>
          <w:trHeight w:val="292"/>
        </w:trPr>
        <w:tc>
          <w:tcPr>
            <w:tcW w:w="851"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850" w:type="dxa"/>
            <w:vMerge w:val="restart"/>
            <w:vAlign w:val="center"/>
          </w:tcPr>
          <w:p w:rsidR="007D1292" w:rsidRPr="00A76A42" w:rsidRDefault="007D1292" w:rsidP="00B918B8">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职务</w:t>
            </w:r>
          </w:p>
        </w:tc>
        <w:tc>
          <w:tcPr>
            <w:tcW w:w="3119" w:type="dxa"/>
            <w:gridSpan w:val="2"/>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任本基金的基金经理期限</w:t>
            </w:r>
          </w:p>
        </w:tc>
        <w:tc>
          <w:tcPr>
            <w:tcW w:w="1417" w:type="dxa"/>
            <w:vMerge w:val="restart"/>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694" w:type="dxa"/>
            <w:vMerge w:val="restart"/>
            <w:vAlign w:val="center"/>
          </w:tcPr>
          <w:p w:rsidR="007D1292" w:rsidRPr="00A76A42" w:rsidRDefault="007D1292" w:rsidP="00797DD2">
            <w:pPr>
              <w:widowControl/>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8277FF" w:rsidRPr="00A76A42" w:rsidTr="00797DD2">
        <w:trPr>
          <w:cantSplit/>
        </w:trPr>
        <w:tc>
          <w:tcPr>
            <w:tcW w:w="851"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850" w:type="dxa"/>
            <w:vMerge/>
            <w:vAlign w:val="center"/>
          </w:tcPr>
          <w:p w:rsidR="007D1292" w:rsidRPr="00A76A42" w:rsidRDefault="007D1292" w:rsidP="00B918B8">
            <w:pPr>
              <w:widowControl/>
              <w:spacing w:line="360" w:lineRule="auto"/>
              <w:jc w:val="left"/>
              <w:rPr>
                <w:rFonts w:eastAsiaTheme="minorEastAsia"/>
                <w:color w:val="000000" w:themeColor="text1"/>
                <w:kern w:val="0"/>
                <w:szCs w:val="21"/>
              </w:rPr>
            </w:pPr>
          </w:p>
        </w:tc>
        <w:tc>
          <w:tcPr>
            <w:tcW w:w="1560"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任职日期</w:t>
            </w:r>
          </w:p>
        </w:tc>
        <w:tc>
          <w:tcPr>
            <w:tcW w:w="1559" w:type="dxa"/>
            <w:vAlign w:val="center"/>
          </w:tcPr>
          <w:p w:rsidR="007D1292" w:rsidRPr="00A76A42" w:rsidRDefault="007D1292"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离任日期</w:t>
            </w:r>
          </w:p>
        </w:tc>
        <w:tc>
          <w:tcPr>
            <w:tcW w:w="1417"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c>
          <w:tcPr>
            <w:tcW w:w="2694" w:type="dxa"/>
            <w:vMerge/>
            <w:vAlign w:val="center"/>
          </w:tcPr>
          <w:p w:rsidR="007D1292" w:rsidRPr="00A76A42" w:rsidRDefault="007D1292" w:rsidP="00797DD2">
            <w:pPr>
              <w:widowControl/>
              <w:spacing w:line="360" w:lineRule="auto"/>
              <w:jc w:val="center"/>
              <w:rPr>
                <w:rFonts w:eastAsiaTheme="minorEastAsia"/>
                <w:color w:val="000000" w:themeColor="text1"/>
                <w:kern w:val="0"/>
                <w:szCs w:val="21"/>
              </w:rPr>
            </w:pPr>
          </w:p>
        </w:tc>
      </w:tr>
      <w:tr w:rsidR="00FB1BD0">
        <w:tc>
          <w:tcPr>
            <w:tcW w:w="851" w:type="dxa"/>
            <w:vAlign w:val="center"/>
          </w:tcPr>
          <w:p w:rsidR="00FB1BD0" w:rsidRDefault="00170813">
            <w:pPr>
              <w:jc w:val="center"/>
            </w:pPr>
            <w:r>
              <w:rPr>
                <w:rFonts w:eastAsiaTheme="minorEastAsia"/>
                <w:color w:val="000000" w:themeColor="text1"/>
                <w:szCs w:val="21"/>
              </w:rPr>
              <w:t>张军</w:t>
            </w:r>
          </w:p>
        </w:tc>
        <w:tc>
          <w:tcPr>
            <w:tcW w:w="850" w:type="dxa"/>
            <w:vAlign w:val="center"/>
          </w:tcPr>
          <w:p w:rsidR="00FB1BD0" w:rsidRDefault="00170813">
            <w:pPr>
              <w:jc w:val="center"/>
            </w:pPr>
            <w:r>
              <w:rPr>
                <w:rFonts w:eastAsiaTheme="minorEastAsia"/>
                <w:color w:val="000000" w:themeColor="text1"/>
                <w:szCs w:val="21"/>
              </w:rPr>
              <w:t>本基金基金经理</w:t>
            </w:r>
          </w:p>
        </w:tc>
        <w:tc>
          <w:tcPr>
            <w:tcW w:w="1560" w:type="dxa"/>
            <w:vAlign w:val="center"/>
          </w:tcPr>
          <w:p w:rsidR="00FB1BD0" w:rsidRDefault="00170813">
            <w:pPr>
              <w:jc w:val="center"/>
            </w:pPr>
            <w:r>
              <w:rPr>
                <w:rFonts w:eastAsiaTheme="minorEastAsia"/>
                <w:color w:val="000000" w:themeColor="text1"/>
                <w:szCs w:val="21"/>
              </w:rPr>
              <w:t>2023-05-23</w:t>
            </w:r>
          </w:p>
        </w:tc>
        <w:tc>
          <w:tcPr>
            <w:tcW w:w="1559" w:type="dxa"/>
            <w:vAlign w:val="center"/>
          </w:tcPr>
          <w:p w:rsidR="00FB1BD0" w:rsidRDefault="00170813">
            <w:pPr>
              <w:jc w:val="center"/>
            </w:pPr>
            <w:r>
              <w:rPr>
                <w:rFonts w:eastAsiaTheme="minorEastAsia"/>
                <w:color w:val="000000" w:themeColor="text1"/>
                <w:szCs w:val="21"/>
              </w:rPr>
              <w:t>-</w:t>
            </w:r>
          </w:p>
        </w:tc>
        <w:tc>
          <w:tcPr>
            <w:tcW w:w="1417" w:type="dxa"/>
            <w:vAlign w:val="center"/>
          </w:tcPr>
          <w:p w:rsidR="00FB1BD0" w:rsidRDefault="00170813">
            <w:pPr>
              <w:jc w:val="center"/>
            </w:pPr>
            <w:r>
              <w:rPr>
                <w:rFonts w:eastAsiaTheme="minorEastAsia"/>
                <w:color w:val="000000" w:themeColor="text1"/>
                <w:szCs w:val="21"/>
              </w:rPr>
              <w:t>19</w:t>
            </w:r>
            <w:r>
              <w:rPr>
                <w:rFonts w:eastAsiaTheme="minorEastAsia"/>
                <w:color w:val="000000" w:themeColor="text1"/>
                <w:szCs w:val="21"/>
              </w:rPr>
              <w:t>年</w:t>
            </w:r>
            <w:r w:rsidR="00CC2B7F" w:rsidRPr="00CC2B7F">
              <w:rPr>
                <w:rFonts w:eastAsiaTheme="minorEastAsia" w:hint="eastAsia"/>
                <w:color w:val="000000" w:themeColor="text1"/>
                <w:szCs w:val="21"/>
              </w:rPr>
              <w:t>（金融领域从业经验</w:t>
            </w:r>
            <w:r w:rsidR="00CC2B7F" w:rsidRPr="00CC2B7F">
              <w:rPr>
                <w:rFonts w:eastAsiaTheme="minorEastAsia" w:hint="eastAsia"/>
                <w:color w:val="000000" w:themeColor="text1"/>
                <w:szCs w:val="21"/>
              </w:rPr>
              <w:t>30</w:t>
            </w:r>
            <w:r w:rsidR="00CC2B7F" w:rsidRPr="00CC2B7F">
              <w:rPr>
                <w:rFonts w:eastAsiaTheme="minorEastAsia" w:hint="eastAsia"/>
                <w:color w:val="000000" w:themeColor="text1"/>
                <w:szCs w:val="21"/>
              </w:rPr>
              <w:t>年）</w:t>
            </w:r>
          </w:p>
        </w:tc>
        <w:tc>
          <w:tcPr>
            <w:tcW w:w="2694" w:type="dxa"/>
            <w:vAlign w:val="center"/>
          </w:tcPr>
          <w:p w:rsidR="00FB1BD0" w:rsidRDefault="00170813">
            <w:pPr>
              <w:jc w:val="left"/>
            </w:pPr>
            <w:r>
              <w:rPr>
                <w:rFonts w:eastAsiaTheme="minorEastAsia"/>
                <w:color w:val="000000" w:themeColor="text1"/>
                <w:szCs w:val="21"/>
              </w:rPr>
              <w:t>张军先生曾任上海国际信托有限公司国际业务部经理、交易部经理。</w:t>
            </w:r>
            <w:r>
              <w:rPr>
                <w:rFonts w:eastAsiaTheme="minorEastAsia"/>
                <w:color w:val="000000" w:themeColor="text1"/>
                <w:szCs w:val="21"/>
              </w:rPr>
              <w:t>2004</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月起加入摩根基金管理（中国）有限公司（原上投摩根基金管理有限公司），先后担任交易部总监、基金经理、投资绩效评估总监、国际投资部总监、组合基金投资部总监，现任高级基金经理。</w:t>
            </w:r>
          </w:p>
        </w:tc>
      </w:tr>
    </w:tbl>
    <w:p w:rsidR="00FB1BD0" w:rsidRDefault="0017081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rsidR="00FB1BD0" w:rsidRDefault="00170813">
      <w:pPr>
        <w:autoSpaceDE w:val="0"/>
        <w:autoSpaceDN w:val="0"/>
        <w:adjustRightInd w:val="0"/>
        <w:spacing w:line="360" w:lineRule="auto"/>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张军先生为本基金首任基金经理，其任职日期为本基金基金合同生效之日；</w:t>
      </w:r>
    </w:p>
    <w:p w:rsidR="00A47E47" w:rsidRPr="00A76A42" w:rsidRDefault="00A47E47"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 xml:space="preserve">3. </w:t>
      </w:r>
      <w:r w:rsidRPr="00A76A42">
        <w:rPr>
          <w:rFonts w:eastAsiaTheme="minorEastAsia"/>
          <w:color w:val="000000" w:themeColor="text1"/>
          <w:szCs w:val="21"/>
        </w:rPr>
        <w:t>证券从业的含义遵从行业协会《证券业从业人员资格管理办法》的相关规定。</w:t>
      </w:r>
    </w:p>
    <w:p w:rsidR="009B1E46" w:rsidRPr="00A76A42" w:rsidRDefault="009B1E46" w:rsidP="009B1E46">
      <w:pPr>
        <w:autoSpaceDE w:val="0"/>
        <w:autoSpaceDN w:val="0"/>
        <w:adjustRightInd w:val="0"/>
        <w:spacing w:line="360" w:lineRule="auto"/>
        <w:jc w:val="left"/>
        <w:rPr>
          <w:rFonts w:eastAsia="Times New Roman"/>
          <w:b/>
          <w:color w:val="000000"/>
          <w:kern w:val="0"/>
          <w:sz w:val="24"/>
          <w:szCs w:val="21"/>
        </w:rPr>
      </w:pPr>
      <w:bookmarkStart w:id="1" w:name="_Hlk44921484"/>
      <w:r w:rsidRPr="00A76A42">
        <w:rPr>
          <w:b/>
          <w:color w:val="000000"/>
          <w:kern w:val="0"/>
          <w:sz w:val="24"/>
        </w:rPr>
        <w:t>4</w:t>
      </w:r>
      <w:r w:rsidRPr="00A76A42">
        <w:rPr>
          <w:rFonts w:eastAsia="Times New Roman"/>
          <w:b/>
          <w:color w:val="000000"/>
          <w:kern w:val="0"/>
          <w:sz w:val="24"/>
        </w:rPr>
        <w:t>.</w:t>
      </w:r>
      <w:r w:rsidRPr="00A76A42">
        <w:rPr>
          <w:b/>
          <w:color w:val="000000"/>
          <w:kern w:val="0"/>
          <w:sz w:val="24"/>
        </w:rPr>
        <w:t xml:space="preserve">1.1 </w:t>
      </w:r>
      <w:r w:rsidRPr="00A76A42">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3"/>
        <w:gridCol w:w="2090"/>
        <w:gridCol w:w="2396"/>
        <w:gridCol w:w="1818"/>
        <w:gridCol w:w="1351"/>
      </w:tblGrid>
      <w:tr w:rsidR="009B1E46" w:rsidRPr="00A76A42" w:rsidTr="00F367A9">
        <w:tc>
          <w:tcPr>
            <w:tcW w:w="959"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资产净值</w:t>
            </w:r>
            <w:r w:rsidRPr="00A76A42">
              <w:rPr>
                <w:rFonts w:eastAsiaTheme="minorEastAsia"/>
                <w:color w:val="000000"/>
                <w:szCs w:val="21"/>
              </w:rPr>
              <w:t>(</w:t>
            </w:r>
            <w:r w:rsidRPr="00A76A42">
              <w:rPr>
                <w:rFonts w:eastAsiaTheme="minorEastAsia"/>
                <w:color w:val="000000"/>
                <w:szCs w:val="21"/>
              </w:rPr>
              <w:t>元</w:t>
            </w: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任职时间</w:t>
            </w:r>
          </w:p>
        </w:tc>
      </w:tr>
      <w:tr w:rsidR="009B1E46" w:rsidRPr="00A76A42" w:rsidTr="00F367A9">
        <w:tc>
          <w:tcPr>
            <w:tcW w:w="959" w:type="dxa"/>
            <w:vMerge w:val="restart"/>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张军</w:t>
            </w: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9</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4,936,387,157.89</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2008-03-08</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38,150,271.61</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2021-07-09</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w:t>
            </w:r>
          </w:p>
        </w:tc>
      </w:tr>
      <w:tr w:rsidR="009B1E46" w:rsidRPr="00A76A42" w:rsidTr="00F367A9">
        <w:tc>
          <w:tcPr>
            <w:tcW w:w="9286" w:type="dxa"/>
            <w:vMerge/>
            <w:tcBorders>
              <w:top w:val="single" w:sz="4" w:space="0" w:color="auto"/>
              <w:left w:val="single" w:sz="4" w:space="0" w:color="auto"/>
              <w:bottom w:val="single" w:sz="4" w:space="0" w:color="auto"/>
              <w:right w:val="single" w:sz="4" w:space="0" w:color="auto"/>
            </w:tcBorders>
            <w:vAlign w:val="center"/>
            <w:hideMark/>
          </w:tcPr>
          <w:p w:rsidR="009B1E46" w:rsidRPr="00A76A42" w:rsidRDefault="009B1E46" w:rsidP="00F367A9">
            <w:pPr>
              <w:widowControl/>
              <w:jc w:val="left"/>
              <w:rPr>
                <w:rFonts w:eastAsiaTheme="minorEastAsia"/>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10</w:t>
            </w:r>
          </w:p>
        </w:tc>
        <w:tc>
          <w:tcPr>
            <w:tcW w:w="1843" w:type="dxa"/>
            <w:tcBorders>
              <w:top w:val="single" w:sz="4" w:space="0" w:color="auto"/>
              <w:left w:val="single" w:sz="4" w:space="0" w:color="auto"/>
              <w:bottom w:val="single" w:sz="4" w:space="0" w:color="auto"/>
              <w:right w:val="single" w:sz="4" w:space="0" w:color="auto"/>
            </w:tcBorders>
            <w:hideMark/>
          </w:tcPr>
          <w:p w:rsidR="009B1E46" w:rsidRPr="00A76A42" w:rsidRDefault="009B1E46" w:rsidP="00F367A9">
            <w:pPr>
              <w:spacing w:line="288" w:lineRule="auto"/>
              <w:jc w:val="left"/>
              <w:rPr>
                <w:rFonts w:eastAsiaTheme="minorEastAsia"/>
                <w:color w:val="000000"/>
                <w:szCs w:val="21"/>
              </w:rPr>
            </w:pPr>
            <w:r w:rsidRPr="00A76A42">
              <w:rPr>
                <w:rFonts w:eastAsiaTheme="minorEastAsia"/>
                <w:color w:val="000000"/>
                <w:szCs w:val="21"/>
              </w:rPr>
              <w:t>4,974,537,429.50</w:t>
            </w:r>
          </w:p>
        </w:tc>
        <w:tc>
          <w:tcPr>
            <w:tcW w:w="1381" w:type="dxa"/>
            <w:tcBorders>
              <w:top w:val="single" w:sz="4" w:space="0" w:color="auto"/>
              <w:left w:val="single" w:sz="4" w:space="0" w:color="auto"/>
              <w:bottom w:val="single" w:sz="4" w:space="0" w:color="auto"/>
              <w:right w:val="single" w:sz="4" w:space="0" w:color="auto"/>
            </w:tcBorders>
          </w:tcPr>
          <w:p w:rsidR="009B1E46" w:rsidRPr="00A76A42" w:rsidRDefault="009B1E46" w:rsidP="00F367A9">
            <w:pPr>
              <w:spacing w:line="288" w:lineRule="auto"/>
              <w:jc w:val="left"/>
              <w:rPr>
                <w:rFonts w:eastAsiaTheme="minorEastAsia"/>
                <w:color w:val="000000"/>
                <w:szCs w:val="21"/>
              </w:rPr>
            </w:pP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F077D2" w:rsidRPr="00A76A42">
        <w:rPr>
          <w:rFonts w:eastAsiaTheme="minorEastAsia"/>
          <w:b/>
          <w:color w:val="000000" w:themeColor="text1"/>
          <w:kern w:val="0"/>
          <w:sz w:val="24"/>
        </w:rPr>
        <w:t>2</w:t>
      </w:r>
      <w:r w:rsidR="00A32FDA"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境外投资顾问为本基金提供投资建议的主要成员简介</w:t>
      </w:r>
    </w:p>
    <w:tbl>
      <w:tblPr>
        <w:tblStyle w:val="afa"/>
        <w:tblW w:w="0" w:type="auto"/>
        <w:tblInd w:w="15" w:type="dxa"/>
        <w:tblLook w:val="04A0" w:firstRow="1" w:lastRow="0" w:firstColumn="1" w:lastColumn="0" w:noHBand="0" w:noVBand="1"/>
      </w:tblPr>
      <w:tblGrid>
        <w:gridCol w:w="1131"/>
        <w:gridCol w:w="1505"/>
        <w:gridCol w:w="684"/>
        <w:gridCol w:w="5193"/>
      </w:tblGrid>
      <w:tr w:rsidR="008277FF" w:rsidRPr="00A76A42" w:rsidTr="00797DD2">
        <w:tc>
          <w:tcPr>
            <w:tcW w:w="2129"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姓名</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在境外投资顾问所任职务</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证券从业年限</w:t>
            </w:r>
          </w:p>
        </w:tc>
        <w:tc>
          <w:tcPr>
            <w:tcW w:w="2128" w:type="dxa"/>
            <w:vAlign w:val="center"/>
          </w:tcPr>
          <w:p w:rsidR="004061D9" w:rsidRPr="00A76A42" w:rsidRDefault="004061D9"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说明</w:t>
            </w:r>
          </w:p>
        </w:tc>
      </w:tr>
      <w:tr w:rsidR="00FB1BD0">
        <w:tc>
          <w:tcPr>
            <w:tcW w:w="0" w:type="auto"/>
            <w:vAlign w:val="center"/>
          </w:tcPr>
          <w:p w:rsidR="00FB1BD0" w:rsidRDefault="00170813">
            <w:pPr>
              <w:jc w:val="center"/>
            </w:pPr>
            <w:r>
              <w:rPr>
                <w:rFonts w:eastAsiaTheme="minorEastAsia"/>
                <w:color w:val="000000" w:themeColor="text1"/>
                <w:szCs w:val="21"/>
              </w:rPr>
              <w:t>Leon Goldfeld</w:t>
            </w:r>
          </w:p>
        </w:tc>
        <w:tc>
          <w:tcPr>
            <w:tcW w:w="0" w:type="auto"/>
            <w:vAlign w:val="center"/>
          </w:tcPr>
          <w:p w:rsidR="00FB1BD0" w:rsidRDefault="00170813">
            <w:pPr>
              <w:jc w:val="center"/>
            </w:pPr>
            <w:r>
              <w:rPr>
                <w:rFonts w:eastAsiaTheme="minorEastAsia"/>
                <w:color w:val="000000" w:themeColor="text1"/>
                <w:szCs w:val="21"/>
              </w:rPr>
              <w:t>摩根资产管理</w:t>
            </w:r>
            <w:r>
              <w:rPr>
                <w:rFonts w:eastAsiaTheme="minorEastAsia"/>
                <w:color w:val="000000" w:themeColor="text1"/>
                <w:szCs w:val="21"/>
              </w:rPr>
              <w:t>(</w:t>
            </w:r>
            <w:r>
              <w:rPr>
                <w:rFonts w:eastAsiaTheme="minorEastAsia"/>
                <w:color w:val="000000" w:themeColor="text1"/>
                <w:szCs w:val="21"/>
              </w:rPr>
              <w:t>亚太</w:t>
            </w:r>
            <w:r>
              <w:rPr>
                <w:rFonts w:eastAsiaTheme="minorEastAsia"/>
                <w:color w:val="000000" w:themeColor="text1"/>
                <w:szCs w:val="21"/>
              </w:rPr>
              <w:t>)</w:t>
            </w:r>
            <w:r>
              <w:rPr>
                <w:rFonts w:eastAsiaTheme="minorEastAsia"/>
                <w:color w:val="000000" w:themeColor="text1"/>
                <w:szCs w:val="21"/>
              </w:rPr>
              <w:t>董事总经理，多资产解决方案部资深投资组合经理</w:t>
            </w:r>
          </w:p>
        </w:tc>
        <w:tc>
          <w:tcPr>
            <w:tcW w:w="0" w:type="auto"/>
            <w:vAlign w:val="center"/>
          </w:tcPr>
          <w:p w:rsidR="00FB1BD0" w:rsidRDefault="00170813">
            <w:pPr>
              <w:jc w:val="center"/>
            </w:pPr>
            <w:r>
              <w:rPr>
                <w:rFonts w:eastAsiaTheme="minorEastAsia"/>
                <w:color w:val="000000" w:themeColor="text1"/>
                <w:szCs w:val="21"/>
              </w:rPr>
              <w:t>35</w:t>
            </w:r>
            <w:r>
              <w:rPr>
                <w:rFonts w:eastAsiaTheme="minorEastAsia"/>
                <w:color w:val="000000" w:themeColor="text1"/>
                <w:szCs w:val="21"/>
              </w:rPr>
              <w:t>年</w:t>
            </w:r>
          </w:p>
        </w:tc>
        <w:tc>
          <w:tcPr>
            <w:tcW w:w="0" w:type="auto"/>
            <w:vAlign w:val="center"/>
          </w:tcPr>
          <w:p w:rsidR="00FB1BD0" w:rsidRDefault="00170813">
            <w:pPr>
              <w:jc w:val="left"/>
            </w:pPr>
            <w:r>
              <w:rPr>
                <w:rFonts w:eastAsiaTheme="minorEastAsia"/>
                <w:color w:val="000000" w:themeColor="text1"/>
                <w:szCs w:val="21"/>
              </w:rPr>
              <w:t xml:space="preserve">Leon Goldfeld </w:t>
            </w:r>
            <w:r>
              <w:rPr>
                <w:rFonts w:eastAsiaTheme="minorEastAsia"/>
                <w:color w:val="000000" w:themeColor="text1"/>
                <w:szCs w:val="21"/>
              </w:rPr>
              <w:t>（高礼行），董事总经理，摩根资产管理多资产解决方案部资深投资组合经理，常驻香港。加入摩根资产管理前，</w:t>
            </w:r>
            <w:r>
              <w:rPr>
                <w:rFonts w:eastAsiaTheme="minorEastAsia"/>
                <w:color w:val="000000" w:themeColor="text1"/>
                <w:szCs w:val="21"/>
              </w:rPr>
              <w:t>Leon</w:t>
            </w:r>
            <w:r>
              <w:rPr>
                <w:rFonts w:eastAsiaTheme="minorEastAsia"/>
                <w:color w:val="000000" w:themeColor="text1"/>
                <w:szCs w:val="21"/>
              </w:rPr>
              <w:t>曾任东方汇理（香港）副首席投资官及亚洲多资产投资部总监，高盛私人财富管理公司投资策略部董事总经理，汇丰全球资产管理（香港）首席投资官，以及安盛投资管理香港地区首席投资官。</w:t>
            </w:r>
          </w:p>
          <w:p w:rsidR="00FB1BD0" w:rsidRDefault="00170813">
            <w:pPr>
              <w:jc w:val="left"/>
            </w:pPr>
            <w:r>
              <w:rPr>
                <w:rFonts w:eastAsiaTheme="minorEastAsia"/>
                <w:color w:val="000000" w:themeColor="text1"/>
                <w:szCs w:val="21"/>
              </w:rPr>
              <w:lastRenderedPageBreak/>
              <w:t>Leon</w:t>
            </w:r>
            <w:r>
              <w:rPr>
                <w:rFonts w:eastAsiaTheme="minorEastAsia"/>
                <w:color w:val="000000" w:themeColor="text1"/>
                <w:szCs w:val="21"/>
              </w:rPr>
              <w:t>拥有墨尔本莫纳什大学计算机科学、会计与经济学专业的学士学位，并为一名特许金融分析师。</w:t>
            </w:r>
          </w:p>
        </w:tc>
      </w:tr>
    </w:tbl>
    <w:p w:rsidR="00FB47E0" w:rsidRPr="00A76A42" w:rsidRDefault="00FB47E0"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3</w:t>
      </w:r>
      <w:r w:rsidR="003508B0" w:rsidRPr="00A76A42">
        <w:rPr>
          <w:b/>
          <w:color w:val="000000"/>
          <w:sz w:val="24"/>
          <w:shd w:val="clear" w:color="auto" w:fill="FFFFFF"/>
        </w:rPr>
        <w:t>管理人对报告期内本基金运作遵规守信情况的说明</w:t>
      </w:r>
    </w:p>
    <w:p w:rsidR="00363E15" w:rsidRPr="00A76A42" w:rsidRDefault="00363E15"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4</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公平交易专项说明</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4.1</w:t>
      </w:r>
      <w:r w:rsidRPr="00A76A42">
        <w:rPr>
          <w:rFonts w:eastAsiaTheme="minorEastAsia"/>
          <w:color w:val="000000" w:themeColor="text1"/>
          <w:sz w:val="24"/>
        </w:rPr>
        <w:t>公平交易制度的执行情况</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AB42E2"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AB42E2" w:rsidRPr="00A76A42" w:rsidRDefault="00AB42E2" w:rsidP="00A70E23">
      <w:pPr>
        <w:spacing w:line="360" w:lineRule="auto"/>
        <w:rPr>
          <w:rFonts w:eastAsiaTheme="minorEastAsia"/>
          <w:color w:val="000000" w:themeColor="text1"/>
          <w:sz w:val="24"/>
        </w:rPr>
      </w:pPr>
      <w:r w:rsidRPr="00A76A42">
        <w:rPr>
          <w:rFonts w:eastAsiaTheme="minorEastAsia"/>
          <w:color w:val="000000" w:themeColor="text1"/>
          <w:sz w:val="24"/>
        </w:rPr>
        <w:t>4.</w:t>
      </w:r>
      <w:r w:rsidR="00A32FDA" w:rsidRPr="00A76A42">
        <w:rPr>
          <w:rFonts w:eastAsiaTheme="minorEastAsia"/>
          <w:color w:val="000000" w:themeColor="text1"/>
          <w:sz w:val="24"/>
        </w:rPr>
        <w:t>4</w:t>
      </w:r>
      <w:r w:rsidRPr="00A76A42">
        <w:rPr>
          <w:rFonts w:eastAsiaTheme="minorEastAsia"/>
          <w:color w:val="000000" w:themeColor="text1"/>
          <w:sz w:val="24"/>
        </w:rPr>
        <w:t>.</w:t>
      </w:r>
      <w:r w:rsidR="00A32FDA" w:rsidRPr="00A76A42">
        <w:rPr>
          <w:rFonts w:eastAsiaTheme="minorEastAsia"/>
          <w:color w:val="000000" w:themeColor="text1"/>
          <w:sz w:val="24"/>
        </w:rPr>
        <w:t>2</w:t>
      </w:r>
      <w:r w:rsidRPr="00A76A42">
        <w:rPr>
          <w:rFonts w:eastAsiaTheme="minorEastAsia"/>
          <w:color w:val="000000" w:themeColor="text1"/>
          <w:sz w:val="24"/>
        </w:rPr>
        <w:t>异常交易行为的专项说明</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1F3C28" w:rsidRPr="00A76A42" w:rsidRDefault="001F3C28"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所有投资组合参与的交易所公开竞价同日反向交易成交较少的单边交易量超过该证券当日成交量的</w:t>
      </w:r>
      <w:r w:rsidRPr="00A76A42">
        <w:rPr>
          <w:rFonts w:eastAsiaTheme="minorEastAsia"/>
          <w:color w:val="000000" w:themeColor="text1"/>
          <w:szCs w:val="21"/>
        </w:rPr>
        <w:t>5%</w:t>
      </w:r>
      <w:r w:rsidRPr="00A76A42">
        <w:rPr>
          <w:rFonts w:eastAsiaTheme="minorEastAsia"/>
          <w:color w:val="000000" w:themeColor="text1"/>
          <w:szCs w:val="21"/>
        </w:rPr>
        <w:t>的情形：无。</w:t>
      </w:r>
    </w:p>
    <w:p w:rsidR="0076518F" w:rsidRPr="00A76A42" w:rsidRDefault="0076518F" w:rsidP="00A70E23">
      <w:pPr>
        <w:autoSpaceDE w:val="0"/>
        <w:autoSpaceDN w:val="0"/>
        <w:adjustRightInd w:val="0"/>
        <w:spacing w:line="360" w:lineRule="auto"/>
        <w:jc w:val="left"/>
        <w:rPr>
          <w:rFonts w:eastAsiaTheme="minorEastAsia"/>
          <w:color w:val="000000" w:themeColor="text1"/>
          <w:kern w:val="0"/>
          <w:sz w:val="24"/>
        </w:rPr>
      </w:pPr>
    </w:p>
    <w:p w:rsidR="0076518F" w:rsidRPr="00A76A42" w:rsidRDefault="0076518F" w:rsidP="00A70E2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4.</w:t>
      </w:r>
      <w:r w:rsidR="00A32FDA" w:rsidRPr="00A76A42">
        <w:rPr>
          <w:rFonts w:eastAsiaTheme="minorEastAsia"/>
          <w:b/>
          <w:color w:val="000000" w:themeColor="text1"/>
          <w:kern w:val="0"/>
          <w:sz w:val="24"/>
        </w:rPr>
        <w:t>5</w:t>
      </w:r>
      <w:r w:rsidRPr="00A76A42">
        <w:rPr>
          <w:rFonts w:eastAsiaTheme="minorEastAsia"/>
          <w:b/>
          <w:color w:val="000000" w:themeColor="text1"/>
          <w:kern w:val="0"/>
          <w:sz w:val="24"/>
        </w:rPr>
        <w:t xml:space="preserve"> </w:t>
      </w:r>
      <w:r w:rsidRPr="00A76A42">
        <w:rPr>
          <w:rFonts w:eastAsiaTheme="minorEastAsia"/>
          <w:b/>
          <w:color w:val="000000" w:themeColor="text1"/>
          <w:kern w:val="0"/>
          <w:sz w:val="24"/>
        </w:rPr>
        <w:t>报告期内基金的投资策略和业绩表现说明</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本基金在报告期内处于建仓期过程中，主要持有短久期美元债券资产。</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第三季度全球债券基准下跌了</w:t>
      </w:r>
      <w:r>
        <w:rPr>
          <w:rFonts w:eastAsiaTheme="minorEastAsia"/>
          <w:color w:val="000000" w:themeColor="text1"/>
          <w:szCs w:val="21"/>
        </w:rPr>
        <w:t>3.6%</w:t>
      </w:r>
      <w:r>
        <w:rPr>
          <w:rFonts w:eastAsiaTheme="minorEastAsia"/>
          <w:color w:val="000000" w:themeColor="text1"/>
          <w:szCs w:val="21"/>
        </w:rPr>
        <w:t>，全球债券市场的抛售部分归咎于风险资产的压力。美国国债市场表现明显落后，而在信贷方面，高收益债券基准的较低利率敏感性帮助美国和欧洲高收益债券市场勉强获得正回报，彭博美国综合信用债</w:t>
      </w:r>
      <w:r>
        <w:rPr>
          <w:rFonts w:eastAsiaTheme="minorEastAsia"/>
          <w:color w:val="000000" w:themeColor="text1"/>
          <w:szCs w:val="21"/>
        </w:rPr>
        <w:t>–</w:t>
      </w:r>
      <w:r>
        <w:rPr>
          <w:rFonts w:eastAsiaTheme="minorEastAsia"/>
          <w:color w:val="000000" w:themeColor="text1"/>
          <w:szCs w:val="21"/>
        </w:rPr>
        <w:t>高收益企业债券指数和摩根欧元高收益债券指数回报率分别为</w:t>
      </w:r>
      <w:r>
        <w:rPr>
          <w:rFonts w:eastAsiaTheme="minorEastAsia"/>
          <w:color w:val="000000" w:themeColor="text1"/>
          <w:szCs w:val="21"/>
        </w:rPr>
        <w:t>0.5%</w:t>
      </w:r>
      <w:r>
        <w:rPr>
          <w:rFonts w:eastAsiaTheme="minorEastAsia"/>
          <w:color w:val="000000" w:themeColor="text1"/>
          <w:szCs w:val="21"/>
        </w:rPr>
        <w:t>和</w:t>
      </w:r>
      <w:r>
        <w:rPr>
          <w:rFonts w:eastAsiaTheme="minorEastAsia"/>
          <w:color w:val="000000" w:themeColor="text1"/>
          <w:szCs w:val="21"/>
        </w:rPr>
        <w:t>1.5%</w:t>
      </w:r>
      <w:r>
        <w:rPr>
          <w:rFonts w:eastAsiaTheme="minorEastAsia"/>
          <w:color w:val="000000" w:themeColor="text1"/>
          <w:szCs w:val="21"/>
        </w:rPr>
        <w:t>。</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虽然第三季度发达市场股票和债券同时下跌，与</w:t>
      </w:r>
      <w:r>
        <w:rPr>
          <w:rFonts w:eastAsiaTheme="minorEastAsia"/>
          <w:color w:val="000000" w:themeColor="text1"/>
          <w:szCs w:val="21"/>
        </w:rPr>
        <w:t>2022</w:t>
      </w:r>
      <w:r>
        <w:rPr>
          <w:rFonts w:eastAsiaTheme="minorEastAsia"/>
          <w:color w:val="000000" w:themeColor="text1"/>
          <w:szCs w:val="21"/>
        </w:rPr>
        <w:t>年发生的情绪类似，但是本季度的表现背后的驱动因素与去年存在一些重要差异。本季度的经济数据显示，增长前景出现放缓信号，上半年强劲的服务业活动</w:t>
      </w:r>
      <w:r>
        <w:rPr>
          <w:rFonts w:eastAsiaTheme="minorEastAsia"/>
          <w:color w:val="000000" w:themeColor="text1"/>
          <w:szCs w:val="21"/>
        </w:rPr>
        <w:t>“</w:t>
      </w:r>
      <w:r>
        <w:rPr>
          <w:rFonts w:eastAsiaTheme="minorEastAsia"/>
          <w:color w:val="000000" w:themeColor="text1"/>
          <w:szCs w:val="21"/>
        </w:rPr>
        <w:t>终于</w:t>
      </w:r>
      <w:r>
        <w:rPr>
          <w:rFonts w:eastAsiaTheme="minorEastAsia"/>
          <w:color w:val="000000" w:themeColor="text1"/>
          <w:szCs w:val="21"/>
        </w:rPr>
        <w:t>”</w:t>
      </w:r>
      <w:r>
        <w:rPr>
          <w:rFonts w:eastAsiaTheme="minorEastAsia"/>
          <w:color w:val="000000" w:themeColor="text1"/>
          <w:szCs w:val="21"/>
        </w:rPr>
        <w:t>开始显示出疲软迹象，与早就疲软的制造业靠拢。通胀压力还处于放缓的通道中，投资者越来越相信我们正在接近全球加息周期的顶峰。因此，关注焦点已从利率峰值水平转移到央行将利率维持在峰值水平多长时间，</w:t>
      </w:r>
      <w:r>
        <w:rPr>
          <w:rFonts w:eastAsiaTheme="minorEastAsia"/>
          <w:color w:val="000000" w:themeColor="text1"/>
          <w:szCs w:val="21"/>
        </w:rPr>
        <w:t>“</w:t>
      </w:r>
      <w:r>
        <w:rPr>
          <w:rFonts w:eastAsiaTheme="minorEastAsia"/>
          <w:color w:val="000000" w:themeColor="text1"/>
          <w:szCs w:val="21"/>
        </w:rPr>
        <w:t>更长时间内更高</w:t>
      </w:r>
      <w:r>
        <w:rPr>
          <w:rFonts w:eastAsiaTheme="minorEastAsia"/>
          <w:color w:val="000000" w:themeColor="text1"/>
          <w:szCs w:val="21"/>
        </w:rPr>
        <w:t>”</w:t>
      </w:r>
      <w:r>
        <w:rPr>
          <w:rFonts w:eastAsiaTheme="minorEastAsia"/>
          <w:color w:val="000000" w:themeColor="text1"/>
          <w:szCs w:val="21"/>
        </w:rPr>
        <w:t>越来越被视为抑制顽固价格压力的必要情景。</w:t>
      </w:r>
      <w:r>
        <w:rPr>
          <w:rFonts w:eastAsiaTheme="minorEastAsia"/>
          <w:color w:val="000000" w:themeColor="text1"/>
          <w:szCs w:val="21"/>
        </w:rPr>
        <w:t>9</w:t>
      </w:r>
      <w:r>
        <w:rPr>
          <w:rFonts w:eastAsiaTheme="minorEastAsia"/>
          <w:color w:val="000000" w:themeColor="text1"/>
          <w:szCs w:val="21"/>
        </w:rPr>
        <w:t>月美联储议息会议上维持利率不变但坚持相机抉择，保留</w:t>
      </w:r>
      <w:r>
        <w:rPr>
          <w:rFonts w:eastAsiaTheme="minorEastAsia"/>
          <w:color w:val="000000" w:themeColor="text1"/>
          <w:szCs w:val="21"/>
        </w:rPr>
        <w:t>11</w:t>
      </w:r>
      <w:r>
        <w:rPr>
          <w:rFonts w:eastAsiaTheme="minorEastAsia"/>
          <w:color w:val="000000" w:themeColor="text1"/>
          <w:szCs w:val="21"/>
        </w:rPr>
        <w:t>月加息的可能性。对</w:t>
      </w:r>
      <w:r>
        <w:rPr>
          <w:rFonts w:eastAsiaTheme="minorEastAsia"/>
          <w:color w:val="000000" w:themeColor="text1"/>
          <w:szCs w:val="21"/>
        </w:rPr>
        <w:t>2024</w:t>
      </w:r>
      <w:r>
        <w:rPr>
          <w:rFonts w:eastAsiaTheme="minorEastAsia"/>
          <w:color w:val="000000" w:themeColor="text1"/>
          <w:szCs w:val="21"/>
        </w:rPr>
        <w:t>年降息可能的表述极为模糊。</w:t>
      </w:r>
      <w:r>
        <w:rPr>
          <w:rFonts w:eastAsiaTheme="minorEastAsia"/>
          <w:color w:val="000000" w:themeColor="text1"/>
          <w:szCs w:val="21"/>
        </w:rPr>
        <w:t>10</w:t>
      </w:r>
      <w:r>
        <w:rPr>
          <w:rFonts w:eastAsiaTheme="minorEastAsia"/>
          <w:color w:val="000000" w:themeColor="text1"/>
          <w:szCs w:val="21"/>
        </w:rPr>
        <w:t>年期美债收益率上行是受到基本面驱动所致，美国财政阶段性闯关成功未牺牲支出规模，</w:t>
      </w:r>
      <w:r>
        <w:rPr>
          <w:rFonts w:eastAsiaTheme="minorEastAsia"/>
          <w:color w:val="000000" w:themeColor="text1"/>
          <w:szCs w:val="21"/>
        </w:rPr>
        <w:t>“</w:t>
      </w:r>
      <w:r>
        <w:rPr>
          <w:rFonts w:eastAsiaTheme="minorEastAsia"/>
          <w:color w:val="000000" w:themeColor="text1"/>
          <w:szCs w:val="21"/>
        </w:rPr>
        <w:t>宽财政</w:t>
      </w:r>
      <w:r>
        <w:rPr>
          <w:rFonts w:eastAsiaTheme="minorEastAsia"/>
          <w:color w:val="000000" w:themeColor="text1"/>
          <w:szCs w:val="21"/>
        </w:rPr>
        <w:t>+</w:t>
      </w:r>
      <w:r>
        <w:rPr>
          <w:rFonts w:eastAsiaTheme="minorEastAsia"/>
          <w:color w:val="000000" w:themeColor="text1"/>
          <w:szCs w:val="21"/>
        </w:rPr>
        <w:t>紧货币</w:t>
      </w:r>
      <w:r>
        <w:rPr>
          <w:rFonts w:eastAsiaTheme="minorEastAsia"/>
          <w:color w:val="000000" w:themeColor="text1"/>
          <w:szCs w:val="21"/>
        </w:rPr>
        <w:t>”</w:t>
      </w:r>
      <w:r>
        <w:rPr>
          <w:rFonts w:eastAsiaTheme="minorEastAsia"/>
          <w:color w:val="000000" w:themeColor="text1"/>
          <w:szCs w:val="21"/>
        </w:rPr>
        <w:t>组合支撑经济保持韧性，即经济可能在高利率环境下延续更长时间的强韧性，长期经济增长预期上修，驱动利率上行，推高</w:t>
      </w:r>
      <w:r>
        <w:rPr>
          <w:rFonts w:eastAsiaTheme="minorEastAsia"/>
          <w:color w:val="000000" w:themeColor="text1"/>
          <w:szCs w:val="21"/>
        </w:rPr>
        <w:t>10</w:t>
      </w:r>
      <w:r>
        <w:rPr>
          <w:rFonts w:eastAsiaTheme="minorEastAsia"/>
          <w:color w:val="000000" w:themeColor="text1"/>
          <w:szCs w:val="21"/>
        </w:rPr>
        <w:t>年期美债收益率。财政可持续性是债券投资者关注的另一个领域，美国国债市场尤其如此，国债价格受到超预期发行量的担忧的打击。尽管本次财政拨款过关，但麦卡锡被罢免将增加下一轮谈判难度。</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展望后市，我们对经济衰退和经济弱于趋势增长的情景假设的概率各为</w:t>
      </w:r>
      <w:r>
        <w:rPr>
          <w:rFonts w:eastAsiaTheme="minorEastAsia"/>
          <w:color w:val="000000" w:themeColor="text1"/>
          <w:szCs w:val="21"/>
        </w:rPr>
        <w:t>50%</w:t>
      </w:r>
      <w:r>
        <w:rPr>
          <w:rFonts w:eastAsiaTheme="minorEastAsia"/>
          <w:color w:val="000000" w:themeColor="text1"/>
          <w:szCs w:val="21"/>
        </w:rPr>
        <w:t>。增长放缓伴随着通胀压力放缓预示美国看上去会实现</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，但是仍然不能排除这是衰退前的</w:t>
      </w:r>
      <w:r>
        <w:rPr>
          <w:rFonts w:eastAsiaTheme="minorEastAsia"/>
          <w:color w:val="000000" w:themeColor="text1"/>
          <w:szCs w:val="21"/>
        </w:rPr>
        <w:t>“</w:t>
      </w:r>
      <w:r>
        <w:rPr>
          <w:rFonts w:eastAsiaTheme="minorEastAsia"/>
          <w:color w:val="000000" w:themeColor="text1"/>
          <w:szCs w:val="21"/>
        </w:rPr>
        <w:t>软着陆</w:t>
      </w:r>
      <w:r>
        <w:rPr>
          <w:rFonts w:eastAsiaTheme="minorEastAsia"/>
          <w:color w:val="000000" w:themeColor="text1"/>
          <w:szCs w:val="21"/>
        </w:rPr>
        <w:t>”</w:t>
      </w:r>
      <w:r>
        <w:rPr>
          <w:rFonts w:eastAsiaTheme="minorEastAsia"/>
          <w:color w:val="000000" w:themeColor="text1"/>
          <w:szCs w:val="21"/>
        </w:rPr>
        <w:t>。对我们的预期的首要风险是通胀意外再次抬升，导致央行再度开始加长的加息周期。因此，短期内相对安全的配置是短久期固收资产，以及保持观望。要保持观望是一个艰难的事情，持有债券是在软着陆和衰退情景都合适的策略。因为历史上来看当央行最后一次加息之后，债券收益率通常会下行，带来可观的资本利得收益。目前需要等待的就是何时央行最后一次加息。只不过这样的等待可能需要更长的耐心。</w:t>
      </w:r>
    </w:p>
    <w:p w:rsidR="00B0116D" w:rsidRPr="00A76A42" w:rsidRDefault="00B0116D" w:rsidP="00797DD2">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本报告期本基金份额净值增长率为</w:t>
      </w:r>
      <w:r w:rsidRPr="00A76A42">
        <w:rPr>
          <w:rFonts w:eastAsiaTheme="minorEastAsia"/>
          <w:color w:val="000000" w:themeColor="text1"/>
          <w:szCs w:val="21"/>
        </w:rPr>
        <w:t>:0.18%</w:t>
      </w:r>
      <w:r w:rsidRPr="00A76A42">
        <w:rPr>
          <w:rFonts w:eastAsiaTheme="minorEastAsia"/>
          <w:color w:val="000000" w:themeColor="text1"/>
          <w:szCs w:val="21"/>
        </w:rPr>
        <w:t>，同期业绩比较基准收益率为</w:t>
      </w:r>
      <w:r w:rsidR="00F27314">
        <w:rPr>
          <w:rFonts w:eastAsiaTheme="minorEastAsia"/>
          <w:color w:val="000000" w:themeColor="text1"/>
          <w:szCs w:val="21"/>
        </w:rPr>
        <w:t>:-4.16</w:t>
      </w:r>
      <w:r w:rsidRPr="00A76A42">
        <w:rPr>
          <w:rFonts w:eastAsiaTheme="minorEastAsia"/>
          <w:color w:val="000000" w:themeColor="text1"/>
          <w:szCs w:val="21"/>
        </w:rPr>
        <w:t>%</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§5  </w:t>
      </w:r>
      <w:r w:rsidRPr="00A76A42">
        <w:rPr>
          <w:rFonts w:eastAsiaTheme="minorEastAsia"/>
          <w:color w:val="000000" w:themeColor="text1"/>
          <w:kern w:val="0"/>
          <w:sz w:val="24"/>
          <w:szCs w:val="24"/>
        </w:rPr>
        <w:t>投资组合报告</w:t>
      </w:r>
    </w:p>
    <w:p w:rsidR="0076518F" w:rsidRPr="00A76A42" w:rsidRDefault="0076518F"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 xml:space="preserve">5.1 </w:t>
      </w:r>
      <w:r w:rsidRPr="00A76A42">
        <w:rPr>
          <w:rFonts w:eastAsiaTheme="minorEastAsia"/>
          <w:b/>
          <w:color w:val="000000" w:themeColor="text1"/>
          <w:kern w:val="0"/>
          <w:sz w:val="24"/>
        </w:rPr>
        <w:t>报告期末基金资产组合情况</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53"/>
        <w:gridCol w:w="2835"/>
        <w:gridCol w:w="1559"/>
      </w:tblGrid>
      <w:tr w:rsidR="008277FF" w:rsidRPr="00A76A42" w:rsidTr="00592EFF">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4253"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项目</w:t>
            </w:r>
          </w:p>
        </w:tc>
        <w:tc>
          <w:tcPr>
            <w:tcW w:w="2835"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金额</w:t>
            </w:r>
            <w:r w:rsidRPr="00A76A42">
              <w:rPr>
                <w:rFonts w:eastAsiaTheme="minorEastAsia"/>
                <w:color w:val="000000" w:themeColor="text1"/>
                <w:szCs w:val="21"/>
              </w:rPr>
              <w:t>(</w:t>
            </w:r>
            <w:r w:rsidR="002655D4" w:rsidRPr="00A76A42">
              <w:rPr>
                <w:rFonts w:eastAsiaTheme="minorEastAsia"/>
                <w:color w:val="000000" w:themeColor="text1"/>
                <w:szCs w:val="21"/>
              </w:rPr>
              <w:t>人民币</w:t>
            </w:r>
            <w:r w:rsidRPr="00A76A42">
              <w:rPr>
                <w:rFonts w:eastAsiaTheme="minorEastAsia"/>
                <w:color w:val="000000" w:themeColor="text1"/>
                <w:szCs w:val="21"/>
              </w:rPr>
              <w:t>元</w:t>
            </w: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占基金总资产</w:t>
            </w:r>
            <w:r w:rsidRPr="00A76A42">
              <w:rPr>
                <w:rFonts w:eastAsiaTheme="minorEastAsia"/>
                <w:color w:val="000000" w:themeColor="text1"/>
                <w:szCs w:val="21"/>
              </w:rPr>
              <w:lastRenderedPageBreak/>
              <w:t>的比例</w:t>
            </w: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lastRenderedPageBreak/>
              <w:t>1</w:t>
            </w: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权益投资</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363E15" w:rsidRPr="00A76A42" w:rsidRDefault="00363E15"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363E15" w:rsidRPr="00A76A42" w:rsidRDefault="00363E15"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w:t>
            </w:r>
            <w:r w:rsidR="00E462F4" w:rsidRPr="00A76A42">
              <w:rPr>
                <w:rFonts w:eastAsiaTheme="minorEastAsia"/>
                <w:color w:val="000000" w:themeColor="text1"/>
                <w:szCs w:val="21"/>
              </w:rPr>
              <w:t>普通股</w:t>
            </w:r>
          </w:p>
        </w:tc>
        <w:tc>
          <w:tcPr>
            <w:tcW w:w="2835"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363E15" w:rsidRPr="00A76A42" w:rsidRDefault="00363E15"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存托凭证</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优先股</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CE4499" w:rsidRPr="00A76A42" w:rsidRDefault="00CE4499"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CE4499" w:rsidRPr="00A76A42" w:rsidRDefault="00CE4499" w:rsidP="00877D98">
            <w:pPr>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房地产信托</w:t>
            </w:r>
          </w:p>
        </w:tc>
        <w:tc>
          <w:tcPr>
            <w:tcW w:w="2835"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CE4499" w:rsidRPr="00A76A42" w:rsidRDefault="00CE449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2</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基金投资</w:t>
            </w:r>
          </w:p>
        </w:tc>
        <w:tc>
          <w:tcPr>
            <w:tcW w:w="2835"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C4E1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3</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固定收益投资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685,323,493.17</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92.14</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其中：债券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685,323,493.17</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92.14</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utoSpaceDE w:val="0"/>
              <w:autoSpaceDN w:val="0"/>
              <w:adjustRightInd w:val="0"/>
              <w:spacing w:before="29" w:line="360" w:lineRule="auto"/>
              <w:ind w:left="17" w:firstLineChars="300" w:firstLine="630"/>
              <w:rPr>
                <w:rFonts w:eastAsiaTheme="minorEastAsia"/>
                <w:color w:val="000000" w:themeColor="text1"/>
                <w:szCs w:val="21"/>
              </w:rPr>
            </w:pPr>
            <w:r w:rsidRPr="00A76A42">
              <w:rPr>
                <w:rFonts w:eastAsiaTheme="minorEastAsia"/>
                <w:color w:val="000000" w:themeColor="text1"/>
                <w:szCs w:val="21"/>
              </w:rPr>
              <w:t>资产支持证券</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4</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金融衍生品投资</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其中：远期</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Del="00455464"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期货</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B918B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300" w:firstLine="630"/>
              <w:rPr>
                <w:rFonts w:eastAsiaTheme="minorEastAsia"/>
                <w:color w:val="000000" w:themeColor="text1"/>
                <w:szCs w:val="21"/>
              </w:rPr>
            </w:pPr>
            <w:r w:rsidRPr="00A76A42">
              <w:rPr>
                <w:rFonts w:eastAsiaTheme="minorEastAsia"/>
                <w:color w:val="000000" w:themeColor="text1"/>
                <w:szCs w:val="21"/>
              </w:rPr>
              <w:t>期权</w:t>
            </w:r>
          </w:p>
        </w:tc>
        <w:tc>
          <w:tcPr>
            <w:tcW w:w="2835"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adjustRightInd w:val="0"/>
              <w:snapToGrid w:val="0"/>
              <w:spacing w:line="400" w:lineRule="exact"/>
              <w:ind w:firstLineChars="298" w:firstLine="626"/>
              <w:rPr>
                <w:rFonts w:eastAsiaTheme="minorEastAsia"/>
                <w:color w:val="000000" w:themeColor="text1"/>
                <w:szCs w:val="21"/>
              </w:rPr>
            </w:pPr>
            <w:r w:rsidRPr="00A76A42">
              <w:rPr>
                <w:rFonts w:eastAsiaTheme="minorEastAsia"/>
                <w:color w:val="000000" w:themeColor="text1"/>
                <w:szCs w:val="21"/>
              </w:rPr>
              <w:t>权证</w:t>
            </w:r>
          </w:p>
        </w:tc>
        <w:tc>
          <w:tcPr>
            <w:tcW w:w="2835"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664F49"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5</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买入返售金融资产</w:t>
            </w:r>
          </w:p>
        </w:tc>
        <w:tc>
          <w:tcPr>
            <w:tcW w:w="2835"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877D98">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其中：买断式回购的买入返售金融资产</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adjustRightInd w:val="0"/>
              <w:snapToGrid w:val="0"/>
              <w:spacing w:line="400" w:lineRule="exact"/>
              <w:jc w:val="center"/>
              <w:rPr>
                <w:rFonts w:eastAsiaTheme="minorEastAsia"/>
                <w:color w:val="000000" w:themeColor="text1"/>
                <w:szCs w:val="21"/>
              </w:rPr>
            </w:pPr>
            <w:r w:rsidRPr="00A76A42">
              <w:rPr>
                <w:rFonts w:eastAsiaTheme="minorEastAsia"/>
                <w:color w:val="000000" w:themeColor="text1"/>
                <w:szCs w:val="21"/>
              </w:rPr>
              <w:t>6</w:t>
            </w:r>
          </w:p>
        </w:tc>
        <w:tc>
          <w:tcPr>
            <w:tcW w:w="4253" w:type="dxa"/>
            <w:shd w:val="clear" w:color="auto" w:fill="auto"/>
            <w:vAlign w:val="center"/>
          </w:tcPr>
          <w:p w:rsidR="00E462F4" w:rsidRPr="00A76A42" w:rsidRDefault="00E462F4" w:rsidP="00877D98">
            <w:pPr>
              <w:adjustRightInd w:val="0"/>
              <w:snapToGrid w:val="0"/>
              <w:spacing w:line="400" w:lineRule="exact"/>
              <w:rPr>
                <w:rFonts w:eastAsiaTheme="minorEastAsia"/>
                <w:color w:val="000000" w:themeColor="text1"/>
                <w:szCs w:val="21"/>
              </w:rPr>
            </w:pPr>
            <w:r w:rsidRPr="00A76A42">
              <w:rPr>
                <w:rFonts w:eastAsiaTheme="minorEastAsia"/>
                <w:color w:val="000000" w:themeColor="text1"/>
                <w:szCs w:val="21"/>
              </w:rPr>
              <w:t>货币市场工具</w:t>
            </w:r>
          </w:p>
        </w:tc>
        <w:tc>
          <w:tcPr>
            <w:tcW w:w="2835"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c>
          <w:tcPr>
            <w:tcW w:w="1559" w:type="dxa"/>
            <w:shd w:val="clear" w:color="auto" w:fill="auto"/>
            <w:vAlign w:val="center"/>
          </w:tcPr>
          <w:p w:rsidR="00E462F4" w:rsidRPr="00A76A42" w:rsidRDefault="00CE7FC6"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877D98">
        <w:tc>
          <w:tcPr>
            <w:tcW w:w="851" w:type="dxa"/>
            <w:shd w:val="clear" w:color="auto" w:fill="auto"/>
            <w:vAlign w:val="center"/>
          </w:tcPr>
          <w:p w:rsidR="00E462F4" w:rsidRPr="00A76A42" w:rsidRDefault="00E462F4" w:rsidP="00877D9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7</w:t>
            </w:r>
          </w:p>
        </w:tc>
        <w:tc>
          <w:tcPr>
            <w:tcW w:w="4253" w:type="dxa"/>
            <w:shd w:val="clear" w:color="auto" w:fill="auto"/>
            <w:vAlign w:val="center"/>
          </w:tcPr>
          <w:p w:rsidR="00E462F4" w:rsidRPr="00A76A42" w:rsidRDefault="00E462F4" w:rsidP="00877D98">
            <w:pPr>
              <w:spacing w:before="29" w:line="360" w:lineRule="auto"/>
              <w:ind w:left="17"/>
              <w:rPr>
                <w:rFonts w:eastAsiaTheme="minorEastAsia"/>
                <w:color w:val="000000" w:themeColor="text1"/>
                <w:szCs w:val="21"/>
              </w:rPr>
            </w:pPr>
            <w:r w:rsidRPr="00A76A42">
              <w:rPr>
                <w:rFonts w:eastAsiaTheme="minorEastAsia"/>
                <w:color w:val="000000" w:themeColor="text1"/>
                <w:szCs w:val="21"/>
              </w:rPr>
              <w:t>银行存款和结算备付金合计</w:t>
            </w:r>
          </w:p>
        </w:tc>
        <w:tc>
          <w:tcPr>
            <w:tcW w:w="2835"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54,815,645.36</w:t>
            </w:r>
          </w:p>
        </w:tc>
        <w:tc>
          <w:tcPr>
            <w:tcW w:w="1559" w:type="dxa"/>
            <w:shd w:val="clear" w:color="auto" w:fill="auto"/>
            <w:vAlign w:val="center"/>
          </w:tcPr>
          <w:p w:rsidR="00E462F4" w:rsidRPr="00A76A42" w:rsidRDefault="00E462F4" w:rsidP="00BF1DD5">
            <w:pPr>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7.37</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8</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其他各项资产</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3,679,758.50</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0.49</w:t>
            </w:r>
          </w:p>
        </w:tc>
      </w:tr>
      <w:tr w:rsidR="008277FF" w:rsidRPr="00A76A42" w:rsidTr="00797DD2">
        <w:tc>
          <w:tcPr>
            <w:tcW w:w="851" w:type="dxa"/>
            <w:shd w:val="clear" w:color="auto" w:fill="auto"/>
            <w:vAlign w:val="center"/>
          </w:tcPr>
          <w:p w:rsidR="00E462F4" w:rsidRPr="00A76A42" w:rsidRDefault="00E462F4" w:rsidP="00466B17">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9</w:t>
            </w:r>
          </w:p>
        </w:tc>
        <w:tc>
          <w:tcPr>
            <w:tcW w:w="4253" w:type="dxa"/>
            <w:shd w:val="clear" w:color="auto" w:fill="auto"/>
            <w:vAlign w:val="center"/>
          </w:tcPr>
          <w:p w:rsidR="00E462F4" w:rsidRPr="00A76A42" w:rsidRDefault="00E462F4" w:rsidP="00797DD2">
            <w:pPr>
              <w:rPr>
                <w:rFonts w:eastAsiaTheme="minorEastAsia"/>
                <w:color w:val="000000" w:themeColor="text1"/>
                <w:szCs w:val="21"/>
              </w:rPr>
            </w:pPr>
            <w:r w:rsidRPr="00A76A42">
              <w:rPr>
                <w:rFonts w:eastAsiaTheme="minorEastAsia"/>
                <w:color w:val="000000" w:themeColor="text1"/>
                <w:szCs w:val="21"/>
              </w:rPr>
              <w:t>合计</w:t>
            </w:r>
          </w:p>
        </w:tc>
        <w:tc>
          <w:tcPr>
            <w:tcW w:w="2835"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743,818,897.03</w:t>
            </w:r>
          </w:p>
        </w:tc>
        <w:tc>
          <w:tcPr>
            <w:tcW w:w="1559" w:type="dxa"/>
            <w:shd w:val="clear" w:color="auto" w:fill="auto"/>
            <w:vAlign w:val="center"/>
          </w:tcPr>
          <w:p w:rsidR="00E462F4" w:rsidRPr="00A76A42" w:rsidRDefault="00E462F4" w:rsidP="00BF1DD5">
            <w:pPr>
              <w:jc w:val="right"/>
              <w:rPr>
                <w:rFonts w:eastAsiaTheme="minorEastAsia"/>
                <w:color w:val="000000" w:themeColor="text1"/>
                <w:szCs w:val="21"/>
              </w:rPr>
            </w:pPr>
            <w:r w:rsidRPr="00A76A42">
              <w:rPr>
                <w:rFonts w:eastAsiaTheme="minorEastAsia"/>
                <w:color w:val="000000" w:themeColor="text1"/>
                <w:szCs w:val="21"/>
              </w:rPr>
              <w:t>100.00</w:t>
            </w:r>
          </w:p>
        </w:tc>
      </w:tr>
    </w:tbl>
    <w:p w:rsidR="00F512C0" w:rsidRPr="00A76A42" w:rsidRDefault="00F512C0" w:rsidP="00363E15">
      <w:pPr>
        <w:autoSpaceDE w:val="0"/>
        <w:autoSpaceDN w:val="0"/>
        <w:adjustRightInd w:val="0"/>
        <w:spacing w:line="360" w:lineRule="auto"/>
        <w:jc w:val="left"/>
        <w:rPr>
          <w:rFonts w:eastAsiaTheme="minorEastAsia"/>
          <w:color w:val="000000" w:themeColor="text1"/>
          <w:szCs w:val="21"/>
        </w:rPr>
      </w:pPr>
    </w:p>
    <w:p w:rsidR="0076518F" w:rsidRPr="00A76A42" w:rsidRDefault="00A82C02"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2</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报告期末在各个国家（地区）证券市场的股票及存托凭证投资分布</w:t>
      </w:r>
    </w:p>
    <w:p w:rsidR="00363E15" w:rsidRPr="00A76A42" w:rsidRDefault="00363E15" w:rsidP="00363E15">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注：本基金本报告期末未持有股票及存托凭证。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C37E98"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3</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报告期末按行业分类的股票及存托凭证投资组合</w:t>
      </w:r>
    </w:p>
    <w:p w:rsidR="005B6AC7" w:rsidRPr="00A76A42" w:rsidRDefault="000A521D" w:rsidP="008B6A4A">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本基金本报告期末未持有股票及存托凭证。</w:t>
      </w:r>
    </w:p>
    <w:p w:rsidR="000A521D" w:rsidRPr="00A76A42" w:rsidRDefault="000A521D" w:rsidP="008B6A4A">
      <w:pPr>
        <w:autoSpaceDE w:val="0"/>
        <w:autoSpaceDN w:val="0"/>
        <w:adjustRightInd w:val="0"/>
        <w:spacing w:line="360" w:lineRule="auto"/>
        <w:jc w:val="left"/>
        <w:rPr>
          <w:rFonts w:eastAsiaTheme="minorEastAsia"/>
          <w:color w:val="000000" w:themeColor="text1"/>
          <w:sz w:val="24"/>
        </w:rPr>
      </w:pPr>
    </w:p>
    <w:p w:rsidR="004D1766" w:rsidRPr="00232C30" w:rsidRDefault="004D1766" w:rsidP="004D1766">
      <w:pPr>
        <w:pStyle w:val="2"/>
        <w:rPr>
          <w:rFonts w:ascii="Times New Roman" w:hAnsi="Times New Roman" w:cs="Times New Roman"/>
          <w:color w:val="000000" w:themeColor="text1"/>
        </w:rPr>
      </w:pPr>
      <w:r w:rsidRPr="00232C30">
        <w:rPr>
          <w:rFonts w:ascii="Times New Roman" w:hAnsi="Times New Roman" w:cs="Times New Roman"/>
          <w:color w:val="000000" w:themeColor="text1"/>
        </w:rPr>
        <w:lastRenderedPageBreak/>
        <w:t>5.</w:t>
      </w:r>
      <w:r>
        <w:rPr>
          <w:rFonts w:ascii="Times New Roman" w:hAnsi="Times New Roman" w:cs="Times New Roman"/>
          <w:color w:val="000000" w:themeColor="text1"/>
        </w:rPr>
        <w:t>4</w:t>
      </w:r>
      <w:r w:rsidRPr="00232C30">
        <w:rPr>
          <w:rFonts w:ascii="Times New Roman" w:hAnsi="Times New Roman" w:cs="Times New Roman"/>
          <w:color w:val="000000" w:themeColor="text1"/>
        </w:rPr>
        <w:t xml:space="preserve"> </w:t>
      </w:r>
      <w:r w:rsidRPr="00232C30">
        <w:rPr>
          <w:rFonts w:ascii="Times New Roman" w:hAnsi="Times New Roman" w:cs="Times New Roman"/>
          <w:color w:val="000000" w:themeColor="text1"/>
        </w:rPr>
        <w:t>报告期末按公允价值占基金资产净值比例大小排序的前十名股票及存托凭证投资明细</w:t>
      </w:r>
    </w:p>
    <w:p w:rsidR="004D1766" w:rsidRPr="00423D61" w:rsidRDefault="004D1766" w:rsidP="004D1766">
      <w:pPr>
        <w:autoSpaceDE w:val="0"/>
        <w:autoSpaceDN w:val="0"/>
        <w:adjustRightInd w:val="0"/>
        <w:spacing w:line="360" w:lineRule="auto"/>
        <w:jc w:val="left"/>
        <w:rPr>
          <w:rFonts w:eastAsiaTheme="minorEastAsia"/>
          <w:color w:val="000000" w:themeColor="text1"/>
          <w:szCs w:val="21"/>
        </w:rPr>
      </w:pPr>
      <w:r w:rsidRPr="00423D61">
        <w:rPr>
          <w:rFonts w:eastAsiaTheme="minorEastAsia"/>
          <w:color w:val="000000" w:themeColor="text1"/>
          <w:szCs w:val="21"/>
        </w:rPr>
        <w:t>本基金本报告期末未持有股票及存托凭证。</w:t>
      </w:r>
    </w:p>
    <w:p w:rsidR="00521EDE" w:rsidRPr="004D1766" w:rsidRDefault="00521EDE" w:rsidP="006429EE">
      <w:pPr>
        <w:autoSpaceDE w:val="0"/>
        <w:autoSpaceDN w:val="0"/>
        <w:adjustRightInd w:val="0"/>
        <w:spacing w:before="29"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5</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报告期末按债券信用等级分类的债券投资组合</w:t>
      </w:r>
    </w:p>
    <w:tbl>
      <w:tblPr>
        <w:tblStyle w:val="afa"/>
        <w:tblW w:w="0" w:type="auto"/>
        <w:tblInd w:w="15" w:type="dxa"/>
        <w:tblLook w:val="04A0" w:firstRow="1" w:lastRow="0" w:firstColumn="1" w:lastColumn="0" w:noHBand="0" w:noVBand="1"/>
      </w:tblPr>
      <w:tblGrid>
        <w:gridCol w:w="2837"/>
        <w:gridCol w:w="2838"/>
        <w:gridCol w:w="2838"/>
      </w:tblGrid>
      <w:tr w:rsidR="00C11F27" w:rsidRPr="00A76A42" w:rsidTr="00C11F27">
        <w:tc>
          <w:tcPr>
            <w:tcW w:w="2837" w:type="dxa"/>
          </w:tcPr>
          <w:p w:rsidR="00C11F27" w:rsidRPr="00A76A42" w:rsidRDefault="00C11F27" w:rsidP="002C7A2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债券信用等级</w:t>
            </w:r>
          </w:p>
        </w:tc>
        <w:tc>
          <w:tcPr>
            <w:tcW w:w="2838" w:type="dxa"/>
          </w:tcPr>
          <w:p w:rsidR="00C11F27" w:rsidRPr="00A76A42" w:rsidRDefault="00C11F27" w:rsidP="002C7A2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公允价值</w:t>
            </w:r>
            <w:r w:rsidRPr="00A76A42">
              <w:rPr>
                <w:rFonts w:eastAsiaTheme="minorEastAsia"/>
                <w:color w:val="000000" w:themeColor="text1"/>
                <w:kern w:val="0"/>
                <w:szCs w:val="21"/>
              </w:rPr>
              <w:t>(</w:t>
            </w:r>
            <w:r w:rsidRPr="00A76A42">
              <w:rPr>
                <w:rFonts w:eastAsiaTheme="minorEastAsia"/>
                <w:color w:val="000000" w:themeColor="text1"/>
                <w:kern w:val="0"/>
                <w:szCs w:val="21"/>
              </w:rPr>
              <w:t>人民币元</w:t>
            </w:r>
            <w:r w:rsidRPr="00A76A42">
              <w:rPr>
                <w:rFonts w:eastAsiaTheme="minorEastAsia"/>
                <w:color w:val="000000" w:themeColor="text1"/>
                <w:kern w:val="0"/>
                <w:szCs w:val="21"/>
              </w:rPr>
              <w:t>)</w:t>
            </w:r>
          </w:p>
        </w:tc>
        <w:tc>
          <w:tcPr>
            <w:tcW w:w="2838" w:type="dxa"/>
          </w:tcPr>
          <w:p w:rsidR="00C11F27" w:rsidRPr="00A76A42" w:rsidRDefault="00C11F27" w:rsidP="002C7A28">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kern w:val="0"/>
                <w:szCs w:val="21"/>
              </w:rPr>
              <w:t>占基金资产净值比例（％）</w:t>
            </w:r>
          </w:p>
        </w:tc>
      </w:tr>
      <w:tr w:rsidR="00C11F27" w:rsidTr="00C11F27">
        <w:tc>
          <w:tcPr>
            <w:tcW w:w="0" w:type="auto"/>
          </w:tcPr>
          <w:p w:rsidR="00C11F27" w:rsidRDefault="00C11F27" w:rsidP="002C7A28">
            <w:pPr>
              <w:jc w:val="left"/>
            </w:pPr>
            <w:r>
              <w:rPr>
                <w:rFonts w:eastAsiaTheme="minorEastAsia"/>
                <w:color w:val="000000" w:themeColor="text1"/>
                <w:szCs w:val="21"/>
              </w:rPr>
              <w:t>AAA</w:t>
            </w:r>
          </w:p>
        </w:tc>
        <w:tc>
          <w:tcPr>
            <w:tcW w:w="0" w:type="auto"/>
          </w:tcPr>
          <w:p w:rsidR="00C11F27" w:rsidRDefault="00C11F27" w:rsidP="002C7A28">
            <w:pPr>
              <w:jc w:val="right"/>
            </w:pPr>
            <w:r>
              <w:rPr>
                <w:rFonts w:eastAsiaTheme="minorEastAsia"/>
                <w:color w:val="000000" w:themeColor="text1"/>
                <w:szCs w:val="21"/>
              </w:rPr>
              <w:t>-</w:t>
            </w:r>
          </w:p>
        </w:tc>
        <w:tc>
          <w:tcPr>
            <w:tcW w:w="0" w:type="auto"/>
          </w:tcPr>
          <w:p w:rsidR="00C11F27" w:rsidRDefault="00C11F27" w:rsidP="002C7A28">
            <w:pPr>
              <w:jc w:val="right"/>
            </w:pPr>
            <w:r>
              <w:rPr>
                <w:rFonts w:eastAsiaTheme="minorEastAsia"/>
                <w:color w:val="000000" w:themeColor="text1"/>
                <w:szCs w:val="21"/>
              </w:rPr>
              <w:t>-</w:t>
            </w:r>
          </w:p>
        </w:tc>
      </w:tr>
      <w:tr w:rsidR="00C11F27" w:rsidTr="00C11F27">
        <w:tc>
          <w:tcPr>
            <w:tcW w:w="0" w:type="auto"/>
          </w:tcPr>
          <w:p w:rsidR="00C11F27" w:rsidRDefault="00C11F27" w:rsidP="002C7A28">
            <w:pPr>
              <w:jc w:val="left"/>
            </w:pPr>
            <w:r>
              <w:rPr>
                <w:rFonts w:eastAsiaTheme="minorEastAsia"/>
                <w:color w:val="000000" w:themeColor="text1"/>
                <w:szCs w:val="21"/>
              </w:rPr>
              <w:t>AA-</w:t>
            </w:r>
            <w:r>
              <w:rPr>
                <w:rFonts w:eastAsiaTheme="minorEastAsia"/>
                <w:color w:val="000000" w:themeColor="text1"/>
                <w:szCs w:val="21"/>
              </w:rPr>
              <w:t>至</w:t>
            </w:r>
            <w:r>
              <w:rPr>
                <w:rFonts w:eastAsiaTheme="minorEastAsia"/>
                <w:color w:val="000000" w:themeColor="text1"/>
                <w:szCs w:val="21"/>
              </w:rPr>
              <w:t>AA+</w:t>
            </w:r>
          </w:p>
        </w:tc>
        <w:tc>
          <w:tcPr>
            <w:tcW w:w="0" w:type="auto"/>
          </w:tcPr>
          <w:p w:rsidR="00C11F27" w:rsidRDefault="00C11F27" w:rsidP="002C7A28">
            <w:pPr>
              <w:jc w:val="right"/>
            </w:pPr>
            <w:r>
              <w:rPr>
                <w:rFonts w:eastAsiaTheme="minorEastAsia"/>
                <w:color w:val="000000" w:themeColor="text1"/>
                <w:szCs w:val="21"/>
              </w:rPr>
              <w:t>685,323,493.17</w:t>
            </w:r>
          </w:p>
        </w:tc>
        <w:tc>
          <w:tcPr>
            <w:tcW w:w="0" w:type="auto"/>
          </w:tcPr>
          <w:p w:rsidR="00C11F27" w:rsidRDefault="00C11F27" w:rsidP="002C7A28">
            <w:pPr>
              <w:jc w:val="right"/>
            </w:pPr>
            <w:r>
              <w:rPr>
                <w:rFonts w:eastAsiaTheme="minorEastAsia"/>
                <w:color w:val="000000" w:themeColor="text1"/>
                <w:szCs w:val="21"/>
              </w:rPr>
              <w:t>93.58</w:t>
            </w:r>
          </w:p>
        </w:tc>
      </w:tr>
      <w:tr w:rsidR="00C11F27" w:rsidTr="00C11F27">
        <w:tc>
          <w:tcPr>
            <w:tcW w:w="0" w:type="auto"/>
          </w:tcPr>
          <w:p w:rsidR="00C11F27" w:rsidRDefault="00C11F27" w:rsidP="002C7A28">
            <w:pPr>
              <w:jc w:val="left"/>
            </w:pPr>
            <w:r>
              <w:rPr>
                <w:rFonts w:eastAsiaTheme="minorEastAsia"/>
                <w:color w:val="000000" w:themeColor="text1"/>
                <w:szCs w:val="21"/>
              </w:rPr>
              <w:t>A-</w:t>
            </w:r>
            <w:r>
              <w:rPr>
                <w:rFonts w:eastAsiaTheme="minorEastAsia"/>
                <w:color w:val="000000" w:themeColor="text1"/>
                <w:szCs w:val="21"/>
              </w:rPr>
              <w:t>至</w:t>
            </w:r>
            <w:r>
              <w:rPr>
                <w:rFonts w:eastAsiaTheme="minorEastAsia"/>
                <w:color w:val="000000" w:themeColor="text1"/>
                <w:szCs w:val="21"/>
              </w:rPr>
              <w:t>A+</w:t>
            </w:r>
          </w:p>
        </w:tc>
        <w:tc>
          <w:tcPr>
            <w:tcW w:w="0" w:type="auto"/>
          </w:tcPr>
          <w:p w:rsidR="00C11F27" w:rsidRDefault="00C11F27" w:rsidP="002C7A28">
            <w:pPr>
              <w:jc w:val="right"/>
            </w:pPr>
            <w:r>
              <w:rPr>
                <w:rFonts w:eastAsiaTheme="minorEastAsia"/>
                <w:color w:val="000000" w:themeColor="text1"/>
                <w:szCs w:val="21"/>
              </w:rPr>
              <w:t>-</w:t>
            </w:r>
          </w:p>
        </w:tc>
        <w:tc>
          <w:tcPr>
            <w:tcW w:w="0" w:type="auto"/>
          </w:tcPr>
          <w:p w:rsidR="00C11F27" w:rsidRDefault="00C11F27" w:rsidP="002C7A28">
            <w:pPr>
              <w:jc w:val="right"/>
            </w:pPr>
            <w:r>
              <w:rPr>
                <w:rFonts w:eastAsiaTheme="minorEastAsia"/>
                <w:color w:val="000000" w:themeColor="text1"/>
                <w:szCs w:val="21"/>
              </w:rPr>
              <w:t>-</w:t>
            </w:r>
          </w:p>
        </w:tc>
      </w:tr>
      <w:tr w:rsidR="00C11F27" w:rsidTr="00C11F27">
        <w:tc>
          <w:tcPr>
            <w:tcW w:w="0" w:type="auto"/>
          </w:tcPr>
          <w:p w:rsidR="00C11F27" w:rsidRDefault="00C11F27" w:rsidP="002C7A28">
            <w:pPr>
              <w:jc w:val="left"/>
            </w:pPr>
            <w:r>
              <w:rPr>
                <w:rFonts w:eastAsiaTheme="minorEastAsia"/>
                <w:color w:val="000000" w:themeColor="text1"/>
                <w:szCs w:val="21"/>
              </w:rPr>
              <w:t>BBB-</w:t>
            </w:r>
            <w:r>
              <w:rPr>
                <w:rFonts w:eastAsiaTheme="minorEastAsia"/>
                <w:color w:val="000000" w:themeColor="text1"/>
                <w:szCs w:val="21"/>
              </w:rPr>
              <w:t>至</w:t>
            </w:r>
            <w:r>
              <w:rPr>
                <w:rFonts w:eastAsiaTheme="minorEastAsia"/>
                <w:color w:val="000000" w:themeColor="text1"/>
                <w:szCs w:val="21"/>
              </w:rPr>
              <w:t>BBB+</w:t>
            </w:r>
          </w:p>
        </w:tc>
        <w:tc>
          <w:tcPr>
            <w:tcW w:w="0" w:type="auto"/>
          </w:tcPr>
          <w:p w:rsidR="00C11F27" w:rsidRDefault="00C11F27" w:rsidP="002C7A28">
            <w:pPr>
              <w:jc w:val="right"/>
            </w:pPr>
            <w:r>
              <w:rPr>
                <w:rFonts w:eastAsiaTheme="minorEastAsia"/>
                <w:color w:val="000000" w:themeColor="text1"/>
                <w:szCs w:val="21"/>
              </w:rPr>
              <w:t>-</w:t>
            </w:r>
          </w:p>
        </w:tc>
        <w:tc>
          <w:tcPr>
            <w:tcW w:w="0" w:type="auto"/>
          </w:tcPr>
          <w:p w:rsidR="00C11F27" w:rsidRDefault="00C11F27" w:rsidP="002C7A28">
            <w:pPr>
              <w:jc w:val="right"/>
            </w:pPr>
            <w:r>
              <w:rPr>
                <w:rFonts w:eastAsiaTheme="minorEastAsia"/>
                <w:color w:val="000000" w:themeColor="text1"/>
                <w:szCs w:val="21"/>
              </w:rPr>
              <w:t>-</w:t>
            </w:r>
          </w:p>
        </w:tc>
      </w:tr>
      <w:tr w:rsidR="00C11F27" w:rsidTr="00C11F27">
        <w:tc>
          <w:tcPr>
            <w:tcW w:w="0" w:type="auto"/>
          </w:tcPr>
          <w:p w:rsidR="00C11F27" w:rsidRDefault="00C11F27" w:rsidP="002C7A28">
            <w:pPr>
              <w:jc w:val="left"/>
            </w:pPr>
            <w:r>
              <w:rPr>
                <w:rFonts w:eastAsiaTheme="minorEastAsia"/>
                <w:color w:val="000000" w:themeColor="text1"/>
                <w:szCs w:val="21"/>
              </w:rPr>
              <w:t>BB-</w:t>
            </w:r>
            <w:r>
              <w:rPr>
                <w:rFonts w:eastAsiaTheme="minorEastAsia"/>
                <w:color w:val="000000" w:themeColor="text1"/>
                <w:szCs w:val="21"/>
              </w:rPr>
              <w:t>至</w:t>
            </w:r>
            <w:r>
              <w:rPr>
                <w:rFonts w:eastAsiaTheme="minorEastAsia"/>
                <w:color w:val="000000" w:themeColor="text1"/>
                <w:szCs w:val="21"/>
              </w:rPr>
              <w:t>BB+</w:t>
            </w:r>
          </w:p>
        </w:tc>
        <w:tc>
          <w:tcPr>
            <w:tcW w:w="0" w:type="auto"/>
          </w:tcPr>
          <w:p w:rsidR="00C11F27" w:rsidRDefault="00C11F27" w:rsidP="002C7A28">
            <w:pPr>
              <w:jc w:val="right"/>
            </w:pPr>
            <w:r>
              <w:rPr>
                <w:rFonts w:eastAsiaTheme="minorEastAsia"/>
                <w:color w:val="000000" w:themeColor="text1"/>
                <w:szCs w:val="21"/>
              </w:rPr>
              <w:t>-</w:t>
            </w:r>
          </w:p>
        </w:tc>
        <w:tc>
          <w:tcPr>
            <w:tcW w:w="0" w:type="auto"/>
          </w:tcPr>
          <w:p w:rsidR="00C11F27" w:rsidRDefault="00C11F27" w:rsidP="002C7A28">
            <w:pPr>
              <w:jc w:val="right"/>
            </w:pPr>
            <w:r>
              <w:rPr>
                <w:rFonts w:eastAsiaTheme="minorEastAsia"/>
                <w:color w:val="000000" w:themeColor="text1"/>
                <w:szCs w:val="21"/>
              </w:rPr>
              <w:t>-</w:t>
            </w:r>
          </w:p>
        </w:tc>
      </w:tr>
    </w:tbl>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注：</w:t>
      </w:r>
      <w:r w:rsidR="00C11F27" w:rsidRPr="00A76A42">
        <w:rPr>
          <w:rFonts w:eastAsiaTheme="minorEastAsia"/>
          <w:color w:val="000000" w:themeColor="text1"/>
          <w:szCs w:val="21"/>
        </w:rPr>
        <w:t>本基金债券投资组合主要采用标准普尔、惠誉等国际权威评级机构提供的债券信用评级信息。</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6</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8277FF" w:rsidRPr="00A76A42" w:rsidTr="00B918B8">
        <w:tc>
          <w:tcPr>
            <w:tcW w:w="1252"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序号</w:t>
            </w:r>
          </w:p>
        </w:tc>
        <w:tc>
          <w:tcPr>
            <w:tcW w:w="1310"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债券代码</w:t>
            </w:r>
          </w:p>
        </w:tc>
        <w:tc>
          <w:tcPr>
            <w:tcW w:w="1282"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债券名称</w:t>
            </w:r>
          </w:p>
        </w:tc>
        <w:tc>
          <w:tcPr>
            <w:tcW w:w="1426"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数量</w:t>
            </w:r>
            <w:r w:rsidRPr="00A76A42">
              <w:rPr>
                <w:rFonts w:eastAsiaTheme="minorEastAsia"/>
                <w:color w:val="000000" w:themeColor="text1"/>
                <w:szCs w:val="21"/>
              </w:rPr>
              <w:t>(</w:t>
            </w:r>
            <w:r w:rsidRPr="00A76A42">
              <w:rPr>
                <w:rFonts w:eastAsiaTheme="minorEastAsia"/>
                <w:color w:val="000000" w:themeColor="text1"/>
                <w:szCs w:val="21"/>
              </w:rPr>
              <w:t>张</w:t>
            </w:r>
            <w:r w:rsidRPr="00A76A42">
              <w:rPr>
                <w:rFonts w:eastAsiaTheme="minorEastAsia"/>
                <w:color w:val="000000" w:themeColor="text1"/>
                <w:szCs w:val="21"/>
              </w:rPr>
              <w:t>)</w:t>
            </w:r>
          </w:p>
        </w:tc>
        <w:tc>
          <w:tcPr>
            <w:tcW w:w="1646"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公允价值</w:t>
            </w:r>
            <w:r w:rsidRPr="00A76A42">
              <w:rPr>
                <w:rFonts w:eastAsiaTheme="minorEastAsia"/>
                <w:color w:val="000000" w:themeColor="text1"/>
                <w:szCs w:val="21"/>
              </w:rPr>
              <w:t>(</w:t>
            </w:r>
            <w:r w:rsidRPr="00A76A42">
              <w:rPr>
                <w:rFonts w:eastAsiaTheme="minorEastAsia"/>
                <w:color w:val="000000" w:themeColor="text1"/>
                <w:szCs w:val="21"/>
              </w:rPr>
              <w:t>元</w:t>
            </w:r>
            <w:r w:rsidRPr="00A76A42">
              <w:rPr>
                <w:rFonts w:eastAsiaTheme="minorEastAsia"/>
                <w:color w:val="000000" w:themeColor="text1"/>
                <w:szCs w:val="21"/>
              </w:rPr>
              <w:t>)</w:t>
            </w:r>
          </w:p>
        </w:tc>
        <w:tc>
          <w:tcPr>
            <w:tcW w:w="1612" w:type="dxa"/>
            <w:shd w:val="clear" w:color="auto" w:fill="auto"/>
            <w:vAlign w:val="center"/>
          </w:tcPr>
          <w:p w:rsidR="00521EDE" w:rsidRPr="00A76A42" w:rsidRDefault="00521EDE" w:rsidP="00B918B8">
            <w:pPr>
              <w:spacing w:before="29" w:line="360" w:lineRule="auto"/>
              <w:ind w:left="17"/>
              <w:jc w:val="center"/>
              <w:rPr>
                <w:rFonts w:eastAsiaTheme="minorEastAsia"/>
                <w:color w:val="000000" w:themeColor="text1"/>
                <w:szCs w:val="21"/>
              </w:rPr>
            </w:pPr>
            <w:r w:rsidRPr="00A76A42">
              <w:rPr>
                <w:rFonts w:eastAsiaTheme="minorEastAsia"/>
                <w:color w:val="000000" w:themeColor="text1"/>
                <w:szCs w:val="21"/>
              </w:rPr>
              <w:t>占基金资产净值比例</w:t>
            </w:r>
            <w:r w:rsidRPr="00A76A42">
              <w:rPr>
                <w:rFonts w:eastAsiaTheme="minorEastAsia"/>
                <w:color w:val="000000" w:themeColor="text1"/>
                <w:szCs w:val="21"/>
              </w:rPr>
              <w:t>(</w:t>
            </w:r>
            <w:r w:rsidRPr="00A76A42">
              <w:rPr>
                <w:rFonts w:eastAsiaTheme="minorEastAsia"/>
                <w:color w:val="000000" w:themeColor="text1"/>
                <w:szCs w:val="21"/>
              </w:rPr>
              <w:t>％</w:t>
            </w:r>
            <w:r w:rsidRPr="00A76A42">
              <w:rPr>
                <w:rFonts w:eastAsiaTheme="minorEastAsia"/>
                <w:color w:val="000000" w:themeColor="text1"/>
                <w:szCs w:val="21"/>
              </w:rPr>
              <w:t>)</w:t>
            </w:r>
          </w:p>
        </w:tc>
      </w:tr>
      <w:tr w:rsidR="00FB1BD0">
        <w:tc>
          <w:tcPr>
            <w:tcW w:w="1252" w:type="dxa"/>
            <w:vAlign w:val="center"/>
          </w:tcPr>
          <w:p w:rsidR="00FB1BD0" w:rsidRDefault="00170813">
            <w:pPr>
              <w:jc w:val="center"/>
            </w:pPr>
            <w:r>
              <w:rPr>
                <w:rFonts w:eastAsiaTheme="minorEastAsia"/>
                <w:color w:val="000000" w:themeColor="text1"/>
                <w:szCs w:val="21"/>
              </w:rPr>
              <w:t>1</w:t>
            </w:r>
          </w:p>
        </w:tc>
        <w:tc>
          <w:tcPr>
            <w:tcW w:w="1310" w:type="dxa"/>
            <w:vAlign w:val="center"/>
          </w:tcPr>
          <w:p w:rsidR="00FB1BD0" w:rsidRDefault="00170813">
            <w:pPr>
              <w:jc w:val="center"/>
            </w:pPr>
            <w:r>
              <w:rPr>
                <w:rFonts w:eastAsiaTheme="minorEastAsia"/>
                <w:color w:val="000000" w:themeColor="text1"/>
                <w:szCs w:val="21"/>
              </w:rPr>
              <w:t>US912797HK69</w:t>
            </w:r>
          </w:p>
        </w:tc>
        <w:tc>
          <w:tcPr>
            <w:tcW w:w="1282" w:type="dxa"/>
            <w:vAlign w:val="center"/>
          </w:tcPr>
          <w:p w:rsidR="00FB1BD0" w:rsidRDefault="00170813">
            <w:pPr>
              <w:jc w:val="center"/>
            </w:pPr>
            <w:r>
              <w:rPr>
                <w:rFonts w:eastAsiaTheme="minorEastAsia"/>
                <w:color w:val="000000" w:themeColor="text1"/>
                <w:szCs w:val="21"/>
              </w:rPr>
              <w:t>B 0.0 14NOV23</w:t>
            </w:r>
          </w:p>
        </w:tc>
        <w:tc>
          <w:tcPr>
            <w:tcW w:w="1426" w:type="dxa"/>
            <w:vAlign w:val="center"/>
          </w:tcPr>
          <w:p w:rsidR="00FB1BD0" w:rsidRDefault="00170813">
            <w:pPr>
              <w:jc w:val="right"/>
            </w:pPr>
            <w:r>
              <w:rPr>
                <w:rFonts w:eastAsiaTheme="minorEastAsia"/>
                <w:color w:val="000000" w:themeColor="text1"/>
                <w:szCs w:val="21"/>
              </w:rPr>
              <w:t>961,000</w:t>
            </w:r>
          </w:p>
        </w:tc>
        <w:tc>
          <w:tcPr>
            <w:tcW w:w="1646" w:type="dxa"/>
            <w:vAlign w:val="center"/>
          </w:tcPr>
          <w:p w:rsidR="00FB1BD0" w:rsidRDefault="00170813">
            <w:pPr>
              <w:jc w:val="right"/>
            </w:pPr>
            <w:r>
              <w:rPr>
                <w:rFonts w:eastAsiaTheme="minorEastAsia"/>
                <w:color w:val="000000" w:themeColor="text1"/>
                <w:szCs w:val="21"/>
              </w:rPr>
              <w:t>685,323,493.17</w:t>
            </w:r>
          </w:p>
        </w:tc>
        <w:tc>
          <w:tcPr>
            <w:tcW w:w="1612" w:type="dxa"/>
            <w:vAlign w:val="center"/>
          </w:tcPr>
          <w:p w:rsidR="00FB1BD0" w:rsidRDefault="00170813">
            <w:pPr>
              <w:jc w:val="right"/>
            </w:pPr>
            <w:r>
              <w:rPr>
                <w:rFonts w:eastAsiaTheme="minorEastAsia"/>
                <w:color w:val="000000" w:themeColor="text1"/>
                <w:szCs w:val="21"/>
              </w:rPr>
              <w:t>93.58</w:t>
            </w:r>
          </w:p>
        </w:tc>
      </w:tr>
    </w:tbl>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w:t>
      </w:r>
      <w:r w:rsidR="002A0FA2" w:rsidRPr="00A76A42">
        <w:rPr>
          <w:rFonts w:eastAsiaTheme="minorEastAsia"/>
          <w:b/>
          <w:color w:val="000000" w:themeColor="text1"/>
          <w:kern w:val="0"/>
          <w:sz w:val="24"/>
        </w:rPr>
        <w:t>7</w:t>
      </w:r>
      <w:r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报告期末按公允价值占基金资产净值比例大小排名的前十名资产支持证券投资明细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本基金本报告期末未持有资产支持证券。</w:t>
      </w:r>
    </w:p>
    <w:p w:rsidR="005B6AC7" w:rsidRPr="00A76A42" w:rsidRDefault="005B6AC7" w:rsidP="00521EDE">
      <w:pPr>
        <w:autoSpaceDE w:val="0"/>
        <w:autoSpaceDN w:val="0"/>
        <w:adjustRightInd w:val="0"/>
        <w:spacing w:before="29" w:line="360" w:lineRule="auto"/>
        <w:ind w:left="15"/>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5.8</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报告期末按公允价值占基金资产净值比例大小排名的前五名金融衍生品投资明细</w:t>
      </w:r>
    </w:p>
    <w:p w:rsidR="00521EDE" w:rsidRPr="00A76A42" w:rsidRDefault="00521EDE" w:rsidP="00521EDE">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本基金本报告期末未持有金融衍生品。</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22A61"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5.9</w:t>
      </w:r>
      <w:r w:rsidR="0076518F" w:rsidRPr="00A76A42">
        <w:rPr>
          <w:rFonts w:eastAsiaTheme="minorEastAsia"/>
          <w:b/>
          <w:color w:val="000000" w:themeColor="text1"/>
          <w:kern w:val="0"/>
          <w:sz w:val="24"/>
        </w:rPr>
        <w:t>报告期末按公允价值占基金资产净值比例大小排序的前十名基金投资明细</w:t>
      </w:r>
    </w:p>
    <w:p w:rsidR="00521EDE" w:rsidRPr="00A76A42" w:rsidRDefault="00521EDE"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本基金本报告期末未持有基金。</w:t>
      </w:r>
    </w:p>
    <w:p w:rsidR="0076518F" w:rsidRPr="00A76A42" w:rsidRDefault="0076518F" w:rsidP="008B6A4A">
      <w:pPr>
        <w:autoSpaceDE w:val="0"/>
        <w:autoSpaceDN w:val="0"/>
        <w:adjustRightInd w:val="0"/>
        <w:spacing w:line="360" w:lineRule="auto"/>
        <w:jc w:val="left"/>
        <w:rPr>
          <w:rFonts w:eastAsiaTheme="minorEastAsia"/>
          <w:color w:val="000000" w:themeColor="text1"/>
          <w:kern w:val="0"/>
          <w:sz w:val="24"/>
        </w:rPr>
      </w:pPr>
    </w:p>
    <w:p w:rsidR="0076518F" w:rsidRPr="00A76A42" w:rsidRDefault="00B55EA7"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lastRenderedPageBreak/>
        <w:t>5</w:t>
      </w:r>
      <w:r w:rsidR="0076518F" w:rsidRPr="00A76A42">
        <w:rPr>
          <w:rFonts w:eastAsiaTheme="minorEastAsia"/>
          <w:b/>
          <w:color w:val="000000" w:themeColor="text1"/>
          <w:kern w:val="0"/>
          <w:sz w:val="24"/>
        </w:rPr>
        <w:t>.</w:t>
      </w:r>
      <w:r w:rsidRPr="00A76A42">
        <w:rPr>
          <w:rFonts w:eastAsiaTheme="minorEastAsia"/>
          <w:b/>
          <w:color w:val="000000" w:themeColor="text1"/>
          <w:kern w:val="0"/>
          <w:sz w:val="24"/>
        </w:rPr>
        <w:t>10</w:t>
      </w:r>
      <w:r w:rsidR="0076518F" w:rsidRPr="00A76A42">
        <w:rPr>
          <w:rFonts w:eastAsiaTheme="minorEastAsia"/>
          <w:b/>
          <w:color w:val="000000" w:themeColor="text1"/>
          <w:kern w:val="0"/>
          <w:sz w:val="24"/>
        </w:rPr>
        <w:t xml:space="preserve"> </w:t>
      </w:r>
      <w:r w:rsidR="0076518F" w:rsidRPr="00A76A42">
        <w:rPr>
          <w:rFonts w:eastAsiaTheme="minorEastAsia"/>
          <w:b/>
          <w:color w:val="000000" w:themeColor="text1"/>
          <w:kern w:val="0"/>
          <w:sz w:val="24"/>
        </w:rPr>
        <w:t>投资组合报告附注</w:t>
      </w:r>
    </w:p>
    <w:p w:rsidR="00B55EA7" w:rsidRPr="00A76A42" w:rsidRDefault="00B55EA7" w:rsidP="000E3F11">
      <w:pPr>
        <w:widowControl/>
        <w:spacing w:line="360" w:lineRule="auto"/>
        <w:ind w:left="120" w:hangingChars="50" w:hanging="120"/>
        <w:rPr>
          <w:rFonts w:eastAsiaTheme="minorEastAsia"/>
          <w:color w:val="000000" w:themeColor="text1"/>
          <w:sz w:val="24"/>
        </w:rPr>
      </w:pPr>
      <w:r w:rsidRPr="00A76A42">
        <w:rPr>
          <w:rFonts w:eastAsiaTheme="minorEastAsia"/>
          <w:color w:val="000000" w:themeColor="text1"/>
          <w:sz w:val="24"/>
        </w:rPr>
        <w:t>5.10.1</w:t>
      </w:r>
      <w:r w:rsidRPr="00A76A42">
        <w:rPr>
          <w:rFonts w:eastAsiaTheme="minorEastAsia"/>
          <w:color w:val="000000" w:themeColor="text1"/>
          <w:sz w:val="24"/>
        </w:rPr>
        <w:t>本基金投资的前十名证券的发行主体本期未出现被监管部门立案调查，或在报告编制日前一年内受到公开谴责、处罚的情形。</w:t>
      </w:r>
    </w:p>
    <w:p w:rsidR="00B55EA7" w:rsidRPr="00A76A42" w:rsidRDefault="00B55EA7" w:rsidP="00B55EA7">
      <w:pPr>
        <w:widowControl/>
        <w:spacing w:line="360" w:lineRule="auto"/>
        <w:rPr>
          <w:rFonts w:eastAsiaTheme="minorEastAsia"/>
          <w:color w:val="000000" w:themeColor="text1"/>
          <w:sz w:val="24"/>
        </w:rPr>
      </w:pPr>
      <w:r w:rsidRPr="00A76A42">
        <w:rPr>
          <w:rFonts w:eastAsiaTheme="minorEastAsia"/>
          <w:color w:val="000000" w:themeColor="text1"/>
          <w:sz w:val="24"/>
        </w:rPr>
        <w:t>5.10.2</w:t>
      </w:r>
      <w:r w:rsidRPr="00A76A42">
        <w:rPr>
          <w:rFonts w:eastAsiaTheme="minorEastAsia"/>
          <w:color w:val="000000" w:themeColor="text1"/>
          <w:sz w:val="24"/>
        </w:rPr>
        <w:t>报告期内本基金投资的前十名股票中没有在基金合同规定备选股票库之外的股票。</w:t>
      </w:r>
    </w:p>
    <w:p w:rsidR="0076518F" w:rsidRPr="00A76A42" w:rsidRDefault="008C71EB" w:rsidP="0049659A">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.3</w:t>
      </w:r>
      <w:r w:rsidR="0076518F" w:rsidRPr="00A76A42">
        <w:rPr>
          <w:rFonts w:eastAsiaTheme="minorEastAsia"/>
          <w:b/>
          <w:color w:val="000000" w:themeColor="text1"/>
          <w:kern w:val="0"/>
          <w:sz w:val="24"/>
        </w:rPr>
        <w:t>其他资产构成</w:t>
      </w:r>
    </w:p>
    <w:tbl>
      <w:tblPr>
        <w:tblStyle w:val="afa"/>
        <w:tblW w:w="0" w:type="auto"/>
        <w:tblInd w:w="15" w:type="dxa"/>
        <w:tblLayout w:type="fixed"/>
        <w:tblLook w:val="04A0" w:firstRow="1" w:lastRow="0" w:firstColumn="1" w:lastColumn="0" w:noHBand="0" w:noVBand="1"/>
      </w:tblPr>
      <w:tblGrid>
        <w:gridCol w:w="802"/>
        <w:gridCol w:w="2903"/>
        <w:gridCol w:w="4808"/>
      </w:tblGrid>
      <w:tr w:rsidR="008277FF" w:rsidRPr="00A76A42" w:rsidTr="004C05F3">
        <w:tc>
          <w:tcPr>
            <w:tcW w:w="802"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序号</w:t>
            </w:r>
          </w:p>
        </w:tc>
        <w:tc>
          <w:tcPr>
            <w:tcW w:w="2903"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名称</w:t>
            </w:r>
          </w:p>
        </w:tc>
        <w:tc>
          <w:tcPr>
            <w:tcW w:w="4808" w:type="dxa"/>
            <w:vAlign w:val="center"/>
          </w:tcPr>
          <w:p w:rsidR="002C2678" w:rsidRPr="00A76A42" w:rsidRDefault="002C2678" w:rsidP="00797DD2">
            <w:pPr>
              <w:autoSpaceDE w:val="0"/>
              <w:autoSpaceDN w:val="0"/>
              <w:adjustRightInd w:val="0"/>
              <w:spacing w:before="29" w:line="360" w:lineRule="auto"/>
              <w:ind w:left="17"/>
              <w:jc w:val="center"/>
              <w:rPr>
                <w:rFonts w:eastAsiaTheme="minorEastAsia"/>
                <w:color w:val="000000" w:themeColor="text1"/>
                <w:kern w:val="0"/>
                <w:szCs w:val="21"/>
              </w:rPr>
            </w:pPr>
            <w:r w:rsidRPr="00A76A42">
              <w:rPr>
                <w:rFonts w:eastAsiaTheme="minorEastAsia"/>
                <w:color w:val="000000" w:themeColor="text1"/>
                <w:kern w:val="0"/>
                <w:szCs w:val="21"/>
              </w:rPr>
              <w:t>金额</w:t>
            </w:r>
            <w:r w:rsidRPr="00A76A42">
              <w:rPr>
                <w:rFonts w:eastAsiaTheme="minorEastAsia"/>
                <w:color w:val="000000" w:themeColor="text1"/>
                <w:kern w:val="0"/>
                <w:szCs w:val="21"/>
              </w:rPr>
              <w:t>(</w:t>
            </w:r>
            <w:r w:rsidR="00C42431" w:rsidRPr="00A76A42">
              <w:rPr>
                <w:rFonts w:eastAsiaTheme="minorEastAsia"/>
                <w:color w:val="000000" w:themeColor="text1"/>
                <w:kern w:val="0"/>
                <w:szCs w:val="21"/>
              </w:rPr>
              <w:t>人民币</w:t>
            </w:r>
            <w:r w:rsidRPr="00A76A42">
              <w:rPr>
                <w:rFonts w:eastAsiaTheme="minorEastAsia"/>
                <w:color w:val="000000" w:themeColor="text1"/>
                <w:kern w:val="0"/>
                <w:szCs w:val="21"/>
              </w:rPr>
              <w:t>元</w:t>
            </w: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kern w:val="0"/>
                <w:szCs w:val="21"/>
              </w:rPr>
            </w:pPr>
            <w:r w:rsidRPr="00A76A42">
              <w:rPr>
                <w:rFonts w:eastAsiaTheme="minorEastAsia"/>
                <w:color w:val="000000" w:themeColor="text1"/>
                <w:szCs w:val="21"/>
              </w:rPr>
              <w:t>1</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存出保证金</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2</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应收证券清算款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3</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应收股利</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4</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应收利息</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5</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应收申购款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3,679,758.50</w:t>
            </w:r>
          </w:p>
        </w:tc>
      </w:tr>
      <w:tr w:rsidR="008277FF" w:rsidRPr="00A76A42" w:rsidTr="009E3391">
        <w:tc>
          <w:tcPr>
            <w:tcW w:w="802" w:type="dxa"/>
            <w:vAlign w:val="center"/>
          </w:tcPr>
          <w:p w:rsidR="002C2678" w:rsidRPr="00A76A42" w:rsidRDefault="002C2678"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6</w:t>
            </w:r>
          </w:p>
        </w:tc>
        <w:tc>
          <w:tcPr>
            <w:tcW w:w="2903" w:type="dxa"/>
            <w:vAlign w:val="center"/>
          </w:tcPr>
          <w:p w:rsidR="002C2678" w:rsidRPr="00A76A42" w:rsidRDefault="002C2678"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其他应收款</w:t>
            </w:r>
          </w:p>
        </w:tc>
        <w:tc>
          <w:tcPr>
            <w:tcW w:w="4808" w:type="dxa"/>
            <w:vAlign w:val="center"/>
          </w:tcPr>
          <w:p w:rsidR="002C2678" w:rsidRPr="00A76A42" w:rsidRDefault="002C2678"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7</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szCs w:val="21"/>
              </w:rPr>
            </w:pPr>
            <w:r w:rsidRPr="00A76A42">
              <w:rPr>
                <w:rFonts w:eastAsiaTheme="minorEastAsia"/>
                <w:color w:val="000000" w:themeColor="text1"/>
                <w:szCs w:val="21"/>
              </w:rPr>
              <w:t>待摊费用</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8</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其他</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w:t>
            </w:r>
          </w:p>
        </w:tc>
      </w:tr>
      <w:tr w:rsidR="008277FF" w:rsidRPr="00A76A42" w:rsidTr="009E3391">
        <w:tc>
          <w:tcPr>
            <w:tcW w:w="802" w:type="dxa"/>
            <w:vAlign w:val="center"/>
          </w:tcPr>
          <w:p w:rsidR="00F951CF" w:rsidRPr="00A76A42" w:rsidRDefault="00F951CF" w:rsidP="00797DD2">
            <w:pPr>
              <w:autoSpaceDE w:val="0"/>
              <w:autoSpaceDN w:val="0"/>
              <w:adjustRightInd w:val="0"/>
              <w:spacing w:before="29" w:line="360" w:lineRule="auto"/>
              <w:ind w:left="15"/>
              <w:jc w:val="center"/>
              <w:rPr>
                <w:rFonts w:eastAsiaTheme="minorEastAsia"/>
                <w:color w:val="000000" w:themeColor="text1"/>
                <w:szCs w:val="21"/>
              </w:rPr>
            </w:pPr>
            <w:r w:rsidRPr="00A76A42">
              <w:rPr>
                <w:rFonts w:eastAsiaTheme="minorEastAsia"/>
                <w:color w:val="000000" w:themeColor="text1"/>
                <w:szCs w:val="21"/>
              </w:rPr>
              <w:t>9</w:t>
            </w:r>
          </w:p>
        </w:tc>
        <w:tc>
          <w:tcPr>
            <w:tcW w:w="2903" w:type="dxa"/>
            <w:vAlign w:val="center"/>
          </w:tcPr>
          <w:p w:rsidR="00F951CF" w:rsidRPr="00A76A42" w:rsidRDefault="00F951CF" w:rsidP="009E3391">
            <w:pPr>
              <w:autoSpaceDE w:val="0"/>
              <w:autoSpaceDN w:val="0"/>
              <w:adjustRightInd w:val="0"/>
              <w:spacing w:before="29" w:line="360" w:lineRule="auto"/>
              <w:ind w:left="15"/>
              <w:rPr>
                <w:rFonts w:eastAsiaTheme="minorEastAsia"/>
                <w:color w:val="000000" w:themeColor="text1"/>
                <w:kern w:val="0"/>
                <w:szCs w:val="21"/>
              </w:rPr>
            </w:pPr>
            <w:r w:rsidRPr="00A76A42">
              <w:rPr>
                <w:rFonts w:eastAsiaTheme="minorEastAsia"/>
                <w:color w:val="000000" w:themeColor="text1"/>
                <w:kern w:val="0"/>
                <w:szCs w:val="21"/>
              </w:rPr>
              <w:t>合计</w:t>
            </w:r>
          </w:p>
        </w:tc>
        <w:tc>
          <w:tcPr>
            <w:tcW w:w="4808" w:type="dxa"/>
            <w:vAlign w:val="center"/>
          </w:tcPr>
          <w:p w:rsidR="00F951CF" w:rsidRPr="00A76A42" w:rsidRDefault="00F951CF" w:rsidP="00797DD2">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3,679,758.50</w:t>
            </w:r>
          </w:p>
        </w:tc>
      </w:tr>
    </w:tbl>
    <w:p w:rsidR="00A22D4B" w:rsidRPr="00A76A42" w:rsidRDefault="00A22D4B" w:rsidP="00EC4BA3">
      <w:pPr>
        <w:autoSpaceDE w:val="0"/>
        <w:autoSpaceDN w:val="0"/>
        <w:adjustRightInd w:val="0"/>
        <w:spacing w:line="360" w:lineRule="auto"/>
        <w:jc w:val="left"/>
        <w:rPr>
          <w:rFonts w:eastAsiaTheme="minorEastAsia"/>
          <w:b/>
          <w:color w:val="000000" w:themeColor="text1"/>
          <w:kern w:val="0"/>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.4</w:t>
      </w:r>
      <w:r w:rsidR="0076518F" w:rsidRPr="00A76A42">
        <w:rPr>
          <w:rFonts w:eastAsiaTheme="minorEastAsia"/>
          <w:b/>
          <w:color w:val="000000" w:themeColor="text1"/>
          <w:kern w:val="0"/>
          <w:sz w:val="24"/>
        </w:rPr>
        <w:t>报告期末持有的处于转股期的可转换债券明细</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本基金本报告期末未持有处于转股期的可转换债券。</w:t>
      </w:r>
    </w:p>
    <w:p w:rsidR="009E3391" w:rsidRPr="00A76A42" w:rsidRDefault="009E3391" w:rsidP="002236BC">
      <w:pPr>
        <w:autoSpaceDE w:val="0"/>
        <w:autoSpaceDN w:val="0"/>
        <w:adjustRightInd w:val="0"/>
        <w:spacing w:line="360" w:lineRule="auto"/>
        <w:jc w:val="left"/>
        <w:rPr>
          <w:rFonts w:eastAsiaTheme="minorEastAsia"/>
          <w:color w:val="000000" w:themeColor="text1"/>
          <w:szCs w:val="21"/>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 xml:space="preserve">.5 </w:t>
      </w:r>
      <w:r w:rsidR="0076518F" w:rsidRPr="00A76A42">
        <w:rPr>
          <w:rFonts w:eastAsiaTheme="minorEastAsia"/>
          <w:b/>
          <w:color w:val="000000" w:themeColor="text1"/>
          <w:kern w:val="0"/>
          <w:sz w:val="24"/>
        </w:rPr>
        <w:t>报告期末前十名股票中存在流通受限情况的说明</w:t>
      </w:r>
    </w:p>
    <w:p w:rsidR="000A55BD" w:rsidRPr="00A76A42" w:rsidRDefault="000A55BD" w:rsidP="002236BC">
      <w:pPr>
        <w:autoSpaceDE w:val="0"/>
        <w:autoSpaceDN w:val="0"/>
        <w:adjustRightInd w:val="0"/>
        <w:spacing w:line="360" w:lineRule="auto"/>
        <w:jc w:val="left"/>
        <w:rPr>
          <w:rFonts w:eastAsiaTheme="minorEastAsia"/>
          <w:color w:val="000000" w:themeColor="text1"/>
          <w:szCs w:val="21"/>
        </w:rPr>
      </w:pPr>
      <w:r w:rsidRPr="00A76A42">
        <w:rPr>
          <w:rFonts w:eastAsiaTheme="minorEastAsia"/>
          <w:color w:val="000000" w:themeColor="text1"/>
          <w:szCs w:val="21"/>
        </w:rPr>
        <w:t>本基金本报告期末前十名股票中不存在流通受限情况。</w:t>
      </w:r>
    </w:p>
    <w:p w:rsidR="000E3B88" w:rsidRPr="00A76A42" w:rsidRDefault="000E3B88" w:rsidP="002236BC">
      <w:pPr>
        <w:autoSpaceDE w:val="0"/>
        <w:autoSpaceDN w:val="0"/>
        <w:adjustRightInd w:val="0"/>
        <w:spacing w:line="360" w:lineRule="auto"/>
        <w:jc w:val="left"/>
        <w:rPr>
          <w:rFonts w:eastAsiaTheme="minorEastAsia"/>
          <w:color w:val="000000" w:themeColor="text1"/>
          <w:sz w:val="24"/>
        </w:rPr>
      </w:pPr>
    </w:p>
    <w:p w:rsidR="0076518F" w:rsidRPr="00A76A42" w:rsidRDefault="008C71EB" w:rsidP="00EC4BA3">
      <w:pPr>
        <w:autoSpaceDE w:val="0"/>
        <w:autoSpaceDN w:val="0"/>
        <w:adjustRightInd w:val="0"/>
        <w:spacing w:line="360" w:lineRule="auto"/>
        <w:jc w:val="left"/>
        <w:rPr>
          <w:rFonts w:eastAsiaTheme="minorEastAsia"/>
          <w:b/>
          <w:color w:val="000000" w:themeColor="text1"/>
          <w:kern w:val="0"/>
          <w:sz w:val="24"/>
        </w:rPr>
      </w:pPr>
      <w:r w:rsidRPr="00A76A42">
        <w:rPr>
          <w:rFonts w:eastAsiaTheme="minorEastAsia"/>
          <w:b/>
          <w:color w:val="000000" w:themeColor="text1"/>
          <w:kern w:val="0"/>
          <w:sz w:val="24"/>
        </w:rPr>
        <w:t>5.1</w:t>
      </w:r>
      <w:r w:rsidR="002A0FA2" w:rsidRPr="00A76A42">
        <w:rPr>
          <w:rFonts w:eastAsiaTheme="minorEastAsia"/>
          <w:b/>
          <w:color w:val="000000" w:themeColor="text1"/>
          <w:kern w:val="0"/>
          <w:sz w:val="24"/>
        </w:rPr>
        <w:t>0</w:t>
      </w:r>
      <w:r w:rsidR="0076518F" w:rsidRPr="00A76A42">
        <w:rPr>
          <w:rFonts w:eastAsiaTheme="minorEastAsia"/>
          <w:b/>
          <w:color w:val="000000" w:themeColor="text1"/>
          <w:kern w:val="0"/>
          <w:sz w:val="24"/>
        </w:rPr>
        <w:t>.6</w:t>
      </w:r>
      <w:r w:rsidR="001C46E1" w:rsidRPr="00A76A42">
        <w:rPr>
          <w:rFonts w:eastAsiaTheme="minorEastAsia"/>
          <w:b/>
          <w:color w:val="000000" w:themeColor="text1"/>
          <w:kern w:val="0"/>
          <w:sz w:val="24"/>
        </w:rPr>
        <w:t>投资组合报告附注的其他文字描述部分</w:t>
      </w:r>
    </w:p>
    <w:p w:rsidR="000A55BD" w:rsidRPr="00A76A42" w:rsidRDefault="000A55BD" w:rsidP="009E3391">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因四舍五入原因，投资组合报告中分项之和与合计可能存在尾差。</w:t>
      </w:r>
    </w:p>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 xml:space="preserve">§6  </w:t>
      </w:r>
      <w:r w:rsidRPr="00A76A42">
        <w:rPr>
          <w:rFonts w:eastAsiaTheme="minorEastAsia"/>
          <w:color w:val="000000" w:themeColor="text1"/>
          <w:kern w:val="0"/>
          <w:sz w:val="24"/>
          <w:szCs w:val="24"/>
        </w:rPr>
        <w:t>开放式基金份额变动</w:t>
      </w:r>
    </w:p>
    <w:p w:rsidR="0076518F" w:rsidRPr="00A76A42" w:rsidRDefault="0076518F" w:rsidP="008B6A4A">
      <w:pPr>
        <w:autoSpaceDE w:val="0"/>
        <w:autoSpaceDN w:val="0"/>
        <w:adjustRightInd w:val="0"/>
        <w:spacing w:before="29" w:line="360" w:lineRule="auto"/>
        <w:ind w:left="15"/>
        <w:jc w:val="right"/>
        <w:rPr>
          <w:rFonts w:eastAsiaTheme="minorEastAsia"/>
          <w:color w:val="000000" w:themeColor="text1"/>
          <w:kern w:val="0"/>
          <w:szCs w:val="21"/>
        </w:rPr>
      </w:pPr>
      <w:r w:rsidRPr="00A76A42">
        <w:rPr>
          <w:rFonts w:eastAsiaTheme="minorEastAsia"/>
          <w:color w:val="000000" w:themeColor="text1"/>
          <w:kern w:val="0"/>
          <w:szCs w:val="21"/>
        </w:rPr>
        <w:t>单位：份</w:t>
      </w:r>
    </w:p>
    <w:tbl>
      <w:tblPr>
        <w:tblW w:w="9215" w:type="dxa"/>
        <w:tblInd w:w="-318" w:type="dxa"/>
        <w:tblLayout w:type="fixed"/>
        <w:tblLook w:val="0000" w:firstRow="0" w:lastRow="0" w:firstColumn="0" w:lastColumn="0" w:noHBand="0" w:noVBand="0"/>
      </w:tblPr>
      <w:tblGrid>
        <w:gridCol w:w="4821"/>
        <w:gridCol w:w="4394"/>
      </w:tblGrid>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lastRenderedPageBreak/>
              <w:t>报告期期初基金份额总额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660,261,908.75</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4027BA" w:rsidRPr="00A76A42">
              <w:rPr>
                <w:rFonts w:eastAsiaTheme="minorEastAsia"/>
                <w:color w:val="000000" w:themeColor="text1"/>
                <w:kern w:val="0"/>
                <w:szCs w:val="21"/>
              </w:rPr>
              <w:t>基金</w:t>
            </w:r>
            <w:r w:rsidR="008975BC" w:rsidRPr="00A76A42">
              <w:rPr>
                <w:rFonts w:eastAsiaTheme="minorEastAsia"/>
                <w:color w:val="000000" w:themeColor="text1"/>
                <w:kern w:val="0"/>
                <w:szCs w:val="21"/>
              </w:rPr>
              <w:t>总申购份额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249,560,866.73</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减：</w:t>
            </w:r>
            <w:r w:rsidR="00FB0D88" w:rsidRPr="00A76A42">
              <w:rPr>
                <w:rFonts w:eastAsiaTheme="minorEastAsia"/>
                <w:color w:val="000000" w:themeColor="text1"/>
                <w:kern w:val="0"/>
                <w:szCs w:val="21"/>
              </w:rPr>
              <w:t>报告期期间</w:t>
            </w:r>
            <w:r w:rsidRPr="00A76A42">
              <w:rPr>
                <w:rFonts w:eastAsiaTheme="minorEastAsia"/>
                <w:color w:val="000000" w:themeColor="text1"/>
                <w:kern w:val="0"/>
                <w:szCs w:val="21"/>
              </w:rPr>
              <w:t>基金总赎回份额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199,054,137.70</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FB0D88"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报告期期间</w:t>
            </w:r>
            <w:r w:rsidR="008975BC" w:rsidRPr="00A76A42">
              <w:rPr>
                <w:rFonts w:eastAsiaTheme="minorEastAsia"/>
                <w:color w:val="000000" w:themeColor="text1"/>
                <w:kern w:val="0"/>
                <w:szCs w:val="21"/>
              </w:rPr>
              <w:t>基金拆分变动份额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w:t>
            </w:r>
          </w:p>
        </w:tc>
      </w:tr>
      <w:tr w:rsidR="008277FF" w:rsidRPr="00A76A42" w:rsidTr="00285ABF">
        <w:tc>
          <w:tcPr>
            <w:tcW w:w="4821"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CA1A4F">
            <w:pPr>
              <w:autoSpaceDE w:val="0"/>
              <w:autoSpaceDN w:val="0"/>
              <w:adjustRightInd w:val="0"/>
              <w:spacing w:before="29" w:line="360" w:lineRule="auto"/>
              <w:ind w:left="17"/>
              <w:rPr>
                <w:rFonts w:eastAsiaTheme="minorEastAsia"/>
                <w:color w:val="000000" w:themeColor="text1"/>
                <w:kern w:val="0"/>
                <w:szCs w:val="21"/>
              </w:rPr>
            </w:pPr>
            <w:r w:rsidRPr="00A76A42">
              <w:rPr>
                <w:rFonts w:eastAsiaTheme="minorEastAsia"/>
                <w:color w:val="000000" w:themeColor="text1"/>
                <w:kern w:val="0"/>
                <w:szCs w:val="21"/>
              </w:rPr>
              <w:t>报告期期末基金份额总额</w:t>
            </w:r>
          </w:p>
        </w:tc>
        <w:tc>
          <w:tcPr>
            <w:tcW w:w="4394" w:type="dxa"/>
            <w:tcBorders>
              <w:top w:val="single" w:sz="8" w:space="0" w:color="000000"/>
              <w:left w:val="single" w:sz="8" w:space="0" w:color="000000"/>
              <w:bottom w:val="single" w:sz="8" w:space="0" w:color="000000"/>
              <w:right w:val="single" w:sz="8" w:space="0" w:color="000000"/>
            </w:tcBorders>
            <w:vAlign w:val="center"/>
          </w:tcPr>
          <w:p w:rsidR="008975BC" w:rsidRPr="00A76A42" w:rsidRDefault="008975BC" w:rsidP="00B918B8">
            <w:pPr>
              <w:autoSpaceDE w:val="0"/>
              <w:autoSpaceDN w:val="0"/>
              <w:adjustRightInd w:val="0"/>
              <w:spacing w:before="29" w:line="360" w:lineRule="auto"/>
              <w:ind w:left="17"/>
              <w:jc w:val="right"/>
              <w:rPr>
                <w:rFonts w:eastAsiaTheme="minorEastAsia"/>
                <w:color w:val="000000" w:themeColor="text1"/>
                <w:szCs w:val="21"/>
              </w:rPr>
            </w:pPr>
            <w:r w:rsidRPr="00A76A42">
              <w:rPr>
                <w:rFonts w:eastAsiaTheme="minorEastAsia"/>
                <w:color w:val="000000" w:themeColor="text1"/>
                <w:szCs w:val="21"/>
              </w:rPr>
              <w:t>710,768,637.78</w:t>
            </w:r>
          </w:p>
        </w:tc>
      </w:tr>
    </w:tbl>
    <w:p w:rsidR="0076518F" w:rsidRPr="00A76A42" w:rsidRDefault="0076518F" w:rsidP="007449EE">
      <w:pPr>
        <w:pStyle w:val="1"/>
        <w:spacing w:beforeLines="100" w:before="312" w:afterLines="100" w:after="312" w:line="360" w:lineRule="auto"/>
        <w:jc w:val="center"/>
        <w:rPr>
          <w:rFonts w:eastAsiaTheme="minorEastAsia"/>
          <w:color w:val="000000" w:themeColor="text1"/>
          <w:kern w:val="0"/>
          <w:sz w:val="24"/>
          <w:szCs w:val="24"/>
        </w:rPr>
      </w:pPr>
      <w:r w:rsidRPr="00A76A42">
        <w:rPr>
          <w:rFonts w:eastAsiaTheme="minorEastAsia"/>
          <w:color w:val="000000" w:themeColor="text1"/>
          <w:kern w:val="0"/>
          <w:sz w:val="24"/>
          <w:szCs w:val="24"/>
        </w:rPr>
        <w:t>§</w:t>
      </w:r>
      <w:r w:rsidR="002711AA" w:rsidRPr="00A76A42">
        <w:rPr>
          <w:rFonts w:eastAsiaTheme="minorEastAsia"/>
          <w:color w:val="000000" w:themeColor="text1"/>
          <w:kern w:val="0"/>
          <w:sz w:val="24"/>
          <w:szCs w:val="24"/>
        </w:rPr>
        <w:t>7</w:t>
      </w:r>
      <w:r w:rsidRPr="00A76A42">
        <w:rPr>
          <w:rFonts w:eastAsiaTheme="minorEastAsia"/>
          <w:color w:val="000000" w:themeColor="text1"/>
          <w:kern w:val="0"/>
          <w:sz w:val="24"/>
          <w:szCs w:val="24"/>
        </w:rPr>
        <w:t xml:space="preserve"> </w:t>
      </w:r>
      <w:r w:rsidRPr="00A76A42">
        <w:rPr>
          <w:rFonts w:eastAsiaTheme="minorEastAsia"/>
          <w:color w:val="000000" w:themeColor="text1"/>
          <w:kern w:val="0"/>
          <w:sz w:val="24"/>
          <w:szCs w:val="24"/>
        </w:rPr>
        <w:t>备查文件目录</w:t>
      </w: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1</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备查文件目录</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基金合同</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摩根海外稳健配置混合型证券投资基金</w:t>
      </w:r>
      <w:r>
        <w:rPr>
          <w:rFonts w:eastAsiaTheme="minorEastAsia"/>
          <w:color w:val="000000" w:themeColor="text1"/>
          <w:szCs w:val="21"/>
        </w:rPr>
        <w:t>(QDII-FOF)</w:t>
      </w:r>
      <w:r>
        <w:rPr>
          <w:rFonts w:eastAsiaTheme="minorEastAsia"/>
          <w:color w:val="000000" w:themeColor="text1"/>
          <w:szCs w:val="21"/>
        </w:rPr>
        <w:t>托管协议</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FB1BD0" w:rsidRDefault="0017081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w:t>
      </w:r>
      <w:r w:rsidRPr="00A76A42">
        <w:rPr>
          <w:rFonts w:eastAsiaTheme="minorEastAsia"/>
          <w:color w:val="000000" w:themeColor="text1"/>
          <w:szCs w:val="21"/>
        </w:rPr>
        <w:t>八</w:t>
      </w:r>
      <w:r w:rsidRPr="00A76A42">
        <w:rPr>
          <w:rFonts w:eastAsiaTheme="minorEastAsia"/>
          <w:color w:val="000000" w:themeColor="text1"/>
          <w:szCs w:val="21"/>
        </w:rPr>
        <w:t>)</w:t>
      </w:r>
      <w:r w:rsidRPr="00A76A42">
        <w:rPr>
          <w:rFonts w:eastAsiaTheme="minorEastAsia"/>
          <w:color w:val="000000" w:themeColor="text1"/>
          <w:szCs w:val="21"/>
        </w:rPr>
        <w:t>中国证监会要求的其他文件</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2</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存放地点</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基金管理人或基金托管人住所。</w:t>
      </w:r>
    </w:p>
    <w:p w:rsidR="008A2EC6" w:rsidRPr="00A76A42" w:rsidRDefault="008A2EC6" w:rsidP="000C7596">
      <w:pPr>
        <w:spacing w:line="360" w:lineRule="auto"/>
        <w:ind w:firstLineChars="200" w:firstLine="480"/>
        <w:rPr>
          <w:rFonts w:eastAsiaTheme="minorEastAsia"/>
          <w:color w:val="000000" w:themeColor="text1"/>
          <w:sz w:val="24"/>
        </w:rPr>
      </w:pPr>
    </w:p>
    <w:p w:rsidR="008975BC" w:rsidRPr="00A76A42" w:rsidRDefault="00280566" w:rsidP="000C7596">
      <w:pPr>
        <w:autoSpaceDE w:val="0"/>
        <w:autoSpaceDN w:val="0"/>
        <w:adjustRightInd w:val="0"/>
        <w:spacing w:line="360" w:lineRule="auto"/>
        <w:jc w:val="left"/>
        <w:rPr>
          <w:rFonts w:eastAsiaTheme="minorEastAsia"/>
          <w:b/>
          <w:bCs/>
          <w:color w:val="000000" w:themeColor="text1"/>
          <w:kern w:val="0"/>
          <w:sz w:val="24"/>
        </w:rPr>
      </w:pPr>
      <w:r w:rsidRPr="00A76A42">
        <w:rPr>
          <w:rFonts w:eastAsiaTheme="minorEastAsia"/>
          <w:b/>
          <w:bCs/>
          <w:color w:val="000000" w:themeColor="text1"/>
          <w:kern w:val="0"/>
          <w:sz w:val="24"/>
        </w:rPr>
        <w:t>7</w:t>
      </w:r>
      <w:r w:rsidR="008975BC" w:rsidRPr="00A76A42">
        <w:rPr>
          <w:rFonts w:eastAsiaTheme="minorEastAsia"/>
          <w:b/>
          <w:bCs/>
          <w:color w:val="000000" w:themeColor="text1"/>
          <w:kern w:val="0"/>
          <w:sz w:val="24"/>
        </w:rPr>
        <w:t>.</w:t>
      </w:r>
      <w:r w:rsidR="00376A15" w:rsidRPr="00A76A42">
        <w:rPr>
          <w:rFonts w:eastAsiaTheme="minorEastAsia"/>
          <w:b/>
          <w:bCs/>
          <w:color w:val="000000" w:themeColor="text1"/>
          <w:kern w:val="0"/>
          <w:sz w:val="24"/>
        </w:rPr>
        <w:t>3</w:t>
      </w:r>
      <w:r w:rsidR="008975BC" w:rsidRPr="00A76A42">
        <w:rPr>
          <w:rFonts w:eastAsiaTheme="minorEastAsia"/>
          <w:b/>
          <w:bCs/>
          <w:color w:val="000000" w:themeColor="text1"/>
          <w:kern w:val="0"/>
          <w:sz w:val="24"/>
        </w:rPr>
        <w:t xml:space="preserve"> </w:t>
      </w:r>
      <w:r w:rsidR="008975BC" w:rsidRPr="00A76A42">
        <w:rPr>
          <w:rFonts w:eastAsiaTheme="minorEastAsia"/>
          <w:b/>
          <w:bCs/>
          <w:color w:val="000000" w:themeColor="text1"/>
          <w:kern w:val="0"/>
          <w:sz w:val="24"/>
        </w:rPr>
        <w:t>查阅方式</w:t>
      </w:r>
    </w:p>
    <w:p w:rsidR="008975BC" w:rsidRPr="00A76A42" w:rsidRDefault="008975BC" w:rsidP="007D5584">
      <w:pPr>
        <w:spacing w:line="360" w:lineRule="auto"/>
        <w:ind w:firstLineChars="200" w:firstLine="420"/>
        <w:rPr>
          <w:rFonts w:eastAsiaTheme="minorEastAsia"/>
          <w:color w:val="000000" w:themeColor="text1"/>
          <w:szCs w:val="21"/>
        </w:rPr>
      </w:pPr>
      <w:r w:rsidRPr="00A76A42">
        <w:rPr>
          <w:rFonts w:eastAsiaTheme="minorEastAsia"/>
          <w:color w:val="000000" w:themeColor="text1"/>
          <w:szCs w:val="21"/>
        </w:rPr>
        <w:t>投资者可在营业时间免费查阅，也可按工本费购买复印件。</w:t>
      </w:r>
    </w:p>
    <w:p w:rsidR="0076518F" w:rsidRPr="00A76A42" w:rsidRDefault="0076518F" w:rsidP="008B6A4A">
      <w:pPr>
        <w:spacing w:line="360" w:lineRule="auto"/>
        <w:ind w:firstLineChars="200" w:firstLine="480"/>
        <w:rPr>
          <w:rFonts w:eastAsiaTheme="minorEastAsia"/>
          <w:color w:val="000000" w:themeColor="text1"/>
          <w:sz w:val="24"/>
        </w:rPr>
      </w:pPr>
    </w:p>
    <w:p w:rsidR="008A2EC6" w:rsidRPr="00A76A42" w:rsidRDefault="008A2EC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0C7596" w:rsidRPr="00A76A42" w:rsidRDefault="000C7596" w:rsidP="008B6A4A">
      <w:pPr>
        <w:spacing w:line="360" w:lineRule="auto"/>
        <w:ind w:firstLineChars="200" w:firstLine="480"/>
        <w:rPr>
          <w:rFonts w:eastAsiaTheme="minorEastAsia"/>
          <w:color w:val="000000" w:themeColor="text1"/>
          <w:sz w:val="24"/>
        </w:rPr>
      </w:pPr>
    </w:p>
    <w:p w:rsidR="0076518F" w:rsidRPr="00A76A42" w:rsidRDefault="0076518F" w:rsidP="008B6A4A">
      <w:pPr>
        <w:spacing w:line="360" w:lineRule="auto"/>
        <w:ind w:firstLineChars="200" w:firstLine="480"/>
        <w:rPr>
          <w:rFonts w:eastAsiaTheme="minorEastAsia"/>
          <w:color w:val="000000" w:themeColor="text1"/>
          <w:sz w:val="24"/>
        </w:rPr>
      </w:pPr>
    </w:p>
    <w:p w:rsidR="008975BC" w:rsidRPr="00A76A42" w:rsidRDefault="008975BC"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lastRenderedPageBreak/>
        <w:t>摩根基金管理（中国）有限公司</w:t>
      </w:r>
    </w:p>
    <w:p w:rsidR="0076518F" w:rsidRPr="00A76A42" w:rsidRDefault="00623556" w:rsidP="000C7596">
      <w:pPr>
        <w:spacing w:line="360" w:lineRule="auto"/>
        <w:jc w:val="right"/>
        <w:rPr>
          <w:rFonts w:eastAsiaTheme="minorEastAsia"/>
          <w:b/>
          <w:bCs/>
          <w:color w:val="000000" w:themeColor="text1"/>
          <w:sz w:val="24"/>
        </w:rPr>
      </w:pPr>
      <w:r w:rsidRPr="00A76A42">
        <w:rPr>
          <w:rFonts w:eastAsiaTheme="minorEastAsia"/>
          <w:b/>
          <w:bCs/>
          <w:color w:val="000000" w:themeColor="text1"/>
          <w:sz w:val="24"/>
        </w:rPr>
        <w:t>二〇二三年十月二十五日</w:t>
      </w:r>
    </w:p>
    <w:sectPr w:rsidR="0076518F" w:rsidRPr="00A76A42" w:rsidSect="00DB4450">
      <w:headerReference w:type="even" r:id="rId10"/>
      <w:footerReference w:type="even" r:id="rId11"/>
      <w:footerReference w:type="default" r:id="rId12"/>
      <w:headerReference w:type="first" r:id="rId13"/>
      <w:footerReference w:type="first" r:id="rId14"/>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A21" w:rsidRDefault="002C5A21">
      <w:r>
        <w:separator/>
      </w:r>
    </w:p>
  </w:endnote>
  <w:endnote w:type="continuationSeparator" w:id="0">
    <w:p w:rsidR="002C5A21" w:rsidRDefault="002C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1D0DB0" w:rsidRDefault="00F512C0" w:rsidP="00B918B8">
    <w:pPr>
      <w:pStyle w:val="a7"/>
      <w:jc w:val="center"/>
    </w:pPr>
    <w:r>
      <w:rPr>
        <w:rFonts w:hint="eastAsia"/>
        <w:kern w:val="0"/>
        <w:szCs w:val="21"/>
      </w:rPr>
      <w:t>第</w:t>
    </w:r>
    <w:r w:rsidR="00960EB7">
      <w:rPr>
        <w:kern w:val="0"/>
        <w:szCs w:val="21"/>
      </w:rPr>
      <w:fldChar w:fldCharType="begin"/>
    </w:r>
    <w:r>
      <w:rPr>
        <w:kern w:val="0"/>
        <w:szCs w:val="21"/>
      </w:rPr>
      <w:instrText xml:space="preserve"> PAGE </w:instrText>
    </w:r>
    <w:r w:rsidR="00960EB7">
      <w:rPr>
        <w:kern w:val="0"/>
        <w:szCs w:val="21"/>
      </w:rPr>
      <w:fldChar w:fldCharType="separate"/>
    </w:r>
    <w:r w:rsidR="00D97280">
      <w:rPr>
        <w:noProof/>
        <w:kern w:val="0"/>
        <w:szCs w:val="21"/>
      </w:rPr>
      <w:t>1</w:t>
    </w:r>
    <w:r w:rsidR="00960EB7">
      <w:rPr>
        <w:kern w:val="0"/>
        <w:szCs w:val="21"/>
      </w:rPr>
      <w:fldChar w:fldCharType="end"/>
    </w:r>
    <w:r>
      <w:rPr>
        <w:rFonts w:hint="eastAsia"/>
        <w:kern w:val="0"/>
        <w:szCs w:val="21"/>
      </w:rPr>
      <w:t>页共</w:t>
    </w:r>
    <w:r w:rsidR="00960EB7">
      <w:rPr>
        <w:kern w:val="0"/>
        <w:szCs w:val="21"/>
      </w:rPr>
      <w:fldChar w:fldCharType="begin"/>
    </w:r>
    <w:r>
      <w:rPr>
        <w:kern w:val="0"/>
        <w:szCs w:val="21"/>
      </w:rPr>
      <w:instrText xml:space="preserve"> NUMPAGES </w:instrText>
    </w:r>
    <w:r w:rsidR="00960EB7">
      <w:rPr>
        <w:kern w:val="0"/>
        <w:szCs w:val="21"/>
      </w:rPr>
      <w:fldChar w:fldCharType="separate"/>
    </w:r>
    <w:r w:rsidR="00D97280">
      <w:rPr>
        <w:noProof/>
        <w:kern w:val="0"/>
        <w:szCs w:val="21"/>
      </w:rPr>
      <w:t>13</w:t>
    </w:r>
    <w:r w:rsidR="00960EB7">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end"/>
    </w:r>
  </w:p>
  <w:p w:rsidR="00F512C0" w:rsidRDefault="00F512C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960EB7">
    <w:pPr>
      <w:pStyle w:val="a7"/>
      <w:framePr w:wrap="around" w:vAnchor="text" w:hAnchor="margin" w:xAlign="center" w:y="1"/>
      <w:rPr>
        <w:rStyle w:val="a8"/>
      </w:rPr>
    </w:pPr>
    <w:r>
      <w:rPr>
        <w:rStyle w:val="a8"/>
      </w:rPr>
      <w:fldChar w:fldCharType="begin"/>
    </w:r>
    <w:r w:rsidR="00F512C0">
      <w:rPr>
        <w:rStyle w:val="a8"/>
      </w:rPr>
      <w:instrText xml:space="preserve">PAGE  </w:instrText>
    </w:r>
    <w:r>
      <w:rPr>
        <w:rStyle w:val="a8"/>
      </w:rPr>
      <w:fldChar w:fldCharType="separate"/>
    </w:r>
    <w:r w:rsidR="00D97280">
      <w:rPr>
        <w:rStyle w:val="a8"/>
        <w:noProof/>
      </w:rPr>
      <w:t>7</w:t>
    </w:r>
    <w:r>
      <w:rPr>
        <w:rStyle w:val="a8"/>
      </w:rPr>
      <w:fldChar w:fldCharType="end"/>
    </w:r>
  </w:p>
  <w:p w:rsidR="00F512C0" w:rsidRDefault="00F512C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A21" w:rsidRDefault="002C5A21">
      <w:r>
        <w:separator/>
      </w:r>
    </w:p>
  </w:footnote>
  <w:footnote w:type="continuationSeparator" w:id="0">
    <w:p w:rsidR="002C5A21" w:rsidRDefault="002C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Pr="006669C9" w:rsidRDefault="00F512C0" w:rsidP="001D1356">
    <w:pPr>
      <w:pStyle w:val="aa"/>
      <w:pBdr>
        <w:bottom w:val="single" w:sz="6" w:space="0" w:color="auto"/>
      </w:pBdr>
      <w:jc w:val="right"/>
    </w:pPr>
    <w:r w:rsidRPr="006669C9">
      <w:t>摩根海外稳健配置混合型证券投资基金</w:t>
    </w:r>
    <w:r w:rsidRPr="006669C9">
      <w:t>(QDII-FOF)2023</w:t>
    </w:r>
    <w:r w:rsidRPr="006669C9">
      <w:t>年第</w:t>
    </w:r>
    <w:r w:rsidRPr="006669C9">
      <w:t>3</w:t>
    </w:r>
    <w:r w:rsidRPr="006669C9">
      <w:t>季度报告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2C0" w:rsidRDefault="00F512C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10A83"/>
    <w:rsid w:val="00010A8E"/>
    <w:rsid w:val="00010AC3"/>
    <w:rsid w:val="00011EB5"/>
    <w:rsid w:val="00017581"/>
    <w:rsid w:val="00017739"/>
    <w:rsid w:val="00020583"/>
    <w:rsid w:val="00021DD4"/>
    <w:rsid w:val="00023BE7"/>
    <w:rsid w:val="00026BFF"/>
    <w:rsid w:val="000306F0"/>
    <w:rsid w:val="0003091A"/>
    <w:rsid w:val="00037FCF"/>
    <w:rsid w:val="00041AB5"/>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81D05"/>
    <w:rsid w:val="000876A0"/>
    <w:rsid w:val="00087CF7"/>
    <w:rsid w:val="00093448"/>
    <w:rsid w:val="00094876"/>
    <w:rsid w:val="00095912"/>
    <w:rsid w:val="00095CE0"/>
    <w:rsid w:val="000965F7"/>
    <w:rsid w:val="00096933"/>
    <w:rsid w:val="00097230"/>
    <w:rsid w:val="000A09BE"/>
    <w:rsid w:val="000A457E"/>
    <w:rsid w:val="000A521D"/>
    <w:rsid w:val="000A549A"/>
    <w:rsid w:val="000A55BD"/>
    <w:rsid w:val="000A72F2"/>
    <w:rsid w:val="000B0C56"/>
    <w:rsid w:val="000B3274"/>
    <w:rsid w:val="000B3E43"/>
    <w:rsid w:val="000C1723"/>
    <w:rsid w:val="000C1B20"/>
    <w:rsid w:val="000C4107"/>
    <w:rsid w:val="000C41AE"/>
    <w:rsid w:val="000C45E7"/>
    <w:rsid w:val="000C6876"/>
    <w:rsid w:val="000C7596"/>
    <w:rsid w:val="000D01F4"/>
    <w:rsid w:val="000D121F"/>
    <w:rsid w:val="000D1519"/>
    <w:rsid w:val="000E1F7C"/>
    <w:rsid w:val="000E3B88"/>
    <w:rsid w:val="000E3C2F"/>
    <w:rsid w:val="000E3F11"/>
    <w:rsid w:val="000E4456"/>
    <w:rsid w:val="000F175F"/>
    <w:rsid w:val="000F17D1"/>
    <w:rsid w:val="000F60FF"/>
    <w:rsid w:val="000F635F"/>
    <w:rsid w:val="000F6C61"/>
    <w:rsid w:val="00100A7C"/>
    <w:rsid w:val="00100C12"/>
    <w:rsid w:val="001049B6"/>
    <w:rsid w:val="001051C6"/>
    <w:rsid w:val="0010694D"/>
    <w:rsid w:val="0011177A"/>
    <w:rsid w:val="00112E27"/>
    <w:rsid w:val="0011345C"/>
    <w:rsid w:val="00114B31"/>
    <w:rsid w:val="00116E31"/>
    <w:rsid w:val="00120FAF"/>
    <w:rsid w:val="0012150F"/>
    <w:rsid w:val="00121683"/>
    <w:rsid w:val="00122460"/>
    <w:rsid w:val="0012304E"/>
    <w:rsid w:val="00123B10"/>
    <w:rsid w:val="001248EF"/>
    <w:rsid w:val="001257C7"/>
    <w:rsid w:val="00126DDF"/>
    <w:rsid w:val="001270BF"/>
    <w:rsid w:val="00127BAC"/>
    <w:rsid w:val="00142A56"/>
    <w:rsid w:val="00143B45"/>
    <w:rsid w:val="00144DF5"/>
    <w:rsid w:val="00145A97"/>
    <w:rsid w:val="00146485"/>
    <w:rsid w:val="00150AD6"/>
    <w:rsid w:val="00154ADA"/>
    <w:rsid w:val="0015531A"/>
    <w:rsid w:val="0016041C"/>
    <w:rsid w:val="00163B27"/>
    <w:rsid w:val="00165317"/>
    <w:rsid w:val="00170813"/>
    <w:rsid w:val="00171BAD"/>
    <w:rsid w:val="00172B84"/>
    <w:rsid w:val="001756A1"/>
    <w:rsid w:val="001761EE"/>
    <w:rsid w:val="00176EAA"/>
    <w:rsid w:val="0017725A"/>
    <w:rsid w:val="00177C4B"/>
    <w:rsid w:val="0018325A"/>
    <w:rsid w:val="00186199"/>
    <w:rsid w:val="0018734E"/>
    <w:rsid w:val="001928F7"/>
    <w:rsid w:val="00194537"/>
    <w:rsid w:val="00194F40"/>
    <w:rsid w:val="001A21A9"/>
    <w:rsid w:val="001A59D8"/>
    <w:rsid w:val="001A5FA6"/>
    <w:rsid w:val="001B28D0"/>
    <w:rsid w:val="001B2F0C"/>
    <w:rsid w:val="001C37F6"/>
    <w:rsid w:val="001C46E1"/>
    <w:rsid w:val="001C5C03"/>
    <w:rsid w:val="001C6288"/>
    <w:rsid w:val="001C7D5D"/>
    <w:rsid w:val="001D0F6A"/>
    <w:rsid w:val="001D1356"/>
    <w:rsid w:val="001D21BC"/>
    <w:rsid w:val="001D2FA5"/>
    <w:rsid w:val="001D3187"/>
    <w:rsid w:val="001D35E0"/>
    <w:rsid w:val="001D369F"/>
    <w:rsid w:val="001D4F52"/>
    <w:rsid w:val="001D5045"/>
    <w:rsid w:val="001D5A44"/>
    <w:rsid w:val="001D724B"/>
    <w:rsid w:val="001E11D3"/>
    <w:rsid w:val="001E227F"/>
    <w:rsid w:val="001E2A6A"/>
    <w:rsid w:val="001E3DC2"/>
    <w:rsid w:val="001E4ABC"/>
    <w:rsid w:val="001E56FF"/>
    <w:rsid w:val="001E5C6B"/>
    <w:rsid w:val="001F03E1"/>
    <w:rsid w:val="001F0629"/>
    <w:rsid w:val="001F26C1"/>
    <w:rsid w:val="001F3C28"/>
    <w:rsid w:val="001F3CC6"/>
    <w:rsid w:val="001F4530"/>
    <w:rsid w:val="002010DE"/>
    <w:rsid w:val="00202968"/>
    <w:rsid w:val="00202C32"/>
    <w:rsid w:val="00203AEF"/>
    <w:rsid w:val="00206F8C"/>
    <w:rsid w:val="00211A26"/>
    <w:rsid w:val="002125F7"/>
    <w:rsid w:val="00214463"/>
    <w:rsid w:val="00214756"/>
    <w:rsid w:val="002149AE"/>
    <w:rsid w:val="00215CF2"/>
    <w:rsid w:val="00221174"/>
    <w:rsid w:val="002224FF"/>
    <w:rsid w:val="00222E8C"/>
    <w:rsid w:val="002236BC"/>
    <w:rsid w:val="00223DBB"/>
    <w:rsid w:val="002273CA"/>
    <w:rsid w:val="00233B7F"/>
    <w:rsid w:val="002347A7"/>
    <w:rsid w:val="002359EB"/>
    <w:rsid w:val="002363AB"/>
    <w:rsid w:val="0024260D"/>
    <w:rsid w:val="00245012"/>
    <w:rsid w:val="0024504E"/>
    <w:rsid w:val="0024651F"/>
    <w:rsid w:val="0025158D"/>
    <w:rsid w:val="0025281A"/>
    <w:rsid w:val="00253D3C"/>
    <w:rsid w:val="00254F37"/>
    <w:rsid w:val="00255292"/>
    <w:rsid w:val="00256097"/>
    <w:rsid w:val="00260200"/>
    <w:rsid w:val="00261DB3"/>
    <w:rsid w:val="002648D8"/>
    <w:rsid w:val="002655D4"/>
    <w:rsid w:val="00265865"/>
    <w:rsid w:val="00267D54"/>
    <w:rsid w:val="002711AA"/>
    <w:rsid w:val="00273F86"/>
    <w:rsid w:val="00276834"/>
    <w:rsid w:val="002774F0"/>
    <w:rsid w:val="00280566"/>
    <w:rsid w:val="00281DBD"/>
    <w:rsid w:val="00284519"/>
    <w:rsid w:val="0028459B"/>
    <w:rsid w:val="00284C5F"/>
    <w:rsid w:val="00285ABF"/>
    <w:rsid w:val="002873F0"/>
    <w:rsid w:val="002964F9"/>
    <w:rsid w:val="00297B13"/>
    <w:rsid w:val="00297E05"/>
    <w:rsid w:val="00297E9F"/>
    <w:rsid w:val="002A0FA2"/>
    <w:rsid w:val="002A1F14"/>
    <w:rsid w:val="002A2678"/>
    <w:rsid w:val="002A2E01"/>
    <w:rsid w:val="002A398F"/>
    <w:rsid w:val="002A530F"/>
    <w:rsid w:val="002A5C6B"/>
    <w:rsid w:val="002A5D31"/>
    <w:rsid w:val="002A714F"/>
    <w:rsid w:val="002B14C2"/>
    <w:rsid w:val="002B1851"/>
    <w:rsid w:val="002B27FF"/>
    <w:rsid w:val="002B3A0A"/>
    <w:rsid w:val="002B4320"/>
    <w:rsid w:val="002B6793"/>
    <w:rsid w:val="002C042C"/>
    <w:rsid w:val="002C1726"/>
    <w:rsid w:val="002C21A6"/>
    <w:rsid w:val="002C2678"/>
    <w:rsid w:val="002C26D5"/>
    <w:rsid w:val="002C5777"/>
    <w:rsid w:val="002C5A21"/>
    <w:rsid w:val="002D31BB"/>
    <w:rsid w:val="002D32E3"/>
    <w:rsid w:val="002E0FEB"/>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11094"/>
    <w:rsid w:val="0031598C"/>
    <w:rsid w:val="00316339"/>
    <w:rsid w:val="003204E9"/>
    <w:rsid w:val="00321E8C"/>
    <w:rsid w:val="00322A86"/>
    <w:rsid w:val="00323AE8"/>
    <w:rsid w:val="003243F6"/>
    <w:rsid w:val="00324548"/>
    <w:rsid w:val="003251F4"/>
    <w:rsid w:val="003303E3"/>
    <w:rsid w:val="003329EA"/>
    <w:rsid w:val="003407A5"/>
    <w:rsid w:val="00341188"/>
    <w:rsid w:val="0034147B"/>
    <w:rsid w:val="00345F56"/>
    <w:rsid w:val="00350238"/>
    <w:rsid w:val="003508B0"/>
    <w:rsid w:val="0035109C"/>
    <w:rsid w:val="00351F0A"/>
    <w:rsid w:val="0035432B"/>
    <w:rsid w:val="00356D17"/>
    <w:rsid w:val="00361E7E"/>
    <w:rsid w:val="00363E15"/>
    <w:rsid w:val="00370AA4"/>
    <w:rsid w:val="00371FF4"/>
    <w:rsid w:val="003745DA"/>
    <w:rsid w:val="0037468D"/>
    <w:rsid w:val="00376A15"/>
    <w:rsid w:val="00376E96"/>
    <w:rsid w:val="00377520"/>
    <w:rsid w:val="00380D36"/>
    <w:rsid w:val="003822D3"/>
    <w:rsid w:val="00386630"/>
    <w:rsid w:val="00390B25"/>
    <w:rsid w:val="00395BC9"/>
    <w:rsid w:val="00396E32"/>
    <w:rsid w:val="00397156"/>
    <w:rsid w:val="00397616"/>
    <w:rsid w:val="00397960"/>
    <w:rsid w:val="003A30B8"/>
    <w:rsid w:val="003A3BC4"/>
    <w:rsid w:val="003A458A"/>
    <w:rsid w:val="003B2F13"/>
    <w:rsid w:val="003B405E"/>
    <w:rsid w:val="003B57D3"/>
    <w:rsid w:val="003C1F58"/>
    <w:rsid w:val="003C792F"/>
    <w:rsid w:val="003D0053"/>
    <w:rsid w:val="003D124B"/>
    <w:rsid w:val="003D18F3"/>
    <w:rsid w:val="003D78B5"/>
    <w:rsid w:val="003E244F"/>
    <w:rsid w:val="003E6203"/>
    <w:rsid w:val="003E62A6"/>
    <w:rsid w:val="003E695F"/>
    <w:rsid w:val="003E6C9B"/>
    <w:rsid w:val="003E709C"/>
    <w:rsid w:val="003E7B89"/>
    <w:rsid w:val="003F0275"/>
    <w:rsid w:val="003F06B1"/>
    <w:rsid w:val="003F4241"/>
    <w:rsid w:val="003F59C4"/>
    <w:rsid w:val="003F7C45"/>
    <w:rsid w:val="0040132C"/>
    <w:rsid w:val="00401FEA"/>
    <w:rsid w:val="004027BA"/>
    <w:rsid w:val="0040469F"/>
    <w:rsid w:val="00405085"/>
    <w:rsid w:val="004061D9"/>
    <w:rsid w:val="004066FC"/>
    <w:rsid w:val="00407C10"/>
    <w:rsid w:val="004113B4"/>
    <w:rsid w:val="00414827"/>
    <w:rsid w:val="00416C10"/>
    <w:rsid w:val="00420007"/>
    <w:rsid w:val="00423D61"/>
    <w:rsid w:val="00424EF3"/>
    <w:rsid w:val="004261BD"/>
    <w:rsid w:val="004268BB"/>
    <w:rsid w:val="00431047"/>
    <w:rsid w:val="00431B86"/>
    <w:rsid w:val="004339D9"/>
    <w:rsid w:val="00436D52"/>
    <w:rsid w:val="004408EC"/>
    <w:rsid w:val="00441E6A"/>
    <w:rsid w:val="00443C8F"/>
    <w:rsid w:val="00452481"/>
    <w:rsid w:val="004567C5"/>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7C2B"/>
    <w:rsid w:val="0049297D"/>
    <w:rsid w:val="004929F2"/>
    <w:rsid w:val="004958BE"/>
    <w:rsid w:val="00495A03"/>
    <w:rsid w:val="0049659A"/>
    <w:rsid w:val="004966FE"/>
    <w:rsid w:val="00497079"/>
    <w:rsid w:val="004A1493"/>
    <w:rsid w:val="004A1BBA"/>
    <w:rsid w:val="004A3039"/>
    <w:rsid w:val="004A3E3C"/>
    <w:rsid w:val="004B0189"/>
    <w:rsid w:val="004B0E6D"/>
    <w:rsid w:val="004B16E8"/>
    <w:rsid w:val="004B38A1"/>
    <w:rsid w:val="004B3F56"/>
    <w:rsid w:val="004B6250"/>
    <w:rsid w:val="004B76B1"/>
    <w:rsid w:val="004C0057"/>
    <w:rsid w:val="004C0541"/>
    <w:rsid w:val="004C05F3"/>
    <w:rsid w:val="004C2C46"/>
    <w:rsid w:val="004C52A1"/>
    <w:rsid w:val="004C7235"/>
    <w:rsid w:val="004C7955"/>
    <w:rsid w:val="004C7C9D"/>
    <w:rsid w:val="004D047F"/>
    <w:rsid w:val="004D1766"/>
    <w:rsid w:val="004D3971"/>
    <w:rsid w:val="004D3D96"/>
    <w:rsid w:val="004D650F"/>
    <w:rsid w:val="004E2133"/>
    <w:rsid w:val="004E60FB"/>
    <w:rsid w:val="004F16AD"/>
    <w:rsid w:val="004F6565"/>
    <w:rsid w:val="004F779C"/>
    <w:rsid w:val="004F7846"/>
    <w:rsid w:val="005000D4"/>
    <w:rsid w:val="00501BB1"/>
    <w:rsid w:val="00505BE7"/>
    <w:rsid w:val="00506786"/>
    <w:rsid w:val="00506AC7"/>
    <w:rsid w:val="00506D57"/>
    <w:rsid w:val="00507F26"/>
    <w:rsid w:val="00510CAF"/>
    <w:rsid w:val="005128C5"/>
    <w:rsid w:val="0051478B"/>
    <w:rsid w:val="0051566A"/>
    <w:rsid w:val="00515D7B"/>
    <w:rsid w:val="005166E9"/>
    <w:rsid w:val="0052009E"/>
    <w:rsid w:val="00521EDE"/>
    <w:rsid w:val="00525E59"/>
    <w:rsid w:val="005318CC"/>
    <w:rsid w:val="005346F1"/>
    <w:rsid w:val="005349B1"/>
    <w:rsid w:val="005374BC"/>
    <w:rsid w:val="00543367"/>
    <w:rsid w:val="00543BFA"/>
    <w:rsid w:val="0054649D"/>
    <w:rsid w:val="00547D9C"/>
    <w:rsid w:val="00547DA1"/>
    <w:rsid w:val="0055513C"/>
    <w:rsid w:val="00560C94"/>
    <w:rsid w:val="0056291C"/>
    <w:rsid w:val="00565A63"/>
    <w:rsid w:val="00566588"/>
    <w:rsid w:val="00571BD3"/>
    <w:rsid w:val="0057275D"/>
    <w:rsid w:val="005749DF"/>
    <w:rsid w:val="005800A9"/>
    <w:rsid w:val="00580488"/>
    <w:rsid w:val="0058074D"/>
    <w:rsid w:val="00582FAD"/>
    <w:rsid w:val="00583489"/>
    <w:rsid w:val="005837E4"/>
    <w:rsid w:val="00584F63"/>
    <w:rsid w:val="00587B92"/>
    <w:rsid w:val="005908C0"/>
    <w:rsid w:val="00590FE4"/>
    <w:rsid w:val="005914B6"/>
    <w:rsid w:val="00591D9C"/>
    <w:rsid w:val="00592EFF"/>
    <w:rsid w:val="00596685"/>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B0E"/>
    <w:rsid w:val="005C5409"/>
    <w:rsid w:val="005C69AC"/>
    <w:rsid w:val="005C722E"/>
    <w:rsid w:val="005C7FD4"/>
    <w:rsid w:val="005D01A4"/>
    <w:rsid w:val="005D45B3"/>
    <w:rsid w:val="005D4CEB"/>
    <w:rsid w:val="005E0EAB"/>
    <w:rsid w:val="005E2501"/>
    <w:rsid w:val="005E64DA"/>
    <w:rsid w:val="005F04E6"/>
    <w:rsid w:val="005F43B9"/>
    <w:rsid w:val="005F68CB"/>
    <w:rsid w:val="005F7085"/>
    <w:rsid w:val="005F79F9"/>
    <w:rsid w:val="00602ACD"/>
    <w:rsid w:val="006033E3"/>
    <w:rsid w:val="00605748"/>
    <w:rsid w:val="00610C82"/>
    <w:rsid w:val="0061321C"/>
    <w:rsid w:val="0062145B"/>
    <w:rsid w:val="00623556"/>
    <w:rsid w:val="0062386E"/>
    <w:rsid w:val="00623F01"/>
    <w:rsid w:val="00624407"/>
    <w:rsid w:val="00626E2D"/>
    <w:rsid w:val="00627D94"/>
    <w:rsid w:val="00630B42"/>
    <w:rsid w:val="0063181A"/>
    <w:rsid w:val="00637258"/>
    <w:rsid w:val="00642072"/>
    <w:rsid w:val="006429EE"/>
    <w:rsid w:val="006440ED"/>
    <w:rsid w:val="00645293"/>
    <w:rsid w:val="00646237"/>
    <w:rsid w:val="00651B78"/>
    <w:rsid w:val="00652263"/>
    <w:rsid w:val="00652881"/>
    <w:rsid w:val="00661974"/>
    <w:rsid w:val="00662D4B"/>
    <w:rsid w:val="00664551"/>
    <w:rsid w:val="00664F49"/>
    <w:rsid w:val="006658FA"/>
    <w:rsid w:val="006669C9"/>
    <w:rsid w:val="0066726C"/>
    <w:rsid w:val="006674BD"/>
    <w:rsid w:val="006676A0"/>
    <w:rsid w:val="00670857"/>
    <w:rsid w:val="00671124"/>
    <w:rsid w:val="006727B0"/>
    <w:rsid w:val="0067307E"/>
    <w:rsid w:val="00686EC0"/>
    <w:rsid w:val="00687AD5"/>
    <w:rsid w:val="00691153"/>
    <w:rsid w:val="00695251"/>
    <w:rsid w:val="00695ADE"/>
    <w:rsid w:val="00695C0D"/>
    <w:rsid w:val="00696356"/>
    <w:rsid w:val="006A1DAE"/>
    <w:rsid w:val="006A2C8E"/>
    <w:rsid w:val="006A72C6"/>
    <w:rsid w:val="006A7491"/>
    <w:rsid w:val="006B02DA"/>
    <w:rsid w:val="006B077E"/>
    <w:rsid w:val="006B1FD1"/>
    <w:rsid w:val="006B2065"/>
    <w:rsid w:val="006B2F2B"/>
    <w:rsid w:val="006B3940"/>
    <w:rsid w:val="006B47D1"/>
    <w:rsid w:val="006C0411"/>
    <w:rsid w:val="006C168D"/>
    <w:rsid w:val="006C1D52"/>
    <w:rsid w:val="006C4E16"/>
    <w:rsid w:val="006C55C8"/>
    <w:rsid w:val="006C5E36"/>
    <w:rsid w:val="006C642C"/>
    <w:rsid w:val="006C6FC6"/>
    <w:rsid w:val="006D00D5"/>
    <w:rsid w:val="006E34B7"/>
    <w:rsid w:val="006E7A0C"/>
    <w:rsid w:val="006F4CD8"/>
    <w:rsid w:val="00700B57"/>
    <w:rsid w:val="00701F44"/>
    <w:rsid w:val="00703E8A"/>
    <w:rsid w:val="00706F31"/>
    <w:rsid w:val="00710335"/>
    <w:rsid w:val="00711522"/>
    <w:rsid w:val="007124FE"/>
    <w:rsid w:val="00713186"/>
    <w:rsid w:val="00713757"/>
    <w:rsid w:val="007151EF"/>
    <w:rsid w:val="00717772"/>
    <w:rsid w:val="00721AF1"/>
    <w:rsid w:val="0072280F"/>
    <w:rsid w:val="00722B5E"/>
    <w:rsid w:val="0072708F"/>
    <w:rsid w:val="00730500"/>
    <w:rsid w:val="00732D1D"/>
    <w:rsid w:val="00736034"/>
    <w:rsid w:val="00736479"/>
    <w:rsid w:val="0073681C"/>
    <w:rsid w:val="00741EBE"/>
    <w:rsid w:val="007449EE"/>
    <w:rsid w:val="00746130"/>
    <w:rsid w:val="00746A40"/>
    <w:rsid w:val="00750358"/>
    <w:rsid w:val="007513AC"/>
    <w:rsid w:val="00751763"/>
    <w:rsid w:val="00755CDF"/>
    <w:rsid w:val="00757A4C"/>
    <w:rsid w:val="00763925"/>
    <w:rsid w:val="00764A94"/>
    <w:rsid w:val="0076518F"/>
    <w:rsid w:val="007651E5"/>
    <w:rsid w:val="007670DC"/>
    <w:rsid w:val="0077111A"/>
    <w:rsid w:val="00772721"/>
    <w:rsid w:val="007756ED"/>
    <w:rsid w:val="007870FC"/>
    <w:rsid w:val="00787CD0"/>
    <w:rsid w:val="00791053"/>
    <w:rsid w:val="00791A3A"/>
    <w:rsid w:val="00791BB9"/>
    <w:rsid w:val="00794196"/>
    <w:rsid w:val="00794251"/>
    <w:rsid w:val="00796EC9"/>
    <w:rsid w:val="00797637"/>
    <w:rsid w:val="00797DD2"/>
    <w:rsid w:val="007A3680"/>
    <w:rsid w:val="007A59B8"/>
    <w:rsid w:val="007A75F5"/>
    <w:rsid w:val="007B2862"/>
    <w:rsid w:val="007B662A"/>
    <w:rsid w:val="007B73ED"/>
    <w:rsid w:val="007D1292"/>
    <w:rsid w:val="007D28C9"/>
    <w:rsid w:val="007D3CC8"/>
    <w:rsid w:val="007D5584"/>
    <w:rsid w:val="007D62A3"/>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74D4"/>
    <w:rsid w:val="00820FE6"/>
    <w:rsid w:val="00821A66"/>
    <w:rsid w:val="00822476"/>
    <w:rsid w:val="00822882"/>
    <w:rsid w:val="00825F68"/>
    <w:rsid w:val="00826B12"/>
    <w:rsid w:val="008277FF"/>
    <w:rsid w:val="00835408"/>
    <w:rsid w:val="00837CEF"/>
    <w:rsid w:val="00840035"/>
    <w:rsid w:val="008428A9"/>
    <w:rsid w:val="00844112"/>
    <w:rsid w:val="00844929"/>
    <w:rsid w:val="008456C9"/>
    <w:rsid w:val="0084611D"/>
    <w:rsid w:val="00850C62"/>
    <w:rsid w:val="00852E6D"/>
    <w:rsid w:val="00861D07"/>
    <w:rsid w:val="008620ED"/>
    <w:rsid w:val="00863011"/>
    <w:rsid w:val="00865075"/>
    <w:rsid w:val="008673EE"/>
    <w:rsid w:val="0086748F"/>
    <w:rsid w:val="008712A3"/>
    <w:rsid w:val="00872CE4"/>
    <w:rsid w:val="00877B62"/>
    <w:rsid w:val="00877D98"/>
    <w:rsid w:val="00881015"/>
    <w:rsid w:val="008810B0"/>
    <w:rsid w:val="008819B6"/>
    <w:rsid w:val="00881AAC"/>
    <w:rsid w:val="0088256A"/>
    <w:rsid w:val="008836B7"/>
    <w:rsid w:val="008841D3"/>
    <w:rsid w:val="00884359"/>
    <w:rsid w:val="00887DE6"/>
    <w:rsid w:val="00890172"/>
    <w:rsid w:val="008911D2"/>
    <w:rsid w:val="00893048"/>
    <w:rsid w:val="00894C2A"/>
    <w:rsid w:val="008975BC"/>
    <w:rsid w:val="00897708"/>
    <w:rsid w:val="00897D88"/>
    <w:rsid w:val="00897E6F"/>
    <w:rsid w:val="008A2EC6"/>
    <w:rsid w:val="008A2F16"/>
    <w:rsid w:val="008A6D69"/>
    <w:rsid w:val="008B0A73"/>
    <w:rsid w:val="008B1823"/>
    <w:rsid w:val="008B2EAD"/>
    <w:rsid w:val="008B6A4A"/>
    <w:rsid w:val="008B6E16"/>
    <w:rsid w:val="008B7110"/>
    <w:rsid w:val="008C2029"/>
    <w:rsid w:val="008C503E"/>
    <w:rsid w:val="008C50F5"/>
    <w:rsid w:val="008C61D6"/>
    <w:rsid w:val="008C64F1"/>
    <w:rsid w:val="008C71EB"/>
    <w:rsid w:val="008C761C"/>
    <w:rsid w:val="008D1BB0"/>
    <w:rsid w:val="008D20FF"/>
    <w:rsid w:val="008D36E4"/>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F85"/>
    <w:rsid w:val="00922D49"/>
    <w:rsid w:val="0092502E"/>
    <w:rsid w:val="00925E37"/>
    <w:rsid w:val="00925EDD"/>
    <w:rsid w:val="00927D0E"/>
    <w:rsid w:val="0093018F"/>
    <w:rsid w:val="009309DA"/>
    <w:rsid w:val="0093260B"/>
    <w:rsid w:val="00936688"/>
    <w:rsid w:val="00937CFA"/>
    <w:rsid w:val="009406B3"/>
    <w:rsid w:val="00943C27"/>
    <w:rsid w:val="00945CF5"/>
    <w:rsid w:val="009500A1"/>
    <w:rsid w:val="0095037E"/>
    <w:rsid w:val="00952AAD"/>
    <w:rsid w:val="00954567"/>
    <w:rsid w:val="00957466"/>
    <w:rsid w:val="00960EB7"/>
    <w:rsid w:val="0096260B"/>
    <w:rsid w:val="009664D5"/>
    <w:rsid w:val="00970C69"/>
    <w:rsid w:val="00971F1C"/>
    <w:rsid w:val="0097211D"/>
    <w:rsid w:val="00972E10"/>
    <w:rsid w:val="009746CA"/>
    <w:rsid w:val="009779FD"/>
    <w:rsid w:val="00981963"/>
    <w:rsid w:val="00983C82"/>
    <w:rsid w:val="00984520"/>
    <w:rsid w:val="0098545C"/>
    <w:rsid w:val="00985BF7"/>
    <w:rsid w:val="00990071"/>
    <w:rsid w:val="00991EA9"/>
    <w:rsid w:val="00992BA2"/>
    <w:rsid w:val="00992F83"/>
    <w:rsid w:val="0099508A"/>
    <w:rsid w:val="009974EB"/>
    <w:rsid w:val="009A1126"/>
    <w:rsid w:val="009A5E42"/>
    <w:rsid w:val="009A781F"/>
    <w:rsid w:val="009B1584"/>
    <w:rsid w:val="009B1E46"/>
    <w:rsid w:val="009B21CA"/>
    <w:rsid w:val="009B2235"/>
    <w:rsid w:val="009B2648"/>
    <w:rsid w:val="009C03E5"/>
    <w:rsid w:val="009C3730"/>
    <w:rsid w:val="009C37BD"/>
    <w:rsid w:val="009C3AAC"/>
    <w:rsid w:val="009C3D84"/>
    <w:rsid w:val="009C4D19"/>
    <w:rsid w:val="009C5134"/>
    <w:rsid w:val="009C5FDB"/>
    <w:rsid w:val="009C693E"/>
    <w:rsid w:val="009C70CB"/>
    <w:rsid w:val="009D1EA4"/>
    <w:rsid w:val="009D27AA"/>
    <w:rsid w:val="009D4991"/>
    <w:rsid w:val="009D5BB5"/>
    <w:rsid w:val="009D696D"/>
    <w:rsid w:val="009D6DAB"/>
    <w:rsid w:val="009D6ED2"/>
    <w:rsid w:val="009E0F1A"/>
    <w:rsid w:val="009E140D"/>
    <w:rsid w:val="009E1E55"/>
    <w:rsid w:val="009E3391"/>
    <w:rsid w:val="009E4465"/>
    <w:rsid w:val="009E6401"/>
    <w:rsid w:val="009E6C54"/>
    <w:rsid w:val="009E6D44"/>
    <w:rsid w:val="009F2A25"/>
    <w:rsid w:val="009F5235"/>
    <w:rsid w:val="009F531A"/>
    <w:rsid w:val="009F6550"/>
    <w:rsid w:val="009F786E"/>
    <w:rsid w:val="00A00902"/>
    <w:rsid w:val="00A039FF"/>
    <w:rsid w:val="00A05ACE"/>
    <w:rsid w:val="00A14AE3"/>
    <w:rsid w:val="00A16675"/>
    <w:rsid w:val="00A22CD6"/>
    <w:rsid w:val="00A22D4B"/>
    <w:rsid w:val="00A234EC"/>
    <w:rsid w:val="00A2417A"/>
    <w:rsid w:val="00A27804"/>
    <w:rsid w:val="00A32FDA"/>
    <w:rsid w:val="00A36AB5"/>
    <w:rsid w:val="00A37DDA"/>
    <w:rsid w:val="00A411D1"/>
    <w:rsid w:val="00A41566"/>
    <w:rsid w:val="00A43389"/>
    <w:rsid w:val="00A43C40"/>
    <w:rsid w:val="00A43E71"/>
    <w:rsid w:val="00A45753"/>
    <w:rsid w:val="00A47B15"/>
    <w:rsid w:val="00A47E47"/>
    <w:rsid w:val="00A52F84"/>
    <w:rsid w:val="00A56AA4"/>
    <w:rsid w:val="00A56B05"/>
    <w:rsid w:val="00A57678"/>
    <w:rsid w:val="00A60E2F"/>
    <w:rsid w:val="00A63127"/>
    <w:rsid w:val="00A63284"/>
    <w:rsid w:val="00A64CB8"/>
    <w:rsid w:val="00A67018"/>
    <w:rsid w:val="00A672F3"/>
    <w:rsid w:val="00A673DC"/>
    <w:rsid w:val="00A7076E"/>
    <w:rsid w:val="00A709BE"/>
    <w:rsid w:val="00A70E23"/>
    <w:rsid w:val="00A7162E"/>
    <w:rsid w:val="00A72D71"/>
    <w:rsid w:val="00A75705"/>
    <w:rsid w:val="00A7634D"/>
    <w:rsid w:val="00A76A42"/>
    <w:rsid w:val="00A77C69"/>
    <w:rsid w:val="00A82C02"/>
    <w:rsid w:val="00A83953"/>
    <w:rsid w:val="00A840C5"/>
    <w:rsid w:val="00A903B6"/>
    <w:rsid w:val="00A90F4F"/>
    <w:rsid w:val="00A947AA"/>
    <w:rsid w:val="00A96748"/>
    <w:rsid w:val="00A96FD9"/>
    <w:rsid w:val="00AA1B53"/>
    <w:rsid w:val="00AA3556"/>
    <w:rsid w:val="00AA35FD"/>
    <w:rsid w:val="00AA3DB7"/>
    <w:rsid w:val="00AA72C6"/>
    <w:rsid w:val="00AB2DFA"/>
    <w:rsid w:val="00AB3012"/>
    <w:rsid w:val="00AB321C"/>
    <w:rsid w:val="00AB3DEF"/>
    <w:rsid w:val="00AB42E2"/>
    <w:rsid w:val="00AB688F"/>
    <w:rsid w:val="00AB75EA"/>
    <w:rsid w:val="00AB7AA2"/>
    <w:rsid w:val="00AC4BC1"/>
    <w:rsid w:val="00AC588F"/>
    <w:rsid w:val="00AC5E4B"/>
    <w:rsid w:val="00AD04BD"/>
    <w:rsid w:val="00AD1A03"/>
    <w:rsid w:val="00AD7214"/>
    <w:rsid w:val="00AE1066"/>
    <w:rsid w:val="00AE19D8"/>
    <w:rsid w:val="00AE4518"/>
    <w:rsid w:val="00AE5D7F"/>
    <w:rsid w:val="00AE79F0"/>
    <w:rsid w:val="00AE7D44"/>
    <w:rsid w:val="00AF4FE7"/>
    <w:rsid w:val="00AF6EC1"/>
    <w:rsid w:val="00AF7CF5"/>
    <w:rsid w:val="00B00331"/>
    <w:rsid w:val="00B0116D"/>
    <w:rsid w:val="00B01A80"/>
    <w:rsid w:val="00B07C27"/>
    <w:rsid w:val="00B10DE1"/>
    <w:rsid w:val="00B10FF8"/>
    <w:rsid w:val="00B111B9"/>
    <w:rsid w:val="00B203C4"/>
    <w:rsid w:val="00B22995"/>
    <w:rsid w:val="00B22A61"/>
    <w:rsid w:val="00B22E81"/>
    <w:rsid w:val="00B23996"/>
    <w:rsid w:val="00B23CB2"/>
    <w:rsid w:val="00B24E36"/>
    <w:rsid w:val="00B2561A"/>
    <w:rsid w:val="00B25A64"/>
    <w:rsid w:val="00B32AB3"/>
    <w:rsid w:val="00B34E7C"/>
    <w:rsid w:val="00B368EA"/>
    <w:rsid w:val="00B37EEF"/>
    <w:rsid w:val="00B43FC2"/>
    <w:rsid w:val="00B47485"/>
    <w:rsid w:val="00B518C3"/>
    <w:rsid w:val="00B55185"/>
    <w:rsid w:val="00B55EA7"/>
    <w:rsid w:val="00B61923"/>
    <w:rsid w:val="00B621D6"/>
    <w:rsid w:val="00B62914"/>
    <w:rsid w:val="00B65D6F"/>
    <w:rsid w:val="00B67552"/>
    <w:rsid w:val="00B67C23"/>
    <w:rsid w:val="00B75735"/>
    <w:rsid w:val="00B76B0F"/>
    <w:rsid w:val="00B77142"/>
    <w:rsid w:val="00B7766E"/>
    <w:rsid w:val="00B77F5A"/>
    <w:rsid w:val="00B80A2C"/>
    <w:rsid w:val="00B81F60"/>
    <w:rsid w:val="00B83F8E"/>
    <w:rsid w:val="00B841AC"/>
    <w:rsid w:val="00B865B0"/>
    <w:rsid w:val="00B90780"/>
    <w:rsid w:val="00B918B8"/>
    <w:rsid w:val="00B9240D"/>
    <w:rsid w:val="00B94BB8"/>
    <w:rsid w:val="00B94C15"/>
    <w:rsid w:val="00B95E5A"/>
    <w:rsid w:val="00BA22A8"/>
    <w:rsid w:val="00BA3E48"/>
    <w:rsid w:val="00BB1EB3"/>
    <w:rsid w:val="00BB2678"/>
    <w:rsid w:val="00BB5F3D"/>
    <w:rsid w:val="00BC2343"/>
    <w:rsid w:val="00BC76D5"/>
    <w:rsid w:val="00BD18B8"/>
    <w:rsid w:val="00BD30C8"/>
    <w:rsid w:val="00BD3EB4"/>
    <w:rsid w:val="00BD5C65"/>
    <w:rsid w:val="00BE01CA"/>
    <w:rsid w:val="00BE162E"/>
    <w:rsid w:val="00BE4973"/>
    <w:rsid w:val="00BE6018"/>
    <w:rsid w:val="00BF1DD5"/>
    <w:rsid w:val="00BF1F57"/>
    <w:rsid w:val="00BF3EA0"/>
    <w:rsid w:val="00BF4086"/>
    <w:rsid w:val="00BF426C"/>
    <w:rsid w:val="00BF460D"/>
    <w:rsid w:val="00BF58D0"/>
    <w:rsid w:val="00BF7D6A"/>
    <w:rsid w:val="00C013E1"/>
    <w:rsid w:val="00C01611"/>
    <w:rsid w:val="00C01C01"/>
    <w:rsid w:val="00C02C6D"/>
    <w:rsid w:val="00C02D59"/>
    <w:rsid w:val="00C030B6"/>
    <w:rsid w:val="00C03284"/>
    <w:rsid w:val="00C04855"/>
    <w:rsid w:val="00C050D7"/>
    <w:rsid w:val="00C05B5F"/>
    <w:rsid w:val="00C0667A"/>
    <w:rsid w:val="00C104CC"/>
    <w:rsid w:val="00C11F27"/>
    <w:rsid w:val="00C130C1"/>
    <w:rsid w:val="00C152FE"/>
    <w:rsid w:val="00C16739"/>
    <w:rsid w:val="00C22CCE"/>
    <w:rsid w:val="00C23BA2"/>
    <w:rsid w:val="00C25D0C"/>
    <w:rsid w:val="00C32AF2"/>
    <w:rsid w:val="00C33204"/>
    <w:rsid w:val="00C338EB"/>
    <w:rsid w:val="00C33E2E"/>
    <w:rsid w:val="00C3465D"/>
    <w:rsid w:val="00C379E9"/>
    <w:rsid w:val="00C37E98"/>
    <w:rsid w:val="00C42431"/>
    <w:rsid w:val="00C439FB"/>
    <w:rsid w:val="00C43F23"/>
    <w:rsid w:val="00C4675D"/>
    <w:rsid w:val="00C50011"/>
    <w:rsid w:val="00C503D3"/>
    <w:rsid w:val="00C62509"/>
    <w:rsid w:val="00C645E6"/>
    <w:rsid w:val="00C64D82"/>
    <w:rsid w:val="00C64FBC"/>
    <w:rsid w:val="00C65A83"/>
    <w:rsid w:val="00C67DCB"/>
    <w:rsid w:val="00C736BB"/>
    <w:rsid w:val="00C737E8"/>
    <w:rsid w:val="00C779DB"/>
    <w:rsid w:val="00C80F23"/>
    <w:rsid w:val="00C81151"/>
    <w:rsid w:val="00C81746"/>
    <w:rsid w:val="00C82A96"/>
    <w:rsid w:val="00C82CC6"/>
    <w:rsid w:val="00C850A3"/>
    <w:rsid w:val="00C85C32"/>
    <w:rsid w:val="00C87568"/>
    <w:rsid w:val="00C87BB7"/>
    <w:rsid w:val="00C90DB6"/>
    <w:rsid w:val="00C9394F"/>
    <w:rsid w:val="00C93B1A"/>
    <w:rsid w:val="00C9504A"/>
    <w:rsid w:val="00C96275"/>
    <w:rsid w:val="00C96F5F"/>
    <w:rsid w:val="00CA1A4F"/>
    <w:rsid w:val="00CA3977"/>
    <w:rsid w:val="00CA5927"/>
    <w:rsid w:val="00CA79EC"/>
    <w:rsid w:val="00CB39C2"/>
    <w:rsid w:val="00CB44DE"/>
    <w:rsid w:val="00CB4C8C"/>
    <w:rsid w:val="00CB6782"/>
    <w:rsid w:val="00CB7629"/>
    <w:rsid w:val="00CC00EC"/>
    <w:rsid w:val="00CC080A"/>
    <w:rsid w:val="00CC2B7F"/>
    <w:rsid w:val="00CC3C04"/>
    <w:rsid w:val="00CC4396"/>
    <w:rsid w:val="00CE3C13"/>
    <w:rsid w:val="00CE4499"/>
    <w:rsid w:val="00CE5277"/>
    <w:rsid w:val="00CE6358"/>
    <w:rsid w:val="00CE7FC6"/>
    <w:rsid w:val="00CF0C6C"/>
    <w:rsid w:val="00CF2D54"/>
    <w:rsid w:val="00CF622A"/>
    <w:rsid w:val="00D01324"/>
    <w:rsid w:val="00D02BA5"/>
    <w:rsid w:val="00D03538"/>
    <w:rsid w:val="00D03B67"/>
    <w:rsid w:val="00D049B8"/>
    <w:rsid w:val="00D0516C"/>
    <w:rsid w:val="00D05EE7"/>
    <w:rsid w:val="00D068D0"/>
    <w:rsid w:val="00D078D1"/>
    <w:rsid w:val="00D129A8"/>
    <w:rsid w:val="00D12FB9"/>
    <w:rsid w:val="00D13987"/>
    <w:rsid w:val="00D200BD"/>
    <w:rsid w:val="00D22399"/>
    <w:rsid w:val="00D33751"/>
    <w:rsid w:val="00D36F6E"/>
    <w:rsid w:val="00D37343"/>
    <w:rsid w:val="00D4205E"/>
    <w:rsid w:val="00D565EC"/>
    <w:rsid w:val="00D61982"/>
    <w:rsid w:val="00D6226F"/>
    <w:rsid w:val="00D6267A"/>
    <w:rsid w:val="00D674CF"/>
    <w:rsid w:val="00D678DF"/>
    <w:rsid w:val="00D67D12"/>
    <w:rsid w:val="00D70923"/>
    <w:rsid w:val="00D74F09"/>
    <w:rsid w:val="00D754C0"/>
    <w:rsid w:val="00D75673"/>
    <w:rsid w:val="00D7585A"/>
    <w:rsid w:val="00D80618"/>
    <w:rsid w:val="00D82494"/>
    <w:rsid w:val="00D84A4B"/>
    <w:rsid w:val="00D85E13"/>
    <w:rsid w:val="00D8669F"/>
    <w:rsid w:val="00D92168"/>
    <w:rsid w:val="00D940B5"/>
    <w:rsid w:val="00D95CB0"/>
    <w:rsid w:val="00D97280"/>
    <w:rsid w:val="00D9766F"/>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2809"/>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82A"/>
    <w:rsid w:val="00E11166"/>
    <w:rsid w:val="00E13182"/>
    <w:rsid w:val="00E15383"/>
    <w:rsid w:val="00E1738C"/>
    <w:rsid w:val="00E174D4"/>
    <w:rsid w:val="00E22D28"/>
    <w:rsid w:val="00E230E3"/>
    <w:rsid w:val="00E30EDF"/>
    <w:rsid w:val="00E31FBA"/>
    <w:rsid w:val="00E36AAE"/>
    <w:rsid w:val="00E41773"/>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1AFF"/>
    <w:rsid w:val="00E8342F"/>
    <w:rsid w:val="00E847A7"/>
    <w:rsid w:val="00E87C2F"/>
    <w:rsid w:val="00E906B4"/>
    <w:rsid w:val="00E9095B"/>
    <w:rsid w:val="00E90CF1"/>
    <w:rsid w:val="00E9399B"/>
    <w:rsid w:val="00E94008"/>
    <w:rsid w:val="00E94762"/>
    <w:rsid w:val="00E96B52"/>
    <w:rsid w:val="00EA2244"/>
    <w:rsid w:val="00EA411E"/>
    <w:rsid w:val="00EA5FC0"/>
    <w:rsid w:val="00EA6FA7"/>
    <w:rsid w:val="00EB067F"/>
    <w:rsid w:val="00EB1F02"/>
    <w:rsid w:val="00EB51FD"/>
    <w:rsid w:val="00EB5BC5"/>
    <w:rsid w:val="00EB72C1"/>
    <w:rsid w:val="00EC086C"/>
    <w:rsid w:val="00EC42D0"/>
    <w:rsid w:val="00EC4BA3"/>
    <w:rsid w:val="00EC5CE6"/>
    <w:rsid w:val="00EC638F"/>
    <w:rsid w:val="00EE2ACE"/>
    <w:rsid w:val="00EE4874"/>
    <w:rsid w:val="00EE79A6"/>
    <w:rsid w:val="00EE7FB4"/>
    <w:rsid w:val="00EF0D26"/>
    <w:rsid w:val="00EF0D86"/>
    <w:rsid w:val="00EF22FE"/>
    <w:rsid w:val="00EF76AC"/>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27314"/>
    <w:rsid w:val="00F36130"/>
    <w:rsid w:val="00F40444"/>
    <w:rsid w:val="00F423BD"/>
    <w:rsid w:val="00F432FF"/>
    <w:rsid w:val="00F4715C"/>
    <w:rsid w:val="00F512C0"/>
    <w:rsid w:val="00F54869"/>
    <w:rsid w:val="00F556B2"/>
    <w:rsid w:val="00F57187"/>
    <w:rsid w:val="00F574E5"/>
    <w:rsid w:val="00F5754B"/>
    <w:rsid w:val="00F576DE"/>
    <w:rsid w:val="00F63BF7"/>
    <w:rsid w:val="00F65617"/>
    <w:rsid w:val="00F666BC"/>
    <w:rsid w:val="00F70316"/>
    <w:rsid w:val="00F710BE"/>
    <w:rsid w:val="00F72CEF"/>
    <w:rsid w:val="00F736D2"/>
    <w:rsid w:val="00F7564C"/>
    <w:rsid w:val="00F76220"/>
    <w:rsid w:val="00F769BE"/>
    <w:rsid w:val="00F82E6B"/>
    <w:rsid w:val="00F951CF"/>
    <w:rsid w:val="00F97B71"/>
    <w:rsid w:val="00FA1925"/>
    <w:rsid w:val="00FA2DDA"/>
    <w:rsid w:val="00FA34CA"/>
    <w:rsid w:val="00FA3CC8"/>
    <w:rsid w:val="00FA4A55"/>
    <w:rsid w:val="00FA4D4F"/>
    <w:rsid w:val="00FA54E8"/>
    <w:rsid w:val="00FA5CA2"/>
    <w:rsid w:val="00FB0D88"/>
    <w:rsid w:val="00FB1BD0"/>
    <w:rsid w:val="00FB26B3"/>
    <w:rsid w:val="00FB2D17"/>
    <w:rsid w:val="00FB2F69"/>
    <w:rsid w:val="00FB39F7"/>
    <w:rsid w:val="00FB3BCA"/>
    <w:rsid w:val="00FB45FF"/>
    <w:rsid w:val="00FB47E0"/>
    <w:rsid w:val="00FB5CB1"/>
    <w:rsid w:val="00FB5D97"/>
    <w:rsid w:val="00FB7363"/>
    <w:rsid w:val="00FC1CA5"/>
    <w:rsid w:val="00FC2979"/>
    <w:rsid w:val="00FC45F4"/>
    <w:rsid w:val="00FD1C3C"/>
    <w:rsid w:val="00FD3480"/>
    <w:rsid w:val="00FD38A8"/>
    <w:rsid w:val="00FD6AC8"/>
    <w:rsid w:val="00FD7298"/>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89"/>
    <o:shapelayout v:ext="edit">
      <o:idmap v:ext="edit" data="1"/>
    </o:shapelayout>
  </w:shapeDefaults>
  <w:decimalSymbol w:val="."/>
  <w:listSeparator w:val=","/>
  <w15:docId w15:val="{E333C37A-F6D7-41A9-8104-F4C6BD74F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0"/>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7">
    <w:name w:val="footer"/>
    <w:basedOn w:val="a"/>
    <w:rsid w:val="00EB72C1"/>
    <w:pPr>
      <w:tabs>
        <w:tab w:val="center" w:pos="4153"/>
        <w:tab w:val="right" w:pos="8306"/>
      </w:tabs>
      <w:snapToGrid w:val="0"/>
      <w:jc w:val="left"/>
    </w:pPr>
    <w:rPr>
      <w:sz w:val="18"/>
      <w:szCs w:val="18"/>
    </w:rPr>
  </w:style>
  <w:style w:type="character" w:styleId="a8">
    <w:name w:val="page number"/>
    <w:basedOn w:val="a1"/>
    <w:rsid w:val="00EB72C1"/>
  </w:style>
  <w:style w:type="character" w:styleId="a9">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a">
    <w:name w:val="header"/>
    <w:basedOn w:val="a"/>
    <w:link w:val="ab"/>
    <w:uiPriority w:val="99"/>
    <w:rsid w:val="00EB72C1"/>
    <w:pPr>
      <w:pBdr>
        <w:bottom w:val="single" w:sz="6" w:space="1" w:color="auto"/>
      </w:pBdr>
      <w:tabs>
        <w:tab w:val="center" w:pos="4153"/>
        <w:tab w:val="right" w:pos="8306"/>
      </w:tabs>
      <w:snapToGrid w:val="0"/>
      <w:jc w:val="center"/>
    </w:pPr>
    <w:rPr>
      <w:sz w:val="18"/>
      <w:szCs w:val="18"/>
    </w:rPr>
  </w:style>
  <w:style w:type="character" w:styleId="ac">
    <w:name w:val="FollowedHyperlink"/>
    <w:rsid w:val="00EB72C1"/>
    <w:rPr>
      <w:color w:val="800080"/>
      <w:u w:val="single"/>
    </w:rPr>
  </w:style>
  <w:style w:type="paragraph" w:styleId="ad">
    <w:name w:val="List"/>
    <w:basedOn w:val="ae"/>
    <w:rsid w:val="00EB72C1"/>
    <w:pPr>
      <w:spacing w:after="220" w:line="220" w:lineRule="atLeast"/>
      <w:ind w:left="1440" w:hanging="360"/>
    </w:pPr>
    <w:rPr>
      <w:szCs w:val="20"/>
    </w:rPr>
  </w:style>
  <w:style w:type="paragraph" w:styleId="ae">
    <w:name w:val="Body Text"/>
    <w:basedOn w:val="a"/>
    <w:rsid w:val="00EB72C1"/>
    <w:pPr>
      <w:spacing w:after="120"/>
    </w:pPr>
  </w:style>
  <w:style w:type="paragraph" w:styleId="af">
    <w:name w:val="Date"/>
    <w:basedOn w:val="a"/>
    <w:next w:val="a"/>
    <w:link w:val="af0"/>
    <w:uiPriority w:val="99"/>
    <w:rsid w:val="00EB72C1"/>
    <w:rPr>
      <w:sz w:val="24"/>
      <w:szCs w:val="20"/>
    </w:rPr>
  </w:style>
  <w:style w:type="character" w:customStyle="1" w:styleId="c1">
    <w:name w:val="c1"/>
    <w:rsid w:val="00EB72C1"/>
    <w:rPr>
      <w:color w:val="000000"/>
      <w:sz w:val="18"/>
      <w:szCs w:val="18"/>
    </w:rPr>
  </w:style>
  <w:style w:type="paragraph" w:styleId="11">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1">
    <w:name w:val="Balloon Text"/>
    <w:basedOn w:val="a"/>
    <w:semiHidden/>
    <w:rsid w:val="00EB72C1"/>
    <w:rPr>
      <w:sz w:val="18"/>
      <w:szCs w:val="18"/>
    </w:rPr>
  </w:style>
  <w:style w:type="character" w:styleId="af2">
    <w:name w:val="annotation reference"/>
    <w:semiHidden/>
    <w:rsid w:val="00EB72C1"/>
    <w:rPr>
      <w:sz w:val="21"/>
      <w:szCs w:val="21"/>
    </w:rPr>
  </w:style>
  <w:style w:type="paragraph" w:styleId="af3">
    <w:name w:val="annotation text"/>
    <w:basedOn w:val="a"/>
    <w:semiHidden/>
    <w:rsid w:val="00EB72C1"/>
    <w:pPr>
      <w:jc w:val="left"/>
    </w:pPr>
  </w:style>
  <w:style w:type="paragraph" w:styleId="af4">
    <w:name w:val="annotation subject"/>
    <w:basedOn w:val="af3"/>
    <w:next w:val="af3"/>
    <w:semiHidden/>
    <w:rsid w:val="00EB72C1"/>
    <w:rPr>
      <w:b/>
      <w:bCs/>
    </w:rPr>
  </w:style>
  <w:style w:type="paragraph" w:customStyle="1" w:styleId="Char">
    <w:name w:val="Char"/>
    <w:basedOn w:val="a"/>
    <w:rsid w:val="00EB72C1"/>
  </w:style>
  <w:style w:type="paragraph" w:styleId="af5">
    <w:name w:val="Document Map"/>
    <w:basedOn w:val="a"/>
    <w:semiHidden/>
    <w:rsid w:val="000A549A"/>
    <w:pPr>
      <w:shd w:val="clear" w:color="auto" w:fill="000080"/>
    </w:pPr>
  </w:style>
  <w:style w:type="paragraph" w:customStyle="1" w:styleId="af6">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7">
    <w:name w:val="footnote text"/>
    <w:basedOn w:val="a"/>
    <w:semiHidden/>
    <w:rsid w:val="00547D9C"/>
    <w:pPr>
      <w:snapToGrid w:val="0"/>
      <w:jc w:val="left"/>
    </w:pPr>
    <w:rPr>
      <w:sz w:val="18"/>
      <w:szCs w:val="18"/>
    </w:rPr>
  </w:style>
  <w:style w:type="character" w:styleId="af8">
    <w:name w:val="footnote reference"/>
    <w:semiHidden/>
    <w:rsid w:val="00547D9C"/>
    <w:rPr>
      <w:vertAlign w:val="superscript"/>
    </w:rPr>
  </w:style>
  <w:style w:type="paragraph" w:styleId="af9">
    <w:name w:val="Normal (Web)"/>
    <w:basedOn w:val="a"/>
    <w:rsid w:val="005D45B3"/>
    <w:pPr>
      <w:widowControl/>
      <w:spacing w:before="100" w:beforeAutospacing="1" w:after="100" w:afterAutospacing="1"/>
      <w:jc w:val="left"/>
    </w:pPr>
    <w:rPr>
      <w:rFonts w:ascii="宋体" w:hAnsi="宋体"/>
      <w:kern w:val="0"/>
      <w:sz w:val="24"/>
    </w:rPr>
  </w:style>
  <w:style w:type="table" w:styleId="afa">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a6">
    <w:name w:val="纯文本 字符"/>
    <w:link w:val="a5"/>
    <w:uiPriority w:val="99"/>
    <w:rsid w:val="00A96FD9"/>
    <w:rPr>
      <w:rFonts w:ascii="宋体" w:hAnsi="Courier New"/>
      <w:kern w:val="2"/>
      <w:sz w:val="21"/>
      <w:szCs w:val="21"/>
    </w:rPr>
  </w:style>
  <w:style w:type="character" w:customStyle="1" w:styleId="ab">
    <w:name w:val="页眉 字符"/>
    <w:basedOn w:val="a1"/>
    <w:link w:val="aa"/>
    <w:uiPriority w:val="99"/>
    <w:rsid w:val="001D1356"/>
    <w:rPr>
      <w:kern w:val="2"/>
      <w:sz w:val="18"/>
      <w:szCs w:val="18"/>
    </w:rPr>
  </w:style>
  <w:style w:type="character" w:customStyle="1" w:styleId="10">
    <w:name w:val="标题 1 字符"/>
    <w:basedOn w:val="a1"/>
    <w:link w:val="1"/>
    <w:rsid w:val="00A7634D"/>
    <w:rPr>
      <w:b/>
      <w:bCs/>
      <w:kern w:val="44"/>
      <w:sz w:val="44"/>
      <w:szCs w:val="44"/>
    </w:rPr>
  </w:style>
  <w:style w:type="character" w:customStyle="1" w:styleId="af0">
    <w:name w:val="日期 字符"/>
    <w:basedOn w:val="a1"/>
    <w:link w:val="af"/>
    <w:uiPriority w:val="99"/>
    <w:rsid w:val="00C503D3"/>
    <w:rPr>
      <w:kern w:val="2"/>
      <w:sz w:val="24"/>
    </w:rPr>
  </w:style>
  <w:style w:type="character" w:styleId="afb">
    <w:name w:val="Strong"/>
    <w:basedOn w:val="a1"/>
    <w:uiPriority w:val="22"/>
    <w:qFormat/>
    <w:rsid w:val="009779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429936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76</TotalTime>
  <Pages>13</Pages>
  <Words>1055</Words>
  <Characters>6016</Characters>
  <Application>Microsoft Office Word</Application>
  <DocSecurity>0</DocSecurity>
  <Lines>50</Lines>
  <Paragraphs>14</Paragraphs>
  <ScaleCrop>false</ScaleCrop>
  <Company>TRT. Ltd. Co.</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Alex.Huang@FA</cp:lastModifiedBy>
  <cp:revision>27</cp:revision>
  <cp:lastPrinted>2007-07-19T00:46:00Z</cp:lastPrinted>
  <dcterms:created xsi:type="dcterms:W3CDTF">2014-12-16T02:40:00Z</dcterms:created>
  <dcterms:modified xsi:type="dcterms:W3CDTF">2023-10-24T07:43:00Z</dcterms:modified>
</cp:coreProperties>
</file>