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摩根海外稳健配置混合型证券投资基金</w:t>
      </w:r>
      <w:r w:rsidRPr="00A76A42">
        <w:rPr>
          <w:rFonts w:eastAsiaTheme="minorEastAsia"/>
          <w:b/>
          <w:color w:val="000000" w:themeColor="text1"/>
          <w:sz w:val="36"/>
          <w:szCs w:val="36"/>
        </w:rPr>
        <w:t>(QDII-FOF)</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4</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12</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二〇二四年一月二十二日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摩根海外稳健配置混合</w:t>
            </w:r>
            <w:r w:rsidRPr="00A76A42">
              <w:rPr>
                <w:rFonts w:eastAsiaTheme="minorEastAsia"/>
                <w:color w:val="000000" w:themeColor="text1"/>
                <w:kern w:val="0"/>
                <w:szCs w:val="21"/>
              </w:rPr>
              <w:t>(QDII-FOF)</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017970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017970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5</w:t>
            </w:r>
            <w:r w:rsidRPr="00A76A42">
              <w:rPr>
                <w:rFonts w:eastAsiaTheme="minorEastAsia"/>
                <w:color w:val="000000" w:themeColor="text1"/>
                <w:kern w:val="0"/>
                <w:szCs w:val="21"/>
              </w:rPr>
              <w:t>月</w:t>
            </w:r>
            <w:r w:rsidRPr="00A76A42">
              <w:rPr>
                <w:rFonts w:eastAsiaTheme="minorEastAsia"/>
                <w:color w:val="000000" w:themeColor="text1"/>
                <w:kern w:val="0"/>
                <w:szCs w:val="21"/>
              </w:rPr>
              <w:t>23</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732,219,249.39</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MSCI</w:t>
            </w:r>
            <w:r w:rsidRPr="00A76A42">
              <w:rPr>
                <w:rFonts w:eastAsiaTheme="minorEastAsia"/>
                <w:color w:val="000000" w:themeColor="text1"/>
                <w:kern w:val="0"/>
                <w:szCs w:val="21"/>
              </w:rPr>
              <w:t>全球指数（</w:t>
            </w:r>
            <w:r w:rsidRPr="00A76A42">
              <w:rPr>
                <w:rFonts w:eastAsiaTheme="minorEastAsia"/>
                <w:color w:val="000000" w:themeColor="text1"/>
                <w:kern w:val="0"/>
                <w:szCs w:val="21"/>
              </w:rPr>
              <w:t>MSCI ACWI</w:t>
            </w:r>
            <w:r w:rsidRPr="00A76A42">
              <w:rPr>
                <w:rFonts w:eastAsiaTheme="minorEastAsia"/>
                <w:color w:val="000000" w:themeColor="text1"/>
                <w:kern w:val="0"/>
                <w:szCs w:val="21"/>
              </w:rPr>
              <w:t>）</w:t>
            </w:r>
            <w:r w:rsidRPr="00A76A42">
              <w:rPr>
                <w:rFonts w:eastAsiaTheme="minorEastAsia"/>
                <w:color w:val="000000" w:themeColor="text1"/>
                <w:kern w:val="0"/>
                <w:szCs w:val="21"/>
              </w:rPr>
              <w:t>*20%+</w:t>
            </w:r>
            <w:r w:rsidRPr="00A76A42">
              <w:rPr>
                <w:rFonts w:eastAsiaTheme="minorEastAsia"/>
                <w:color w:val="000000" w:themeColor="text1"/>
                <w:kern w:val="0"/>
                <w:szCs w:val="21"/>
              </w:rPr>
              <w:t>摩根大通全球债券指数（</w:t>
            </w:r>
            <w:r w:rsidRPr="00A76A42">
              <w:rPr>
                <w:rFonts w:eastAsiaTheme="minorEastAsia"/>
                <w:color w:val="000000" w:themeColor="text1"/>
                <w:kern w:val="0"/>
                <w:szCs w:val="21"/>
              </w:rPr>
              <w:t>J.P. Morgan Global Aggregate Bond Index</w:t>
            </w:r>
            <w:r w:rsidRPr="00A76A42">
              <w:rPr>
                <w:rFonts w:eastAsiaTheme="minorEastAsia"/>
                <w:color w:val="000000" w:themeColor="text1"/>
                <w:kern w:val="0"/>
                <w:szCs w:val="21"/>
              </w:rPr>
              <w:t>）</w:t>
            </w:r>
            <w:r w:rsidRPr="00A76A42">
              <w:rPr>
                <w:rFonts w:eastAsiaTheme="minorEastAsia"/>
                <w:color w:val="000000" w:themeColor="text1"/>
                <w:kern w:val="0"/>
                <w:szCs w:val="21"/>
              </w:rPr>
              <w:t>*80%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rsidR="00D622E1" w:rsidRDefault="00BE32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w:t>
            </w:r>
            <w:r w:rsidRPr="00A76A42">
              <w:rPr>
                <w:rFonts w:eastAsiaTheme="minorEastAsia"/>
                <w:color w:val="000000" w:themeColor="text1"/>
                <w:kern w:val="0"/>
                <w:szCs w:val="21"/>
              </w:rPr>
              <w:t>(</w:t>
            </w:r>
            <w:r w:rsidRPr="00A76A42">
              <w:rPr>
                <w:rFonts w:eastAsiaTheme="minorEastAsia"/>
                <w:color w:val="000000" w:themeColor="text1"/>
                <w:kern w:val="0"/>
                <w:szCs w:val="21"/>
              </w:rPr>
              <w:t>亚太</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E32C8" w:rsidRPr="00A76A42" w:rsidTr="00BE32C8">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BE32C8" w:rsidRPr="00A76A42" w:rsidTr="00BE32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3,545,749.52</w:t>
            </w:r>
          </w:p>
        </w:tc>
      </w:tr>
      <w:tr w:rsidR="00BE32C8" w:rsidRPr="00A76A42" w:rsidTr="00BE32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-2,496,393.70</w:t>
            </w:r>
          </w:p>
        </w:tc>
      </w:tr>
      <w:tr w:rsidR="00BE32C8" w:rsidRPr="00A76A42" w:rsidTr="00BE32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-0.0038</w:t>
            </w:r>
          </w:p>
        </w:tc>
      </w:tr>
      <w:tr w:rsidR="00BE32C8" w:rsidRPr="00A76A42" w:rsidTr="00BE32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751,106,492.94</w:t>
            </w:r>
          </w:p>
        </w:tc>
      </w:tr>
      <w:tr w:rsidR="00BE32C8" w:rsidRPr="00A76A42" w:rsidTr="00BE32C8">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1.0258</w:t>
            </w:r>
          </w:p>
        </w:tc>
      </w:tr>
    </w:tbl>
    <w:p w:rsidR="00D622E1" w:rsidRDefault="00BE32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D622E1">
        <w:tc>
          <w:tcPr>
            <w:tcW w:w="1395" w:type="dxa"/>
            <w:vAlign w:val="center"/>
          </w:tcPr>
          <w:p w:rsidR="00D622E1" w:rsidRDefault="00BE32C8">
            <w:pPr>
              <w:jc w:val="left"/>
            </w:pPr>
            <w:r>
              <w:rPr>
                <w:rFonts w:eastAsiaTheme="minorEastAsia"/>
                <w:color w:val="000000" w:themeColor="text1"/>
                <w:szCs w:val="21"/>
              </w:rPr>
              <w:t>过去三个月</w:t>
            </w:r>
          </w:p>
        </w:tc>
        <w:tc>
          <w:tcPr>
            <w:tcW w:w="1092" w:type="dxa"/>
            <w:vAlign w:val="center"/>
          </w:tcPr>
          <w:p w:rsidR="00D622E1" w:rsidRDefault="00BE32C8">
            <w:pPr>
              <w:jc w:val="right"/>
            </w:pPr>
            <w:r>
              <w:rPr>
                <w:rFonts w:eastAsiaTheme="minorEastAsia"/>
                <w:color w:val="000000" w:themeColor="text1"/>
                <w:szCs w:val="21"/>
              </w:rPr>
              <w:t>-0.44%</w:t>
            </w:r>
          </w:p>
        </w:tc>
        <w:tc>
          <w:tcPr>
            <w:tcW w:w="1161" w:type="dxa"/>
            <w:vAlign w:val="center"/>
          </w:tcPr>
          <w:p w:rsidR="00D622E1" w:rsidRDefault="00BE32C8">
            <w:pPr>
              <w:jc w:val="right"/>
            </w:pPr>
            <w:r>
              <w:rPr>
                <w:rFonts w:eastAsiaTheme="minorEastAsia"/>
                <w:color w:val="000000" w:themeColor="text1"/>
                <w:szCs w:val="21"/>
              </w:rPr>
              <w:t>0.08%</w:t>
            </w:r>
          </w:p>
        </w:tc>
        <w:tc>
          <w:tcPr>
            <w:tcW w:w="1181" w:type="dxa"/>
            <w:vAlign w:val="center"/>
          </w:tcPr>
          <w:p w:rsidR="00D622E1" w:rsidRDefault="00BE32C8">
            <w:pPr>
              <w:jc w:val="right"/>
            </w:pPr>
            <w:r>
              <w:rPr>
                <w:rFonts w:eastAsiaTheme="minorEastAsia"/>
                <w:color w:val="000000" w:themeColor="text1"/>
                <w:szCs w:val="21"/>
              </w:rPr>
              <w:t>6.93%</w:t>
            </w:r>
          </w:p>
        </w:tc>
        <w:tc>
          <w:tcPr>
            <w:tcW w:w="1188" w:type="dxa"/>
            <w:vAlign w:val="center"/>
          </w:tcPr>
          <w:p w:rsidR="00D622E1" w:rsidRDefault="00BE32C8">
            <w:pPr>
              <w:jc w:val="right"/>
            </w:pPr>
            <w:r>
              <w:rPr>
                <w:rFonts w:eastAsiaTheme="minorEastAsia"/>
                <w:color w:val="000000" w:themeColor="text1"/>
                <w:szCs w:val="21"/>
              </w:rPr>
              <w:t>0.44%</w:t>
            </w:r>
          </w:p>
        </w:tc>
        <w:tc>
          <w:tcPr>
            <w:tcW w:w="1199" w:type="dxa"/>
            <w:vAlign w:val="center"/>
          </w:tcPr>
          <w:p w:rsidR="00D622E1" w:rsidRDefault="00BE32C8">
            <w:pPr>
              <w:jc w:val="right"/>
            </w:pPr>
            <w:r>
              <w:rPr>
                <w:rFonts w:eastAsiaTheme="minorEastAsia"/>
                <w:color w:val="000000" w:themeColor="text1"/>
                <w:szCs w:val="21"/>
              </w:rPr>
              <w:t>-7.37%</w:t>
            </w:r>
          </w:p>
        </w:tc>
        <w:tc>
          <w:tcPr>
            <w:tcW w:w="1204" w:type="dxa"/>
            <w:vAlign w:val="center"/>
          </w:tcPr>
          <w:p w:rsidR="00D622E1" w:rsidRDefault="00BE32C8">
            <w:pPr>
              <w:jc w:val="right"/>
            </w:pPr>
            <w:r>
              <w:rPr>
                <w:rFonts w:eastAsiaTheme="minorEastAsia"/>
                <w:color w:val="000000" w:themeColor="text1"/>
                <w:szCs w:val="21"/>
              </w:rPr>
              <w:t>-0.36%</w:t>
            </w:r>
          </w:p>
        </w:tc>
      </w:tr>
      <w:tr w:rsidR="00D622E1">
        <w:tc>
          <w:tcPr>
            <w:tcW w:w="1395" w:type="dxa"/>
            <w:vAlign w:val="center"/>
          </w:tcPr>
          <w:p w:rsidR="00D622E1" w:rsidRDefault="00BE32C8">
            <w:pPr>
              <w:jc w:val="left"/>
            </w:pPr>
            <w:r>
              <w:rPr>
                <w:rFonts w:eastAsiaTheme="minorEastAsia"/>
                <w:color w:val="000000" w:themeColor="text1"/>
                <w:szCs w:val="21"/>
              </w:rPr>
              <w:t>过去六个月</w:t>
            </w:r>
          </w:p>
        </w:tc>
        <w:tc>
          <w:tcPr>
            <w:tcW w:w="1092" w:type="dxa"/>
            <w:vAlign w:val="center"/>
          </w:tcPr>
          <w:p w:rsidR="00D622E1" w:rsidRDefault="00BE32C8">
            <w:pPr>
              <w:jc w:val="right"/>
            </w:pPr>
            <w:r>
              <w:rPr>
                <w:rFonts w:eastAsiaTheme="minorEastAsia"/>
                <w:color w:val="000000" w:themeColor="text1"/>
                <w:szCs w:val="21"/>
              </w:rPr>
              <w:t>-0.25%</w:t>
            </w:r>
          </w:p>
        </w:tc>
        <w:tc>
          <w:tcPr>
            <w:tcW w:w="1161" w:type="dxa"/>
            <w:vAlign w:val="center"/>
          </w:tcPr>
          <w:p w:rsidR="00D622E1" w:rsidRDefault="00BE32C8">
            <w:pPr>
              <w:jc w:val="right"/>
            </w:pPr>
            <w:r>
              <w:rPr>
                <w:rFonts w:eastAsiaTheme="minorEastAsia"/>
                <w:color w:val="000000" w:themeColor="text1"/>
                <w:szCs w:val="21"/>
              </w:rPr>
              <w:t>0.10%</w:t>
            </w:r>
          </w:p>
        </w:tc>
        <w:tc>
          <w:tcPr>
            <w:tcW w:w="1181" w:type="dxa"/>
            <w:vAlign w:val="center"/>
          </w:tcPr>
          <w:p w:rsidR="00D622E1" w:rsidRDefault="00BE32C8">
            <w:pPr>
              <w:jc w:val="right"/>
            </w:pPr>
            <w:r>
              <w:rPr>
                <w:rFonts w:eastAsiaTheme="minorEastAsia"/>
                <w:color w:val="000000" w:themeColor="text1"/>
                <w:szCs w:val="21"/>
              </w:rPr>
              <w:t>2.48%</w:t>
            </w:r>
          </w:p>
        </w:tc>
        <w:tc>
          <w:tcPr>
            <w:tcW w:w="1188" w:type="dxa"/>
            <w:vAlign w:val="center"/>
          </w:tcPr>
          <w:p w:rsidR="00D622E1" w:rsidRDefault="00BE32C8">
            <w:pPr>
              <w:jc w:val="right"/>
            </w:pPr>
            <w:r>
              <w:rPr>
                <w:rFonts w:eastAsiaTheme="minorEastAsia"/>
                <w:color w:val="000000" w:themeColor="text1"/>
                <w:szCs w:val="21"/>
              </w:rPr>
              <w:t>0.41%</w:t>
            </w:r>
          </w:p>
        </w:tc>
        <w:tc>
          <w:tcPr>
            <w:tcW w:w="1199" w:type="dxa"/>
            <w:vAlign w:val="center"/>
          </w:tcPr>
          <w:p w:rsidR="00D622E1" w:rsidRDefault="00BE32C8">
            <w:pPr>
              <w:jc w:val="right"/>
            </w:pPr>
            <w:r>
              <w:rPr>
                <w:rFonts w:eastAsiaTheme="minorEastAsia"/>
                <w:color w:val="000000" w:themeColor="text1"/>
                <w:szCs w:val="21"/>
              </w:rPr>
              <w:t>-2.73%</w:t>
            </w:r>
          </w:p>
        </w:tc>
        <w:tc>
          <w:tcPr>
            <w:tcW w:w="1204" w:type="dxa"/>
            <w:vAlign w:val="center"/>
          </w:tcPr>
          <w:p w:rsidR="00D622E1" w:rsidRDefault="00BE32C8">
            <w:pPr>
              <w:jc w:val="right"/>
            </w:pPr>
            <w:r>
              <w:rPr>
                <w:rFonts w:eastAsiaTheme="minorEastAsia"/>
                <w:color w:val="000000" w:themeColor="text1"/>
                <w:szCs w:val="21"/>
              </w:rPr>
              <w:t>-0.31%</w:t>
            </w:r>
          </w:p>
        </w:tc>
      </w:tr>
      <w:tr w:rsidR="00D622E1">
        <w:tc>
          <w:tcPr>
            <w:tcW w:w="1395" w:type="dxa"/>
            <w:vAlign w:val="center"/>
          </w:tcPr>
          <w:p w:rsidR="00D622E1" w:rsidRDefault="00BE32C8">
            <w:pPr>
              <w:jc w:val="left"/>
            </w:pPr>
            <w:r>
              <w:rPr>
                <w:rFonts w:eastAsiaTheme="minorEastAsia"/>
                <w:color w:val="000000" w:themeColor="text1"/>
                <w:szCs w:val="21"/>
              </w:rPr>
              <w:t>过去一年</w:t>
            </w:r>
          </w:p>
        </w:tc>
        <w:tc>
          <w:tcPr>
            <w:tcW w:w="1092" w:type="dxa"/>
            <w:vAlign w:val="center"/>
          </w:tcPr>
          <w:p w:rsidR="00D622E1" w:rsidRDefault="00BE32C8">
            <w:pPr>
              <w:jc w:val="right"/>
            </w:pPr>
            <w:r>
              <w:rPr>
                <w:rFonts w:eastAsiaTheme="minorEastAsia"/>
                <w:color w:val="000000" w:themeColor="text1"/>
                <w:szCs w:val="21"/>
              </w:rPr>
              <w:t>-</w:t>
            </w:r>
          </w:p>
        </w:tc>
        <w:tc>
          <w:tcPr>
            <w:tcW w:w="1161" w:type="dxa"/>
            <w:vAlign w:val="center"/>
          </w:tcPr>
          <w:p w:rsidR="00D622E1" w:rsidRDefault="00BE32C8">
            <w:pPr>
              <w:jc w:val="right"/>
            </w:pPr>
            <w:r>
              <w:rPr>
                <w:rFonts w:eastAsiaTheme="minorEastAsia"/>
                <w:color w:val="000000" w:themeColor="text1"/>
                <w:szCs w:val="21"/>
              </w:rPr>
              <w:t>-</w:t>
            </w:r>
          </w:p>
        </w:tc>
        <w:tc>
          <w:tcPr>
            <w:tcW w:w="1181" w:type="dxa"/>
            <w:vAlign w:val="center"/>
          </w:tcPr>
          <w:p w:rsidR="00D622E1" w:rsidRDefault="00BE32C8">
            <w:pPr>
              <w:jc w:val="right"/>
            </w:pPr>
            <w:r>
              <w:rPr>
                <w:rFonts w:eastAsiaTheme="minorEastAsia"/>
                <w:color w:val="000000" w:themeColor="text1"/>
                <w:szCs w:val="21"/>
              </w:rPr>
              <w:t>-</w:t>
            </w:r>
          </w:p>
        </w:tc>
        <w:tc>
          <w:tcPr>
            <w:tcW w:w="1188" w:type="dxa"/>
            <w:vAlign w:val="center"/>
          </w:tcPr>
          <w:p w:rsidR="00D622E1" w:rsidRDefault="00BE32C8">
            <w:pPr>
              <w:jc w:val="right"/>
            </w:pPr>
            <w:r>
              <w:rPr>
                <w:rFonts w:eastAsiaTheme="minorEastAsia"/>
                <w:color w:val="000000" w:themeColor="text1"/>
                <w:szCs w:val="21"/>
              </w:rPr>
              <w:t>-</w:t>
            </w:r>
          </w:p>
        </w:tc>
        <w:tc>
          <w:tcPr>
            <w:tcW w:w="1199" w:type="dxa"/>
            <w:vAlign w:val="center"/>
          </w:tcPr>
          <w:p w:rsidR="00D622E1" w:rsidRDefault="00BE32C8">
            <w:pPr>
              <w:jc w:val="right"/>
            </w:pPr>
            <w:r>
              <w:rPr>
                <w:rFonts w:eastAsiaTheme="minorEastAsia"/>
                <w:color w:val="000000" w:themeColor="text1"/>
                <w:szCs w:val="21"/>
              </w:rPr>
              <w:t>-</w:t>
            </w:r>
          </w:p>
        </w:tc>
        <w:tc>
          <w:tcPr>
            <w:tcW w:w="1204" w:type="dxa"/>
            <w:vAlign w:val="center"/>
          </w:tcPr>
          <w:p w:rsidR="00D622E1" w:rsidRDefault="00BE32C8">
            <w:pPr>
              <w:jc w:val="right"/>
            </w:pPr>
            <w:r>
              <w:rPr>
                <w:rFonts w:eastAsiaTheme="minorEastAsia"/>
                <w:color w:val="000000" w:themeColor="text1"/>
                <w:szCs w:val="21"/>
              </w:rPr>
              <w:t>-</w:t>
            </w:r>
          </w:p>
        </w:tc>
      </w:tr>
      <w:tr w:rsidR="00D622E1">
        <w:tc>
          <w:tcPr>
            <w:tcW w:w="1395" w:type="dxa"/>
            <w:vAlign w:val="center"/>
          </w:tcPr>
          <w:p w:rsidR="00D622E1" w:rsidRDefault="00BE32C8">
            <w:pPr>
              <w:jc w:val="left"/>
            </w:pPr>
            <w:r>
              <w:rPr>
                <w:rFonts w:eastAsiaTheme="minorEastAsia"/>
                <w:color w:val="000000" w:themeColor="text1"/>
                <w:szCs w:val="21"/>
              </w:rPr>
              <w:t>过去三年</w:t>
            </w:r>
          </w:p>
        </w:tc>
        <w:tc>
          <w:tcPr>
            <w:tcW w:w="1092" w:type="dxa"/>
            <w:vAlign w:val="center"/>
          </w:tcPr>
          <w:p w:rsidR="00D622E1" w:rsidRDefault="00BE32C8">
            <w:pPr>
              <w:jc w:val="right"/>
            </w:pPr>
            <w:r>
              <w:rPr>
                <w:rFonts w:eastAsiaTheme="minorEastAsia"/>
                <w:color w:val="000000" w:themeColor="text1"/>
                <w:szCs w:val="21"/>
              </w:rPr>
              <w:t>-</w:t>
            </w:r>
          </w:p>
        </w:tc>
        <w:tc>
          <w:tcPr>
            <w:tcW w:w="1161" w:type="dxa"/>
            <w:vAlign w:val="center"/>
          </w:tcPr>
          <w:p w:rsidR="00D622E1" w:rsidRDefault="00BE32C8">
            <w:pPr>
              <w:jc w:val="right"/>
            </w:pPr>
            <w:r>
              <w:rPr>
                <w:rFonts w:eastAsiaTheme="minorEastAsia"/>
                <w:color w:val="000000" w:themeColor="text1"/>
                <w:szCs w:val="21"/>
              </w:rPr>
              <w:t>-</w:t>
            </w:r>
          </w:p>
        </w:tc>
        <w:tc>
          <w:tcPr>
            <w:tcW w:w="1181" w:type="dxa"/>
            <w:vAlign w:val="center"/>
          </w:tcPr>
          <w:p w:rsidR="00D622E1" w:rsidRDefault="00BE32C8">
            <w:pPr>
              <w:jc w:val="right"/>
            </w:pPr>
            <w:r>
              <w:rPr>
                <w:rFonts w:eastAsiaTheme="minorEastAsia"/>
                <w:color w:val="000000" w:themeColor="text1"/>
                <w:szCs w:val="21"/>
              </w:rPr>
              <w:t>-</w:t>
            </w:r>
          </w:p>
        </w:tc>
        <w:tc>
          <w:tcPr>
            <w:tcW w:w="1188" w:type="dxa"/>
            <w:vAlign w:val="center"/>
          </w:tcPr>
          <w:p w:rsidR="00D622E1" w:rsidRDefault="00BE32C8">
            <w:pPr>
              <w:jc w:val="right"/>
            </w:pPr>
            <w:r>
              <w:rPr>
                <w:rFonts w:eastAsiaTheme="minorEastAsia"/>
                <w:color w:val="000000" w:themeColor="text1"/>
                <w:szCs w:val="21"/>
              </w:rPr>
              <w:t>-</w:t>
            </w:r>
          </w:p>
        </w:tc>
        <w:tc>
          <w:tcPr>
            <w:tcW w:w="1199" w:type="dxa"/>
            <w:vAlign w:val="center"/>
          </w:tcPr>
          <w:p w:rsidR="00D622E1" w:rsidRDefault="00BE32C8">
            <w:pPr>
              <w:jc w:val="right"/>
            </w:pPr>
            <w:r>
              <w:rPr>
                <w:rFonts w:eastAsiaTheme="minorEastAsia"/>
                <w:color w:val="000000" w:themeColor="text1"/>
                <w:szCs w:val="21"/>
              </w:rPr>
              <w:t>-</w:t>
            </w:r>
          </w:p>
        </w:tc>
        <w:tc>
          <w:tcPr>
            <w:tcW w:w="1204" w:type="dxa"/>
            <w:vAlign w:val="center"/>
          </w:tcPr>
          <w:p w:rsidR="00D622E1" w:rsidRDefault="00BE32C8">
            <w:pPr>
              <w:jc w:val="right"/>
            </w:pPr>
            <w:r>
              <w:rPr>
                <w:rFonts w:eastAsiaTheme="minorEastAsia"/>
                <w:color w:val="000000" w:themeColor="text1"/>
                <w:szCs w:val="21"/>
              </w:rPr>
              <w:t>-</w:t>
            </w:r>
          </w:p>
        </w:tc>
      </w:tr>
      <w:tr w:rsidR="00D622E1">
        <w:tc>
          <w:tcPr>
            <w:tcW w:w="1395" w:type="dxa"/>
            <w:vAlign w:val="center"/>
          </w:tcPr>
          <w:p w:rsidR="00D622E1" w:rsidRDefault="00BE32C8">
            <w:pPr>
              <w:jc w:val="left"/>
            </w:pPr>
            <w:r>
              <w:rPr>
                <w:rFonts w:eastAsiaTheme="minorEastAsia"/>
                <w:color w:val="000000" w:themeColor="text1"/>
                <w:szCs w:val="21"/>
              </w:rPr>
              <w:t>过去五年</w:t>
            </w:r>
          </w:p>
        </w:tc>
        <w:tc>
          <w:tcPr>
            <w:tcW w:w="1092" w:type="dxa"/>
            <w:vAlign w:val="center"/>
          </w:tcPr>
          <w:p w:rsidR="00D622E1" w:rsidRDefault="00BE32C8">
            <w:pPr>
              <w:jc w:val="right"/>
            </w:pPr>
            <w:r>
              <w:rPr>
                <w:rFonts w:eastAsiaTheme="minorEastAsia"/>
                <w:color w:val="000000" w:themeColor="text1"/>
                <w:szCs w:val="21"/>
              </w:rPr>
              <w:t>-</w:t>
            </w:r>
          </w:p>
        </w:tc>
        <w:tc>
          <w:tcPr>
            <w:tcW w:w="1161" w:type="dxa"/>
            <w:vAlign w:val="center"/>
          </w:tcPr>
          <w:p w:rsidR="00D622E1" w:rsidRDefault="00BE32C8">
            <w:pPr>
              <w:jc w:val="right"/>
            </w:pPr>
            <w:r>
              <w:rPr>
                <w:rFonts w:eastAsiaTheme="minorEastAsia"/>
                <w:color w:val="000000" w:themeColor="text1"/>
                <w:szCs w:val="21"/>
              </w:rPr>
              <w:t>-</w:t>
            </w:r>
          </w:p>
        </w:tc>
        <w:tc>
          <w:tcPr>
            <w:tcW w:w="1181" w:type="dxa"/>
            <w:vAlign w:val="center"/>
          </w:tcPr>
          <w:p w:rsidR="00D622E1" w:rsidRDefault="00BE32C8">
            <w:pPr>
              <w:jc w:val="right"/>
            </w:pPr>
            <w:r>
              <w:rPr>
                <w:rFonts w:eastAsiaTheme="minorEastAsia"/>
                <w:color w:val="000000" w:themeColor="text1"/>
                <w:szCs w:val="21"/>
              </w:rPr>
              <w:t>-</w:t>
            </w:r>
          </w:p>
        </w:tc>
        <w:tc>
          <w:tcPr>
            <w:tcW w:w="1188" w:type="dxa"/>
            <w:vAlign w:val="center"/>
          </w:tcPr>
          <w:p w:rsidR="00D622E1" w:rsidRDefault="00BE32C8">
            <w:pPr>
              <w:jc w:val="right"/>
            </w:pPr>
            <w:r>
              <w:rPr>
                <w:rFonts w:eastAsiaTheme="minorEastAsia"/>
                <w:color w:val="000000" w:themeColor="text1"/>
                <w:szCs w:val="21"/>
              </w:rPr>
              <w:t>-</w:t>
            </w:r>
          </w:p>
        </w:tc>
        <w:tc>
          <w:tcPr>
            <w:tcW w:w="1199" w:type="dxa"/>
            <w:vAlign w:val="center"/>
          </w:tcPr>
          <w:p w:rsidR="00D622E1" w:rsidRDefault="00BE32C8">
            <w:pPr>
              <w:jc w:val="right"/>
            </w:pPr>
            <w:r>
              <w:rPr>
                <w:rFonts w:eastAsiaTheme="minorEastAsia"/>
                <w:color w:val="000000" w:themeColor="text1"/>
                <w:szCs w:val="21"/>
              </w:rPr>
              <w:t>-</w:t>
            </w:r>
          </w:p>
        </w:tc>
        <w:tc>
          <w:tcPr>
            <w:tcW w:w="1204" w:type="dxa"/>
            <w:vAlign w:val="center"/>
          </w:tcPr>
          <w:p w:rsidR="00D622E1" w:rsidRDefault="00BE32C8">
            <w:pPr>
              <w:jc w:val="right"/>
            </w:pPr>
            <w:r>
              <w:rPr>
                <w:rFonts w:eastAsiaTheme="minorEastAsia"/>
                <w:color w:val="000000" w:themeColor="text1"/>
                <w:szCs w:val="21"/>
              </w:rPr>
              <w:t>-</w:t>
            </w:r>
          </w:p>
        </w:tc>
      </w:tr>
      <w:tr w:rsidR="00D622E1">
        <w:tc>
          <w:tcPr>
            <w:tcW w:w="1395" w:type="dxa"/>
            <w:vAlign w:val="center"/>
          </w:tcPr>
          <w:p w:rsidR="00D622E1" w:rsidRDefault="00BE32C8">
            <w:pPr>
              <w:jc w:val="left"/>
            </w:pPr>
            <w:r>
              <w:rPr>
                <w:rFonts w:eastAsiaTheme="minorEastAsia"/>
                <w:color w:val="000000" w:themeColor="text1"/>
                <w:szCs w:val="21"/>
              </w:rPr>
              <w:t>自基金合同生效起至今</w:t>
            </w:r>
          </w:p>
        </w:tc>
        <w:tc>
          <w:tcPr>
            <w:tcW w:w="1092" w:type="dxa"/>
            <w:vAlign w:val="center"/>
          </w:tcPr>
          <w:p w:rsidR="00D622E1" w:rsidRDefault="00BE32C8">
            <w:pPr>
              <w:jc w:val="right"/>
            </w:pPr>
            <w:r>
              <w:rPr>
                <w:rFonts w:eastAsiaTheme="minorEastAsia"/>
                <w:color w:val="000000" w:themeColor="text1"/>
                <w:szCs w:val="21"/>
              </w:rPr>
              <w:t>2.58%</w:t>
            </w:r>
          </w:p>
        </w:tc>
        <w:tc>
          <w:tcPr>
            <w:tcW w:w="1161" w:type="dxa"/>
            <w:vAlign w:val="center"/>
          </w:tcPr>
          <w:p w:rsidR="00D622E1" w:rsidRDefault="00BE32C8">
            <w:pPr>
              <w:jc w:val="right"/>
            </w:pPr>
            <w:r>
              <w:rPr>
                <w:rFonts w:eastAsiaTheme="minorEastAsia"/>
                <w:color w:val="000000" w:themeColor="text1"/>
                <w:szCs w:val="21"/>
              </w:rPr>
              <w:t>0.13%</w:t>
            </w:r>
          </w:p>
        </w:tc>
        <w:tc>
          <w:tcPr>
            <w:tcW w:w="1181" w:type="dxa"/>
            <w:vAlign w:val="center"/>
          </w:tcPr>
          <w:p w:rsidR="00D622E1" w:rsidRDefault="00BE32C8">
            <w:pPr>
              <w:jc w:val="right"/>
            </w:pPr>
            <w:r>
              <w:rPr>
                <w:rFonts w:eastAsiaTheme="minorEastAsia"/>
                <w:color w:val="000000" w:themeColor="text1"/>
                <w:szCs w:val="21"/>
              </w:rPr>
              <w:t>6.56%</w:t>
            </w:r>
          </w:p>
        </w:tc>
        <w:tc>
          <w:tcPr>
            <w:tcW w:w="1188" w:type="dxa"/>
            <w:vAlign w:val="center"/>
          </w:tcPr>
          <w:p w:rsidR="00D622E1" w:rsidRDefault="00BE32C8">
            <w:pPr>
              <w:jc w:val="right"/>
            </w:pPr>
            <w:r>
              <w:rPr>
                <w:rFonts w:eastAsiaTheme="minorEastAsia"/>
                <w:color w:val="000000" w:themeColor="text1"/>
                <w:szCs w:val="21"/>
              </w:rPr>
              <w:t>0.40%</w:t>
            </w:r>
          </w:p>
        </w:tc>
        <w:tc>
          <w:tcPr>
            <w:tcW w:w="1199" w:type="dxa"/>
            <w:vAlign w:val="center"/>
          </w:tcPr>
          <w:p w:rsidR="00D622E1" w:rsidRDefault="00BE32C8">
            <w:pPr>
              <w:jc w:val="right"/>
            </w:pPr>
            <w:r>
              <w:rPr>
                <w:rFonts w:eastAsiaTheme="minorEastAsia"/>
                <w:color w:val="000000" w:themeColor="text1"/>
                <w:szCs w:val="21"/>
              </w:rPr>
              <w:t>-3.98%</w:t>
            </w:r>
          </w:p>
        </w:tc>
        <w:tc>
          <w:tcPr>
            <w:tcW w:w="1204" w:type="dxa"/>
            <w:vAlign w:val="center"/>
          </w:tcPr>
          <w:p w:rsidR="00D622E1" w:rsidRDefault="00BE32C8">
            <w:pPr>
              <w:jc w:val="right"/>
            </w:pPr>
            <w:r>
              <w:rPr>
                <w:rFonts w:eastAsiaTheme="minorEastAsia"/>
                <w:color w:val="000000" w:themeColor="text1"/>
                <w:szCs w:val="21"/>
              </w:rPr>
              <w:t>-0.27%</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摩根海外稳健配置混合型证券投资基金</w:t>
      </w:r>
      <w:r w:rsidRPr="00A76A42">
        <w:rPr>
          <w:rFonts w:eastAsiaTheme="minorEastAsia"/>
          <w:color w:val="000000" w:themeColor="text1"/>
          <w:szCs w:val="21"/>
        </w:rPr>
        <w:t>(QDII-FOF)</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2023</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5</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23</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D622E1" w:rsidRDefault="00BE32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r w:rsidRPr="00A76A42">
        <w:rPr>
          <w:rFonts w:eastAsiaTheme="minorEastAsia"/>
          <w:color w:val="000000" w:themeColor="text1"/>
          <w:szCs w:val="21"/>
        </w:rPr>
        <w:t xml:space="preserve"> </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D622E1">
        <w:tc>
          <w:tcPr>
            <w:tcW w:w="851" w:type="dxa"/>
            <w:vAlign w:val="center"/>
          </w:tcPr>
          <w:p w:rsidR="00D622E1" w:rsidRDefault="00BE32C8">
            <w:pPr>
              <w:jc w:val="center"/>
            </w:pPr>
            <w:r>
              <w:rPr>
                <w:rFonts w:eastAsiaTheme="minorEastAsia"/>
                <w:color w:val="000000" w:themeColor="text1"/>
                <w:szCs w:val="21"/>
              </w:rPr>
              <w:t>张军</w:t>
            </w:r>
          </w:p>
        </w:tc>
        <w:tc>
          <w:tcPr>
            <w:tcW w:w="850" w:type="dxa"/>
            <w:vAlign w:val="center"/>
          </w:tcPr>
          <w:p w:rsidR="00D622E1" w:rsidRDefault="00BE32C8">
            <w:pPr>
              <w:jc w:val="center"/>
            </w:pPr>
            <w:r>
              <w:rPr>
                <w:rFonts w:eastAsiaTheme="minorEastAsia"/>
                <w:color w:val="000000" w:themeColor="text1"/>
                <w:szCs w:val="21"/>
              </w:rPr>
              <w:t>本基金基金经理</w:t>
            </w:r>
          </w:p>
        </w:tc>
        <w:tc>
          <w:tcPr>
            <w:tcW w:w="1560" w:type="dxa"/>
            <w:vAlign w:val="center"/>
          </w:tcPr>
          <w:p w:rsidR="00D622E1" w:rsidRDefault="00BE32C8">
            <w:pPr>
              <w:jc w:val="center"/>
            </w:pPr>
            <w:r>
              <w:rPr>
                <w:rFonts w:eastAsiaTheme="minorEastAsia"/>
                <w:color w:val="000000" w:themeColor="text1"/>
                <w:szCs w:val="21"/>
              </w:rPr>
              <w:t>2023-05-23</w:t>
            </w:r>
          </w:p>
        </w:tc>
        <w:tc>
          <w:tcPr>
            <w:tcW w:w="1559" w:type="dxa"/>
            <w:vAlign w:val="center"/>
          </w:tcPr>
          <w:p w:rsidR="00D622E1" w:rsidRDefault="00BE32C8">
            <w:pPr>
              <w:jc w:val="center"/>
            </w:pPr>
            <w:r>
              <w:rPr>
                <w:rFonts w:eastAsiaTheme="minorEastAsia"/>
                <w:color w:val="000000" w:themeColor="text1"/>
                <w:szCs w:val="21"/>
              </w:rPr>
              <w:t>-</w:t>
            </w:r>
          </w:p>
        </w:tc>
        <w:tc>
          <w:tcPr>
            <w:tcW w:w="1417" w:type="dxa"/>
            <w:vAlign w:val="center"/>
          </w:tcPr>
          <w:p w:rsidR="00D622E1" w:rsidRDefault="00BE32C8">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D622E1" w:rsidRDefault="00BE32C8">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D622E1" w:rsidRDefault="00BE32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622E1" w:rsidRDefault="00BE32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5,345,137,401.59</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29,158,596.42</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5,374,295,998.01</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D622E1">
        <w:tc>
          <w:tcPr>
            <w:tcW w:w="0" w:type="auto"/>
            <w:vAlign w:val="center"/>
          </w:tcPr>
          <w:p w:rsidR="00D622E1" w:rsidRDefault="00BE32C8">
            <w:pPr>
              <w:jc w:val="center"/>
            </w:pPr>
            <w:r>
              <w:rPr>
                <w:rFonts w:eastAsiaTheme="minorEastAsia"/>
                <w:color w:val="000000" w:themeColor="text1"/>
                <w:szCs w:val="21"/>
              </w:rPr>
              <w:t>Leon Goldfeld</w:t>
            </w:r>
          </w:p>
        </w:tc>
        <w:tc>
          <w:tcPr>
            <w:tcW w:w="0" w:type="auto"/>
            <w:vAlign w:val="center"/>
          </w:tcPr>
          <w:p w:rsidR="00D622E1" w:rsidRDefault="00BE32C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rsidR="00D622E1" w:rsidRDefault="00BE32C8">
            <w:pPr>
              <w:jc w:val="center"/>
            </w:pPr>
            <w:r>
              <w:rPr>
                <w:rFonts w:eastAsiaTheme="minorEastAsia"/>
                <w:color w:val="000000" w:themeColor="text1"/>
                <w:szCs w:val="21"/>
              </w:rPr>
              <w:t>35</w:t>
            </w:r>
            <w:r>
              <w:rPr>
                <w:rFonts w:eastAsiaTheme="minorEastAsia"/>
                <w:color w:val="000000" w:themeColor="text1"/>
                <w:szCs w:val="21"/>
              </w:rPr>
              <w:t>年</w:t>
            </w:r>
          </w:p>
        </w:tc>
        <w:tc>
          <w:tcPr>
            <w:tcW w:w="0" w:type="auto"/>
            <w:vAlign w:val="center"/>
          </w:tcPr>
          <w:p w:rsidR="00D622E1" w:rsidRDefault="00BE32C8">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D622E1" w:rsidRDefault="00BE32C8">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本基金在报告期内建仓完成，主要持有短久期高流动性美元债券资产。</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报告期内全球主要股市和债市表现趋同，即股债的相关性增加，呈现同向波动。</w:t>
      </w:r>
      <w:r>
        <w:rPr>
          <w:rFonts w:eastAsiaTheme="minorEastAsia"/>
          <w:color w:val="000000" w:themeColor="text1"/>
          <w:szCs w:val="21"/>
        </w:rPr>
        <w:t>10</w:t>
      </w:r>
      <w:r>
        <w:rPr>
          <w:rFonts w:eastAsiaTheme="minorEastAsia"/>
          <w:color w:val="000000" w:themeColor="text1"/>
          <w:szCs w:val="21"/>
        </w:rPr>
        <w:t>月份还在延续上季度对美联储利率政策</w:t>
      </w:r>
      <w:r>
        <w:rPr>
          <w:rFonts w:eastAsiaTheme="minorEastAsia"/>
          <w:color w:val="000000" w:themeColor="text1"/>
          <w:szCs w:val="21"/>
        </w:rPr>
        <w:t>“</w:t>
      </w:r>
      <w:r>
        <w:rPr>
          <w:rFonts w:eastAsiaTheme="minorEastAsia"/>
          <w:color w:val="000000" w:themeColor="text1"/>
          <w:szCs w:val="21"/>
        </w:rPr>
        <w:t>更高利率维持更长时间</w:t>
      </w:r>
      <w:r>
        <w:rPr>
          <w:rFonts w:eastAsiaTheme="minorEastAsia"/>
          <w:color w:val="000000" w:themeColor="text1"/>
          <w:szCs w:val="21"/>
        </w:rPr>
        <w:t>”</w:t>
      </w:r>
      <w:r>
        <w:rPr>
          <w:rFonts w:eastAsiaTheme="minorEastAsia"/>
          <w:color w:val="000000" w:themeColor="text1"/>
          <w:szCs w:val="21"/>
        </w:rPr>
        <w:t>的担心，财政超发国债推动美</w:t>
      </w:r>
      <w:r>
        <w:rPr>
          <w:rFonts w:eastAsiaTheme="minorEastAsia"/>
          <w:color w:val="000000" w:themeColor="text1"/>
          <w:szCs w:val="21"/>
        </w:rPr>
        <w:t>10</w:t>
      </w:r>
      <w:r>
        <w:rPr>
          <w:rFonts w:eastAsiaTheme="minorEastAsia"/>
          <w:color w:val="000000" w:themeColor="text1"/>
          <w:szCs w:val="21"/>
        </w:rPr>
        <w:t>年期国债收益率一度上涨到</w:t>
      </w:r>
      <w:r>
        <w:rPr>
          <w:rFonts w:eastAsiaTheme="minorEastAsia"/>
          <w:color w:val="000000" w:themeColor="text1"/>
          <w:szCs w:val="21"/>
        </w:rPr>
        <w:t>5%</w:t>
      </w:r>
      <w:r>
        <w:rPr>
          <w:rFonts w:eastAsiaTheme="minorEastAsia"/>
          <w:color w:val="000000" w:themeColor="text1"/>
          <w:szCs w:val="21"/>
        </w:rPr>
        <w:t>水平。进入</w:t>
      </w:r>
      <w:r>
        <w:rPr>
          <w:rFonts w:eastAsiaTheme="minorEastAsia"/>
          <w:color w:val="000000" w:themeColor="text1"/>
          <w:szCs w:val="21"/>
        </w:rPr>
        <w:t>11</w:t>
      </w:r>
      <w:r>
        <w:rPr>
          <w:rFonts w:eastAsiaTheme="minorEastAsia"/>
          <w:color w:val="000000" w:themeColor="text1"/>
          <w:szCs w:val="21"/>
        </w:rPr>
        <w:t>月后，市场预期稳定下来，随着通胀指标和就业数据陆续公布，</w:t>
      </w:r>
      <w:r>
        <w:rPr>
          <w:rFonts w:eastAsiaTheme="minorEastAsia"/>
          <w:color w:val="000000" w:themeColor="text1"/>
          <w:szCs w:val="21"/>
        </w:rPr>
        <w:t>12</w:t>
      </w:r>
      <w:r>
        <w:rPr>
          <w:rFonts w:eastAsiaTheme="minorEastAsia"/>
          <w:color w:val="000000" w:themeColor="text1"/>
          <w:szCs w:val="21"/>
        </w:rPr>
        <w:t>月的美联储发言论调被解读为鸽派表述，即美联储承认利率见顶，未来可以讨论降息可能性。于是美</w:t>
      </w:r>
      <w:r>
        <w:rPr>
          <w:rFonts w:eastAsiaTheme="minorEastAsia"/>
          <w:color w:val="000000" w:themeColor="text1"/>
          <w:szCs w:val="21"/>
        </w:rPr>
        <w:t>10</w:t>
      </w:r>
      <w:r>
        <w:rPr>
          <w:rFonts w:eastAsiaTheme="minorEastAsia"/>
          <w:color w:val="000000" w:themeColor="text1"/>
          <w:szCs w:val="21"/>
        </w:rPr>
        <w:t>年期国债收益率快速回落到</w:t>
      </w:r>
      <w:r>
        <w:rPr>
          <w:rFonts w:eastAsiaTheme="minorEastAsia"/>
          <w:color w:val="000000" w:themeColor="text1"/>
          <w:szCs w:val="21"/>
        </w:rPr>
        <w:t>4%</w:t>
      </w:r>
      <w:r>
        <w:rPr>
          <w:rFonts w:eastAsiaTheme="minorEastAsia"/>
          <w:color w:val="000000" w:themeColor="text1"/>
          <w:szCs w:val="21"/>
        </w:rPr>
        <w:t>以下。</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当前市场反映的</w:t>
      </w:r>
      <w:r>
        <w:rPr>
          <w:rFonts w:eastAsiaTheme="minorEastAsia"/>
          <w:color w:val="000000" w:themeColor="text1"/>
          <w:szCs w:val="21"/>
        </w:rPr>
        <w:t>2024</w:t>
      </w:r>
      <w:r>
        <w:rPr>
          <w:rFonts w:eastAsiaTheme="minorEastAsia"/>
          <w:color w:val="000000" w:themeColor="text1"/>
          <w:szCs w:val="21"/>
        </w:rPr>
        <w:t>年美联储</w:t>
      </w:r>
      <w:r>
        <w:rPr>
          <w:rFonts w:eastAsiaTheme="minorEastAsia"/>
          <w:color w:val="000000" w:themeColor="text1"/>
          <w:szCs w:val="21"/>
        </w:rPr>
        <w:t>6</w:t>
      </w:r>
      <w:r>
        <w:rPr>
          <w:rFonts w:eastAsiaTheme="minorEastAsia"/>
          <w:color w:val="000000" w:themeColor="text1"/>
          <w:szCs w:val="21"/>
        </w:rPr>
        <w:t>次降息的预期已经超出了美联储点阵图所预示的</w:t>
      </w:r>
      <w:r>
        <w:rPr>
          <w:rFonts w:eastAsiaTheme="minorEastAsia"/>
          <w:color w:val="000000" w:themeColor="text1"/>
          <w:szCs w:val="21"/>
        </w:rPr>
        <w:t>3</w:t>
      </w:r>
      <w:r>
        <w:rPr>
          <w:rFonts w:eastAsiaTheme="minorEastAsia"/>
          <w:color w:val="000000" w:themeColor="text1"/>
          <w:szCs w:val="21"/>
        </w:rPr>
        <w:t>次降息的情形。当前收益率曲线倒挂形态仍然是短端利率高于长端，我们倾向于认为长久期利率债价格在</w:t>
      </w:r>
      <w:r>
        <w:rPr>
          <w:rFonts w:eastAsiaTheme="minorEastAsia"/>
          <w:color w:val="000000" w:themeColor="text1"/>
          <w:szCs w:val="21"/>
        </w:rPr>
        <w:t>2023</w:t>
      </w:r>
      <w:r>
        <w:rPr>
          <w:rFonts w:eastAsiaTheme="minorEastAsia"/>
          <w:color w:val="000000" w:themeColor="text1"/>
          <w:szCs w:val="21"/>
        </w:rPr>
        <w:t>年最后</w:t>
      </w:r>
      <w:r>
        <w:rPr>
          <w:rFonts w:eastAsiaTheme="minorEastAsia"/>
          <w:color w:val="000000" w:themeColor="text1"/>
          <w:szCs w:val="21"/>
        </w:rPr>
        <w:t>1</w:t>
      </w:r>
      <w:r>
        <w:rPr>
          <w:rFonts w:eastAsiaTheme="minorEastAsia"/>
          <w:color w:val="000000" w:themeColor="text1"/>
          <w:szCs w:val="21"/>
        </w:rPr>
        <w:t>个多月的快速上涨之后，将会维持震荡。</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出于稳健审慎管理净值波动的考虑，报告期内基金配置保持短久期高流动性布局，对长端利率的机会保持关注。</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展望后市，美国通胀下降和美联储宽松政策的前景正在增加关于美国经济软着陆的预期，而不是经济衰退、硬着陆和熊市的预期。尽管一些领先指标表明经济增长放缓，但远没有到崩溃的程度。即</w:t>
      </w:r>
      <w:r>
        <w:rPr>
          <w:rFonts w:eastAsiaTheme="minorEastAsia"/>
          <w:color w:val="000000" w:themeColor="text1"/>
          <w:szCs w:val="21"/>
        </w:rPr>
        <w:t>2024</w:t>
      </w:r>
      <w:r>
        <w:rPr>
          <w:rFonts w:eastAsiaTheme="minorEastAsia"/>
          <w:color w:val="000000" w:themeColor="text1"/>
          <w:szCs w:val="21"/>
        </w:rPr>
        <w:t>年仍有经济放缓减速的风险，不过即使确实发生了，也可能是温和的，特别是在美联储为银行体系提供充足的流动性的情况下。上述一致预期面临的首要风险是通胀意外再次抬升，导致央行再度开始加长的加息周期。因此，短期内相短久期固收资产相对更安全。要保持观望是一个艰难的事情，但这是各国央行造成的环境，持有债券是在软着陆和衰退情景都合适的策略。因为当央行最后一次加息之后，债券收益率通常会下行，从而产生可观的资本利得收益。后续如果债券再次遭到抛售，或是一个较好的布局时机。</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:-0.44%</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:6.93%</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619,204,801.73</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76.52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102,913,098.18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12.72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102,913,098.18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12.72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66,468,717.95</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8.21</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20,638,852.98</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2.55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809,225,470.84</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本基金本报告期末未持有股票及存托凭证。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本基金本报告期末未持有股票及存托凭证。</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本基金本报告期末未持有股票及存托凭证。</w:t>
      </w:r>
    </w:p>
    <w:p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76A42" w:rsidTr="00797DD2">
        <w:tc>
          <w:tcPr>
            <w:tcW w:w="2837" w:type="dxa"/>
            <w:vAlign w:val="center"/>
          </w:tcPr>
          <w:p w:rsidR="00E73C41" w:rsidRPr="00A76A42"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债券信用等级</w:t>
            </w:r>
          </w:p>
        </w:tc>
        <w:tc>
          <w:tcPr>
            <w:tcW w:w="2838" w:type="dxa"/>
            <w:vAlign w:val="center"/>
          </w:tcPr>
          <w:p w:rsidR="00E73C41" w:rsidRPr="00A76A42"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2838" w:type="dxa"/>
            <w:vAlign w:val="center"/>
          </w:tcPr>
          <w:p w:rsidR="00E73C41" w:rsidRPr="00A76A42"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D622E1">
        <w:tc>
          <w:tcPr>
            <w:tcW w:w="0" w:type="auto"/>
            <w:vAlign w:val="center"/>
          </w:tcPr>
          <w:p w:rsidR="00D622E1" w:rsidRDefault="00BE32C8">
            <w:pPr>
              <w:jc w:val="left"/>
            </w:pPr>
            <w:r>
              <w:rPr>
                <w:rFonts w:eastAsiaTheme="minorEastAsia"/>
                <w:color w:val="000000" w:themeColor="text1"/>
                <w:szCs w:val="21"/>
              </w:rPr>
              <w:t>AAA</w:t>
            </w:r>
          </w:p>
        </w:tc>
        <w:tc>
          <w:tcPr>
            <w:tcW w:w="0" w:type="auto"/>
            <w:vAlign w:val="center"/>
          </w:tcPr>
          <w:p w:rsidR="00D622E1" w:rsidRDefault="00BE32C8">
            <w:pPr>
              <w:jc w:val="right"/>
            </w:pPr>
            <w:r>
              <w:rPr>
                <w:rFonts w:eastAsiaTheme="minorEastAsia"/>
                <w:color w:val="000000" w:themeColor="text1"/>
                <w:szCs w:val="21"/>
              </w:rPr>
              <w:t>-</w:t>
            </w:r>
          </w:p>
        </w:tc>
        <w:tc>
          <w:tcPr>
            <w:tcW w:w="0" w:type="auto"/>
            <w:vAlign w:val="center"/>
          </w:tcPr>
          <w:p w:rsidR="00D622E1" w:rsidRDefault="00BE32C8">
            <w:pPr>
              <w:jc w:val="right"/>
            </w:pPr>
            <w:r>
              <w:rPr>
                <w:rFonts w:eastAsiaTheme="minorEastAsia"/>
                <w:color w:val="000000" w:themeColor="text1"/>
                <w:szCs w:val="21"/>
              </w:rPr>
              <w:t>-</w:t>
            </w:r>
          </w:p>
        </w:tc>
      </w:tr>
      <w:tr w:rsidR="00D622E1">
        <w:tc>
          <w:tcPr>
            <w:tcW w:w="0" w:type="auto"/>
            <w:vAlign w:val="center"/>
          </w:tcPr>
          <w:p w:rsidR="00D622E1" w:rsidRDefault="00BE32C8">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rsidR="00D622E1" w:rsidRDefault="00BE32C8">
            <w:pPr>
              <w:jc w:val="right"/>
            </w:pPr>
            <w:r>
              <w:rPr>
                <w:rFonts w:eastAsiaTheme="minorEastAsia"/>
                <w:color w:val="000000" w:themeColor="text1"/>
                <w:szCs w:val="21"/>
              </w:rPr>
              <w:t>102,913,098.18</w:t>
            </w:r>
          </w:p>
        </w:tc>
        <w:tc>
          <w:tcPr>
            <w:tcW w:w="0" w:type="auto"/>
            <w:vAlign w:val="center"/>
          </w:tcPr>
          <w:p w:rsidR="00D622E1" w:rsidRDefault="00BE32C8">
            <w:pPr>
              <w:jc w:val="right"/>
            </w:pPr>
            <w:r>
              <w:rPr>
                <w:rFonts w:eastAsiaTheme="minorEastAsia"/>
                <w:color w:val="000000" w:themeColor="text1"/>
                <w:szCs w:val="21"/>
              </w:rPr>
              <w:t>13.70</w:t>
            </w:r>
          </w:p>
        </w:tc>
      </w:tr>
      <w:tr w:rsidR="00D622E1">
        <w:tc>
          <w:tcPr>
            <w:tcW w:w="0" w:type="auto"/>
            <w:vAlign w:val="center"/>
          </w:tcPr>
          <w:p w:rsidR="00D622E1" w:rsidRDefault="00BE32C8">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rsidR="00D622E1" w:rsidRDefault="00BE32C8">
            <w:pPr>
              <w:jc w:val="right"/>
            </w:pPr>
            <w:r>
              <w:rPr>
                <w:rFonts w:eastAsiaTheme="minorEastAsia"/>
                <w:color w:val="000000" w:themeColor="text1"/>
                <w:szCs w:val="21"/>
              </w:rPr>
              <w:t>-</w:t>
            </w:r>
          </w:p>
        </w:tc>
        <w:tc>
          <w:tcPr>
            <w:tcW w:w="0" w:type="auto"/>
            <w:vAlign w:val="center"/>
          </w:tcPr>
          <w:p w:rsidR="00D622E1" w:rsidRDefault="00BE32C8">
            <w:pPr>
              <w:jc w:val="right"/>
            </w:pPr>
            <w:r>
              <w:rPr>
                <w:rFonts w:eastAsiaTheme="minorEastAsia"/>
                <w:color w:val="000000" w:themeColor="text1"/>
                <w:szCs w:val="21"/>
              </w:rPr>
              <w:t>-</w:t>
            </w:r>
          </w:p>
        </w:tc>
      </w:tr>
      <w:tr w:rsidR="00D622E1">
        <w:tc>
          <w:tcPr>
            <w:tcW w:w="0" w:type="auto"/>
            <w:vAlign w:val="center"/>
          </w:tcPr>
          <w:p w:rsidR="00D622E1" w:rsidRDefault="00BE32C8">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rsidR="00D622E1" w:rsidRDefault="00BE32C8">
            <w:pPr>
              <w:jc w:val="right"/>
            </w:pPr>
            <w:r>
              <w:rPr>
                <w:rFonts w:eastAsiaTheme="minorEastAsia"/>
                <w:color w:val="000000" w:themeColor="text1"/>
                <w:szCs w:val="21"/>
              </w:rPr>
              <w:t>-</w:t>
            </w:r>
          </w:p>
        </w:tc>
        <w:tc>
          <w:tcPr>
            <w:tcW w:w="0" w:type="auto"/>
            <w:vAlign w:val="center"/>
          </w:tcPr>
          <w:p w:rsidR="00D622E1" w:rsidRDefault="00BE32C8">
            <w:pPr>
              <w:jc w:val="right"/>
            </w:pPr>
            <w:r>
              <w:rPr>
                <w:rFonts w:eastAsiaTheme="minorEastAsia"/>
                <w:color w:val="000000" w:themeColor="text1"/>
                <w:szCs w:val="21"/>
              </w:rPr>
              <w:t>-</w:t>
            </w:r>
          </w:p>
        </w:tc>
      </w:tr>
      <w:tr w:rsidR="00D622E1">
        <w:tc>
          <w:tcPr>
            <w:tcW w:w="0" w:type="auto"/>
            <w:vAlign w:val="center"/>
          </w:tcPr>
          <w:p w:rsidR="00D622E1" w:rsidRDefault="00BE32C8">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rsidR="00D622E1" w:rsidRDefault="00BE32C8">
            <w:pPr>
              <w:jc w:val="right"/>
            </w:pPr>
            <w:r>
              <w:rPr>
                <w:rFonts w:eastAsiaTheme="minorEastAsia"/>
                <w:color w:val="000000" w:themeColor="text1"/>
                <w:szCs w:val="21"/>
              </w:rPr>
              <w:t>-</w:t>
            </w:r>
          </w:p>
        </w:tc>
        <w:tc>
          <w:tcPr>
            <w:tcW w:w="0" w:type="auto"/>
            <w:vAlign w:val="center"/>
          </w:tcPr>
          <w:p w:rsidR="00D622E1" w:rsidRDefault="00BE32C8">
            <w:pPr>
              <w:jc w:val="right"/>
            </w:pPr>
            <w:r>
              <w:rPr>
                <w:rFonts w:eastAsiaTheme="minorEastAsia"/>
                <w:color w:val="000000" w:themeColor="text1"/>
                <w:szCs w:val="21"/>
              </w:rPr>
              <w:t>-</w:t>
            </w:r>
          </w:p>
        </w:tc>
      </w:tr>
    </w:tbl>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注：本基金债券投资组合主要采用标准普尔、惠誉等国际权威评级机构提供的债券信用评级信息。</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76A42" w:rsidTr="00B918B8">
        <w:tc>
          <w:tcPr>
            <w:tcW w:w="125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1310"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债券代码</w:t>
            </w:r>
          </w:p>
        </w:tc>
        <w:tc>
          <w:tcPr>
            <w:tcW w:w="128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债券名称</w:t>
            </w:r>
          </w:p>
        </w:tc>
        <w:tc>
          <w:tcPr>
            <w:tcW w:w="1426"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数量</w:t>
            </w:r>
            <w:r w:rsidRPr="00A76A42">
              <w:rPr>
                <w:rFonts w:eastAsiaTheme="minorEastAsia"/>
                <w:color w:val="000000" w:themeColor="text1"/>
                <w:szCs w:val="21"/>
              </w:rPr>
              <w:t>(</w:t>
            </w:r>
            <w:r w:rsidRPr="00A76A42">
              <w:rPr>
                <w:rFonts w:eastAsiaTheme="minorEastAsia"/>
                <w:color w:val="000000" w:themeColor="text1"/>
                <w:szCs w:val="21"/>
              </w:rPr>
              <w:t>张</w:t>
            </w:r>
            <w:r w:rsidRPr="00A76A42">
              <w:rPr>
                <w:rFonts w:eastAsiaTheme="minorEastAsia"/>
                <w:color w:val="000000" w:themeColor="text1"/>
                <w:szCs w:val="21"/>
              </w:rPr>
              <w:t>)</w:t>
            </w:r>
          </w:p>
        </w:tc>
        <w:tc>
          <w:tcPr>
            <w:tcW w:w="1646"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公允价值</w:t>
            </w:r>
            <w:r w:rsidRPr="00A76A42">
              <w:rPr>
                <w:rFonts w:eastAsiaTheme="minorEastAsia"/>
                <w:color w:val="000000" w:themeColor="text1"/>
                <w:szCs w:val="21"/>
              </w:rPr>
              <w:t>(</w:t>
            </w:r>
            <w:r w:rsidRPr="00A76A42">
              <w:rPr>
                <w:rFonts w:eastAsiaTheme="minorEastAsia"/>
                <w:color w:val="000000" w:themeColor="text1"/>
                <w:szCs w:val="21"/>
              </w:rPr>
              <w:t>元</w:t>
            </w:r>
            <w:r w:rsidRPr="00A76A42">
              <w:rPr>
                <w:rFonts w:eastAsiaTheme="minorEastAsia"/>
                <w:color w:val="000000" w:themeColor="text1"/>
                <w:szCs w:val="21"/>
              </w:rPr>
              <w:t>)</w:t>
            </w:r>
          </w:p>
        </w:tc>
        <w:tc>
          <w:tcPr>
            <w:tcW w:w="161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r w:rsidRPr="00A76A42">
              <w:rPr>
                <w:rFonts w:eastAsiaTheme="minorEastAsia"/>
                <w:color w:val="000000" w:themeColor="text1"/>
                <w:szCs w:val="21"/>
              </w:rPr>
              <w:t>％</w:t>
            </w:r>
            <w:r w:rsidRPr="00A76A42">
              <w:rPr>
                <w:rFonts w:eastAsiaTheme="minorEastAsia"/>
                <w:color w:val="000000" w:themeColor="text1"/>
                <w:szCs w:val="21"/>
              </w:rPr>
              <w:t>)</w:t>
            </w:r>
          </w:p>
        </w:tc>
      </w:tr>
      <w:tr w:rsidR="00D622E1">
        <w:tc>
          <w:tcPr>
            <w:tcW w:w="1252" w:type="dxa"/>
            <w:vAlign w:val="center"/>
          </w:tcPr>
          <w:p w:rsidR="00D622E1" w:rsidRDefault="00BE32C8">
            <w:pPr>
              <w:jc w:val="center"/>
            </w:pPr>
            <w:r>
              <w:rPr>
                <w:rFonts w:eastAsiaTheme="minorEastAsia"/>
                <w:color w:val="000000" w:themeColor="text1"/>
                <w:szCs w:val="21"/>
              </w:rPr>
              <w:t>1</w:t>
            </w:r>
          </w:p>
        </w:tc>
        <w:tc>
          <w:tcPr>
            <w:tcW w:w="1310" w:type="dxa"/>
            <w:vAlign w:val="center"/>
          </w:tcPr>
          <w:p w:rsidR="00D622E1" w:rsidRDefault="00BE32C8">
            <w:pPr>
              <w:jc w:val="center"/>
            </w:pPr>
            <w:r>
              <w:rPr>
                <w:rFonts w:eastAsiaTheme="minorEastAsia"/>
                <w:color w:val="000000" w:themeColor="text1"/>
                <w:szCs w:val="21"/>
              </w:rPr>
              <w:t>US912797GY72</w:t>
            </w:r>
          </w:p>
        </w:tc>
        <w:tc>
          <w:tcPr>
            <w:tcW w:w="1282" w:type="dxa"/>
            <w:vAlign w:val="center"/>
          </w:tcPr>
          <w:p w:rsidR="00D622E1" w:rsidRDefault="00BE32C8">
            <w:pPr>
              <w:jc w:val="center"/>
            </w:pPr>
            <w:r>
              <w:rPr>
                <w:rFonts w:eastAsiaTheme="minorEastAsia"/>
                <w:color w:val="000000" w:themeColor="text1"/>
                <w:szCs w:val="21"/>
              </w:rPr>
              <w:t>B 0.0 28MAR24</w:t>
            </w:r>
          </w:p>
        </w:tc>
        <w:tc>
          <w:tcPr>
            <w:tcW w:w="1426" w:type="dxa"/>
            <w:vAlign w:val="center"/>
          </w:tcPr>
          <w:p w:rsidR="00D622E1" w:rsidRDefault="00BE32C8">
            <w:pPr>
              <w:jc w:val="right"/>
            </w:pPr>
            <w:r>
              <w:rPr>
                <w:rFonts w:eastAsiaTheme="minorEastAsia"/>
                <w:color w:val="000000" w:themeColor="text1"/>
                <w:szCs w:val="21"/>
              </w:rPr>
              <w:t>147,212</w:t>
            </w:r>
          </w:p>
        </w:tc>
        <w:tc>
          <w:tcPr>
            <w:tcW w:w="1646" w:type="dxa"/>
            <w:vAlign w:val="center"/>
          </w:tcPr>
          <w:p w:rsidR="00D622E1" w:rsidRDefault="00BE32C8">
            <w:pPr>
              <w:jc w:val="right"/>
            </w:pPr>
            <w:r>
              <w:rPr>
                <w:rFonts w:eastAsiaTheme="minorEastAsia"/>
                <w:color w:val="000000" w:themeColor="text1"/>
                <w:szCs w:val="21"/>
              </w:rPr>
              <w:t>102,913,098.18</w:t>
            </w:r>
          </w:p>
        </w:tc>
        <w:tc>
          <w:tcPr>
            <w:tcW w:w="1612" w:type="dxa"/>
            <w:vAlign w:val="center"/>
          </w:tcPr>
          <w:p w:rsidR="00D622E1" w:rsidRDefault="00BE32C8">
            <w:pPr>
              <w:jc w:val="right"/>
            </w:pPr>
            <w:r>
              <w:rPr>
                <w:rFonts w:eastAsiaTheme="minorEastAsia"/>
                <w:color w:val="000000" w:themeColor="text1"/>
                <w:szCs w:val="21"/>
              </w:rPr>
              <w:t>13.70</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26"/>
        <w:gridCol w:w="2165"/>
        <w:gridCol w:w="538"/>
        <w:gridCol w:w="707"/>
        <w:gridCol w:w="2293"/>
        <w:gridCol w:w="1529"/>
        <w:gridCol w:w="755"/>
      </w:tblGrid>
      <w:tr w:rsidR="008277FF" w:rsidRPr="00A76A42" w:rsidTr="00BE32C8">
        <w:tc>
          <w:tcPr>
            <w:tcW w:w="798"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序号</w:t>
            </w:r>
          </w:p>
        </w:tc>
        <w:tc>
          <w:tcPr>
            <w:tcW w:w="2733"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基金名称</w:t>
            </w:r>
          </w:p>
        </w:tc>
        <w:tc>
          <w:tcPr>
            <w:tcW w:w="798"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基金类型</w:t>
            </w:r>
          </w:p>
        </w:tc>
        <w:tc>
          <w:tcPr>
            <w:tcW w:w="920"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运作方式</w:t>
            </w:r>
          </w:p>
        </w:tc>
        <w:tc>
          <w:tcPr>
            <w:tcW w:w="798"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管理人</w:t>
            </w:r>
          </w:p>
        </w:tc>
        <w:tc>
          <w:tcPr>
            <w:tcW w:w="1529"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公允价值</w:t>
            </w:r>
          </w:p>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（人民币元）</w:t>
            </w:r>
          </w:p>
        </w:tc>
        <w:tc>
          <w:tcPr>
            <w:tcW w:w="937"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p>
        </w:tc>
      </w:tr>
      <w:tr w:rsidR="00BE32C8">
        <w:tc>
          <w:tcPr>
            <w:tcW w:w="0" w:type="auto"/>
            <w:vAlign w:val="center"/>
          </w:tcPr>
          <w:p w:rsidR="00BE32C8" w:rsidRDefault="00BE32C8" w:rsidP="00BE32C8">
            <w:pPr>
              <w:jc w:val="center"/>
            </w:pPr>
            <w:r>
              <w:rPr>
                <w:rFonts w:eastAsiaTheme="minorEastAsia"/>
                <w:color w:val="000000" w:themeColor="text1"/>
                <w:szCs w:val="21"/>
              </w:rPr>
              <w:t>1</w:t>
            </w:r>
          </w:p>
        </w:tc>
        <w:tc>
          <w:tcPr>
            <w:tcW w:w="0" w:type="auto"/>
            <w:vAlign w:val="center"/>
          </w:tcPr>
          <w:p w:rsidR="00BE32C8" w:rsidRDefault="00BE32C8" w:rsidP="00BE32C8">
            <w:pPr>
              <w:jc w:val="center"/>
            </w:pPr>
            <w:r>
              <w:rPr>
                <w:rFonts w:eastAsiaTheme="minorEastAsia"/>
                <w:color w:val="000000" w:themeColor="text1"/>
                <w:szCs w:val="21"/>
              </w:rPr>
              <w:t>JPM MGD RESERVES-I ACC USD</w:t>
            </w:r>
          </w:p>
        </w:tc>
        <w:tc>
          <w:tcPr>
            <w:tcW w:w="0" w:type="auto"/>
            <w:vAlign w:val="center"/>
          </w:tcPr>
          <w:p w:rsidR="00BE32C8" w:rsidRDefault="00BE32C8" w:rsidP="00BE32C8">
            <w:pPr>
              <w:jc w:val="center"/>
            </w:pPr>
            <w:r>
              <w:rPr>
                <w:rFonts w:eastAsiaTheme="minorEastAsia"/>
                <w:color w:val="000000" w:themeColor="text1"/>
                <w:szCs w:val="21"/>
              </w:rPr>
              <w:t>债券型</w:t>
            </w:r>
          </w:p>
        </w:tc>
        <w:tc>
          <w:tcPr>
            <w:tcW w:w="0" w:type="auto"/>
            <w:vAlign w:val="center"/>
          </w:tcPr>
          <w:p w:rsidR="00BE32C8" w:rsidRDefault="00BE32C8" w:rsidP="00BE32C8">
            <w:pPr>
              <w:jc w:val="center"/>
            </w:pPr>
            <w:r>
              <w:rPr>
                <w:rFonts w:eastAsiaTheme="minorEastAsia"/>
                <w:color w:val="000000" w:themeColor="text1"/>
                <w:szCs w:val="21"/>
              </w:rPr>
              <w:t>开放式</w:t>
            </w:r>
          </w:p>
        </w:tc>
        <w:tc>
          <w:tcPr>
            <w:tcW w:w="0" w:type="auto"/>
            <w:vAlign w:val="center"/>
          </w:tcPr>
          <w:p w:rsidR="00BE32C8" w:rsidRPr="00BE32C8" w:rsidRDefault="00BE32C8" w:rsidP="00BE32C8">
            <w:pPr>
              <w:jc w:val="center"/>
            </w:pPr>
            <w:r w:rsidRPr="00182CA7">
              <w:rPr>
                <w:color w:val="000000"/>
                <w:sz w:val="20"/>
                <w:szCs w:val="20"/>
              </w:rPr>
              <w:t>JPMorgan Asset Management Europe Sarl</w:t>
            </w:r>
          </w:p>
        </w:tc>
        <w:tc>
          <w:tcPr>
            <w:tcW w:w="0" w:type="auto"/>
            <w:vAlign w:val="center"/>
          </w:tcPr>
          <w:p w:rsidR="00BE32C8" w:rsidRDefault="00BE32C8" w:rsidP="00BE32C8">
            <w:pPr>
              <w:jc w:val="right"/>
            </w:pPr>
            <w:r>
              <w:rPr>
                <w:rFonts w:eastAsiaTheme="minorEastAsia"/>
                <w:color w:val="000000" w:themeColor="text1"/>
                <w:szCs w:val="21"/>
              </w:rPr>
              <w:t>146,673,111.44</w:t>
            </w:r>
          </w:p>
        </w:tc>
        <w:tc>
          <w:tcPr>
            <w:tcW w:w="0" w:type="auto"/>
            <w:vAlign w:val="center"/>
          </w:tcPr>
          <w:p w:rsidR="00BE32C8" w:rsidRDefault="00BE32C8" w:rsidP="00BE32C8">
            <w:pPr>
              <w:jc w:val="right"/>
            </w:pPr>
            <w:r>
              <w:rPr>
                <w:rFonts w:eastAsiaTheme="minorEastAsia"/>
                <w:color w:val="000000" w:themeColor="text1"/>
                <w:szCs w:val="21"/>
              </w:rPr>
              <w:t>19.53</w:t>
            </w:r>
          </w:p>
        </w:tc>
      </w:tr>
      <w:tr w:rsidR="00BE32C8">
        <w:tc>
          <w:tcPr>
            <w:tcW w:w="0" w:type="auto"/>
            <w:vAlign w:val="center"/>
          </w:tcPr>
          <w:p w:rsidR="00BE32C8" w:rsidRDefault="00BE32C8" w:rsidP="00BE32C8">
            <w:pPr>
              <w:jc w:val="center"/>
            </w:pPr>
            <w:r>
              <w:rPr>
                <w:rFonts w:eastAsiaTheme="minorEastAsia"/>
                <w:color w:val="000000" w:themeColor="text1"/>
                <w:szCs w:val="21"/>
              </w:rPr>
              <w:t>2</w:t>
            </w:r>
          </w:p>
        </w:tc>
        <w:tc>
          <w:tcPr>
            <w:tcW w:w="0" w:type="auto"/>
            <w:vAlign w:val="center"/>
          </w:tcPr>
          <w:p w:rsidR="00BE32C8" w:rsidRDefault="00BE32C8" w:rsidP="00BE32C8">
            <w:pPr>
              <w:jc w:val="center"/>
            </w:pPr>
            <w:r>
              <w:rPr>
                <w:rFonts w:eastAsiaTheme="minorEastAsia"/>
                <w:color w:val="000000" w:themeColor="text1"/>
                <w:szCs w:val="21"/>
              </w:rPr>
              <w:t>JPM BETA USTRES 0-1 USD UCITS LN</w:t>
            </w:r>
          </w:p>
        </w:tc>
        <w:tc>
          <w:tcPr>
            <w:tcW w:w="0" w:type="auto"/>
            <w:vAlign w:val="center"/>
          </w:tcPr>
          <w:p w:rsidR="00BE32C8" w:rsidRDefault="00BE32C8" w:rsidP="00BE32C8">
            <w:pPr>
              <w:jc w:val="center"/>
            </w:pPr>
            <w:r>
              <w:rPr>
                <w:rFonts w:eastAsiaTheme="minorEastAsia"/>
                <w:color w:val="000000" w:themeColor="text1"/>
                <w:szCs w:val="21"/>
              </w:rPr>
              <w:t>债券型</w:t>
            </w:r>
          </w:p>
        </w:tc>
        <w:tc>
          <w:tcPr>
            <w:tcW w:w="0" w:type="auto"/>
            <w:vAlign w:val="center"/>
          </w:tcPr>
          <w:p w:rsidR="00BE32C8" w:rsidRDefault="00BE32C8" w:rsidP="00BE32C8">
            <w:pPr>
              <w:jc w:val="center"/>
            </w:pPr>
            <w:r>
              <w:rPr>
                <w:rFonts w:eastAsiaTheme="minorEastAsia"/>
                <w:color w:val="000000" w:themeColor="text1"/>
                <w:szCs w:val="21"/>
              </w:rPr>
              <w:t>交易型开放式</w:t>
            </w:r>
          </w:p>
        </w:tc>
        <w:tc>
          <w:tcPr>
            <w:tcW w:w="0" w:type="auto"/>
            <w:vAlign w:val="center"/>
          </w:tcPr>
          <w:p w:rsidR="00BE32C8" w:rsidRPr="00BE32C8" w:rsidRDefault="00BE32C8" w:rsidP="00BE32C8">
            <w:pPr>
              <w:jc w:val="center"/>
            </w:pPr>
            <w:r w:rsidRPr="00182CA7">
              <w:rPr>
                <w:color w:val="000000"/>
                <w:sz w:val="20"/>
                <w:szCs w:val="20"/>
              </w:rPr>
              <w:t>JPMorgan ETFs(Ireland)ICAV</w:t>
            </w:r>
          </w:p>
        </w:tc>
        <w:tc>
          <w:tcPr>
            <w:tcW w:w="0" w:type="auto"/>
            <w:vAlign w:val="center"/>
          </w:tcPr>
          <w:p w:rsidR="00BE32C8" w:rsidRDefault="00BE32C8" w:rsidP="00BE32C8">
            <w:pPr>
              <w:jc w:val="right"/>
            </w:pPr>
            <w:r>
              <w:rPr>
                <w:rFonts w:eastAsiaTheme="minorEastAsia"/>
                <w:color w:val="000000" w:themeColor="text1"/>
                <w:szCs w:val="21"/>
              </w:rPr>
              <w:t>146,459,670.52</w:t>
            </w:r>
          </w:p>
        </w:tc>
        <w:tc>
          <w:tcPr>
            <w:tcW w:w="0" w:type="auto"/>
            <w:vAlign w:val="center"/>
          </w:tcPr>
          <w:p w:rsidR="00BE32C8" w:rsidRDefault="00BE32C8" w:rsidP="00BE32C8">
            <w:pPr>
              <w:jc w:val="right"/>
            </w:pPr>
            <w:r>
              <w:rPr>
                <w:rFonts w:eastAsiaTheme="minorEastAsia"/>
                <w:color w:val="000000" w:themeColor="text1"/>
                <w:szCs w:val="21"/>
              </w:rPr>
              <w:t>19.50</w:t>
            </w:r>
          </w:p>
        </w:tc>
      </w:tr>
      <w:tr w:rsidR="00BE32C8">
        <w:tc>
          <w:tcPr>
            <w:tcW w:w="0" w:type="auto"/>
            <w:vAlign w:val="center"/>
          </w:tcPr>
          <w:p w:rsidR="00BE32C8" w:rsidRDefault="00BE32C8" w:rsidP="00BE32C8">
            <w:pPr>
              <w:jc w:val="center"/>
            </w:pPr>
            <w:r>
              <w:rPr>
                <w:rFonts w:eastAsiaTheme="minorEastAsia"/>
                <w:color w:val="000000" w:themeColor="text1"/>
                <w:szCs w:val="21"/>
              </w:rPr>
              <w:t>3</w:t>
            </w:r>
          </w:p>
        </w:tc>
        <w:tc>
          <w:tcPr>
            <w:tcW w:w="0" w:type="auto"/>
            <w:vAlign w:val="center"/>
          </w:tcPr>
          <w:p w:rsidR="00BE32C8" w:rsidRDefault="00BE32C8" w:rsidP="00BE32C8">
            <w:pPr>
              <w:jc w:val="center"/>
            </w:pPr>
            <w:r>
              <w:rPr>
                <w:rFonts w:eastAsiaTheme="minorEastAsia"/>
                <w:color w:val="000000" w:themeColor="text1"/>
                <w:szCs w:val="21"/>
              </w:rPr>
              <w:t>JPM USD ULTSHT INC UCITS ETF LN</w:t>
            </w:r>
          </w:p>
        </w:tc>
        <w:tc>
          <w:tcPr>
            <w:tcW w:w="0" w:type="auto"/>
            <w:vAlign w:val="center"/>
          </w:tcPr>
          <w:p w:rsidR="00BE32C8" w:rsidRDefault="00BE32C8" w:rsidP="00BE32C8">
            <w:pPr>
              <w:jc w:val="center"/>
            </w:pPr>
            <w:r>
              <w:rPr>
                <w:rFonts w:eastAsiaTheme="minorEastAsia"/>
                <w:color w:val="000000" w:themeColor="text1"/>
                <w:szCs w:val="21"/>
              </w:rPr>
              <w:t>债券型</w:t>
            </w:r>
          </w:p>
        </w:tc>
        <w:tc>
          <w:tcPr>
            <w:tcW w:w="0" w:type="auto"/>
            <w:vAlign w:val="center"/>
          </w:tcPr>
          <w:p w:rsidR="00BE32C8" w:rsidRDefault="00BE32C8" w:rsidP="00BE32C8">
            <w:pPr>
              <w:jc w:val="center"/>
            </w:pPr>
            <w:r>
              <w:rPr>
                <w:rFonts w:eastAsiaTheme="minorEastAsia"/>
                <w:color w:val="000000" w:themeColor="text1"/>
                <w:szCs w:val="21"/>
              </w:rPr>
              <w:t>交易型开放式</w:t>
            </w:r>
          </w:p>
        </w:tc>
        <w:tc>
          <w:tcPr>
            <w:tcW w:w="0" w:type="auto"/>
            <w:vAlign w:val="center"/>
          </w:tcPr>
          <w:p w:rsidR="00BE32C8" w:rsidRPr="00BE32C8" w:rsidRDefault="00BE32C8" w:rsidP="00BE32C8">
            <w:pPr>
              <w:jc w:val="center"/>
            </w:pPr>
            <w:r w:rsidRPr="00182CA7">
              <w:rPr>
                <w:color w:val="000000"/>
                <w:sz w:val="20"/>
                <w:szCs w:val="20"/>
              </w:rPr>
              <w:t xml:space="preserve">JPMorgan ETFs(Ireland)ICAV </w:t>
            </w:r>
          </w:p>
        </w:tc>
        <w:tc>
          <w:tcPr>
            <w:tcW w:w="0" w:type="auto"/>
            <w:vAlign w:val="center"/>
          </w:tcPr>
          <w:p w:rsidR="00BE32C8" w:rsidRDefault="00BE32C8" w:rsidP="00BE32C8">
            <w:pPr>
              <w:jc w:val="right"/>
            </w:pPr>
            <w:r>
              <w:rPr>
                <w:rFonts w:eastAsiaTheme="minorEastAsia"/>
                <w:color w:val="000000" w:themeColor="text1"/>
                <w:szCs w:val="21"/>
              </w:rPr>
              <w:t>146,436,359.38</w:t>
            </w:r>
          </w:p>
        </w:tc>
        <w:tc>
          <w:tcPr>
            <w:tcW w:w="0" w:type="auto"/>
            <w:vAlign w:val="center"/>
          </w:tcPr>
          <w:p w:rsidR="00BE32C8" w:rsidRDefault="00BE32C8" w:rsidP="00BE32C8">
            <w:pPr>
              <w:jc w:val="right"/>
            </w:pPr>
            <w:r>
              <w:rPr>
                <w:rFonts w:eastAsiaTheme="minorEastAsia"/>
                <w:color w:val="000000" w:themeColor="text1"/>
                <w:szCs w:val="21"/>
              </w:rPr>
              <w:t>19.50</w:t>
            </w:r>
          </w:p>
        </w:tc>
      </w:tr>
      <w:tr w:rsidR="00BE32C8">
        <w:tc>
          <w:tcPr>
            <w:tcW w:w="0" w:type="auto"/>
            <w:vAlign w:val="center"/>
          </w:tcPr>
          <w:p w:rsidR="00BE32C8" w:rsidRDefault="00BE32C8" w:rsidP="00BE32C8">
            <w:pPr>
              <w:jc w:val="center"/>
            </w:pPr>
            <w:r>
              <w:rPr>
                <w:rFonts w:eastAsiaTheme="minorEastAsia"/>
                <w:color w:val="000000" w:themeColor="text1"/>
                <w:szCs w:val="21"/>
              </w:rPr>
              <w:t>4</w:t>
            </w:r>
          </w:p>
        </w:tc>
        <w:tc>
          <w:tcPr>
            <w:tcW w:w="0" w:type="auto"/>
            <w:vAlign w:val="center"/>
          </w:tcPr>
          <w:p w:rsidR="00BE32C8" w:rsidRDefault="00BE32C8" w:rsidP="00BE32C8">
            <w:pPr>
              <w:jc w:val="center"/>
            </w:pPr>
            <w:r>
              <w:rPr>
                <w:rFonts w:eastAsiaTheme="minorEastAsia"/>
                <w:color w:val="000000" w:themeColor="text1"/>
                <w:szCs w:val="21"/>
              </w:rPr>
              <w:t>JPM BETA US TRE BD 0-3 USD A ETF</w:t>
            </w:r>
          </w:p>
        </w:tc>
        <w:tc>
          <w:tcPr>
            <w:tcW w:w="0" w:type="auto"/>
            <w:vAlign w:val="center"/>
          </w:tcPr>
          <w:p w:rsidR="00BE32C8" w:rsidRDefault="00BE32C8" w:rsidP="00BE32C8">
            <w:pPr>
              <w:jc w:val="center"/>
            </w:pPr>
            <w:r>
              <w:rPr>
                <w:rFonts w:eastAsiaTheme="minorEastAsia"/>
                <w:color w:val="000000" w:themeColor="text1"/>
                <w:szCs w:val="21"/>
              </w:rPr>
              <w:t>债券型</w:t>
            </w:r>
          </w:p>
        </w:tc>
        <w:tc>
          <w:tcPr>
            <w:tcW w:w="0" w:type="auto"/>
            <w:vAlign w:val="center"/>
          </w:tcPr>
          <w:p w:rsidR="00BE32C8" w:rsidRDefault="00BE32C8" w:rsidP="00BE32C8">
            <w:pPr>
              <w:jc w:val="center"/>
            </w:pPr>
            <w:r>
              <w:rPr>
                <w:rFonts w:eastAsiaTheme="minorEastAsia"/>
                <w:color w:val="000000" w:themeColor="text1"/>
                <w:szCs w:val="21"/>
              </w:rPr>
              <w:t>交易型开放式</w:t>
            </w:r>
          </w:p>
        </w:tc>
        <w:tc>
          <w:tcPr>
            <w:tcW w:w="0" w:type="auto"/>
            <w:vAlign w:val="center"/>
          </w:tcPr>
          <w:p w:rsidR="00BE32C8" w:rsidRPr="00BE32C8" w:rsidRDefault="00BE32C8" w:rsidP="00BE32C8">
            <w:pPr>
              <w:jc w:val="center"/>
            </w:pPr>
            <w:r w:rsidRPr="00182CA7">
              <w:rPr>
                <w:color w:val="000000"/>
                <w:sz w:val="20"/>
                <w:szCs w:val="20"/>
              </w:rPr>
              <w:t>JPMorgan ETFs(Ireland)ICAV</w:t>
            </w:r>
          </w:p>
        </w:tc>
        <w:tc>
          <w:tcPr>
            <w:tcW w:w="0" w:type="auto"/>
            <w:vAlign w:val="center"/>
          </w:tcPr>
          <w:p w:rsidR="00BE32C8" w:rsidRDefault="00BE32C8" w:rsidP="00BE32C8">
            <w:pPr>
              <w:jc w:val="right"/>
            </w:pPr>
            <w:r>
              <w:rPr>
                <w:rFonts w:eastAsiaTheme="minorEastAsia"/>
                <w:color w:val="000000" w:themeColor="text1"/>
                <w:szCs w:val="21"/>
              </w:rPr>
              <w:t>146,432,409.99</w:t>
            </w:r>
          </w:p>
        </w:tc>
        <w:tc>
          <w:tcPr>
            <w:tcW w:w="0" w:type="auto"/>
            <w:vAlign w:val="center"/>
          </w:tcPr>
          <w:p w:rsidR="00BE32C8" w:rsidRDefault="00BE32C8" w:rsidP="00BE32C8">
            <w:pPr>
              <w:jc w:val="right"/>
            </w:pPr>
            <w:r>
              <w:rPr>
                <w:rFonts w:eastAsiaTheme="minorEastAsia"/>
                <w:color w:val="000000" w:themeColor="text1"/>
                <w:szCs w:val="21"/>
              </w:rPr>
              <w:t>19.50</w:t>
            </w:r>
          </w:p>
        </w:tc>
      </w:tr>
      <w:tr w:rsidR="00BE32C8">
        <w:tc>
          <w:tcPr>
            <w:tcW w:w="0" w:type="auto"/>
            <w:vAlign w:val="center"/>
          </w:tcPr>
          <w:p w:rsidR="00BE32C8" w:rsidRDefault="00BE32C8" w:rsidP="00BE32C8">
            <w:pPr>
              <w:jc w:val="center"/>
            </w:pPr>
            <w:r>
              <w:rPr>
                <w:rFonts w:eastAsiaTheme="minorEastAsia"/>
                <w:color w:val="000000" w:themeColor="text1"/>
                <w:szCs w:val="21"/>
              </w:rPr>
              <w:t>5</w:t>
            </w:r>
          </w:p>
        </w:tc>
        <w:tc>
          <w:tcPr>
            <w:tcW w:w="0" w:type="auto"/>
            <w:vAlign w:val="center"/>
          </w:tcPr>
          <w:p w:rsidR="00BE32C8" w:rsidRDefault="00BE32C8" w:rsidP="00BE32C8">
            <w:pPr>
              <w:jc w:val="center"/>
            </w:pPr>
            <w:r>
              <w:rPr>
                <w:rFonts w:eastAsiaTheme="minorEastAsia"/>
                <w:color w:val="000000" w:themeColor="text1"/>
                <w:szCs w:val="21"/>
              </w:rPr>
              <w:t>JPM USD MONEY MKT VNAV A(ACC)USD</w:t>
            </w:r>
          </w:p>
        </w:tc>
        <w:tc>
          <w:tcPr>
            <w:tcW w:w="0" w:type="auto"/>
            <w:vAlign w:val="center"/>
          </w:tcPr>
          <w:p w:rsidR="00BE32C8" w:rsidRDefault="00BE32C8" w:rsidP="00BE32C8">
            <w:pPr>
              <w:jc w:val="center"/>
            </w:pPr>
            <w:r>
              <w:rPr>
                <w:rFonts w:eastAsiaTheme="minorEastAsia"/>
                <w:color w:val="000000" w:themeColor="text1"/>
                <w:szCs w:val="21"/>
              </w:rPr>
              <w:t>货币型</w:t>
            </w:r>
          </w:p>
        </w:tc>
        <w:tc>
          <w:tcPr>
            <w:tcW w:w="0" w:type="auto"/>
            <w:vAlign w:val="center"/>
          </w:tcPr>
          <w:p w:rsidR="00BE32C8" w:rsidRDefault="00BE32C8" w:rsidP="00BE32C8">
            <w:pPr>
              <w:jc w:val="center"/>
            </w:pPr>
            <w:r>
              <w:rPr>
                <w:rFonts w:eastAsiaTheme="minorEastAsia"/>
                <w:color w:val="000000" w:themeColor="text1"/>
                <w:szCs w:val="21"/>
              </w:rPr>
              <w:t>开放式</w:t>
            </w:r>
          </w:p>
        </w:tc>
        <w:tc>
          <w:tcPr>
            <w:tcW w:w="0" w:type="auto"/>
            <w:vAlign w:val="center"/>
          </w:tcPr>
          <w:p w:rsidR="00BE32C8" w:rsidRPr="00BE32C8" w:rsidRDefault="00BE32C8" w:rsidP="00BE32C8">
            <w:pPr>
              <w:jc w:val="center"/>
            </w:pPr>
            <w:r w:rsidRPr="00182CA7">
              <w:rPr>
                <w:color w:val="000000"/>
                <w:sz w:val="20"/>
                <w:szCs w:val="20"/>
              </w:rPr>
              <w:t>JPMorgan Asset Management Europe Sarl</w:t>
            </w:r>
          </w:p>
        </w:tc>
        <w:tc>
          <w:tcPr>
            <w:tcW w:w="0" w:type="auto"/>
            <w:vAlign w:val="center"/>
          </w:tcPr>
          <w:p w:rsidR="00BE32C8" w:rsidRDefault="00BE32C8" w:rsidP="00BE32C8">
            <w:pPr>
              <w:jc w:val="right"/>
            </w:pPr>
            <w:r>
              <w:rPr>
                <w:rFonts w:eastAsiaTheme="minorEastAsia"/>
                <w:color w:val="000000" w:themeColor="text1"/>
                <w:szCs w:val="21"/>
              </w:rPr>
              <w:t>20,272,159.75</w:t>
            </w:r>
          </w:p>
        </w:tc>
        <w:tc>
          <w:tcPr>
            <w:tcW w:w="0" w:type="auto"/>
            <w:vAlign w:val="center"/>
          </w:tcPr>
          <w:p w:rsidR="00BE32C8" w:rsidRDefault="00BE32C8" w:rsidP="00BE32C8">
            <w:pPr>
              <w:jc w:val="right"/>
            </w:pPr>
            <w:r>
              <w:rPr>
                <w:rFonts w:eastAsiaTheme="minorEastAsia"/>
                <w:color w:val="000000" w:themeColor="text1"/>
                <w:szCs w:val="21"/>
              </w:rPr>
              <w:t>2.70</w:t>
            </w:r>
          </w:p>
        </w:tc>
      </w:tr>
      <w:tr w:rsidR="00BE32C8">
        <w:tc>
          <w:tcPr>
            <w:tcW w:w="0" w:type="auto"/>
            <w:vAlign w:val="center"/>
          </w:tcPr>
          <w:p w:rsidR="00BE32C8" w:rsidRDefault="00BE32C8" w:rsidP="00BE32C8">
            <w:pPr>
              <w:jc w:val="center"/>
            </w:pPr>
            <w:r>
              <w:rPr>
                <w:rFonts w:eastAsiaTheme="minorEastAsia"/>
                <w:color w:val="000000" w:themeColor="text1"/>
                <w:szCs w:val="21"/>
              </w:rPr>
              <w:t>6</w:t>
            </w:r>
          </w:p>
        </w:tc>
        <w:tc>
          <w:tcPr>
            <w:tcW w:w="0" w:type="auto"/>
            <w:vAlign w:val="center"/>
          </w:tcPr>
          <w:p w:rsidR="00BE32C8" w:rsidRDefault="00BE32C8" w:rsidP="00BE32C8">
            <w:pPr>
              <w:jc w:val="center"/>
            </w:pPr>
            <w:r>
              <w:rPr>
                <w:rFonts w:eastAsiaTheme="minorEastAsia"/>
                <w:color w:val="000000" w:themeColor="text1"/>
                <w:szCs w:val="21"/>
              </w:rPr>
              <w:t>JPM APAC MNGD RESV FD C(ACC)-USD</w:t>
            </w:r>
          </w:p>
        </w:tc>
        <w:tc>
          <w:tcPr>
            <w:tcW w:w="0" w:type="auto"/>
            <w:vAlign w:val="center"/>
          </w:tcPr>
          <w:p w:rsidR="00BE32C8" w:rsidRDefault="00BE32C8" w:rsidP="00BE32C8">
            <w:pPr>
              <w:jc w:val="center"/>
            </w:pPr>
            <w:r>
              <w:rPr>
                <w:rFonts w:eastAsiaTheme="minorEastAsia"/>
                <w:color w:val="000000" w:themeColor="text1"/>
                <w:szCs w:val="21"/>
              </w:rPr>
              <w:t>债券型</w:t>
            </w:r>
          </w:p>
        </w:tc>
        <w:tc>
          <w:tcPr>
            <w:tcW w:w="0" w:type="auto"/>
            <w:vAlign w:val="center"/>
          </w:tcPr>
          <w:p w:rsidR="00BE32C8" w:rsidRDefault="00BE32C8" w:rsidP="00BE32C8">
            <w:pPr>
              <w:jc w:val="center"/>
            </w:pPr>
            <w:r>
              <w:rPr>
                <w:rFonts w:eastAsiaTheme="minorEastAsia"/>
                <w:color w:val="000000" w:themeColor="text1"/>
                <w:szCs w:val="21"/>
              </w:rPr>
              <w:t>开放式</w:t>
            </w:r>
          </w:p>
        </w:tc>
        <w:tc>
          <w:tcPr>
            <w:tcW w:w="0" w:type="auto"/>
            <w:vAlign w:val="center"/>
          </w:tcPr>
          <w:p w:rsidR="00BE32C8" w:rsidRPr="00BE32C8" w:rsidRDefault="00BE32C8" w:rsidP="00BE32C8">
            <w:pPr>
              <w:jc w:val="center"/>
            </w:pPr>
            <w:r w:rsidRPr="00182CA7">
              <w:rPr>
                <w:color w:val="000000"/>
                <w:sz w:val="20"/>
                <w:szCs w:val="20"/>
              </w:rPr>
              <w:t xml:space="preserve">JPMorgan Asset Management Europe Sarl </w:t>
            </w:r>
          </w:p>
        </w:tc>
        <w:tc>
          <w:tcPr>
            <w:tcW w:w="0" w:type="auto"/>
            <w:vAlign w:val="center"/>
          </w:tcPr>
          <w:p w:rsidR="00BE32C8" w:rsidRDefault="00BE32C8" w:rsidP="00BE32C8">
            <w:pPr>
              <w:jc w:val="right"/>
            </w:pPr>
            <w:r>
              <w:rPr>
                <w:rFonts w:eastAsiaTheme="minorEastAsia"/>
                <w:color w:val="000000" w:themeColor="text1"/>
                <w:szCs w:val="21"/>
              </w:rPr>
              <w:t>12,931,090.65</w:t>
            </w:r>
          </w:p>
        </w:tc>
        <w:tc>
          <w:tcPr>
            <w:tcW w:w="0" w:type="auto"/>
            <w:vAlign w:val="center"/>
          </w:tcPr>
          <w:p w:rsidR="00BE32C8" w:rsidRDefault="00BE32C8" w:rsidP="00BE32C8">
            <w:pPr>
              <w:jc w:val="right"/>
            </w:pPr>
            <w:r>
              <w:rPr>
                <w:rFonts w:eastAsiaTheme="minorEastAsia"/>
                <w:color w:val="000000" w:themeColor="text1"/>
                <w:szCs w:val="21"/>
              </w:rPr>
              <w:t>1.72</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20,638,852.98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20,638,852.98</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710,768,637.78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236,674,910.59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215,224,298.98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732,219,249.39</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7</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622E1" w:rsidRDefault="00BE32C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w:t>
      </w:r>
      <w:r w:rsidRPr="00A76A42">
        <w:rPr>
          <w:rFonts w:eastAsiaTheme="minorEastAsia"/>
          <w:color w:val="000000" w:themeColor="text1"/>
          <w:szCs w:val="21"/>
        </w:rPr>
        <w:t>八</w:t>
      </w:r>
      <w:r w:rsidRPr="00A76A42">
        <w:rPr>
          <w:rFonts w:eastAsiaTheme="minorEastAsia"/>
          <w:color w:val="000000" w:themeColor="text1"/>
          <w:szCs w:val="21"/>
        </w:rPr>
        <w:t>)</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二〇二四年一月二十二日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1" w:rsidRDefault="002C5A21">
      <w:r>
        <w:separator/>
      </w:r>
    </w:p>
  </w:endnote>
  <w:endnote w:type="continuationSeparator" w:id="0">
    <w:p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182CA7">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182CA7">
      <w:rPr>
        <w:noProof/>
        <w:kern w:val="0"/>
        <w:szCs w:val="21"/>
      </w:rPr>
      <w:t>13</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182CA7">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1" w:rsidRDefault="002C5A21">
      <w:r>
        <w:separator/>
      </w:r>
    </w:p>
  </w:footnote>
  <w:footnote w:type="continuationSeparator" w:id="0">
    <w:p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摩根海外稳健配置混合型证券投资基金</w:t>
    </w:r>
    <w:r w:rsidRPr="006669C9">
      <w:t>(QDII-FOF)2023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2CA7"/>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27F6F"/>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05D2"/>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32C8"/>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2E1"/>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43</TotalTime>
  <Pages>13</Pages>
  <Words>1138</Words>
  <Characters>6492</Characters>
  <Application>Microsoft Office Word</Application>
  <DocSecurity>0</DocSecurity>
  <Lines>54</Lines>
  <Paragraphs>15</Paragraphs>
  <ScaleCrop>false</ScaleCrop>
  <Company>TRT. Ltd. Co.</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24</cp:revision>
  <cp:lastPrinted>2007-07-19T00:46:00Z</cp:lastPrinted>
  <dcterms:created xsi:type="dcterms:W3CDTF">2014-12-16T02:40:00Z</dcterms:created>
  <dcterms:modified xsi:type="dcterms:W3CDTF">2024-01-19T06:18:00Z</dcterms:modified>
</cp:coreProperties>
</file>