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723B5C" w:rsidRDefault="00723B5C">
      <w:pPr>
        <w:spacing w:line="360" w:lineRule="auto"/>
        <w:rPr>
          <w:rFonts w:ascii="宋体" w:hAnsi="宋体"/>
          <w:sz w:val="48"/>
        </w:rPr>
      </w:pPr>
      <w:r>
        <w:rPr>
          <w:rFonts w:ascii="宋体" w:hAnsi="宋体" w:hint="eastAsia"/>
          <w:sz w:val="48"/>
        </w:rPr>
        <w:t xml:space="preserve">　</w:t>
      </w:r>
      <w:r>
        <w:rPr>
          <w:rFonts w:ascii="宋体" w:hAnsi="宋体" w:hint="eastAsia"/>
          <w:sz w:val="48"/>
        </w:rPr>
        <w:t xml:space="preserve"> </w:t>
      </w:r>
    </w:p>
    <w:p w:rsidR="00723B5C" w:rsidRDefault="00723B5C">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723B5C" w:rsidRDefault="00723B5C">
      <w:pPr>
        <w:spacing w:line="360" w:lineRule="auto"/>
        <w:jc w:val="center"/>
        <w:rPr>
          <w:rFonts w:hint="eastAsia"/>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sz w:val="48"/>
          <w:szCs w:val="48"/>
        </w:rPr>
        <w:t>摩根海外稳健配置混合型证券投资基金</w:t>
      </w:r>
      <w:r>
        <w:rPr>
          <w:rFonts w:ascii="宋体" w:hAnsi="宋体" w:hint="eastAsia"/>
          <w:b/>
          <w:bCs/>
          <w:sz w:val="48"/>
          <w:szCs w:val="48"/>
        </w:rPr>
        <w:t>(QDII-FOF)</w:t>
      </w:r>
      <w:r>
        <w:rPr>
          <w:rFonts w:ascii="宋体" w:hAnsi="宋体" w:hint="eastAsia"/>
          <w:b/>
          <w:bCs/>
          <w:sz w:val="48"/>
          <w:szCs w:val="48"/>
        </w:rPr>
        <w:br/>
        <w:t>2026</w:t>
      </w:r>
      <w:r>
        <w:rPr>
          <w:rFonts w:ascii="宋体" w:hAnsi="宋体" w:hint="eastAsia"/>
          <w:b/>
          <w:bCs/>
          <w:sz w:val="48"/>
          <w:szCs w:val="48"/>
        </w:rPr>
        <w:t>年第</w:t>
      </w:r>
      <w:r>
        <w:rPr>
          <w:rFonts w:ascii="宋体" w:hAnsi="宋体" w:hint="eastAsia"/>
          <w:b/>
          <w:bCs/>
          <w:sz w:val="48"/>
          <w:szCs w:val="48"/>
        </w:rPr>
        <w:t>2</w:t>
      </w:r>
      <w:r>
        <w:rPr>
          <w:rFonts w:ascii="宋体" w:hAnsi="宋体" w:hint="eastAsia"/>
          <w:b/>
          <w:bCs/>
          <w:sz w:val="48"/>
          <w:szCs w:val="48"/>
        </w:rPr>
        <w:t>季度报</w:t>
      </w:r>
      <w:r>
        <w:rPr>
          <w:rFonts w:ascii="宋体" w:hAnsi="宋体" w:hint="eastAsia"/>
          <w:b/>
          <w:bCs/>
          <w:sz w:val="48"/>
          <w:szCs w:val="48"/>
        </w:rPr>
        <w:t>告</w:t>
      </w:r>
    </w:p>
    <w:p w:rsidR="00723B5C" w:rsidRDefault="00723B5C">
      <w:pPr>
        <w:spacing w:line="360" w:lineRule="auto"/>
        <w:jc w:val="center"/>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723B5C" w:rsidRDefault="00723B5C">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723B5C" w:rsidRDefault="00723B5C">
      <w:pPr>
        <w:spacing w:line="360" w:lineRule="auto"/>
        <w:ind w:rightChars="-230" w:right="-483"/>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723B5C" w:rsidRDefault="00723B5C">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723B5C" w:rsidRDefault="00723B5C">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招商银行股份有限公</w:t>
      </w:r>
      <w:r>
        <w:rPr>
          <w:rFonts w:ascii="宋体" w:hAnsi="宋体" w:hint="eastAsia"/>
          <w:b/>
          <w:bCs/>
          <w:sz w:val="28"/>
          <w:szCs w:val="30"/>
        </w:rPr>
        <w:t>司</w:t>
      </w:r>
    </w:p>
    <w:p w:rsidR="00723B5C" w:rsidRDefault="00723B5C">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723B5C" w:rsidRDefault="00723B5C">
      <w:pPr>
        <w:pStyle w:val="XBRLTitle1"/>
        <w:spacing w:before="156"/>
        <w:ind w:left="425"/>
      </w:pPr>
      <w:r>
        <w:rPr>
          <w:rFonts w:cs="宋体" w:hint="eastAsia"/>
          <w:color w:val="404040"/>
          <w:kern w:val="0"/>
        </w:rPr>
        <w:br w:type="page"/>
      </w:r>
      <w:bookmarkStart w:id="7" w:name="_Toc514088243"/>
      <w:bookmarkStart w:id="8" w:name="_Toc480465412"/>
      <w:bookmarkStart w:id="9" w:name="_Toc448480282"/>
      <w:bookmarkStart w:id="10" w:name="_Toc438654070"/>
      <w:bookmarkStart w:id="11" w:name="_Toc456107117"/>
      <w:bookmarkStart w:id="12" w:name="_Toc459213763"/>
      <w:bookmarkStart w:id="13" w:name="_Toc513542644"/>
      <w:bookmarkStart w:id="14" w:name="_Toc512696250"/>
      <w:bookmarkStart w:id="15" w:name="_Toc512612253"/>
      <w:bookmarkStart w:id="16" w:name="_Toc512612077"/>
      <w:bookmarkStart w:id="17" w:name="_Toc512611281"/>
      <w:bookmarkStart w:id="18" w:name="m101"/>
      <w:r>
        <w:rPr>
          <w:rFonts w:hint="eastAsia"/>
        </w:rPr>
        <w:lastRenderedPageBreak/>
        <w:t>重要提</w:t>
      </w:r>
      <w:r>
        <w:rPr>
          <w:rFonts w:hint="eastAsia"/>
        </w:rPr>
        <w:t>示</w:t>
      </w:r>
      <w:bookmarkEnd w:id="7"/>
      <w:bookmarkEnd w:id="8"/>
      <w:bookmarkEnd w:id="9"/>
      <w:bookmarkEnd w:id="10"/>
      <w:bookmarkEnd w:id="11"/>
      <w:bookmarkEnd w:id="12"/>
      <w:bookmarkEnd w:id="13"/>
      <w:bookmarkEnd w:id="14"/>
      <w:bookmarkEnd w:id="15"/>
      <w:bookmarkEnd w:id="16"/>
      <w:bookmarkEnd w:id="17"/>
    </w:p>
    <w:p w:rsidR="00723B5C" w:rsidRDefault="00723B5C">
      <w:pPr>
        <w:spacing w:line="360" w:lineRule="auto"/>
        <w:ind w:firstLineChars="200" w:firstLine="420"/>
        <w:divId w:val="559053040"/>
        <w:rPr>
          <w:rFonts w:hint="eastAsia"/>
        </w:rPr>
      </w:pPr>
      <w:bookmarkStart w:id="19" w:name="m502"/>
      <w:bookmarkStart w:id="20" w:name="_Toc438646470"/>
      <w:bookmarkStart w:id="21" w:name="m504"/>
      <w:bookmarkStart w:id="22" w:name="m08QD_01"/>
      <w:bookmarkStart w:id="23" w:name="_Toc194311890"/>
      <w:bookmarkStart w:id="24" w:name="m201"/>
      <w:bookmarkStart w:id="25"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基金托管人招商银行股份有限公司根据本基金合同约定，于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723B5C" w:rsidRDefault="00723B5C">
      <w:pPr>
        <w:pStyle w:val="XBRLTitle1"/>
        <w:spacing w:before="156"/>
        <w:ind w:left="425"/>
      </w:pPr>
      <w:bookmarkStart w:id="26" w:name="_Toc514088244"/>
      <w:bookmarkStart w:id="27" w:name="_Toc480465413"/>
      <w:bookmarkStart w:id="28" w:name="_Toc448480283"/>
      <w:bookmarkStart w:id="29" w:name="_Toc438654071"/>
      <w:bookmarkStart w:id="30" w:name="_Toc456107118"/>
      <w:bookmarkStart w:id="31" w:name="_Toc459213764"/>
      <w:bookmarkStart w:id="32" w:name="_Toc513542645"/>
      <w:bookmarkStart w:id="33" w:name="_Toc512696251"/>
      <w:bookmarkStart w:id="34" w:name="_Toc512612254"/>
      <w:bookmarkStart w:id="35" w:name="_Toc512612078"/>
      <w:bookmarkStart w:id="36" w:name="_Toc512611282"/>
      <w:r>
        <w:rPr>
          <w:rFonts w:hint="eastAsia"/>
        </w:rPr>
        <w:t>基金产品概</w:t>
      </w:r>
      <w:r>
        <w:rPr>
          <w:rFonts w:hint="eastAsia"/>
        </w:rPr>
        <w:t>况</w:t>
      </w:r>
      <w:bookmarkEnd w:id="26"/>
      <w:bookmarkEnd w:id="27"/>
      <w:bookmarkEnd w:id="28"/>
      <w:bookmarkEnd w:id="29"/>
      <w:bookmarkEnd w:id="30"/>
      <w:bookmarkEnd w:id="31"/>
      <w:bookmarkEnd w:id="32"/>
      <w:bookmarkEnd w:id="33"/>
      <w:bookmarkEnd w:id="34"/>
      <w:bookmarkEnd w:id="35"/>
      <w:bookmarkEnd w:id="36"/>
    </w:p>
    <w:tbl>
      <w:tblPr>
        <w:tblW w:w="4909" w:type="pct"/>
        <w:jc w:val="center"/>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750"/>
        <w:gridCol w:w="3310"/>
        <w:gridCol w:w="2614"/>
      </w:tblGrid>
      <w:tr w:rsidR="00000000">
        <w:trPr>
          <w:divId w:val="1886484523"/>
          <w:trHeight w:val="406"/>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rPr>
                <w:rFonts w:hint="eastAsia"/>
              </w:rPr>
            </w:pPr>
            <w:bookmarkStart w:id="37" w:name="OLE_LINK1"/>
            <w:bookmarkEnd w:id="18"/>
            <w:r>
              <w:rPr>
                <w:rFonts w:ascii="宋体" w:hAnsi="宋体" w:hint="eastAsia"/>
              </w:rPr>
              <w:t>基金简称</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szCs w:val="24"/>
                <w:lang w:eastAsia="zh-Hans"/>
              </w:rPr>
              <w:t>摩根海外稳健配置混合</w:t>
            </w:r>
            <w:r>
              <w:rPr>
                <w:rFonts w:ascii="宋体" w:hAnsi="宋体" w:hint="eastAsia"/>
                <w:szCs w:val="24"/>
                <w:lang w:eastAsia="zh-Hans"/>
              </w:rPr>
              <w:t>(QDII-FOF</w:t>
            </w:r>
            <w:r>
              <w:rPr>
                <w:rFonts w:ascii="宋体" w:hAnsi="宋体" w:hint="eastAsia"/>
                <w:szCs w:val="24"/>
                <w:lang w:eastAsia="zh-Hans"/>
              </w:rPr>
              <w:t>)</w:t>
            </w:r>
            <w:r>
              <w:rPr>
                <w:rFonts w:ascii="宋体" w:hAnsi="宋体" w:hint="eastAsia"/>
                <w:lang w:eastAsia="zh-Hans"/>
              </w:rPr>
              <w:t xml:space="preserve"> </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基金主代码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01797</w:t>
            </w:r>
            <w:r>
              <w:rPr>
                <w:rFonts w:ascii="宋体" w:hAnsi="宋体" w:hint="eastAsia"/>
                <w:lang w:eastAsia="zh-Hans"/>
              </w:rPr>
              <w:t>0</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基金运作方式</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契约型开放</w:t>
            </w:r>
            <w:r>
              <w:rPr>
                <w:rFonts w:ascii="宋体" w:hAnsi="宋体" w:hint="eastAsia"/>
                <w:lang w:eastAsia="zh-Hans"/>
              </w:rPr>
              <w:t>式</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基金合同生效日</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2023</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报告期末基金份额总额</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1,292,418,633.6</w:t>
            </w:r>
            <w:r>
              <w:rPr>
                <w:rFonts w:ascii="宋体" w:hAnsi="宋体" w:hint="eastAsia"/>
                <w:lang w:eastAsia="zh-Hans"/>
              </w:rPr>
              <w:t>7</w:t>
            </w:r>
            <w:r>
              <w:rPr>
                <w:rFonts w:asciiTheme="minorHAnsi" w:eastAsiaTheme="minorEastAsia" w:hAnsiTheme="minorHAnsi" w:hint="eastAsia"/>
              </w:rPr>
              <w:t>份</w:t>
            </w:r>
            <w:r>
              <w:rPr>
                <w:rFonts w:ascii="宋体" w:hAnsi="宋体" w:hint="eastAsia"/>
                <w:lang w:eastAsia="zh-Hans"/>
              </w:rPr>
              <w:t xml:space="preserve"> </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投资目标</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通过全球化的资产配置和组合管理，有效地分散投资风险；在降低组合波动性的同时，实现资产的长期增值</w:t>
            </w:r>
            <w:r>
              <w:rPr>
                <w:rFonts w:ascii="宋体" w:hAnsi="宋体" w:hint="eastAsia"/>
                <w:lang w:eastAsia="zh-Hans"/>
              </w:rPr>
              <w:t>。</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投资策略</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1</w:t>
            </w:r>
            <w:r>
              <w:rPr>
                <w:rFonts w:ascii="宋体" w:hAnsi="宋体" w:hint="eastAsia"/>
                <w:lang w:eastAsia="zh-Hans"/>
              </w:rPr>
              <w:t>、大类资产配置策略</w:t>
            </w:r>
            <w:r>
              <w:rPr>
                <w:rFonts w:ascii="宋体" w:hAnsi="宋体" w:hint="eastAsia"/>
                <w:lang w:eastAsia="zh-Hans"/>
              </w:rPr>
              <w:br/>
            </w:r>
            <w:r>
              <w:rPr>
                <w:rFonts w:ascii="宋体" w:hAnsi="宋体" w:hint="eastAsia"/>
                <w:lang w:eastAsia="zh-Hans"/>
              </w:rPr>
              <w:t>本基金在大类资产配置层面将贯彻“自上而下”的资产组合配置策略，运用定性和定量相结合的方式确定基金资产配置长期比例。</w:t>
            </w:r>
            <w:r>
              <w:rPr>
                <w:rFonts w:ascii="宋体" w:hAnsi="宋体" w:hint="eastAsia"/>
                <w:lang w:eastAsia="zh-Hans"/>
              </w:rPr>
              <w:br/>
              <w:t>2</w:t>
            </w:r>
            <w:r>
              <w:rPr>
                <w:rFonts w:ascii="宋体" w:hAnsi="宋体" w:hint="eastAsia"/>
                <w:lang w:eastAsia="zh-Hans"/>
              </w:rPr>
              <w:t>、区域资产配置策略</w:t>
            </w:r>
            <w:r>
              <w:rPr>
                <w:rFonts w:ascii="宋体" w:hAnsi="宋体" w:hint="eastAsia"/>
                <w:lang w:eastAsia="zh-Hans"/>
              </w:rPr>
              <w:br/>
            </w:r>
            <w:r>
              <w:rPr>
                <w:rFonts w:ascii="宋体" w:hAnsi="宋体" w:hint="eastAsia"/>
                <w:lang w:eastAsia="zh-Hans"/>
              </w:rPr>
              <w:t>本基金将根据全球经济以及区域化经济发展、不同国家或地区经济体的宏观经济变化和经济增长情况，以及各证券市场的表现、全球资本的流动情况，挑选部分特定国家或地区作为重点投资对象，增加该目标市场在资产组合中的配置比例。本基金管理人在确定国家或地区配置比例后，将动态跟踪各国家或地区的权重，对其估值水平及风险收益特征进行研究并结合风险预算确定超配和低配比例。</w:t>
            </w:r>
            <w:r>
              <w:rPr>
                <w:rFonts w:ascii="宋体" w:hAnsi="宋体" w:hint="eastAsia"/>
                <w:lang w:eastAsia="zh-Hans"/>
              </w:rPr>
              <w:br/>
              <w:t>3</w:t>
            </w:r>
            <w:r>
              <w:rPr>
                <w:rFonts w:ascii="宋体" w:hAnsi="宋体" w:hint="eastAsia"/>
                <w:lang w:eastAsia="zh-Hans"/>
              </w:rPr>
              <w:t>、标的基金投资策略</w:t>
            </w:r>
            <w:r>
              <w:rPr>
                <w:rFonts w:ascii="宋体" w:hAnsi="宋体" w:hint="eastAsia"/>
                <w:lang w:eastAsia="zh-Hans"/>
              </w:rPr>
              <w:br/>
            </w:r>
            <w:r>
              <w:rPr>
                <w:rFonts w:ascii="宋体" w:hAnsi="宋体" w:hint="eastAsia"/>
                <w:lang w:eastAsia="zh-Hans"/>
              </w:rPr>
              <w:t>本基金通过定量分析策略和定性分析策略相结合的方式优选标的基金，通过分析各标的基金的定量及定性指标，挑选出合适的基金组成标的基金池，构建基金投资组合。</w:t>
            </w:r>
            <w:r>
              <w:rPr>
                <w:rFonts w:ascii="宋体" w:hAnsi="宋体" w:hint="eastAsia"/>
                <w:lang w:eastAsia="zh-Hans"/>
              </w:rPr>
              <w:br/>
            </w:r>
            <w:r>
              <w:rPr>
                <w:rFonts w:ascii="宋体" w:hAnsi="宋体" w:hint="eastAsia"/>
                <w:lang w:eastAsia="zh-Hans"/>
              </w:rPr>
              <w:t>目前本基金将主要投资于摩根资产管理（</w:t>
            </w:r>
            <w:r>
              <w:rPr>
                <w:rFonts w:ascii="宋体" w:hAnsi="宋体" w:hint="eastAsia"/>
                <w:lang w:eastAsia="zh-Hans"/>
              </w:rPr>
              <w:t>J.P.</w:t>
            </w:r>
            <w:r>
              <w:rPr>
                <w:rFonts w:ascii="宋体" w:hAnsi="宋体" w:hint="eastAsia"/>
                <w:lang w:eastAsia="zh-Hans"/>
              </w:rPr>
              <w:t xml:space="preserve">　</w:t>
            </w:r>
            <w:r>
              <w:rPr>
                <w:rFonts w:ascii="宋体" w:hAnsi="宋体" w:hint="eastAsia"/>
                <w:lang w:eastAsia="zh-Hans"/>
              </w:rPr>
              <w:t>Morgan</w:t>
            </w:r>
            <w:r>
              <w:rPr>
                <w:rFonts w:ascii="宋体" w:hAnsi="宋体" w:hint="eastAsia"/>
                <w:lang w:eastAsia="zh-Hans"/>
              </w:rPr>
              <w:t xml:space="preserve">　</w:t>
            </w:r>
            <w:r>
              <w:rPr>
                <w:rFonts w:ascii="宋体" w:hAnsi="宋体" w:hint="eastAsia"/>
                <w:lang w:eastAsia="zh-Hans"/>
              </w:rPr>
              <w:t>Asset</w:t>
            </w:r>
            <w:r>
              <w:rPr>
                <w:rFonts w:ascii="宋体" w:hAnsi="宋体" w:hint="eastAsia"/>
                <w:lang w:eastAsia="zh-Hans"/>
              </w:rPr>
              <w:t xml:space="preserve">　</w:t>
            </w:r>
            <w:r>
              <w:rPr>
                <w:rFonts w:ascii="宋体" w:hAnsi="宋体" w:hint="eastAsia"/>
                <w:lang w:eastAsia="zh-Hans"/>
              </w:rPr>
              <w:t>Management</w:t>
            </w:r>
            <w:r>
              <w:rPr>
                <w:rFonts w:ascii="宋体" w:hAnsi="宋体" w:hint="eastAsia"/>
                <w:lang w:eastAsia="zh-Hans"/>
              </w:rPr>
              <w:t>）旗下的公募基金，并根据定量及定性分析策略优选标的基金。摩根资产管理（</w:t>
            </w:r>
            <w:r>
              <w:rPr>
                <w:rFonts w:ascii="宋体" w:hAnsi="宋体" w:hint="eastAsia"/>
                <w:lang w:eastAsia="zh-Hans"/>
              </w:rPr>
              <w:t>J.P.</w:t>
            </w:r>
            <w:r>
              <w:rPr>
                <w:rFonts w:ascii="宋体" w:hAnsi="宋体" w:hint="eastAsia"/>
                <w:lang w:eastAsia="zh-Hans"/>
              </w:rPr>
              <w:t xml:space="preserve">　</w:t>
            </w:r>
            <w:r>
              <w:rPr>
                <w:rFonts w:ascii="宋体" w:hAnsi="宋体" w:hint="eastAsia"/>
                <w:lang w:eastAsia="zh-Hans"/>
              </w:rPr>
              <w:t>Morgan</w:t>
            </w:r>
            <w:r>
              <w:rPr>
                <w:rFonts w:ascii="宋体" w:hAnsi="宋体" w:hint="eastAsia"/>
                <w:lang w:eastAsia="zh-Hans"/>
              </w:rPr>
              <w:t xml:space="preserve">　</w:t>
            </w:r>
            <w:r>
              <w:rPr>
                <w:rFonts w:ascii="宋体" w:hAnsi="宋体" w:hint="eastAsia"/>
                <w:lang w:eastAsia="zh-Hans"/>
              </w:rPr>
              <w:t>Asset</w:t>
            </w:r>
            <w:r>
              <w:rPr>
                <w:rFonts w:ascii="宋体" w:hAnsi="宋体" w:hint="eastAsia"/>
                <w:lang w:eastAsia="zh-Hans"/>
              </w:rPr>
              <w:t xml:space="preserve">　</w:t>
            </w:r>
            <w:r>
              <w:rPr>
                <w:rFonts w:ascii="宋体" w:hAnsi="宋体" w:hint="eastAsia"/>
                <w:lang w:eastAsia="zh-Hans"/>
              </w:rPr>
              <w:t>Management</w:t>
            </w:r>
            <w:r>
              <w:rPr>
                <w:rFonts w:ascii="宋体" w:hAnsi="宋体" w:hint="eastAsia"/>
                <w:lang w:eastAsia="zh-Hans"/>
              </w:rPr>
              <w:t>）主要是指与基金管理人存在关联关系的摩根资产管理旗下的法人实体，包括但不限于</w:t>
            </w:r>
            <w:r>
              <w:rPr>
                <w:rFonts w:ascii="宋体" w:hAnsi="宋体" w:hint="eastAsia"/>
                <w:lang w:eastAsia="zh-Hans"/>
              </w:rPr>
              <w:t>JPMorgan</w:t>
            </w:r>
            <w:r>
              <w:rPr>
                <w:rFonts w:ascii="宋体" w:hAnsi="宋体" w:hint="eastAsia"/>
                <w:lang w:eastAsia="zh-Hans"/>
              </w:rPr>
              <w:t xml:space="preserve">　</w:t>
            </w:r>
            <w:r>
              <w:rPr>
                <w:rFonts w:ascii="宋体" w:hAnsi="宋体" w:hint="eastAsia"/>
                <w:lang w:eastAsia="zh-Hans"/>
              </w:rPr>
              <w:t>Funds</w:t>
            </w:r>
            <w:r>
              <w:rPr>
                <w:rFonts w:ascii="宋体" w:hAnsi="宋体" w:hint="eastAsia"/>
                <w:lang w:eastAsia="zh-Hans"/>
              </w:rPr>
              <w:t xml:space="preserve">　</w:t>
            </w:r>
            <w:r>
              <w:rPr>
                <w:rFonts w:ascii="宋体" w:hAnsi="宋体" w:hint="eastAsia"/>
                <w:lang w:eastAsia="zh-Hans"/>
              </w:rPr>
              <w:t>(Asia)</w:t>
            </w:r>
            <w:r>
              <w:rPr>
                <w:rFonts w:ascii="宋体" w:hAnsi="宋体" w:hint="eastAsia"/>
                <w:lang w:eastAsia="zh-Hans"/>
              </w:rPr>
              <w:t xml:space="preserve">　</w:t>
            </w:r>
            <w:r>
              <w:rPr>
                <w:rFonts w:ascii="宋体" w:hAnsi="宋体" w:hint="eastAsia"/>
                <w:lang w:eastAsia="zh-Hans"/>
              </w:rPr>
              <w:t>Limited</w:t>
            </w:r>
            <w:r>
              <w:rPr>
                <w:rFonts w:ascii="宋体" w:hAnsi="宋体" w:hint="eastAsia"/>
                <w:lang w:eastAsia="zh-Hans"/>
              </w:rPr>
              <w:t>、</w:t>
            </w:r>
            <w:r>
              <w:rPr>
                <w:rFonts w:ascii="宋体" w:hAnsi="宋体" w:hint="eastAsia"/>
                <w:lang w:eastAsia="zh-Hans"/>
              </w:rPr>
              <w:t>JPMorgan</w:t>
            </w:r>
            <w:r>
              <w:rPr>
                <w:rFonts w:ascii="宋体" w:hAnsi="宋体" w:hint="eastAsia"/>
                <w:lang w:eastAsia="zh-Hans"/>
              </w:rPr>
              <w:t xml:space="preserve">　</w:t>
            </w:r>
            <w:r>
              <w:rPr>
                <w:rFonts w:ascii="宋体" w:hAnsi="宋体" w:hint="eastAsia"/>
                <w:lang w:eastAsia="zh-Hans"/>
              </w:rPr>
              <w:t>Asset</w:t>
            </w:r>
            <w:r>
              <w:rPr>
                <w:rFonts w:ascii="宋体" w:hAnsi="宋体" w:hint="eastAsia"/>
                <w:lang w:eastAsia="zh-Hans"/>
              </w:rPr>
              <w:t xml:space="preserve">　</w:t>
            </w:r>
            <w:r>
              <w:rPr>
                <w:rFonts w:ascii="宋体" w:hAnsi="宋体" w:hint="eastAsia"/>
                <w:lang w:eastAsia="zh-Hans"/>
              </w:rPr>
              <w:t>Management</w:t>
            </w:r>
            <w:r>
              <w:rPr>
                <w:rFonts w:ascii="宋体" w:hAnsi="宋体" w:hint="eastAsia"/>
                <w:lang w:eastAsia="zh-Hans"/>
              </w:rPr>
              <w:t xml:space="preserve">　</w:t>
            </w:r>
            <w:r>
              <w:rPr>
                <w:rFonts w:ascii="宋体" w:hAnsi="宋体" w:hint="eastAsia"/>
                <w:lang w:eastAsia="zh-Hans"/>
              </w:rPr>
              <w:t>(UK)</w:t>
            </w:r>
            <w:r>
              <w:rPr>
                <w:rFonts w:ascii="宋体" w:hAnsi="宋体" w:hint="eastAsia"/>
                <w:lang w:eastAsia="zh-Hans"/>
              </w:rPr>
              <w:t xml:space="preserve">　</w:t>
            </w:r>
            <w:r>
              <w:rPr>
                <w:rFonts w:ascii="宋体" w:hAnsi="宋体" w:hint="eastAsia"/>
                <w:lang w:eastAsia="zh-Hans"/>
              </w:rPr>
              <w:t>Limited</w:t>
            </w:r>
            <w:r>
              <w:rPr>
                <w:rFonts w:ascii="宋体" w:hAnsi="宋体" w:hint="eastAsia"/>
                <w:lang w:eastAsia="zh-Hans"/>
              </w:rPr>
              <w:t>等。</w:t>
            </w:r>
            <w:r>
              <w:rPr>
                <w:rFonts w:ascii="宋体" w:hAnsi="宋体" w:hint="eastAsia"/>
                <w:lang w:eastAsia="zh-Hans"/>
              </w:rPr>
              <w:br/>
              <w:t>4</w:t>
            </w:r>
            <w:r>
              <w:rPr>
                <w:rFonts w:ascii="宋体" w:hAnsi="宋体" w:hint="eastAsia"/>
                <w:lang w:eastAsia="zh-Hans"/>
              </w:rPr>
              <w:t>、金融衍生品投资策略</w:t>
            </w:r>
            <w:r>
              <w:rPr>
                <w:rFonts w:ascii="宋体" w:hAnsi="宋体" w:hint="eastAsia"/>
                <w:lang w:eastAsia="zh-Hans"/>
              </w:rPr>
              <w:br/>
            </w:r>
            <w:r>
              <w:rPr>
                <w:rFonts w:ascii="宋体" w:hAnsi="宋体" w:hint="eastAsia"/>
                <w:lang w:eastAsia="zh-Hans"/>
              </w:rPr>
              <w:t>本基金可本着谨慎和风险可控的原则，适度投资</w:t>
            </w:r>
            <w:r>
              <w:rPr>
                <w:rFonts w:ascii="宋体" w:hAnsi="宋体" w:hint="eastAsia"/>
                <w:lang w:eastAsia="zh-Hans"/>
              </w:rPr>
              <w:t>于金融衍生品，以避险和增值、管理汇率风险。</w:t>
            </w:r>
            <w:r>
              <w:rPr>
                <w:rFonts w:ascii="宋体" w:hAnsi="宋体" w:hint="eastAsia"/>
                <w:lang w:eastAsia="zh-Hans"/>
              </w:rPr>
              <w:br/>
              <w:t>5</w:t>
            </w:r>
            <w:r>
              <w:rPr>
                <w:rFonts w:ascii="宋体" w:hAnsi="宋体" w:hint="eastAsia"/>
                <w:lang w:eastAsia="zh-Hans"/>
              </w:rPr>
              <w:t>、其他投资策略包括股票投资策略、港股投资策略、债券投资策略、资产支持证券投资策略、存托凭证投资策略</w:t>
            </w:r>
            <w:r>
              <w:rPr>
                <w:rFonts w:ascii="宋体" w:hAnsi="宋体" w:hint="eastAsia"/>
                <w:lang w:eastAsia="zh-Hans"/>
              </w:rPr>
              <w:t>。</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业绩比较基准</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MSCI</w:t>
            </w:r>
            <w:r>
              <w:rPr>
                <w:rFonts w:ascii="宋体" w:hAnsi="宋体" w:hint="eastAsia"/>
                <w:lang w:eastAsia="zh-Hans"/>
              </w:rPr>
              <w:t>全球指数（</w:t>
            </w:r>
            <w:r>
              <w:rPr>
                <w:rFonts w:ascii="宋体" w:hAnsi="宋体" w:hint="eastAsia"/>
                <w:lang w:eastAsia="zh-Hans"/>
              </w:rPr>
              <w:t>MSCI</w:t>
            </w:r>
            <w:r>
              <w:rPr>
                <w:rFonts w:ascii="宋体" w:hAnsi="宋体" w:hint="eastAsia"/>
                <w:lang w:eastAsia="zh-Hans"/>
              </w:rPr>
              <w:t xml:space="preserve">　</w:t>
            </w:r>
            <w:r>
              <w:rPr>
                <w:rFonts w:ascii="宋体" w:hAnsi="宋体" w:hint="eastAsia"/>
                <w:lang w:eastAsia="zh-Hans"/>
              </w:rPr>
              <w:t>ACWI</w:t>
            </w:r>
            <w:r>
              <w:rPr>
                <w:rFonts w:ascii="宋体" w:hAnsi="宋体" w:hint="eastAsia"/>
                <w:lang w:eastAsia="zh-Hans"/>
              </w:rPr>
              <w:t>）</w:t>
            </w:r>
            <w:r>
              <w:rPr>
                <w:rFonts w:ascii="宋体" w:hAnsi="宋体" w:hint="eastAsia"/>
                <w:lang w:eastAsia="zh-Hans"/>
              </w:rPr>
              <w:t>*20%+</w:t>
            </w:r>
            <w:r>
              <w:rPr>
                <w:rFonts w:ascii="宋体" w:hAnsi="宋体" w:hint="eastAsia"/>
                <w:lang w:eastAsia="zh-Hans"/>
              </w:rPr>
              <w:t>摩根大通全球债券指数（</w:t>
            </w:r>
            <w:r>
              <w:rPr>
                <w:rFonts w:ascii="宋体" w:hAnsi="宋体" w:hint="eastAsia"/>
                <w:lang w:eastAsia="zh-Hans"/>
              </w:rPr>
              <w:t>J.P.</w:t>
            </w:r>
            <w:r>
              <w:rPr>
                <w:rFonts w:ascii="宋体" w:hAnsi="宋体" w:hint="eastAsia"/>
                <w:lang w:eastAsia="zh-Hans"/>
              </w:rPr>
              <w:t xml:space="preserve">　</w:t>
            </w:r>
            <w:r>
              <w:rPr>
                <w:rFonts w:ascii="宋体" w:hAnsi="宋体" w:hint="eastAsia"/>
                <w:lang w:eastAsia="zh-Hans"/>
              </w:rPr>
              <w:t>Morgan</w:t>
            </w:r>
            <w:r>
              <w:rPr>
                <w:rFonts w:ascii="宋体" w:hAnsi="宋体" w:hint="eastAsia"/>
                <w:lang w:eastAsia="zh-Hans"/>
              </w:rPr>
              <w:t xml:space="preserve">　</w:t>
            </w:r>
            <w:r>
              <w:rPr>
                <w:rFonts w:ascii="宋体" w:hAnsi="宋体" w:hint="eastAsia"/>
                <w:lang w:eastAsia="zh-Hans"/>
              </w:rPr>
              <w:t>Global</w:t>
            </w:r>
            <w:r>
              <w:rPr>
                <w:rFonts w:ascii="宋体" w:hAnsi="宋体" w:hint="eastAsia"/>
                <w:lang w:eastAsia="zh-Hans"/>
              </w:rPr>
              <w:t xml:space="preserve">　</w:t>
            </w:r>
            <w:r>
              <w:rPr>
                <w:rFonts w:ascii="宋体" w:hAnsi="宋体" w:hint="eastAsia"/>
                <w:lang w:eastAsia="zh-Hans"/>
              </w:rPr>
              <w:t>Aggregate</w:t>
            </w:r>
            <w:r>
              <w:rPr>
                <w:rFonts w:ascii="宋体" w:hAnsi="宋体" w:hint="eastAsia"/>
                <w:lang w:eastAsia="zh-Hans"/>
              </w:rPr>
              <w:t xml:space="preserve">　</w:t>
            </w:r>
            <w:r>
              <w:rPr>
                <w:rFonts w:ascii="宋体" w:hAnsi="宋体" w:hint="eastAsia"/>
                <w:lang w:eastAsia="zh-Hans"/>
              </w:rPr>
              <w:t>Bond</w:t>
            </w:r>
            <w:r>
              <w:rPr>
                <w:rFonts w:ascii="宋体" w:hAnsi="宋体" w:hint="eastAsia"/>
                <w:lang w:eastAsia="zh-Hans"/>
              </w:rPr>
              <w:t xml:space="preserve">　</w:t>
            </w:r>
            <w:r>
              <w:rPr>
                <w:rFonts w:ascii="宋体" w:hAnsi="宋体" w:hint="eastAsia"/>
                <w:lang w:eastAsia="zh-Hans"/>
              </w:rPr>
              <w:t>Index</w:t>
            </w:r>
            <w:r>
              <w:rPr>
                <w:rFonts w:ascii="宋体" w:hAnsi="宋体" w:hint="eastAsia"/>
                <w:lang w:eastAsia="zh-Hans"/>
              </w:rPr>
              <w:t>）</w:t>
            </w:r>
            <w:r>
              <w:rPr>
                <w:rFonts w:ascii="宋体" w:hAnsi="宋体" w:hint="eastAsia"/>
                <w:lang w:eastAsia="zh-Hans"/>
              </w:rPr>
              <w:t>*80</w:t>
            </w:r>
            <w:r>
              <w:rPr>
                <w:rFonts w:ascii="宋体" w:hAnsi="宋体" w:hint="eastAsia"/>
                <w:lang w:eastAsia="zh-Hans"/>
              </w:rPr>
              <w:t>%</w:t>
            </w:r>
          </w:p>
        </w:tc>
      </w:tr>
      <w:tr w:rsidR="00000000">
        <w:trPr>
          <w:divId w:val="1886484523"/>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风险收益特征</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本基金主要投资于境外公募基金，预期风险和收益水平低于股票型基金，高于债券型基金和货币市场基金。</w:t>
            </w:r>
            <w:r>
              <w:rPr>
                <w:rFonts w:ascii="宋体" w:hAnsi="宋体" w:hint="eastAsia"/>
                <w:lang w:eastAsia="zh-Hans"/>
              </w:rPr>
              <w:br/>
            </w:r>
            <w:r>
              <w:rPr>
                <w:rFonts w:ascii="宋体" w:hAnsi="宋体" w:hint="eastAsia"/>
                <w:lang w:eastAsia="zh-Hans"/>
              </w:rPr>
              <w:t>本基金投资于境外证券市场，因此还面临汇率风险等境外证券市场投资所面临的特别投资风险。</w:t>
            </w:r>
            <w:r>
              <w:rPr>
                <w:rFonts w:ascii="宋体" w:hAnsi="宋体" w:hint="eastAsia"/>
                <w:lang w:eastAsia="zh-Hans"/>
              </w:rPr>
              <w:br/>
            </w:r>
            <w:r>
              <w:rPr>
                <w:rFonts w:ascii="宋体" w:hAnsi="宋体" w:hint="eastAsia"/>
                <w:lang w:eastAsia="zh-Hans"/>
              </w:rPr>
              <w:t>本基金若通过港股通机制投资港股通标的股票，将面临港股通机制下因投资环境、投资标的、市场制度以及交易规则等差异带来的特有风险</w:t>
            </w:r>
            <w:r>
              <w:rPr>
                <w:rFonts w:ascii="宋体" w:hAnsi="宋体" w:hint="eastAsia"/>
                <w:lang w:eastAsia="zh-Hans"/>
              </w:rPr>
              <w:t>。</w:t>
            </w:r>
          </w:p>
        </w:tc>
      </w:tr>
      <w:tr w:rsidR="00000000">
        <w:trPr>
          <w:divId w:val="1886484523"/>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基金管理人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886484523"/>
          <w:trHeight w:val="412"/>
          <w:jc w:val="center"/>
        </w:trPr>
        <w:tc>
          <w:tcPr>
            <w:tcW w:w="1184"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基金托管人</w:t>
            </w:r>
            <w:r>
              <w:rPr>
                <w:rFonts w:ascii="宋体" w:hAnsi="宋体" w:hint="eastAsia"/>
                <w:lang w:eastAsia="zh-Hans"/>
              </w:rPr>
              <w:t xml:space="preserve"> </w:t>
            </w:r>
          </w:p>
        </w:tc>
        <w:tc>
          <w:tcPr>
            <w:tcW w:w="3816"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lang w:eastAsia="zh-Hans"/>
              </w:rPr>
              <w:t>招商银行股份有限公</w:t>
            </w:r>
            <w:r>
              <w:rPr>
                <w:rFonts w:ascii="宋体" w:hAnsi="宋体" w:hint="eastAsia"/>
                <w:lang w:eastAsia="zh-Hans"/>
              </w:rPr>
              <w:t>司</w:t>
            </w:r>
          </w:p>
        </w:tc>
      </w:tr>
      <w:tr w:rsidR="00000000">
        <w:trPr>
          <w:divId w:val="1886484523"/>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23B5C" w:rsidRDefault="00723B5C">
            <w:pPr>
              <w:spacing w:line="360" w:lineRule="auto"/>
              <w:jc w:val="left"/>
            </w:pPr>
            <w:bookmarkStart w:id="38"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center"/>
            </w:pPr>
            <w:r>
              <w:rPr>
                <w:rFonts w:ascii="宋体" w:hAnsi="宋体" w:hint="eastAsia"/>
                <w:lang w:eastAsia="zh-Hans"/>
              </w:rPr>
              <w:t>摩根海外稳健配置混合</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center"/>
            </w:pPr>
            <w:r>
              <w:rPr>
                <w:rFonts w:ascii="宋体" w:hAnsi="宋体" w:hint="eastAsia"/>
                <w:lang w:eastAsia="zh-Hans"/>
              </w:rPr>
              <w:t>摩根海外稳健配置混合</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C</w:t>
            </w:r>
            <w:r>
              <w:rPr>
                <w:rFonts w:ascii="宋体" w:hAnsi="宋体" w:hint="eastAsia"/>
                <w:kern w:val="0"/>
                <w:sz w:val="20"/>
                <w:lang w:eastAsia="zh-Hans"/>
              </w:rPr>
              <w:t xml:space="preserve"> </w:t>
            </w:r>
          </w:p>
        </w:tc>
      </w:tr>
      <w:tr w:rsidR="00000000">
        <w:trPr>
          <w:divId w:val="1886484523"/>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23B5C" w:rsidRDefault="00723B5C">
            <w:pPr>
              <w:spacing w:line="360" w:lineRule="auto"/>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center"/>
            </w:pPr>
            <w:r>
              <w:rPr>
                <w:rFonts w:ascii="宋体" w:hAnsi="宋体" w:hint="eastAsia"/>
                <w:lang w:eastAsia="zh-Hans"/>
              </w:rPr>
              <w:t>01797</w:t>
            </w:r>
            <w:r>
              <w:rPr>
                <w:rFonts w:ascii="宋体" w:hAnsi="宋体" w:hint="eastAsia"/>
                <w:lang w:eastAsia="zh-Hans"/>
              </w:rPr>
              <w:t>0</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center"/>
            </w:pPr>
            <w:r>
              <w:rPr>
                <w:rFonts w:ascii="宋体" w:hAnsi="宋体" w:hint="eastAsia"/>
                <w:lang w:eastAsia="zh-Hans"/>
              </w:rPr>
              <w:t>02051</w:t>
            </w:r>
            <w:r>
              <w:rPr>
                <w:rFonts w:ascii="宋体" w:hAnsi="宋体" w:hint="eastAsia"/>
                <w:lang w:eastAsia="zh-Hans"/>
              </w:rPr>
              <w:t>2</w:t>
            </w:r>
            <w:r>
              <w:rPr>
                <w:rFonts w:ascii="宋体" w:hAnsi="宋体" w:hint="eastAsia"/>
                <w:kern w:val="0"/>
                <w:sz w:val="20"/>
                <w:lang w:eastAsia="zh-Hans"/>
              </w:rPr>
              <w:t xml:space="preserve"> </w:t>
            </w:r>
          </w:p>
        </w:tc>
      </w:tr>
      <w:bookmarkEnd w:id="38"/>
      <w:tr w:rsidR="00000000">
        <w:trPr>
          <w:divId w:val="1886484523"/>
          <w:trHeight w:val="285"/>
          <w:jc w:val="center"/>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23B5C" w:rsidRDefault="00723B5C">
            <w:pPr>
              <w:spacing w:line="360" w:lineRule="auto"/>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lang w:eastAsia="zh-Hans"/>
              </w:rPr>
              <w:t>1,157,685,351.5</w:t>
            </w:r>
            <w:r>
              <w:rPr>
                <w:rFonts w:ascii="宋体" w:hAnsi="宋体" w:hint="eastAsia"/>
                <w:lang w:eastAsia="zh-Hans"/>
              </w:rPr>
              <w:t>3</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lang w:eastAsia="zh-Hans"/>
              </w:rPr>
              <w:t>134,733,282.1</w:t>
            </w:r>
            <w:r>
              <w:rPr>
                <w:rFonts w:ascii="宋体" w:hAnsi="宋体" w:hint="eastAsia"/>
                <w:lang w:eastAsia="zh-Hans"/>
              </w:rPr>
              <w:t>4</w:t>
            </w:r>
            <w:r>
              <w:rPr>
                <w:rFonts w:hint="eastAsia"/>
              </w:rPr>
              <w:t>份</w:t>
            </w:r>
            <w:r>
              <w:rPr>
                <w:rFonts w:ascii="宋体" w:hAnsi="宋体" w:hint="eastAsia"/>
                <w:lang w:eastAsia="zh-Hans"/>
              </w:rPr>
              <w:t xml:space="preserve"> </w:t>
            </w:r>
          </w:p>
        </w:tc>
      </w:tr>
      <w:tr w:rsidR="00000000">
        <w:trPr>
          <w:divId w:val="1886484523"/>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境外投资顾问</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723B5C" w:rsidRDefault="00723B5C">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JPMORGAN ASSET MANAGEMENT (ASIA PACIFIC) LIMITE</w:t>
            </w:r>
            <w:r>
              <w:rPr>
                <w:rFonts w:asciiTheme="minorEastAsia" w:eastAsiaTheme="minorEastAsia" w:hAnsiTheme="minorEastAsia" w:hint="eastAsia"/>
              </w:rPr>
              <w:t>D</w:t>
            </w:r>
          </w:p>
        </w:tc>
      </w:tr>
      <w:tr w:rsidR="00000000">
        <w:trPr>
          <w:divId w:val="1886484523"/>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B5C" w:rsidRDefault="00723B5C">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723B5C" w:rsidRDefault="00723B5C">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摩根资产管理</w:t>
            </w:r>
            <w:r>
              <w:rPr>
                <w:rFonts w:asciiTheme="minorEastAsia" w:eastAsiaTheme="minorEastAsia" w:hAnsiTheme="minorEastAsia" w:hint="eastAsia"/>
              </w:rPr>
              <w:t>(</w:t>
            </w:r>
            <w:r>
              <w:rPr>
                <w:rFonts w:asciiTheme="minorEastAsia" w:eastAsiaTheme="minorEastAsia" w:hAnsiTheme="minorEastAsia" w:hint="eastAsia"/>
              </w:rPr>
              <w:t>亚太</w:t>
            </w:r>
            <w:r>
              <w:rPr>
                <w:rFonts w:asciiTheme="minorEastAsia" w:eastAsiaTheme="minorEastAsia" w:hAnsiTheme="minorEastAsia" w:hint="eastAsia"/>
              </w:rPr>
              <w:t>)</w:t>
            </w:r>
            <w:r>
              <w:rPr>
                <w:rFonts w:asciiTheme="minorEastAsia" w:eastAsiaTheme="minorEastAsia" w:hAnsiTheme="minorEastAsia" w:hint="eastAsia"/>
              </w:rPr>
              <w:t>有限公</w:t>
            </w:r>
            <w:r>
              <w:rPr>
                <w:rFonts w:asciiTheme="minorEastAsia" w:eastAsiaTheme="minorEastAsia" w:hAnsiTheme="minorEastAsia" w:hint="eastAsia"/>
              </w:rPr>
              <w:t>司</w:t>
            </w:r>
          </w:p>
        </w:tc>
      </w:tr>
      <w:tr w:rsidR="00000000">
        <w:trPr>
          <w:divId w:val="1886484523"/>
          <w:trHeight w:val="382"/>
          <w:jc w:val="center"/>
        </w:trPr>
        <w:tc>
          <w:tcPr>
            <w:tcW w:w="1184" w:type="pct"/>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spacing w:line="360" w:lineRule="auto"/>
              <w:jc w:val="left"/>
            </w:pPr>
            <w:r>
              <w:rPr>
                <w:rFonts w:ascii="宋体" w:hAnsi="宋体" w:hint="eastAsia"/>
              </w:rPr>
              <w:t>境外资产托管人</w:t>
            </w:r>
            <w:r>
              <w:rPr>
                <w:rFonts w:ascii="宋体" w:hAnsi="宋体" w:hint="eastAsia"/>
                <w:lang w:eastAsia="zh-Hans"/>
              </w:rPr>
              <w:t xml:space="preserve"> </w:t>
            </w: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723B5C" w:rsidRDefault="00723B5C">
            <w:pPr>
              <w:widowControl/>
              <w:spacing w:line="315" w:lineRule="atLeast"/>
              <w:jc w:val="left"/>
            </w:pPr>
            <w:r>
              <w:rPr>
                <w:rFonts w:asciiTheme="minorEastAsia" w:eastAsiaTheme="minorEastAsia" w:hAnsiTheme="minorEastAsia" w:hint="eastAsia"/>
              </w:rPr>
              <w:t>英文名称</w:t>
            </w:r>
            <w:r>
              <w:rPr>
                <w:rFonts w:asciiTheme="minorEastAsia" w:eastAsiaTheme="minorEastAsia" w:hAnsiTheme="minorEastAsia" w:hint="eastAsia"/>
              </w:rPr>
              <w:t>：</w:t>
            </w:r>
            <w:r>
              <w:rPr>
                <w:rFonts w:asciiTheme="minorEastAsia" w:eastAsiaTheme="minorEastAsia" w:hAnsiTheme="minorEastAsia" w:hint="eastAsia"/>
              </w:rPr>
              <w:t>The Hong Kong and Shanghai Banking Corporation Limite</w:t>
            </w:r>
            <w:r>
              <w:rPr>
                <w:rFonts w:asciiTheme="minorEastAsia" w:eastAsiaTheme="minorEastAsia" w:hAnsiTheme="minorEastAsia" w:hint="eastAsia"/>
              </w:rPr>
              <w:t>d</w:t>
            </w:r>
          </w:p>
        </w:tc>
      </w:tr>
      <w:tr w:rsidR="00000000">
        <w:trPr>
          <w:divId w:val="1886484523"/>
          <w:trHeight w:val="38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23B5C" w:rsidRDefault="00723B5C">
            <w:pPr>
              <w:widowControl/>
              <w:jc w:val="left"/>
            </w:pPr>
          </w:p>
        </w:tc>
        <w:tc>
          <w:tcPr>
            <w:tcW w:w="3816" w:type="pct"/>
            <w:gridSpan w:val="2"/>
            <w:tcBorders>
              <w:top w:val="nil"/>
              <w:left w:val="nil"/>
              <w:bottom w:val="single" w:sz="4" w:space="0" w:color="000000"/>
              <w:right w:val="single" w:sz="4" w:space="0" w:color="000000"/>
            </w:tcBorders>
            <w:tcMar>
              <w:top w:w="0" w:type="dxa"/>
              <w:left w:w="108" w:type="dxa"/>
              <w:bottom w:w="0" w:type="dxa"/>
              <w:right w:w="108" w:type="dxa"/>
            </w:tcMar>
            <w:vAlign w:val="center"/>
            <w:hideMark/>
          </w:tcPr>
          <w:p w:rsidR="00723B5C" w:rsidRDefault="00723B5C">
            <w:pPr>
              <w:widowControl/>
              <w:spacing w:line="315" w:lineRule="atLeast"/>
              <w:jc w:val="left"/>
            </w:pPr>
            <w:r>
              <w:rPr>
                <w:rFonts w:asciiTheme="minorEastAsia" w:eastAsiaTheme="minorEastAsia" w:hAnsiTheme="minorEastAsia" w:hint="eastAsia"/>
              </w:rPr>
              <w:t>中文名称</w:t>
            </w:r>
            <w:r>
              <w:rPr>
                <w:rFonts w:asciiTheme="minorEastAsia" w:eastAsiaTheme="minorEastAsia" w:hAnsiTheme="minorEastAsia" w:hint="eastAsia"/>
              </w:rPr>
              <w:t>：</w:t>
            </w:r>
            <w:r>
              <w:rPr>
                <w:rFonts w:asciiTheme="minorEastAsia" w:eastAsiaTheme="minorEastAsia" w:hAnsiTheme="minorEastAsia" w:hint="eastAsia"/>
              </w:rPr>
              <w:t>香港上海汇丰银行有限公</w:t>
            </w:r>
            <w:r>
              <w:rPr>
                <w:rFonts w:asciiTheme="minorEastAsia" w:eastAsiaTheme="minorEastAsia" w:hAnsiTheme="minorEastAsia" w:hint="eastAsia"/>
              </w:rPr>
              <w:t>司</w:t>
            </w:r>
          </w:p>
        </w:tc>
      </w:tr>
    </w:tbl>
    <w:p w:rsidR="00723B5C" w:rsidRDefault="00723B5C">
      <w:pPr>
        <w:pStyle w:val="XBRLTitle1"/>
        <w:spacing w:before="156"/>
        <w:ind w:left="425"/>
      </w:pPr>
      <w:bookmarkStart w:id="39" w:name="_Toc514088245"/>
      <w:bookmarkStart w:id="40" w:name="_Toc480465415"/>
      <w:bookmarkStart w:id="41" w:name="_Toc448480286"/>
      <w:bookmarkStart w:id="42" w:name="_Toc438654074"/>
      <w:bookmarkStart w:id="43" w:name="_Toc456107120"/>
      <w:bookmarkStart w:id="44" w:name="_Toc459213766"/>
      <w:bookmarkStart w:id="45" w:name="_Toc513542646"/>
      <w:bookmarkStart w:id="46" w:name="_Toc512696252"/>
      <w:bookmarkStart w:id="47" w:name="_Toc512612255"/>
      <w:bookmarkStart w:id="48" w:name="_Toc512612079"/>
      <w:bookmarkStart w:id="49" w:name="_Toc512611283"/>
      <w:bookmarkStart w:id="50" w:name="m401_tab"/>
      <w:bookmarkStart w:id="51" w:name="m401"/>
      <w:bookmarkEnd w:id="37"/>
      <w:r>
        <w:rPr>
          <w:rFonts w:hint="eastAsia"/>
        </w:rPr>
        <w:t>主要财务指标和基金净值表</w:t>
      </w:r>
      <w:r>
        <w:rPr>
          <w:rFonts w:hint="eastAsia"/>
        </w:rPr>
        <w:t>现</w:t>
      </w:r>
      <w:bookmarkEnd w:id="39"/>
      <w:bookmarkEnd w:id="40"/>
      <w:bookmarkEnd w:id="41"/>
      <w:bookmarkEnd w:id="42"/>
      <w:bookmarkEnd w:id="43"/>
      <w:bookmarkEnd w:id="44"/>
      <w:bookmarkEnd w:id="45"/>
      <w:bookmarkEnd w:id="46"/>
      <w:bookmarkEnd w:id="47"/>
      <w:bookmarkEnd w:id="48"/>
      <w:bookmarkEnd w:id="49"/>
    </w:p>
    <w:p w:rsidR="00723B5C" w:rsidRDefault="00723B5C">
      <w:pPr>
        <w:pStyle w:val="XBRLTitle2"/>
        <w:spacing w:before="156" w:line="360" w:lineRule="auto"/>
        <w:ind w:left="454"/>
        <w:rPr>
          <w:rFonts w:hint="eastAsia"/>
        </w:rPr>
      </w:pPr>
      <w:bookmarkStart w:id="52" w:name="_Toc514088246"/>
      <w:bookmarkStart w:id="53" w:name="_Toc480465416"/>
      <w:bookmarkStart w:id="54" w:name="_Toc448480287"/>
      <w:bookmarkStart w:id="55" w:name="_Toc438654075"/>
      <w:bookmarkStart w:id="56" w:name="_Toc456107121"/>
      <w:bookmarkStart w:id="57" w:name="_Toc459213767"/>
      <w:bookmarkStart w:id="58" w:name="_Toc513542647"/>
      <w:bookmarkStart w:id="59" w:name="_Toc512696253"/>
      <w:bookmarkStart w:id="60" w:name="_Toc512612256"/>
      <w:bookmarkStart w:id="61" w:name="_Toc512612080"/>
      <w:bookmarkStart w:id="62" w:name="_Toc512611284"/>
      <w:r>
        <w:rPr>
          <w:rFonts w:eastAsia="宋体" w:hint="eastAsia"/>
        </w:rPr>
        <w:t>主要财务指</w:t>
      </w:r>
      <w:r>
        <w:rPr>
          <w:rFonts w:eastAsia="宋体" w:hint="eastAsia"/>
        </w:rPr>
        <w:t>标</w:t>
      </w:r>
      <w:bookmarkEnd w:id="52"/>
      <w:bookmarkEnd w:id="53"/>
      <w:bookmarkEnd w:id="54"/>
      <w:bookmarkEnd w:id="55"/>
      <w:bookmarkEnd w:id="56"/>
      <w:bookmarkEnd w:id="57"/>
      <w:r>
        <w:rPr>
          <w:rFonts w:eastAsia="宋体" w:hint="eastAsia"/>
        </w:rPr>
        <w:t xml:space="preserve"> </w:t>
      </w:r>
      <w:bookmarkEnd w:id="58"/>
      <w:bookmarkEnd w:id="59"/>
      <w:bookmarkEnd w:id="60"/>
      <w:bookmarkEnd w:id="61"/>
      <w:bookmarkEnd w:id="62"/>
    </w:p>
    <w:p w:rsidR="00723B5C" w:rsidRDefault="00723B5C">
      <w:pPr>
        <w:jc w:val="right"/>
        <w:divId w:val="1493569055"/>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3"/>
        <w:gridCol w:w="3387"/>
        <w:gridCol w:w="3335"/>
      </w:tblGrid>
      <w:tr w:rsidR="00000000">
        <w:trPr>
          <w:divId w:val="1493569055"/>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23B5C" w:rsidRDefault="00723B5C">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723B5C" w:rsidRDefault="00723B5C">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493569055"/>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23B5C" w:rsidRDefault="00723B5C">
            <w:pPr>
              <w:jc w:val="center"/>
              <w:rPr>
                <w:rFonts w:hint="eastAsia"/>
              </w:rPr>
            </w:pPr>
            <w:r>
              <w:rPr>
                <w:rFonts w:ascii="宋体" w:hAnsi="宋体" w:hint="eastAsia"/>
                <w:szCs w:val="24"/>
                <w:lang w:eastAsia="zh-Hans"/>
              </w:rPr>
              <w:t>摩根海外稳健配置混合</w:t>
            </w:r>
            <w:r>
              <w:rPr>
                <w:rFonts w:ascii="宋体" w:hAnsi="宋体" w:hint="eastAsia"/>
                <w:szCs w:val="24"/>
                <w:lang w:eastAsia="zh-Hans"/>
              </w:rPr>
              <w:t>(QDII-FOF)</w:t>
            </w:r>
            <w:r>
              <w:rPr>
                <w:rFonts w:ascii="宋体" w:hAnsi="宋体" w:hint="eastAsia"/>
                <w:szCs w:val="24"/>
                <w:lang w:eastAsia="zh-Hans"/>
              </w:rPr>
              <w:t>人民币</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723B5C" w:rsidRDefault="00723B5C">
            <w:pPr>
              <w:jc w:val="center"/>
            </w:pPr>
            <w:r>
              <w:rPr>
                <w:rFonts w:ascii="宋体" w:hAnsi="宋体" w:hint="eastAsia"/>
                <w:szCs w:val="24"/>
                <w:lang w:eastAsia="zh-Hans"/>
              </w:rPr>
              <w:t>摩根海外稳健配置混合</w:t>
            </w:r>
            <w:r>
              <w:rPr>
                <w:rFonts w:ascii="宋体" w:hAnsi="宋体" w:hint="eastAsia"/>
                <w:szCs w:val="24"/>
                <w:lang w:eastAsia="zh-Hans"/>
              </w:rPr>
              <w:t>(QDII-FOF)</w:t>
            </w:r>
            <w:r>
              <w:rPr>
                <w:rFonts w:ascii="宋体" w:hAnsi="宋体" w:hint="eastAsia"/>
                <w:szCs w:val="24"/>
                <w:lang w:eastAsia="zh-Hans"/>
              </w:rPr>
              <w:t>人民币</w:t>
            </w:r>
            <w:r>
              <w:rPr>
                <w:rFonts w:ascii="宋体" w:hAnsi="宋体" w:hint="eastAsia"/>
                <w:szCs w:val="24"/>
                <w:lang w:eastAsia="zh-Hans"/>
              </w:rPr>
              <w:t>C</w:t>
            </w:r>
          </w:p>
        </w:tc>
      </w:tr>
      <w:tr w:rsidR="00000000">
        <w:trPr>
          <w:divId w:val="14935690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rPr>
                <w:rFonts w:hint="eastAsia"/>
              </w:rPr>
            </w:pPr>
            <w:r>
              <w:rPr>
                <w:rFonts w:ascii="宋体" w:hAnsi="宋体" w:hint="eastAsia"/>
                <w:szCs w:val="24"/>
                <w:lang w:eastAsia="zh-Hans"/>
              </w:rPr>
              <w:t>3,877,273.7</w:t>
            </w:r>
            <w:r>
              <w:rPr>
                <w:rFonts w:ascii="宋体" w:hAnsi="宋体" w:hint="eastAsia"/>
                <w:szCs w:val="24"/>
                <w:lang w:eastAsia="zh-Hans"/>
              </w:rPr>
              <w:t>8</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pPr>
            <w:r>
              <w:rPr>
                <w:rFonts w:ascii="宋体" w:hAnsi="宋体" w:hint="eastAsia"/>
                <w:szCs w:val="24"/>
                <w:lang w:eastAsia="zh-Hans"/>
              </w:rPr>
              <w:t>303,174.5</w:t>
            </w:r>
            <w:r>
              <w:rPr>
                <w:rFonts w:ascii="宋体" w:hAnsi="宋体" w:hint="eastAsia"/>
                <w:szCs w:val="24"/>
                <w:lang w:eastAsia="zh-Hans"/>
              </w:rPr>
              <w:t>8</w:t>
            </w:r>
          </w:p>
        </w:tc>
      </w:tr>
      <w:tr w:rsidR="00000000">
        <w:trPr>
          <w:divId w:val="14935690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rPr>
                <w:rFonts w:hint="eastAsia"/>
              </w:rPr>
            </w:pPr>
            <w:r>
              <w:rPr>
                <w:rFonts w:ascii="宋体" w:hAnsi="宋体" w:hint="eastAsia"/>
                <w:szCs w:val="24"/>
                <w:lang w:eastAsia="zh-Hans"/>
              </w:rPr>
              <w:t>-12,681,513.1</w:t>
            </w:r>
            <w:r>
              <w:rPr>
                <w:rFonts w:ascii="宋体" w:hAnsi="宋体" w:hint="eastAsia"/>
                <w:szCs w:val="24"/>
                <w:lang w:eastAsia="zh-Hans"/>
              </w:rPr>
              <w:t>9</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pPr>
            <w:r>
              <w:rPr>
                <w:rFonts w:ascii="宋体" w:hAnsi="宋体" w:hint="eastAsia"/>
                <w:szCs w:val="24"/>
                <w:lang w:eastAsia="zh-Hans"/>
              </w:rPr>
              <w:t>-1,975,651.0</w:t>
            </w:r>
            <w:r>
              <w:rPr>
                <w:rFonts w:ascii="宋体" w:hAnsi="宋体" w:hint="eastAsia"/>
                <w:szCs w:val="24"/>
                <w:lang w:eastAsia="zh-Hans"/>
              </w:rPr>
              <w:t>1</w:t>
            </w:r>
          </w:p>
        </w:tc>
      </w:tr>
      <w:tr w:rsidR="00000000">
        <w:trPr>
          <w:divId w:val="14935690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rPr>
                <w:rFonts w:hint="eastAsia"/>
              </w:rPr>
            </w:pPr>
            <w:r>
              <w:rPr>
                <w:rFonts w:ascii="宋体" w:hAnsi="宋体" w:hint="eastAsia"/>
                <w:szCs w:val="24"/>
                <w:lang w:eastAsia="zh-Hans"/>
              </w:rPr>
              <w:t>-0.010</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pPr>
            <w:r>
              <w:rPr>
                <w:rFonts w:ascii="宋体" w:hAnsi="宋体" w:hint="eastAsia"/>
                <w:szCs w:val="24"/>
                <w:lang w:eastAsia="zh-Hans"/>
              </w:rPr>
              <w:t>-0.011</w:t>
            </w:r>
            <w:r>
              <w:rPr>
                <w:rFonts w:ascii="宋体" w:hAnsi="宋体" w:hint="eastAsia"/>
                <w:szCs w:val="24"/>
                <w:lang w:eastAsia="zh-Hans"/>
              </w:rPr>
              <w:t>7</w:t>
            </w:r>
          </w:p>
        </w:tc>
      </w:tr>
      <w:tr w:rsidR="00000000">
        <w:trPr>
          <w:divId w:val="14935690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rPr>
                <w:rFonts w:hint="eastAsia"/>
              </w:rPr>
            </w:pPr>
            <w:r>
              <w:rPr>
                <w:rFonts w:ascii="宋体" w:hAnsi="宋体" w:hint="eastAsia"/>
                <w:szCs w:val="24"/>
                <w:lang w:eastAsia="zh-Hans"/>
              </w:rPr>
              <w:t>1,230,059,626.1</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pPr>
            <w:r>
              <w:rPr>
                <w:rFonts w:ascii="宋体" w:hAnsi="宋体" w:hint="eastAsia"/>
                <w:szCs w:val="24"/>
                <w:lang w:eastAsia="zh-Hans"/>
              </w:rPr>
              <w:t>141,758,686.2</w:t>
            </w:r>
            <w:r>
              <w:rPr>
                <w:rFonts w:ascii="宋体" w:hAnsi="宋体" w:hint="eastAsia"/>
                <w:szCs w:val="24"/>
                <w:lang w:eastAsia="zh-Hans"/>
              </w:rPr>
              <w:t>1</w:t>
            </w:r>
          </w:p>
        </w:tc>
      </w:tr>
      <w:tr w:rsidR="00000000">
        <w:trPr>
          <w:divId w:val="1493569055"/>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rPr>
                <w:rFonts w:hint="eastAsia"/>
              </w:rPr>
            </w:pPr>
            <w:r>
              <w:rPr>
                <w:rFonts w:ascii="宋体" w:hAnsi="宋体" w:hint="eastAsia"/>
                <w:szCs w:val="24"/>
                <w:lang w:eastAsia="zh-Hans"/>
              </w:rPr>
              <w:t>1.062</w:t>
            </w:r>
            <w:r>
              <w:rPr>
                <w:rFonts w:ascii="宋体" w:hAnsi="宋体" w:hint="eastAsia"/>
                <w:szCs w:val="24"/>
                <w:lang w:eastAsia="zh-Hans"/>
              </w:rPr>
              <w:t>5</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723B5C" w:rsidRDefault="00723B5C">
            <w:pPr>
              <w:jc w:val="right"/>
            </w:pPr>
            <w:r>
              <w:rPr>
                <w:rFonts w:ascii="宋体" w:hAnsi="宋体" w:hint="eastAsia"/>
                <w:szCs w:val="24"/>
                <w:lang w:eastAsia="zh-Hans"/>
              </w:rPr>
              <w:t>1.052</w:t>
            </w:r>
            <w:r>
              <w:rPr>
                <w:rFonts w:ascii="宋体" w:hAnsi="宋体" w:hint="eastAsia"/>
                <w:szCs w:val="24"/>
                <w:lang w:eastAsia="zh-Hans"/>
              </w:rPr>
              <w:t>1</w:t>
            </w:r>
          </w:p>
        </w:tc>
      </w:tr>
    </w:tbl>
    <w:p w:rsidR="00723B5C" w:rsidRDefault="00723B5C">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723B5C" w:rsidRDefault="00723B5C">
      <w:pPr>
        <w:pStyle w:val="XBRLTitle2"/>
        <w:spacing w:before="156" w:line="360" w:lineRule="auto"/>
        <w:ind w:left="454"/>
      </w:pPr>
      <w:bookmarkStart w:id="63" w:name="_Toc514088247"/>
      <w:bookmarkStart w:id="64" w:name="_Toc480465417"/>
      <w:bookmarkStart w:id="65" w:name="_Toc448480288"/>
      <w:bookmarkStart w:id="66" w:name="_Toc438654076"/>
      <w:bookmarkStart w:id="67" w:name="_Toc456107122"/>
      <w:bookmarkStart w:id="68" w:name="_Toc459213768"/>
      <w:bookmarkStart w:id="69" w:name="_Toc513542648"/>
      <w:bookmarkStart w:id="70" w:name="_Toc512696254"/>
      <w:bookmarkStart w:id="71" w:name="_Toc512612257"/>
      <w:bookmarkStart w:id="72" w:name="_Toc512612081"/>
      <w:bookmarkStart w:id="73" w:name="_Toc512611285"/>
      <w:r>
        <w:rPr>
          <w:rFonts w:eastAsia="宋体" w:hint="eastAsia"/>
        </w:rPr>
        <w:t>基金净值表</w:t>
      </w:r>
      <w:r>
        <w:rPr>
          <w:rFonts w:eastAsia="宋体" w:hint="eastAsia"/>
        </w:rPr>
        <w:t>现</w:t>
      </w:r>
      <w:bookmarkEnd w:id="63"/>
      <w:bookmarkEnd w:id="64"/>
      <w:bookmarkEnd w:id="65"/>
      <w:bookmarkEnd w:id="66"/>
      <w:bookmarkEnd w:id="67"/>
      <w:bookmarkEnd w:id="68"/>
      <w:bookmarkEnd w:id="69"/>
      <w:bookmarkEnd w:id="70"/>
      <w:bookmarkEnd w:id="71"/>
      <w:bookmarkEnd w:id="72"/>
      <w:bookmarkEnd w:id="73"/>
      <w:r>
        <w:rPr>
          <w:rFonts w:eastAsia="宋体" w:hint="eastAsia"/>
        </w:rPr>
        <w:t xml:space="preserve"> </w:t>
      </w:r>
    </w:p>
    <w:p w:rsidR="00723B5C" w:rsidRDefault="00723B5C">
      <w:pPr>
        <w:pStyle w:val="XBRLTitle3"/>
        <w:spacing w:before="156" w:line="360" w:lineRule="auto"/>
        <w:ind w:left="624"/>
        <w:rPr>
          <w:rFonts w:hint="eastAsia"/>
        </w:rPr>
      </w:pPr>
      <w:bookmarkStart w:id="74" w:name="_Toc514088248"/>
      <w:bookmarkStart w:id="75" w:name="_Toc513542649"/>
      <w:bookmarkStart w:id="76" w:name="_Toc480465418"/>
      <w:r>
        <w:rPr>
          <w:rFonts w:hAnsi="宋体" w:hint="eastAsia"/>
        </w:rPr>
        <w:t>基金份额净值增长率及其与同期业绩比较基准收益率的比</w:t>
      </w:r>
      <w:r>
        <w:rPr>
          <w:rFonts w:hAnsi="宋体" w:hint="eastAsia"/>
        </w:rPr>
        <w:t>较</w:t>
      </w:r>
      <w:bookmarkEnd w:id="74"/>
      <w:bookmarkEnd w:id="75"/>
      <w:bookmarkEnd w:id="76"/>
      <w:r>
        <w:rPr>
          <w:rFonts w:hAnsi="宋体" w:hint="eastAsia"/>
        </w:rPr>
        <w:t xml:space="preserve"> </w:t>
      </w:r>
    </w:p>
    <w:p w:rsidR="00723B5C" w:rsidRDefault="00723B5C">
      <w:pPr>
        <w:spacing w:line="360" w:lineRule="auto"/>
        <w:jc w:val="center"/>
        <w:divId w:val="1065764638"/>
        <w:rPr>
          <w:rFonts w:hint="eastAsia"/>
        </w:rPr>
      </w:pPr>
      <w:r>
        <w:rPr>
          <w:rFonts w:ascii="宋体" w:hAnsi="宋体" w:hint="eastAsia"/>
        </w:rPr>
        <w:t>摩根海外稳健配置混合</w:t>
      </w:r>
      <w:r>
        <w:rPr>
          <w:rFonts w:ascii="宋体" w:hAnsi="宋体" w:hint="eastAsia"/>
        </w:rPr>
        <w:t>(QDII-FOF)</w:t>
      </w:r>
      <w:r>
        <w:rPr>
          <w:rFonts w:ascii="宋体" w:hAnsi="宋体" w:hint="eastAsia"/>
        </w:rPr>
        <w:t>人民币</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06576463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②－④</w:t>
            </w:r>
            <w:r>
              <w:rPr>
                <w:rFonts w:ascii="宋体" w:hAnsi="宋体" w:hint="eastAsia"/>
              </w:rPr>
              <w:t xml:space="preserve"> </w:t>
            </w:r>
          </w:p>
        </w:tc>
      </w:tr>
      <w:tr w:rsidR="00000000">
        <w:trPr>
          <w:divId w:val="106576463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-0.9</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-2.9</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2</w:t>
            </w:r>
            <w:r>
              <w:rPr>
                <w:rFonts w:ascii="宋体" w:hAnsi="宋体" w:hint="eastAsia"/>
              </w:rPr>
              <w:t xml:space="preserve">% </w:t>
            </w:r>
          </w:p>
        </w:tc>
      </w:tr>
      <w:tr w:rsidR="00000000">
        <w:trPr>
          <w:divId w:val="106576463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-2.2</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-1.0</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9</w:t>
            </w:r>
            <w:r>
              <w:rPr>
                <w:rFonts w:ascii="宋体" w:hAnsi="宋体" w:hint="eastAsia"/>
              </w:rPr>
              <w:t xml:space="preserve">% </w:t>
            </w:r>
          </w:p>
        </w:tc>
      </w:tr>
      <w:tr w:rsidR="00000000">
        <w:trPr>
          <w:divId w:val="106576463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-2.2</w:t>
            </w:r>
            <w:r>
              <w:rPr>
                <w:rFonts w:ascii="宋体" w:hAnsi="宋体" w:hint="eastAsia"/>
              </w:rPr>
              <w:t>0</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0.0</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-2.4</w:t>
            </w:r>
            <w:r>
              <w:rPr>
                <w:rFonts w:ascii="宋体" w:hAnsi="宋体" w:hint="eastAsia"/>
              </w:rPr>
              <w:t>2</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r w:rsidR="00000000">
        <w:trPr>
          <w:divId w:val="106576463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3.3</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0.1</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14.7</w:t>
            </w:r>
            <w:r>
              <w:rPr>
                <w:rFonts w:ascii="宋体" w:hAnsi="宋体" w:hint="eastAsia"/>
              </w:rPr>
              <w:t>9</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-11.4</w:t>
            </w:r>
            <w:r>
              <w:rPr>
                <w:rFonts w:ascii="宋体" w:hAnsi="宋体" w:hint="eastAsia"/>
              </w:rPr>
              <w:t>7</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5</w:t>
            </w:r>
            <w:r>
              <w:rPr>
                <w:rFonts w:ascii="宋体" w:hAnsi="宋体" w:hint="eastAsia"/>
              </w:rPr>
              <w:t xml:space="preserve">% </w:t>
            </w:r>
          </w:p>
        </w:tc>
      </w:tr>
      <w:tr w:rsidR="00000000">
        <w:trPr>
          <w:divId w:val="106576463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6.2</w:t>
            </w:r>
            <w:r>
              <w:rPr>
                <w:rFonts w:ascii="宋体" w:hAnsi="宋体" w:hint="eastAsia"/>
              </w:rPr>
              <w:t>5</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0.1</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19.6</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-13.4</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4</w:t>
            </w:r>
            <w:r>
              <w:rPr>
                <w:rFonts w:ascii="宋体" w:hAnsi="宋体" w:hint="eastAsia"/>
              </w:rPr>
              <w:t xml:space="preserve">% </w:t>
            </w:r>
          </w:p>
        </w:tc>
      </w:tr>
    </w:tbl>
    <w:p w:rsidR="00723B5C" w:rsidRDefault="00723B5C">
      <w:pPr>
        <w:spacing w:line="360" w:lineRule="auto"/>
        <w:jc w:val="center"/>
        <w:divId w:val="1874610698"/>
      </w:pPr>
      <w:r>
        <w:rPr>
          <w:rFonts w:ascii="宋体" w:hAnsi="宋体" w:hint="eastAsia"/>
        </w:rPr>
        <w:t>摩根海外稳健配置混合</w:t>
      </w:r>
      <w:r>
        <w:rPr>
          <w:rFonts w:ascii="宋体" w:hAnsi="宋体" w:hint="eastAsia"/>
        </w:rPr>
        <w:t>(QDII-FOF)</w:t>
      </w:r>
      <w:r>
        <w:rPr>
          <w:rFonts w:ascii="宋体" w:hAnsi="宋体" w:hint="eastAsia"/>
        </w:rPr>
        <w:t>人民币</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74610698"/>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18746106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-1.0</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0.0</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2.0</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-3.0</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2</w:t>
            </w:r>
            <w:r>
              <w:rPr>
                <w:rFonts w:ascii="宋体" w:hAnsi="宋体" w:hint="eastAsia"/>
              </w:rPr>
              <w:t>%</w:t>
            </w:r>
            <w:r>
              <w:rPr>
                <w:rFonts w:ascii="宋体" w:hAnsi="宋体" w:hint="eastAsia"/>
              </w:rPr>
              <w:t xml:space="preserve"> </w:t>
            </w:r>
          </w:p>
        </w:tc>
      </w:tr>
      <w:tr w:rsidR="00000000">
        <w:trPr>
          <w:divId w:val="18746106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-2.4</w:t>
            </w:r>
            <w:r>
              <w:rPr>
                <w:rFonts w:ascii="宋体" w:hAnsi="宋体" w:hint="eastAsia"/>
              </w:rPr>
              <w:t>2</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-1.2</w:t>
            </w:r>
            <w:r>
              <w:rPr>
                <w:rFonts w:ascii="宋体" w:hAnsi="宋体" w:hint="eastAsia"/>
              </w:rPr>
              <w:t>8</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9</w:t>
            </w:r>
            <w:r>
              <w:rPr>
                <w:rFonts w:ascii="宋体" w:hAnsi="宋体" w:hint="eastAsia"/>
              </w:rPr>
              <w:t>%</w:t>
            </w:r>
            <w:r>
              <w:rPr>
                <w:rFonts w:ascii="宋体" w:hAnsi="宋体" w:hint="eastAsia"/>
              </w:rPr>
              <w:t xml:space="preserve"> </w:t>
            </w:r>
          </w:p>
        </w:tc>
      </w:tr>
      <w:tr w:rsidR="00000000">
        <w:trPr>
          <w:divId w:val="18746106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-2.5</w:t>
            </w:r>
            <w:r>
              <w:rPr>
                <w:rFonts w:ascii="宋体" w:hAnsi="宋体" w:hint="eastAsia"/>
              </w:rPr>
              <w:t>9</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-2.8</w:t>
            </w:r>
            <w:r>
              <w:rPr>
                <w:rFonts w:ascii="宋体" w:hAnsi="宋体" w:hint="eastAsia"/>
              </w:rPr>
              <w:t>1</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r w:rsidR="00000000">
        <w:trPr>
          <w:divId w:val="1874610698"/>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2.2</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0.1</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13.0</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0.3</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723B5C" w:rsidRDefault="00723B5C">
            <w:pPr>
              <w:spacing w:line="360" w:lineRule="auto"/>
              <w:jc w:val="right"/>
            </w:pPr>
            <w:r>
              <w:rPr>
                <w:rFonts w:ascii="宋体" w:hAnsi="宋体" w:hint="eastAsia"/>
              </w:rPr>
              <w:t>-10.8</w:t>
            </w:r>
            <w:r>
              <w:rPr>
                <w:rFonts w:ascii="宋体" w:hAnsi="宋体" w:hint="eastAsia"/>
              </w:rPr>
              <w:t>4</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spacing w:line="360" w:lineRule="auto"/>
              <w:jc w:val="right"/>
            </w:pPr>
            <w:r>
              <w:rPr>
                <w:rFonts w:ascii="宋体" w:hAnsi="宋体" w:hint="eastAsia"/>
              </w:rPr>
              <w:t>-0.2</w:t>
            </w:r>
            <w:r>
              <w:rPr>
                <w:rFonts w:ascii="宋体" w:hAnsi="宋体" w:hint="eastAsia"/>
              </w:rPr>
              <w:t>4</w:t>
            </w:r>
            <w:r>
              <w:rPr>
                <w:rFonts w:ascii="宋体" w:hAnsi="宋体" w:hint="eastAsia"/>
              </w:rPr>
              <w:t>%</w:t>
            </w:r>
            <w:r>
              <w:rPr>
                <w:rFonts w:ascii="宋体" w:hAnsi="宋体" w:hint="eastAsia"/>
              </w:rPr>
              <w:t xml:space="preserve"> </w:t>
            </w:r>
          </w:p>
        </w:tc>
      </w:tr>
    </w:tbl>
    <w:p w:rsidR="00723B5C" w:rsidRDefault="00723B5C">
      <w:pPr>
        <w:pStyle w:val="XBRLTitle3"/>
        <w:spacing w:before="156" w:line="360" w:lineRule="auto"/>
        <w:ind w:left="624"/>
      </w:pPr>
      <w:bookmarkStart w:id="77" w:name="_Toc514088249"/>
      <w:bookmarkStart w:id="78" w:name="_Toc480465419"/>
      <w:bookmarkStart w:id="79" w:name="_Toc513542650"/>
      <w:r>
        <w:rPr>
          <w:rFonts w:hAnsi="宋体" w:hint="eastAsia"/>
        </w:rPr>
        <w:t>自基金合同生效以</w:t>
      </w:r>
      <w:r>
        <w:rPr>
          <w:rFonts w:hAnsi="宋体" w:hint="eastAsia"/>
        </w:rPr>
        <w:t>来</w:t>
      </w:r>
      <w:r>
        <w:rPr>
          <w:rFonts w:hAnsi="宋体" w:hint="eastAsia"/>
        </w:rPr>
        <w:t>基金累计份额净值增长率变动及其与同期业绩比较基准收益率变动的比</w:t>
      </w:r>
      <w:r>
        <w:rPr>
          <w:rFonts w:hAnsi="宋体" w:hint="eastAsia"/>
        </w:rPr>
        <w:t>较</w:t>
      </w:r>
      <w:bookmarkEnd w:id="77"/>
      <w:bookmarkEnd w:id="78"/>
      <w:bookmarkEnd w:id="79"/>
      <w:r>
        <w:rPr>
          <w:rFonts w:hAnsi="宋体" w:hint="eastAsia"/>
        </w:rPr>
        <w:t xml:space="preserve"> </w:t>
      </w:r>
    </w:p>
    <w:p w:rsidR="00723B5C" w:rsidRDefault="00723B5C">
      <w:pPr>
        <w:spacing w:line="360" w:lineRule="auto"/>
        <w:jc w:val="left"/>
        <w:divId w:val="2086490954"/>
        <w:rPr>
          <w:rFonts w:hint="eastAsia"/>
        </w:rPr>
      </w:pPr>
      <w:bookmarkStart w:id="80" w:name="m07_04_07_09_tab"/>
      <w:bookmarkStart w:id="81" w:name="m07_04_07_09"/>
      <w:bookmarkStart w:id="82" w:name="m01_01"/>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23B5C" w:rsidRDefault="00723B5C">
      <w:pPr>
        <w:spacing w:line="360" w:lineRule="auto"/>
        <w:jc w:val="left"/>
        <w:divId w:val="144349927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723B5C" w:rsidRDefault="00723B5C">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2023</w:t>
      </w:r>
      <w:r>
        <w:rPr>
          <w:rFonts w:ascii="宋体" w:hAnsi="宋体" w:hint="eastAsia"/>
          <w:lang w:eastAsia="zh-Hans"/>
        </w:rPr>
        <w:t>年</w:t>
      </w:r>
      <w:r>
        <w:rPr>
          <w:rFonts w:ascii="宋体" w:hAnsi="宋体" w:hint="eastAsia"/>
          <w:lang w:eastAsia="zh-Hans"/>
        </w:rPr>
        <w:t>5</w:t>
      </w:r>
      <w:r>
        <w:rPr>
          <w:rFonts w:ascii="宋体" w:hAnsi="宋体" w:hint="eastAsia"/>
          <w:lang w:eastAsia="zh-Hans"/>
        </w:rPr>
        <w:t>月</w:t>
      </w:r>
      <w:r>
        <w:rPr>
          <w:rFonts w:ascii="宋体" w:hAnsi="宋体" w:hint="eastAsia"/>
          <w:lang w:eastAsia="zh-Hans"/>
        </w:rPr>
        <w:t>23</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2024</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6</w:t>
      </w:r>
      <w:r>
        <w:rPr>
          <w:rFonts w:ascii="宋体" w:hAnsi="宋体" w:hint="eastAsia"/>
          <w:lang w:eastAsia="zh-Hans"/>
        </w:rPr>
        <w:t>个月，建仓期结束时资产配置比例符合本基金基金合同规定。</w:t>
      </w:r>
      <w:r>
        <w:rPr>
          <w:rFonts w:ascii="宋体" w:hAnsi="宋体" w:hint="eastAsia"/>
          <w:lang w:eastAsia="zh-Hans"/>
        </w:rPr>
        <w:t xml:space="preserve"> </w:t>
      </w:r>
      <w:bookmarkEnd w:id="80"/>
      <w:bookmarkEnd w:id="81"/>
    </w:p>
    <w:p w:rsidR="00723B5C" w:rsidRDefault="00723B5C">
      <w:pPr>
        <w:pStyle w:val="XBRLTitle1"/>
        <w:spacing w:before="156"/>
        <w:ind w:left="425"/>
      </w:pPr>
      <w:bookmarkStart w:id="83" w:name="_Toc514088250"/>
      <w:bookmarkStart w:id="84" w:name="_Toc480465420"/>
      <w:bookmarkStart w:id="85" w:name="_Toc448480289"/>
      <w:bookmarkStart w:id="86" w:name="_Toc438654077"/>
      <w:bookmarkStart w:id="87" w:name="_Toc456107123"/>
      <w:bookmarkStart w:id="88" w:name="_Toc459213769"/>
      <w:bookmarkStart w:id="89" w:name="_Toc513542651"/>
      <w:bookmarkStart w:id="90" w:name="_Toc512696255"/>
      <w:bookmarkStart w:id="91" w:name="_Toc512612258"/>
      <w:bookmarkStart w:id="92" w:name="_Toc512612082"/>
      <w:bookmarkStart w:id="93" w:name="_Toc512611286"/>
      <w:r>
        <w:rPr>
          <w:rFonts w:hint="eastAsia"/>
        </w:rPr>
        <w:t>管理人报</w:t>
      </w:r>
      <w:r>
        <w:rPr>
          <w:rFonts w:hint="eastAsia"/>
        </w:rPr>
        <w:t>告</w:t>
      </w:r>
      <w:bookmarkEnd w:id="83"/>
      <w:bookmarkEnd w:id="84"/>
      <w:bookmarkEnd w:id="85"/>
      <w:bookmarkEnd w:id="86"/>
      <w:bookmarkEnd w:id="87"/>
      <w:bookmarkEnd w:id="88"/>
      <w:bookmarkEnd w:id="89"/>
      <w:bookmarkEnd w:id="90"/>
      <w:bookmarkEnd w:id="91"/>
      <w:bookmarkEnd w:id="92"/>
      <w:bookmarkEnd w:id="93"/>
    </w:p>
    <w:p w:rsidR="00723B5C" w:rsidRDefault="00723B5C">
      <w:pPr>
        <w:pStyle w:val="XBRLTitle2"/>
        <w:spacing w:before="156" w:line="360" w:lineRule="auto"/>
        <w:ind w:left="454"/>
        <w:rPr>
          <w:rFonts w:hint="eastAsia"/>
        </w:rPr>
      </w:pPr>
      <w:bookmarkStart w:id="94" w:name="_Toc514088251"/>
      <w:bookmarkStart w:id="95" w:name="_Toc480465421"/>
      <w:bookmarkStart w:id="96" w:name="_Toc448480290"/>
      <w:bookmarkStart w:id="97" w:name="_Toc438654078"/>
      <w:bookmarkStart w:id="98" w:name="_Toc456107124"/>
      <w:bookmarkStart w:id="99" w:name="_Toc459213770"/>
      <w:bookmarkStart w:id="100" w:name="_Toc513542652"/>
      <w:bookmarkStart w:id="101" w:name="_Toc512696256"/>
      <w:bookmarkStart w:id="102" w:name="_Toc512612259"/>
      <w:bookmarkStart w:id="103" w:name="_Toc512612083"/>
      <w:bookmarkStart w:id="104" w:name="_Toc512611287"/>
      <w:r>
        <w:rPr>
          <w:rFonts w:eastAsia="宋体" w:hint="eastAsia"/>
        </w:rPr>
        <w:t>基金经理（或基金经理小组）简</w:t>
      </w:r>
      <w:r>
        <w:rPr>
          <w:rFonts w:eastAsia="宋体" w:hint="eastAsia"/>
        </w:rPr>
        <w:t>介</w:t>
      </w:r>
      <w:bookmarkEnd w:id="94"/>
      <w:bookmarkEnd w:id="95"/>
      <w:bookmarkEnd w:id="96"/>
      <w:bookmarkEnd w:id="97"/>
      <w:bookmarkEnd w:id="98"/>
      <w:bookmarkEnd w:id="99"/>
      <w:bookmarkEnd w:id="100"/>
      <w:bookmarkEnd w:id="101"/>
      <w:bookmarkEnd w:id="102"/>
      <w:bookmarkEnd w:id="103"/>
      <w:bookmarkEnd w:id="104"/>
      <w:r>
        <w:rPr>
          <w:rFonts w:eastAsia="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87157249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jc w:val="center"/>
              <w:rPr>
                <w:rFonts w:hint="eastAsia"/>
              </w:rPr>
            </w:pPr>
            <w:bookmarkStart w:id="105" w:name="m04_02"/>
            <w:bookmarkEnd w:id="105"/>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87157249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r>
      <w:tr w:rsidR="00000000">
        <w:trPr>
          <w:divId w:val="87157249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张</w:t>
            </w:r>
            <w:r>
              <w:rPr>
                <w:rFonts w:ascii="宋体" w:hAnsi="宋体" w:hint="eastAsia"/>
                <w:szCs w:val="24"/>
                <w:lang w:eastAsia="zh-Hans"/>
              </w:rPr>
              <w:t>军</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szCs w:val="24"/>
                <w:lang w:eastAsia="zh-Hans"/>
              </w:rPr>
              <w:t>本基金的基金经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2023</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w:t>
            </w:r>
            <w:r>
              <w:rPr>
                <w:rFonts w:ascii="宋体" w:hAnsi="宋体" w:hint="eastAsia"/>
                <w:szCs w:val="24"/>
                <w:lang w:eastAsia="zh-Hans"/>
              </w:rPr>
              <w:t>23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22</w:t>
            </w:r>
            <w:r>
              <w:rPr>
                <w:rFonts w:ascii="宋体" w:hAnsi="宋体" w:hint="eastAsia"/>
                <w:szCs w:val="24"/>
                <w:lang w:eastAsia="zh-Hans"/>
              </w:rPr>
              <w:t>年（金融领域从业经验</w:t>
            </w:r>
            <w:r>
              <w:rPr>
                <w:rFonts w:ascii="宋体" w:hAnsi="宋体" w:hint="eastAsia"/>
                <w:szCs w:val="24"/>
                <w:lang w:eastAsia="zh-Hans"/>
              </w:rPr>
              <w:t>33</w:t>
            </w:r>
            <w:r>
              <w:rPr>
                <w:rFonts w:ascii="宋体" w:hAnsi="宋体" w:hint="eastAsia"/>
                <w:szCs w:val="24"/>
                <w:lang w:eastAsia="zh-Hans"/>
              </w:rPr>
              <w:t>年</w:t>
            </w:r>
            <w:r>
              <w:rPr>
                <w:rFonts w:ascii="宋体" w:hAnsi="宋体" w:hint="eastAsia"/>
                <w:szCs w:val="24"/>
                <w:lang w:eastAsia="zh-Hans"/>
              </w:rPr>
              <w:t>）</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szCs w:val="24"/>
                <w:lang w:eastAsia="zh-Hans"/>
              </w:rPr>
              <w:t>张军先生曾任上海国际信托有限公司国际业务部经理、交易部经理。</w:t>
            </w:r>
            <w:r>
              <w:rPr>
                <w:rFonts w:ascii="宋体" w:hAnsi="宋体" w:hint="eastAsia"/>
                <w:szCs w:val="24"/>
                <w:lang w:eastAsia="zh-Hans"/>
              </w:rPr>
              <w:t>2004</w:t>
            </w:r>
            <w:r>
              <w:rPr>
                <w:rFonts w:ascii="宋体" w:hAnsi="宋体" w:hint="eastAsia"/>
                <w:szCs w:val="24"/>
                <w:lang w:eastAsia="zh-Hans"/>
              </w:rPr>
              <w:t>年</w:t>
            </w:r>
            <w:r>
              <w:rPr>
                <w:rFonts w:ascii="宋体" w:hAnsi="宋体" w:hint="eastAsia"/>
                <w:szCs w:val="24"/>
                <w:lang w:eastAsia="zh-Hans"/>
              </w:rPr>
              <w:t>6</w:t>
            </w:r>
            <w:r>
              <w:rPr>
                <w:rFonts w:ascii="宋体" w:hAnsi="宋体" w:hint="eastAsia"/>
                <w:szCs w:val="24"/>
                <w:lang w:eastAsia="zh-Hans"/>
              </w:rPr>
              <w:t>月起加入摩根基金管理</w:t>
            </w:r>
            <w:r>
              <w:rPr>
                <w:rFonts w:ascii="宋体" w:hAnsi="宋体" w:hint="eastAsia"/>
                <w:szCs w:val="24"/>
                <w:lang w:eastAsia="zh-Hans"/>
              </w:rPr>
              <w:t>(</w:t>
            </w:r>
            <w:r>
              <w:rPr>
                <w:rFonts w:ascii="宋体" w:hAnsi="宋体" w:hint="eastAsia"/>
                <w:szCs w:val="24"/>
                <w:lang w:eastAsia="zh-Hans"/>
              </w:rPr>
              <w:t>中国</w:t>
            </w:r>
            <w:r>
              <w:rPr>
                <w:rFonts w:ascii="宋体" w:hAnsi="宋体" w:hint="eastAsia"/>
                <w:szCs w:val="24"/>
                <w:lang w:eastAsia="zh-Hans"/>
              </w:rPr>
              <w:t>)</w:t>
            </w:r>
            <w:r>
              <w:rPr>
                <w:rFonts w:ascii="宋体" w:hAnsi="宋体" w:hint="eastAsia"/>
                <w:szCs w:val="24"/>
                <w:lang w:eastAsia="zh-Hans"/>
              </w:rPr>
              <w:t>有限公司</w:t>
            </w:r>
            <w:r>
              <w:rPr>
                <w:rFonts w:ascii="宋体" w:hAnsi="宋体" w:hint="eastAsia"/>
                <w:szCs w:val="24"/>
                <w:lang w:eastAsia="zh-Hans"/>
              </w:rPr>
              <w:t>(</w:t>
            </w:r>
            <w:r>
              <w:rPr>
                <w:rFonts w:ascii="宋体" w:hAnsi="宋体" w:hint="eastAsia"/>
                <w:szCs w:val="24"/>
                <w:lang w:eastAsia="zh-Hans"/>
              </w:rPr>
              <w:t>原上投摩根基金管理有限公司</w:t>
            </w:r>
            <w:r>
              <w:rPr>
                <w:rFonts w:ascii="宋体" w:hAnsi="宋体" w:hint="eastAsia"/>
                <w:szCs w:val="24"/>
                <w:lang w:eastAsia="zh-Hans"/>
              </w:rPr>
              <w:t>)</w:t>
            </w:r>
            <w:r>
              <w:rPr>
                <w:rFonts w:ascii="宋体" w:hAnsi="宋体" w:hint="eastAsia"/>
                <w:szCs w:val="24"/>
                <w:lang w:eastAsia="zh-Hans"/>
              </w:rPr>
              <w:t>，先后担任交易部总监、基金经理、投资绩效评估总监、国际投资部总监、组合基金投资部总监，现任高级基金经理</w:t>
            </w:r>
            <w:r>
              <w:rPr>
                <w:rFonts w:ascii="宋体" w:hAnsi="宋体" w:hint="eastAsia"/>
                <w:szCs w:val="24"/>
                <w:lang w:eastAsia="zh-Hans"/>
              </w:rPr>
              <w:t>。</w:t>
            </w:r>
          </w:p>
        </w:tc>
      </w:tr>
    </w:tbl>
    <w:p w:rsidR="00723B5C" w:rsidRDefault="00723B5C">
      <w:pPr>
        <w:wordWrap w:val="0"/>
        <w:spacing w:line="360" w:lineRule="auto"/>
        <w:jc w:val="left"/>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723B5C" w:rsidRDefault="00723B5C">
      <w:pPr>
        <w:pStyle w:val="XBRLTitle3"/>
        <w:spacing w:before="156" w:line="360" w:lineRule="auto"/>
        <w:ind w:left="624"/>
        <w:divId w:val="76439891"/>
      </w:pPr>
      <w:bookmarkStart w:id="106" w:name="_Toc512519488"/>
      <w:bookmarkStart w:id="107" w:name="_Toc490050009"/>
      <w:bookmarkStart w:id="108" w:name="_Toc438646459"/>
      <w:bookmarkStart w:id="109" w:name="_Toc481075055"/>
      <w:bookmarkStart w:id="110" w:name="_Toc5134656621"/>
      <w:r>
        <w:rPr>
          <w:rFonts w:hAnsi="宋体" w:hint="eastAsia"/>
        </w:rPr>
        <w:t>期末兼任私募资产管理计划投资经理的基金经理同时管理的产品情</w:t>
      </w:r>
      <w:r>
        <w:rPr>
          <w:rFonts w:hAnsi="宋体" w:hint="eastAsia"/>
        </w:rPr>
        <w:t>况</w:t>
      </w:r>
      <w:bookmarkEnd w:id="106"/>
      <w:bookmarkEnd w:id="107"/>
      <w:bookmarkEnd w:id="108"/>
      <w:bookmarkEnd w:id="109"/>
      <w:bookmarkEnd w:id="110"/>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1966504542"/>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723B5C" w:rsidRDefault="00723B5C">
            <w:pPr>
              <w:snapToGrid w:val="0"/>
              <w:jc w:val="center"/>
              <w:rPr>
                <w:rFonts w:hint="eastAsia"/>
              </w:rPr>
            </w:pPr>
            <w:bookmarkStart w:id="111"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723B5C" w:rsidRDefault="00723B5C">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723B5C" w:rsidRDefault="00723B5C">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723B5C" w:rsidRDefault="00723B5C">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723B5C" w:rsidRDefault="00723B5C">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1966504542"/>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center"/>
            </w:pPr>
            <w:r>
              <w:rPr>
                <w:rFonts w:ascii="宋体" w:hAnsi="宋体" w:hint="eastAsia"/>
                <w:szCs w:val="24"/>
              </w:rPr>
              <w:t>张</w:t>
            </w:r>
            <w:r>
              <w:rPr>
                <w:rFonts w:ascii="宋体" w:hAnsi="宋体" w:hint="eastAsia"/>
                <w:szCs w:val="24"/>
              </w:rPr>
              <w:t>军</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9</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18,195,788,909.6</w:t>
            </w:r>
            <w:r>
              <w:rPr>
                <w:rFonts w:ascii="宋体" w:hAnsi="宋体" w:hint="eastAsia"/>
                <w:szCs w:val="24"/>
              </w:rPr>
              <w:t>4</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center"/>
            </w:pPr>
            <w:r>
              <w:rPr>
                <w:rFonts w:ascii="宋体" w:hAnsi="宋体" w:hint="eastAsia"/>
                <w:szCs w:val="24"/>
              </w:rPr>
              <w:t>2008-03-0</w:t>
            </w:r>
            <w:r>
              <w:rPr>
                <w:rFonts w:ascii="宋体" w:hAnsi="宋体" w:hint="eastAsia"/>
                <w:szCs w:val="24"/>
              </w:rPr>
              <w:t>8</w:t>
            </w:r>
          </w:p>
        </w:tc>
      </w:tr>
      <w:tr w:rsidR="00000000">
        <w:trPr>
          <w:divId w:val="196650454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1</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22,123,738.7</w:t>
            </w:r>
            <w:r>
              <w:rPr>
                <w:rFonts w:ascii="宋体" w:hAnsi="宋体" w:hint="eastAsia"/>
                <w:szCs w:val="24"/>
              </w:rPr>
              <w:t>5</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center"/>
            </w:pPr>
            <w:r>
              <w:rPr>
                <w:rFonts w:ascii="宋体" w:hAnsi="宋体" w:hint="eastAsia"/>
                <w:szCs w:val="24"/>
              </w:rPr>
              <w:t>2021-07-0</w:t>
            </w:r>
            <w:r>
              <w:rPr>
                <w:rFonts w:ascii="宋体" w:hAnsi="宋体" w:hint="eastAsia"/>
                <w:szCs w:val="24"/>
              </w:rPr>
              <w:t>9</w:t>
            </w:r>
          </w:p>
        </w:tc>
      </w:tr>
      <w:tr w:rsidR="00000000">
        <w:trPr>
          <w:divId w:val="196650454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center"/>
            </w:pPr>
            <w:r>
              <w:rPr>
                <w:rFonts w:ascii="宋体" w:hAnsi="宋体" w:hint="eastAsia"/>
                <w:szCs w:val="24"/>
              </w:rPr>
              <w:t>-</w:t>
            </w:r>
          </w:p>
        </w:tc>
      </w:tr>
      <w:tr w:rsidR="00000000">
        <w:trPr>
          <w:divId w:val="1966504542"/>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723B5C" w:rsidRDefault="00723B5C">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1</w:t>
            </w:r>
            <w:r>
              <w:rPr>
                <w:rFonts w:ascii="宋体" w:hAnsi="宋体" w:hint="eastAsia"/>
                <w:szCs w:val="24"/>
              </w:rPr>
              <w:t>0</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right"/>
            </w:pPr>
            <w:r>
              <w:rPr>
                <w:rFonts w:ascii="宋体" w:hAnsi="宋体" w:hint="eastAsia"/>
                <w:szCs w:val="24"/>
              </w:rPr>
              <w:t>18,217,912,648.3</w:t>
            </w:r>
            <w:r>
              <w:rPr>
                <w:rFonts w:ascii="宋体" w:hAnsi="宋体" w:hint="eastAsia"/>
                <w:szCs w:val="24"/>
              </w:rPr>
              <w:t>9</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23B5C" w:rsidRDefault="00723B5C">
            <w:pPr>
              <w:jc w:val="center"/>
            </w:pPr>
            <w:r>
              <w:rPr>
                <w:rFonts w:ascii="宋体" w:hAnsi="宋体" w:hint="eastAsia"/>
                <w:szCs w:val="24"/>
              </w:rPr>
              <w:t xml:space="preserve">- </w:t>
            </w:r>
          </w:p>
        </w:tc>
      </w:tr>
    </w:tbl>
    <w:p w:rsidR="00723B5C" w:rsidRDefault="00723B5C">
      <w:pPr>
        <w:pStyle w:val="XBRLTitle2"/>
        <w:spacing w:before="156" w:line="360" w:lineRule="auto"/>
        <w:ind w:left="454"/>
      </w:pPr>
      <w:bookmarkStart w:id="112" w:name="_Toc514088252"/>
      <w:bookmarkStart w:id="113" w:name="_Toc480465422"/>
      <w:bookmarkStart w:id="114" w:name="_Toc448480291"/>
      <w:bookmarkStart w:id="115" w:name="_Toc438654079"/>
      <w:bookmarkStart w:id="116" w:name="_Toc456107125"/>
      <w:bookmarkStart w:id="117" w:name="_Toc459213771"/>
      <w:bookmarkStart w:id="118" w:name="_Toc513542653"/>
      <w:bookmarkStart w:id="119" w:name="_Toc512696257"/>
      <w:bookmarkStart w:id="120" w:name="_Toc512612260"/>
      <w:bookmarkStart w:id="121" w:name="_Toc512612084"/>
      <w:bookmarkStart w:id="122" w:name="_Toc512611288"/>
      <w:bookmarkStart w:id="123" w:name="m402"/>
      <w:bookmarkEnd w:id="111"/>
      <w:r>
        <w:rPr>
          <w:rFonts w:eastAsia="宋体" w:hint="eastAsia"/>
        </w:rPr>
        <w:t>境外投资顾问为本基金提供投资建议的主要成员简</w:t>
      </w:r>
      <w:r>
        <w:rPr>
          <w:rFonts w:eastAsia="宋体" w:hint="eastAsia"/>
        </w:rPr>
        <w:t>介</w:t>
      </w:r>
      <w:bookmarkEnd w:id="112"/>
      <w:bookmarkEnd w:id="113"/>
      <w:bookmarkEnd w:id="114"/>
      <w:bookmarkEnd w:id="115"/>
      <w:bookmarkEnd w:id="116"/>
      <w:bookmarkEnd w:id="117"/>
      <w:r>
        <w:rPr>
          <w:rFonts w:eastAsia="宋体" w:cs="宋体" w:hint="eastAsia"/>
          <w:color w:val="000000"/>
          <w:kern w:val="0"/>
        </w:rPr>
        <w:t xml:space="preserve"> </w:t>
      </w:r>
      <w:bookmarkEnd w:id="118"/>
      <w:bookmarkEnd w:id="119"/>
      <w:bookmarkEnd w:id="120"/>
      <w:bookmarkEnd w:id="121"/>
      <w:bookmarkEnd w:id="122"/>
    </w:p>
    <w:tbl>
      <w:tblPr>
        <w:tblStyle w:val="af8"/>
        <w:tblW w:w="4900"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Pr>
      <w:tblGrid>
        <w:gridCol w:w="1614"/>
        <w:gridCol w:w="2788"/>
        <w:gridCol w:w="1908"/>
        <w:gridCol w:w="2348"/>
      </w:tblGrid>
      <w:tr w:rsidR="00000000">
        <w:trPr>
          <w:divId w:val="506142047"/>
          <w:trHeight w:val="55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bookmarkEnd w:id="123"/>
          <w:p w:rsidR="00723B5C" w:rsidRDefault="00723B5C">
            <w:pPr>
              <w:jc w:val="center"/>
              <w:rPr>
                <w:rFonts w:hint="eastAsia"/>
              </w:rPr>
            </w:pPr>
            <w:r>
              <w:rPr>
                <w:rFonts w:asciiTheme="majorEastAsia" w:eastAsiaTheme="majorEastAsia" w:hAnsiTheme="majorEastAsia" w:hint="eastAsia"/>
              </w:rPr>
              <w:t>姓名</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723B5C" w:rsidRDefault="00723B5C">
            <w:pPr>
              <w:jc w:val="center"/>
            </w:pPr>
            <w:r>
              <w:rPr>
                <w:rFonts w:asciiTheme="majorEastAsia" w:eastAsiaTheme="majorEastAsia" w:hAnsiTheme="majorEastAsia" w:hint="eastAsia"/>
              </w:rPr>
              <w:t>在境外投资顾问所任职务</w:t>
            </w:r>
            <w:r>
              <w:rPr>
                <w:rFonts w:asciiTheme="majorEastAsia" w:eastAsiaTheme="majorEastAsia" w:hAnsiTheme="majorEastAsia" w:hint="eastAsia"/>
              </w:rPr>
              <w:t xml:space="preserve">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723B5C" w:rsidRDefault="00723B5C">
            <w:pPr>
              <w:jc w:val="center"/>
            </w:pPr>
            <w:r>
              <w:rPr>
                <w:rFonts w:asciiTheme="majorEastAsia" w:eastAsiaTheme="majorEastAsia" w:hAnsiTheme="majorEastAsia" w:hint="eastAsia"/>
              </w:rPr>
              <w:t>证券从业年限</w:t>
            </w:r>
            <w:r>
              <w:rPr>
                <w:rFonts w:asciiTheme="majorEastAsia" w:eastAsiaTheme="majorEastAsia" w:hAnsiTheme="majorEastAsia" w:hint="eastAsia"/>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DDD"/>
            <w:vAlign w:val="center"/>
            <w:hideMark/>
          </w:tcPr>
          <w:p w:rsidR="00723B5C" w:rsidRDefault="00723B5C">
            <w:pPr>
              <w:jc w:val="center"/>
            </w:pPr>
            <w:r>
              <w:rPr>
                <w:rFonts w:asciiTheme="majorEastAsia" w:eastAsiaTheme="majorEastAsia" w:hAnsiTheme="majorEastAsia" w:hint="eastAsia"/>
              </w:rPr>
              <w:t>说明</w:t>
            </w:r>
            <w:r>
              <w:rPr>
                <w:rFonts w:asciiTheme="majorEastAsia" w:eastAsiaTheme="majorEastAsia" w:hAnsiTheme="majorEastAsia" w:hint="eastAsia"/>
              </w:rPr>
              <w:t xml:space="preserve"> </w:t>
            </w:r>
          </w:p>
        </w:tc>
      </w:tr>
      <w:tr w:rsidR="00000000">
        <w:trPr>
          <w:divId w:val="506142047"/>
        </w:trPr>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B5C" w:rsidRDefault="00723B5C">
            <w:r>
              <w:rPr>
                <w:rFonts w:asciiTheme="majorEastAsia" w:eastAsiaTheme="majorEastAsia" w:hAnsiTheme="majorEastAsia" w:hint="eastAsia"/>
              </w:rPr>
              <w:t>Leon Goldfeld</w:t>
            </w:r>
            <w:r>
              <w:rPr>
                <w:rFonts w:asciiTheme="majorEastAsia" w:eastAsiaTheme="majorEastAsia" w:hAnsiTheme="majorEastAsia" w:hint="eastAsia"/>
              </w:rPr>
              <w:t xml:space="preserve"> </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B5C" w:rsidRDefault="00723B5C">
            <w:r>
              <w:rPr>
                <w:rFonts w:asciiTheme="majorEastAsia" w:eastAsiaTheme="majorEastAsia" w:hAnsiTheme="majorEastAsia" w:hint="eastAsia"/>
              </w:rPr>
              <w:t>摩根资产管理</w:t>
            </w:r>
            <w:r>
              <w:rPr>
                <w:rFonts w:asciiTheme="majorEastAsia" w:eastAsiaTheme="majorEastAsia" w:hAnsiTheme="majorEastAsia" w:hint="eastAsia"/>
              </w:rPr>
              <w:t>(</w:t>
            </w:r>
            <w:r>
              <w:rPr>
                <w:rFonts w:asciiTheme="majorEastAsia" w:eastAsiaTheme="majorEastAsia" w:hAnsiTheme="majorEastAsia" w:hint="eastAsia"/>
              </w:rPr>
              <w:t>亚太</w:t>
            </w:r>
            <w:r>
              <w:rPr>
                <w:rFonts w:asciiTheme="majorEastAsia" w:eastAsiaTheme="majorEastAsia" w:hAnsiTheme="majorEastAsia" w:hint="eastAsia"/>
              </w:rPr>
              <w:t>)</w:t>
            </w:r>
            <w:r>
              <w:rPr>
                <w:rFonts w:asciiTheme="majorEastAsia" w:eastAsiaTheme="majorEastAsia" w:hAnsiTheme="majorEastAsia" w:hint="eastAsia"/>
              </w:rPr>
              <w:t>董事总经理，多资产解决方案部资深投资组合经</w:t>
            </w:r>
            <w:r>
              <w:rPr>
                <w:rFonts w:asciiTheme="majorEastAsia" w:eastAsiaTheme="majorEastAsia" w:hAnsiTheme="majorEastAsia" w:hint="eastAsia"/>
              </w:rPr>
              <w:t>理</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B5C" w:rsidRDefault="00723B5C">
            <w:r>
              <w:rPr>
                <w:rFonts w:asciiTheme="majorEastAsia" w:eastAsiaTheme="majorEastAsia" w:hAnsiTheme="majorEastAsia" w:hint="eastAsia"/>
              </w:rPr>
              <w:t>38</w:t>
            </w:r>
            <w:r>
              <w:rPr>
                <w:rFonts w:asciiTheme="majorEastAsia" w:eastAsiaTheme="majorEastAsia" w:hAnsiTheme="majorEastAsia" w:hint="eastAsia"/>
              </w:rPr>
              <w:t>年</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3B5C" w:rsidRDefault="00723B5C">
            <w:r>
              <w:rPr>
                <w:rFonts w:asciiTheme="majorEastAsia" w:eastAsiaTheme="majorEastAsia" w:hAnsiTheme="majorEastAsia" w:hint="eastAsia"/>
              </w:rPr>
              <w:t>Leon Goldfeld</w:t>
            </w:r>
            <w:r>
              <w:rPr>
                <w:rFonts w:asciiTheme="majorEastAsia" w:eastAsiaTheme="majorEastAsia" w:hAnsiTheme="majorEastAsia" w:hint="eastAsia"/>
              </w:rPr>
              <w:t xml:space="preserve">　（高礼行），董事总经理，摩根资产管理多资产解决方案部资深投资组合经理，常驻香港。加入摩根资产管理前，</w:t>
            </w:r>
            <w:r>
              <w:rPr>
                <w:rFonts w:asciiTheme="majorEastAsia" w:eastAsiaTheme="majorEastAsia" w:hAnsiTheme="majorEastAsia" w:hint="eastAsia"/>
              </w:rPr>
              <w:t>Leon</w:t>
            </w:r>
            <w:r>
              <w:rPr>
                <w:rFonts w:asciiTheme="majorEastAsia" w:eastAsiaTheme="majorEastAsia" w:hAnsiTheme="majorEastAsia" w:hint="eastAsia"/>
              </w:rPr>
              <w:t>曾任东方汇理（香港）副首席投资官及亚洲多资产投资部总监，高盛私人财富管理公司投资策略部董事总经理，汇丰全球资产管理（香港）首席投资官，以及安盛投资管理香港地区首席投资官。</w:t>
            </w:r>
            <w:r>
              <w:rPr>
                <w:rFonts w:asciiTheme="majorEastAsia" w:eastAsiaTheme="majorEastAsia" w:hAnsiTheme="majorEastAsia" w:hint="eastAsia"/>
              </w:rPr>
              <w:br/>
              <w:t>Leon</w:t>
            </w:r>
            <w:r>
              <w:rPr>
                <w:rFonts w:asciiTheme="majorEastAsia" w:eastAsiaTheme="majorEastAsia" w:hAnsiTheme="majorEastAsia" w:hint="eastAsia"/>
              </w:rPr>
              <w:t>拥有墨尔本莫纳什大学计算机科学、会计与经济学专业的学士学位，并为一名特许金融分析师</w:t>
            </w:r>
            <w:r>
              <w:rPr>
                <w:rFonts w:asciiTheme="majorEastAsia" w:eastAsiaTheme="majorEastAsia" w:hAnsiTheme="majorEastAsia" w:hint="eastAsia"/>
              </w:rPr>
              <w:t>。</w:t>
            </w:r>
          </w:p>
        </w:tc>
      </w:tr>
    </w:tbl>
    <w:p w:rsidR="00723B5C" w:rsidRDefault="00723B5C">
      <w:pPr>
        <w:pStyle w:val="XBRLTitle2"/>
        <w:spacing w:before="156" w:line="360" w:lineRule="auto"/>
        <w:ind w:left="454"/>
      </w:pPr>
      <w:bookmarkStart w:id="124" w:name="_Toc514088253"/>
      <w:bookmarkStart w:id="125" w:name="_Toc480465423"/>
      <w:bookmarkStart w:id="126" w:name="_Toc448480292"/>
      <w:bookmarkStart w:id="127" w:name="_Toc438654080"/>
      <w:bookmarkStart w:id="128" w:name="_Toc456107126"/>
      <w:bookmarkStart w:id="129" w:name="_Toc459213772"/>
      <w:bookmarkStart w:id="130" w:name="_Toc513542654"/>
      <w:bookmarkStart w:id="131" w:name="_Toc512696258"/>
      <w:bookmarkStart w:id="132" w:name="_Toc512612261"/>
      <w:bookmarkStart w:id="133" w:name="_Toc512612085"/>
      <w:bookmarkStart w:id="134" w:name="_Toc512611289"/>
      <w:bookmarkStart w:id="135" w:name="m403"/>
      <w:r>
        <w:rPr>
          <w:rFonts w:eastAsia="宋体" w:hint="eastAsia"/>
        </w:rPr>
        <w:t>报告期内本基金运作遵规守信情况说</w:t>
      </w:r>
      <w:r>
        <w:rPr>
          <w:rFonts w:eastAsia="宋体" w:hint="eastAsia"/>
        </w:rPr>
        <w:t>明</w:t>
      </w:r>
      <w:bookmarkEnd w:id="124"/>
      <w:bookmarkEnd w:id="125"/>
      <w:bookmarkEnd w:id="126"/>
      <w:bookmarkEnd w:id="127"/>
      <w:bookmarkEnd w:id="128"/>
      <w:bookmarkEnd w:id="129"/>
      <w:bookmarkEnd w:id="130"/>
      <w:bookmarkEnd w:id="131"/>
      <w:bookmarkEnd w:id="132"/>
      <w:bookmarkEnd w:id="133"/>
      <w:bookmarkEnd w:id="134"/>
      <w:r>
        <w:rPr>
          <w:rFonts w:eastAsia="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cs="宋体" w:hint="eastAsia"/>
          <w:color w:val="000000"/>
          <w:kern w:val="0"/>
        </w:rPr>
        <w:t>。</w:t>
      </w:r>
    </w:p>
    <w:p w:rsidR="00723B5C" w:rsidRDefault="00723B5C">
      <w:pPr>
        <w:pStyle w:val="XBRLTitle2"/>
        <w:spacing w:before="156" w:line="360" w:lineRule="auto"/>
        <w:ind w:left="454"/>
      </w:pPr>
      <w:bookmarkStart w:id="136" w:name="_Toc514088254"/>
      <w:bookmarkStart w:id="137" w:name="_Toc480465424"/>
      <w:bookmarkStart w:id="138" w:name="_Toc448480293"/>
      <w:bookmarkStart w:id="139" w:name="_Toc438654081"/>
      <w:bookmarkStart w:id="140" w:name="_Toc456107127"/>
      <w:bookmarkStart w:id="141" w:name="_Toc459213773"/>
      <w:bookmarkStart w:id="142" w:name="_Toc513542655"/>
      <w:bookmarkStart w:id="143" w:name="_Toc512696259"/>
      <w:bookmarkStart w:id="144" w:name="_Toc512612262"/>
      <w:bookmarkStart w:id="145" w:name="_Toc512612086"/>
      <w:bookmarkStart w:id="146" w:name="_Toc512611290"/>
      <w:bookmarkEnd w:id="135"/>
      <w:r>
        <w:rPr>
          <w:rFonts w:eastAsia="宋体" w:hint="eastAsia"/>
        </w:rPr>
        <w:t>公平交易专项说</w:t>
      </w:r>
      <w:r>
        <w:rPr>
          <w:rFonts w:eastAsia="宋体" w:hint="eastAsia"/>
        </w:rPr>
        <w:t>明</w:t>
      </w:r>
      <w:bookmarkEnd w:id="136"/>
      <w:bookmarkEnd w:id="137"/>
      <w:bookmarkEnd w:id="138"/>
      <w:bookmarkEnd w:id="139"/>
      <w:bookmarkEnd w:id="140"/>
      <w:bookmarkEnd w:id="141"/>
      <w:bookmarkEnd w:id="142"/>
      <w:bookmarkEnd w:id="143"/>
      <w:bookmarkEnd w:id="144"/>
      <w:bookmarkEnd w:id="145"/>
      <w:bookmarkEnd w:id="146"/>
      <w:r>
        <w:rPr>
          <w:rFonts w:eastAsia="宋体" w:hint="eastAsia"/>
        </w:rPr>
        <w:t xml:space="preserve"> </w:t>
      </w:r>
    </w:p>
    <w:p w:rsidR="00723B5C" w:rsidRDefault="00723B5C">
      <w:pPr>
        <w:pStyle w:val="XBRLTitle3"/>
        <w:spacing w:before="156" w:line="360" w:lineRule="auto"/>
        <w:ind w:left="624"/>
        <w:rPr>
          <w:rFonts w:hint="eastAsia"/>
        </w:rPr>
      </w:pPr>
      <w:bookmarkStart w:id="147" w:name="_Toc514088255"/>
      <w:bookmarkStart w:id="148" w:name="_Toc480465425"/>
      <w:bookmarkStart w:id="149" w:name="_Toc513542656"/>
      <w:bookmarkStart w:id="150" w:name="m404_01_0570"/>
      <w:r>
        <w:rPr>
          <w:rFonts w:hAnsi="宋体" w:hint="eastAsia"/>
        </w:rPr>
        <w:t>公平交易制度的执行情</w:t>
      </w:r>
      <w:r>
        <w:rPr>
          <w:rFonts w:hAnsi="宋体" w:hint="eastAsia"/>
        </w:rPr>
        <w:t>况</w:t>
      </w:r>
      <w:bookmarkEnd w:id="147"/>
      <w:r>
        <w:rPr>
          <w:rFonts w:hAnsi="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723B5C" w:rsidRDefault="00723B5C">
      <w:pPr>
        <w:pStyle w:val="XBRLTitle3"/>
        <w:spacing w:before="156" w:line="360" w:lineRule="auto"/>
        <w:ind w:left="624"/>
      </w:pPr>
      <w:bookmarkStart w:id="151" w:name="_Toc514088256"/>
      <w:bookmarkStart w:id="152" w:name="_Toc480465426"/>
      <w:bookmarkStart w:id="153" w:name="_Toc513542657"/>
      <w:bookmarkStart w:id="154" w:name="m404_01_0578"/>
      <w:r>
        <w:rPr>
          <w:rFonts w:hAnsi="宋体" w:hint="eastAsia"/>
        </w:rPr>
        <w:t>异常交易行为的专项说</w:t>
      </w:r>
      <w:r>
        <w:rPr>
          <w:rFonts w:hAnsi="宋体" w:hint="eastAsia"/>
        </w:rPr>
        <w:t>明</w:t>
      </w:r>
      <w:bookmarkEnd w:id="151"/>
      <w:r>
        <w:rPr>
          <w:rFonts w:hAnsi="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723B5C" w:rsidRDefault="00723B5C">
      <w:pPr>
        <w:pStyle w:val="XBRLTitle2"/>
        <w:spacing w:before="156" w:line="360" w:lineRule="auto"/>
        <w:ind w:left="454"/>
      </w:pPr>
      <w:bookmarkStart w:id="155" w:name="_Toc514088257"/>
      <w:bookmarkStart w:id="156" w:name="_Toc480465427"/>
      <w:bookmarkStart w:id="157" w:name="_Toc448480294"/>
      <w:bookmarkStart w:id="158" w:name="_Toc438654082"/>
      <w:bookmarkStart w:id="159" w:name="_Toc456107128"/>
      <w:bookmarkStart w:id="160" w:name="_Toc459213774"/>
      <w:bookmarkStart w:id="161" w:name="_Toc513542658"/>
      <w:bookmarkStart w:id="162" w:name="_Toc512696260"/>
      <w:bookmarkStart w:id="163" w:name="_Toc512612263"/>
      <w:bookmarkStart w:id="164" w:name="_Toc512612087"/>
      <w:bookmarkStart w:id="165" w:name="_Toc512611291"/>
      <w:r>
        <w:rPr>
          <w:rFonts w:eastAsia="宋体" w:hint="eastAsia"/>
        </w:rPr>
        <w:t>报告期内基金的投资策略和业绩表现说</w:t>
      </w:r>
      <w:r>
        <w:rPr>
          <w:rFonts w:eastAsia="宋体" w:hint="eastAsia"/>
        </w:rPr>
        <w:t>明</w:t>
      </w:r>
      <w:bookmarkEnd w:id="155"/>
      <w:bookmarkEnd w:id="156"/>
      <w:bookmarkEnd w:id="157"/>
      <w:bookmarkEnd w:id="158"/>
      <w:bookmarkEnd w:id="159"/>
      <w:bookmarkEnd w:id="160"/>
      <w:bookmarkEnd w:id="161"/>
      <w:bookmarkEnd w:id="162"/>
      <w:bookmarkEnd w:id="163"/>
      <w:bookmarkEnd w:id="164"/>
      <w:bookmarkEnd w:id="165"/>
      <w:r>
        <w:rPr>
          <w:rFonts w:eastAsia="宋体" w:hint="eastAsia"/>
        </w:rPr>
        <w:t xml:space="preserve"> </w:t>
      </w:r>
    </w:p>
    <w:p w:rsidR="00723B5C" w:rsidRDefault="00723B5C">
      <w:pPr>
        <w:pStyle w:val="XBRLTitle3"/>
        <w:spacing w:before="156" w:line="360" w:lineRule="auto"/>
        <w:ind w:left="624"/>
        <w:rPr>
          <w:rFonts w:hint="eastAsia"/>
        </w:rPr>
      </w:pPr>
      <w:bookmarkStart w:id="166" w:name="_Toc51408825711"/>
      <w:r>
        <w:rPr>
          <w:rFonts w:hAnsi="宋体" w:hint="eastAsia"/>
        </w:rPr>
        <w:t>报告期内基金投资策略和运作分</w:t>
      </w:r>
      <w:r>
        <w:rPr>
          <w:rFonts w:hAnsi="宋体" w:hint="eastAsia"/>
        </w:rPr>
        <w:t>析</w:t>
      </w:r>
      <w:bookmarkEnd w:id="148"/>
      <w:bookmarkEnd w:id="149"/>
      <w:bookmarkEnd w:id="166"/>
      <w:r>
        <w:rPr>
          <w:rFonts w:hAnsi="宋体" w:hint="eastAsia"/>
        </w:rPr>
        <w:t xml:space="preserve"> </w:t>
      </w:r>
    </w:p>
    <w:p w:rsidR="00723B5C" w:rsidRDefault="00723B5C">
      <w:pPr>
        <w:spacing w:line="360" w:lineRule="auto"/>
        <w:ind w:firstLineChars="200" w:firstLine="420"/>
        <w:divId w:val="1461418200"/>
        <w:rPr>
          <w:rFonts w:hint="eastAsia"/>
        </w:rPr>
      </w:pPr>
      <w:r>
        <w:rPr>
          <w:rFonts w:ascii="宋体" w:hAnsi="宋体" w:hint="eastAsia"/>
          <w:color w:val="000000"/>
          <w:kern w:val="0"/>
          <w:szCs w:val="21"/>
          <w:lang w:eastAsia="zh-Hans"/>
        </w:rPr>
        <w:t>报告期内，美债收益率曲线上行，人民币兑美元汇率升值。</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w:t>
      </w:r>
      <w:r>
        <w:rPr>
          <w:rFonts w:ascii="宋体" w:hAnsi="宋体" w:hint="eastAsia"/>
          <w:color w:val="000000"/>
          <w:kern w:val="0"/>
          <w:szCs w:val="21"/>
          <w:lang w:eastAsia="zh-Hans"/>
        </w:rPr>
        <w:t>6</w:t>
      </w:r>
      <w:r>
        <w:rPr>
          <w:rFonts w:ascii="宋体" w:hAnsi="宋体" w:hint="eastAsia"/>
          <w:color w:val="000000"/>
          <w:kern w:val="0"/>
          <w:szCs w:val="21"/>
          <w:lang w:eastAsia="zh-Hans"/>
        </w:rPr>
        <w:t>月美联储议息会议维持政策利率在</w:t>
      </w:r>
      <w:r>
        <w:rPr>
          <w:rFonts w:ascii="宋体" w:hAnsi="宋体" w:hint="eastAsia"/>
          <w:color w:val="000000"/>
          <w:kern w:val="0"/>
          <w:szCs w:val="21"/>
          <w:lang w:eastAsia="zh-Hans"/>
        </w:rPr>
        <w:t>3.5%-3.75%</w:t>
      </w:r>
      <w:r>
        <w:rPr>
          <w:rFonts w:ascii="宋体" w:hAnsi="宋体" w:hint="eastAsia"/>
          <w:color w:val="000000"/>
          <w:kern w:val="0"/>
          <w:szCs w:val="21"/>
          <w:lang w:eastAsia="zh-Hans"/>
        </w:rPr>
        <w:t>区间，符合市场预期。点阵图显示，</w:t>
      </w:r>
      <w:r>
        <w:rPr>
          <w:rFonts w:ascii="宋体" w:hAnsi="宋体" w:hint="eastAsia"/>
          <w:color w:val="000000"/>
          <w:kern w:val="0"/>
          <w:szCs w:val="21"/>
          <w:lang w:eastAsia="zh-Hans"/>
        </w:rPr>
        <w:t>2026</w:t>
      </w:r>
      <w:r>
        <w:rPr>
          <w:rFonts w:ascii="宋体" w:hAnsi="宋体" w:hint="eastAsia"/>
          <w:color w:val="000000"/>
          <w:kern w:val="0"/>
          <w:szCs w:val="21"/>
          <w:lang w:eastAsia="zh-Hans"/>
        </w:rPr>
        <w:t>年美联储可能进行预防性加息，整体立场偏鹰派，市场加息预期升温，再次扭转了霍尔木兹海峡通航后市场原本的乐观预期。从市场反应来看，</w:t>
      </w:r>
      <w:r>
        <w:rPr>
          <w:rFonts w:ascii="宋体" w:hAnsi="宋体" w:hint="eastAsia"/>
          <w:color w:val="000000"/>
          <w:kern w:val="0"/>
          <w:szCs w:val="21"/>
          <w:lang w:eastAsia="zh-Hans"/>
        </w:rPr>
        <w:t>10</w:t>
      </w:r>
      <w:r>
        <w:rPr>
          <w:rFonts w:ascii="宋体" w:hAnsi="宋体" w:hint="eastAsia"/>
          <w:color w:val="000000"/>
          <w:kern w:val="0"/>
          <w:szCs w:val="21"/>
          <w:lang w:eastAsia="zh-Hans"/>
        </w:rPr>
        <w:t>年期美债收益率当日上行至</w:t>
      </w:r>
      <w:r>
        <w:rPr>
          <w:rFonts w:ascii="宋体" w:hAnsi="宋体" w:hint="eastAsia"/>
          <w:color w:val="000000"/>
          <w:kern w:val="0"/>
          <w:szCs w:val="21"/>
          <w:lang w:eastAsia="zh-Hans"/>
        </w:rPr>
        <w:t>4.48%</w:t>
      </w:r>
      <w:r>
        <w:rPr>
          <w:rFonts w:ascii="宋体" w:hAnsi="宋体" w:hint="eastAsia"/>
          <w:color w:val="000000"/>
          <w:kern w:val="0"/>
          <w:szCs w:val="21"/>
          <w:lang w:eastAsia="zh-Hans"/>
        </w:rPr>
        <w:t>，美元指数一度上涨至</w:t>
      </w:r>
      <w:r>
        <w:rPr>
          <w:rFonts w:ascii="宋体" w:hAnsi="宋体" w:hint="eastAsia"/>
          <w:color w:val="000000"/>
          <w:kern w:val="0"/>
          <w:szCs w:val="21"/>
          <w:lang w:eastAsia="zh-Hans"/>
        </w:rPr>
        <w:t>100.4</w:t>
      </w:r>
      <w:r>
        <w:rPr>
          <w:rFonts w:ascii="宋体" w:hAnsi="宋体" w:hint="eastAsia"/>
          <w:color w:val="000000"/>
          <w:kern w:val="0"/>
          <w:szCs w:val="21"/>
          <w:lang w:eastAsia="zh-Hans"/>
        </w:rPr>
        <w:t>，美股下跌，黄金价格也大幅走低。</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本次利率决议获得投票委员们一致通过。沃什主席在会后讲话中表达了以下观点：首先，他拒绝提供利率前瞻指引，本人也未提交美国经济预测（</w:t>
      </w:r>
      <w:r>
        <w:rPr>
          <w:rFonts w:ascii="宋体" w:hAnsi="宋体" w:hint="eastAsia"/>
          <w:color w:val="000000"/>
          <w:kern w:val="0"/>
          <w:szCs w:val="21"/>
          <w:lang w:eastAsia="zh-Hans"/>
        </w:rPr>
        <w:t>SEP</w:t>
      </w:r>
      <w:r>
        <w:rPr>
          <w:rFonts w:ascii="宋体" w:hAnsi="宋体" w:hint="eastAsia"/>
          <w:color w:val="000000"/>
          <w:kern w:val="0"/>
          <w:szCs w:val="21"/>
          <w:lang w:eastAsia="zh-Hans"/>
        </w:rPr>
        <w:t>）和点阵图的更新，且在记者会上也未提供任何关于利率路径的明确信息。其次，他下调了美国经济增长和失业率预测，同时上调了美国通胀预测。尽管霍尔木兹海峡解封预期下，能源通胀已大幅缓解，但本次会议的美国通胀预测仍高于市场预期。美国</w:t>
      </w:r>
      <w:r>
        <w:rPr>
          <w:rFonts w:ascii="宋体" w:hAnsi="宋体" w:hint="eastAsia"/>
          <w:color w:val="000000"/>
          <w:kern w:val="0"/>
          <w:szCs w:val="21"/>
          <w:lang w:eastAsia="zh-Hans"/>
        </w:rPr>
        <w:t>2026</w:t>
      </w:r>
      <w:r>
        <w:rPr>
          <w:rFonts w:ascii="宋体" w:hAnsi="宋体" w:hint="eastAsia"/>
          <w:color w:val="000000"/>
          <w:kern w:val="0"/>
          <w:szCs w:val="21"/>
          <w:lang w:eastAsia="zh-Hans"/>
        </w:rPr>
        <w:t>年第四季度</w:t>
      </w:r>
      <w:r>
        <w:rPr>
          <w:rFonts w:ascii="宋体" w:hAnsi="宋体" w:hint="eastAsia"/>
          <w:color w:val="000000"/>
          <w:kern w:val="0"/>
          <w:szCs w:val="21"/>
          <w:lang w:eastAsia="zh-Hans"/>
        </w:rPr>
        <w:t>PCE</w:t>
      </w:r>
      <w:r>
        <w:rPr>
          <w:rFonts w:ascii="宋体" w:hAnsi="宋体" w:hint="eastAsia"/>
          <w:color w:val="000000"/>
          <w:kern w:val="0"/>
          <w:szCs w:val="21"/>
          <w:lang w:eastAsia="zh-Hans"/>
        </w:rPr>
        <w:t>和核心</w:t>
      </w:r>
      <w:r>
        <w:rPr>
          <w:rFonts w:ascii="宋体" w:hAnsi="宋体" w:hint="eastAsia"/>
          <w:color w:val="000000"/>
          <w:kern w:val="0"/>
          <w:szCs w:val="21"/>
          <w:lang w:eastAsia="zh-Hans"/>
        </w:rPr>
        <w:t>PCE</w:t>
      </w:r>
      <w:r>
        <w:rPr>
          <w:rFonts w:ascii="宋体" w:hAnsi="宋体" w:hint="eastAsia"/>
          <w:color w:val="000000"/>
          <w:kern w:val="0"/>
          <w:szCs w:val="21"/>
          <w:lang w:eastAsia="zh-Hans"/>
        </w:rPr>
        <w:t>预测同比分别上调</w:t>
      </w:r>
      <w:r>
        <w:rPr>
          <w:rFonts w:ascii="宋体" w:hAnsi="宋体" w:hint="eastAsia"/>
          <w:color w:val="000000"/>
          <w:kern w:val="0"/>
          <w:szCs w:val="21"/>
          <w:lang w:eastAsia="zh-Hans"/>
        </w:rPr>
        <w:t>0.9</w:t>
      </w:r>
      <w:r>
        <w:rPr>
          <w:rFonts w:ascii="宋体" w:hAnsi="宋体" w:hint="eastAsia"/>
          <w:color w:val="000000"/>
          <w:kern w:val="0"/>
          <w:szCs w:val="21"/>
          <w:lang w:eastAsia="zh-Hans"/>
        </w:rPr>
        <w:t>个百分点和</w:t>
      </w:r>
      <w:r>
        <w:rPr>
          <w:rFonts w:ascii="宋体" w:hAnsi="宋体" w:hint="eastAsia"/>
          <w:color w:val="000000"/>
          <w:kern w:val="0"/>
          <w:szCs w:val="21"/>
          <w:lang w:eastAsia="zh-Hans"/>
        </w:rPr>
        <w:t>0.6</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3.6%</w:t>
      </w:r>
      <w:r>
        <w:rPr>
          <w:rFonts w:ascii="宋体" w:hAnsi="宋体" w:hint="eastAsia"/>
          <w:color w:val="000000"/>
          <w:kern w:val="0"/>
          <w:szCs w:val="21"/>
          <w:lang w:eastAsia="zh-Hans"/>
        </w:rPr>
        <w:t>和</w:t>
      </w:r>
      <w:r>
        <w:rPr>
          <w:rFonts w:ascii="宋体" w:hAnsi="宋体" w:hint="eastAsia"/>
          <w:color w:val="000000"/>
          <w:kern w:val="0"/>
          <w:szCs w:val="21"/>
          <w:lang w:eastAsia="zh-Hans"/>
        </w:rPr>
        <w:t>3.3%</w:t>
      </w:r>
      <w:r>
        <w:rPr>
          <w:rFonts w:ascii="宋体" w:hAnsi="宋体" w:hint="eastAsia"/>
          <w:color w:val="000000"/>
          <w:kern w:val="0"/>
          <w:szCs w:val="21"/>
          <w:lang w:eastAsia="zh-Hans"/>
        </w:rPr>
        <w:t>，</w:t>
      </w:r>
      <w:r>
        <w:rPr>
          <w:rFonts w:ascii="宋体" w:hAnsi="宋体" w:hint="eastAsia"/>
          <w:color w:val="000000"/>
          <w:kern w:val="0"/>
          <w:szCs w:val="21"/>
          <w:lang w:eastAsia="zh-Hans"/>
        </w:rPr>
        <w:t>2027</w:t>
      </w:r>
      <w:r>
        <w:rPr>
          <w:rFonts w:ascii="宋体" w:hAnsi="宋体" w:hint="eastAsia"/>
          <w:color w:val="000000"/>
          <w:kern w:val="0"/>
          <w:szCs w:val="21"/>
          <w:lang w:eastAsia="zh-Hans"/>
        </w:rPr>
        <w:t>年第四季度也小幅上调，而</w:t>
      </w:r>
      <w:r>
        <w:rPr>
          <w:rFonts w:ascii="宋体" w:hAnsi="宋体" w:hint="eastAsia"/>
          <w:color w:val="000000"/>
          <w:kern w:val="0"/>
          <w:szCs w:val="21"/>
          <w:lang w:eastAsia="zh-Hans"/>
        </w:rPr>
        <w:t>2028</w:t>
      </w:r>
      <w:r>
        <w:rPr>
          <w:rFonts w:ascii="宋体" w:hAnsi="宋体" w:hint="eastAsia"/>
          <w:color w:val="000000"/>
          <w:kern w:val="0"/>
          <w:szCs w:val="21"/>
          <w:lang w:eastAsia="zh-Hans"/>
        </w:rPr>
        <w:t>年第四季度</w:t>
      </w:r>
      <w:r>
        <w:rPr>
          <w:rFonts w:ascii="宋体" w:hAnsi="宋体" w:hint="eastAsia"/>
          <w:color w:val="000000"/>
          <w:kern w:val="0"/>
          <w:szCs w:val="21"/>
          <w:lang w:eastAsia="zh-Hans"/>
        </w:rPr>
        <w:t>PCE</w:t>
      </w:r>
      <w:r>
        <w:rPr>
          <w:rFonts w:ascii="宋体" w:hAnsi="宋体" w:hint="eastAsia"/>
          <w:color w:val="000000"/>
          <w:kern w:val="0"/>
          <w:szCs w:val="21"/>
          <w:lang w:eastAsia="zh-Hans"/>
        </w:rPr>
        <w:t>预测回落至</w:t>
      </w:r>
      <w:r>
        <w:rPr>
          <w:rFonts w:ascii="宋体" w:hAnsi="宋体" w:hint="eastAsia"/>
          <w:color w:val="000000"/>
          <w:kern w:val="0"/>
          <w:szCs w:val="21"/>
          <w:lang w:eastAsia="zh-Hans"/>
        </w:rPr>
        <w:t>2%</w:t>
      </w:r>
      <w:r>
        <w:rPr>
          <w:rFonts w:ascii="宋体" w:hAnsi="宋体" w:hint="eastAsia"/>
          <w:color w:val="000000"/>
          <w:kern w:val="0"/>
          <w:szCs w:val="21"/>
          <w:lang w:eastAsia="zh-Hans"/>
        </w:rPr>
        <w:t>。同时，委员会对美国通胀可能对经济造成的负面影响表示担忧。</w:t>
      </w:r>
      <w:r>
        <w:rPr>
          <w:rFonts w:ascii="宋体" w:hAnsi="宋体" w:hint="eastAsia"/>
          <w:color w:val="000000"/>
          <w:kern w:val="0"/>
          <w:szCs w:val="21"/>
          <w:lang w:eastAsia="zh-Hans"/>
        </w:rPr>
        <w:t>2026</w:t>
      </w:r>
      <w:r>
        <w:rPr>
          <w:rFonts w:ascii="宋体" w:hAnsi="宋体" w:hint="eastAsia"/>
          <w:color w:val="000000"/>
          <w:kern w:val="0"/>
          <w:szCs w:val="21"/>
          <w:lang w:eastAsia="zh-Hans"/>
        </w:rPr>
        <w:t>年第四季度实际</w:t>
      </w:r>
      <w:r>
        <w:rPr>
          <w:rFonts w:ascii="宋体" w:hAnsi="宋体" w:hint="eastAsia"/>
          <w:color w:val="000000"/>
          <w:kern w:val="0"/>
          <w:szCs w:val="21"/>
          <w:lang w:eastAsia="zh-Hans"/>
        </w:rPr>
        <w:t>GDP</w:t>
      </w:r>
      <w:r>
        <w:rPr>
          <w:rFonts w:ascii="宋体" w:hAnsi="宋体" w:hint="eastAsia"/>
          <w:color w:val="000000"/>
          <w:kern w:val="0"/>
          <w:szCs w:val="21"/>
          <w:lang w:eastAsia="zh-Hans"/>
        </w:rPr>
        <w:t>同比增速下调</w:t>
      </w:r>
      <w:r>
        <w:rPr>
          <w:rFonts w:ascii="宋体" w:hAnsi="宋体" w:hint="eastAsia"/>
          <w:color w:val="000000"/>
          <w:kern w:val="0"/>
          <w:szCs w:val="21"/>
          <w:lang w:eastAsia="zh-Hans"/>
        </w:rPr>
        <w:t>0.2</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2.2%</w:t>
      </w:r>
      <w:r>
        <w:rPr>
          <w:rFonts w:ascii="宋体" w:hAnsi="宋体" w:hint="eastAsia"/>
          <w:color w:val="000000"/>
          <w:kern w:val="0"/>
          <w:szCs w:val="21"/>
          <w:lang w:eastAsia="zh-Hans"/>
        </w:rPr>
        <w:t>。第三，沃什宣布成立五个工作组，分别研究货币政策的多个关键领域，包括沟通机制、资产负债表政策、数据收集、生产率与就业变化以及通胀驱动因素。这些工作组是否会成为政策变革的推动者，还是仅是旧事重提，仍有待观察。预计未来或将有更多细节披露，而</w:t>
      </w:r>
      <w:r>
        <w:rPr>
          <w:rFonts w:ascii="宋体" w:hAnsi="宋体" w:hint="eastAsia"/>
          <w:color w:val="000000"/>
          <w:kern w:val="0"/>
          <w:szCs w:val="21"/>
          <w:lang w:eastAsia="zh-Hans"/>
        </w:rPr>
        <w:t>7</w:t>
      </w:r>
      <w:r>
        <w:rPr>
          <w:rFonts w:ascii="宋体" w:hAnsi="宋体" w:hint="eastAsia"/>
          <w:color w:val="000000"/>
          <w:kern w:val="0"/>
          <w:szCs w:val="21"/>
          <w:lang w:eastAsia="zh-Hans"/>
        </w:rPr>
        <w:t>月的新闻发布会也将提供沃什进一步阐述其政策思路的机会。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会后声明中删除了诸如“委员会将仔细评估新来的数据”等冗长表述，将美国经济增长描述为“以稳健的速度扩张”，并强调了强劲的“生产率增长和资本投资”。美国就业增长与劳动力供应保持同步，美国通胀仍被描述为“偏高”。声明中还出现了一句令人困惑的表述：“委员会重申其保持银行系统充足准备金的政策。”这可能意味着该政策尚未获得投票通过，具体细节有待会议记录进一步揭示。</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此次点阵图的变化令到市场感到意外。点阵图显示有多达</w:t>
      </w:r>
      <w:r>
        <w:rPr>
          <w:rFonts w:ascii="宋体" w:hAnsi="宋体" w:hint="eastAsia"/>
          <w:color w:val="000000"/>
          <w:kern w:val="0"/>
          <w:szCs w:val="21"/>
          <w:lang w:eastAsia="zh-Hans"/>
        </w:rPr>
        <w:t>9</w:t>
      </w:r>
      <w:r>
        <w:rPr>
          <w:rFonts w:ascii="宋体" w:hAnsi="宋体" w:hint="eastAsia"/>
          <w:color w:val="000000"/>
          <w:kern w:val="0"/>
          <w:szCs w:val="21"/>
          <w:lang w:eastAsia="zh-Hans"/>
        </w:rPr>
        <w:t>位委员倾向于年内加息，其中</w:t>
      </w:r>
      <w:r>
        <w:rPr>
          <w:rFonts w:ascii="宋体" w:hAnsi="宋体" w:hint="eastAsia"/>
          <w:color w:val="000000"/>
          <w:kern w:val="0"/>
          <w:szCs w:val="21"/>
          <w:lang w:eastAsia="zh-Hans"/>
        </w:rPr>
        <w:t>5</w:t>
      </w:r>
      <w:r>
        <w:rPr>
          <w:rFonts w:ascii="宋体" w:hAnsi="宋体" w:hint="eastAsia"/>
          <w:color w:val="000000"/>
          <w:kern w:val="0"/>
          <w:szCs w:val="21"/>
          <w:lang w:eastAsia="zh-Hans"/>
        </w:rPr>
        <w:t>位支持加息两次，</w:t>
      </w:r>
      <w:r>
        <w:rPr>
          <w:rFonts w:ascii="宋体" w:hAnsi="宋体" w:hint="eastAsia"/>
          <w:color w:val="000000"/>
          <w:kern w:val="0"/>
          <w:szCs w:val="21"/>
          <w:lang w:eastAsia="zh-Hans"/>
        </w:rPr>
        <w:t>1</w:t>
      </w:r>
      <w:r>
        <w:rPr>
          <w:rFonts w:ascii="宋体" w:hAnsi="宋体" w:hint="eastAsia"/>
          <w:color w:val="000000"/>
          <w:kern w:val="0"/>
          <w:szCs w:val="21"/>
          <w:lang w:eastAsia="zh-Hans"/>
        </w:rPr>
        <w:t>位支持加息三次。另外</w:t>
      </w:r>
      <w:r>
        <w:rPr>
          <w:rFonts w:ascii="宋体" w:hAnsi="宋体" w:hint="eastAsia"/>
          <w:color w:val="000000"/>
          <w:kern w:val="0"/>
          <w:szCs w:val="21"/>
          <w:lang w:eastAsia="zh-Hans"/>
        </w:rPr>
        <w:t>8</w:t>
      </w:r>
      <w:r>
        <w:rPr>
          <w:rFonts w:ascii="宋体" w:hAnsi="宋体" w:hint="eastAsia"/>
          <w:color w:val="000000"/>
          <w:kern w:val="0"/>
          <w:szCs w:val="21"/>
          <w:lang w:eastAsia="zh-Hans"/>
        </w:rPr>
        <w:t>位委员支持维持利率不变，仅</w:t>
      </w:r>
      <w:r>
        <w:rPr>
          <w:rFonts w:ascii="宋体" w:hAnsi="宋体" w:hint="eastAsia"/>
          <w:color w:val="000000"/>
          <w:kern w:val="0"/>
          <w:szCs w:val="21"/>
          <w:lang w:eastAsia="zh-Hans"/>
        </w:rPr>
        <w:t>1</w:t>
      </w:r>
      <w:r>
        <w:rPr>
          <w:rFonts w:ascii="宋体" w:hAnsi="宋体" w:hint="eastAsia"/>
          <w:color w:val="000000"/>
          <w:kern w:val="0"/>
          <w:szCs w:val="21"/>
          <w:lang w:eastAsia="zh-Hans"/>
        </w:rPr>
        <w:t>位委员支持降息一次。明年仍有八位参与者预计加息，中位数上调至</w:t>
      </w:r>
      <w:r>
        <w:rPr>
          <w:rFonts w:ascii="宋体" w:hAnsi="宋体" w:hint="eastAsia"/>
          <w:color w:val="000000"/>
          <w:kern w:val="0"/>
          <w:szCs w:val="21"/>
          <w:lang w:eastAsia="zh-Hans"/>
        </w:rPr>
        <w:t>3.375%</w:t>
      </w:r>
      <w:r>
        <w:rPr>
          <w:rFonts w:ascii="宋体" w:hAnsi="宋体" w:hint="eastAsia"/>
          <w:color w:val="000000"/>
          <w:kern w:val="0"/>
          <w:szCs w:val="21"/>
          <w:lang w:eastAsia="zh-Hans"/>
        </w:rPr>
        <w:t>。</w:t>
      </w:r>
      <w:r>
        <w:rPr>
          <w:rFonts w:ascii="宋体" w:hAnsi="宋体" w:hint="eastAsia"/>
          <w:color w:val="000000"/>
          <w:kern w:val="0"/>
          <w:szCs w:val="21"/>
          <w:lang w:eastAsia="zh-Hans"/>
        </w:rPr>
        <w:t>2028</w:t>
      </w:r>
      <w:r>
        <w:rPr>
          <w:rFonts w:ascii="宋体" w:hAnsi="宋体" w:hint="eastAsia"/>
          <w:color w:val="000000"/>
          <w:kern w:val="0"/>
          <w:szCs w:val="21"/>
          <w:lang w:eastAsia="zh-Hans"/>
        </w:rPr>
        <w:t>年的展望也被鹰派预期上调，而长期中位数点位数小幅下降至</w:t>
      </w:r>
      <w:r>
        <w:rPr>
          <w:rFonts w:ascii="宋体" w:hAnsi="宋体" w:hint="eastAsia"/>
          <w:color w:val="000000"/>
          <w:kern w:val="0"/>
          <w:szCs w:val="21"/>
          <w:lang w:eastAsia="zh-Hans"/>
        </w:rPr>
        <w:t>3.06%</w:t>
      </w:r>
      <w:r>
        <w:rPr>
          <w:rFonts w:ascii="宋体" w:hAnsi="宋体" w:hint="eastAsia"/>
          <w:color w:val="000000"/>
          <w:kern w:val="0"/>
          <w:szCs w:val="21"/>
          <w:lang w:eastAsia="zh-Hans"/>
        </w:rPr>
        <w:t>。加息预期上调的主要原因是对美国核心</w:t>
      </w:r>
      <w:r>
        <w:rPr>
          <w:rFonts w:ascii="宋体" w:hAnsi="宋体" w:hint="eastAsia"/>
          <w:color w:val="000000"/>
          <w:kern w:val="0"/>
          <w:szCs w:val="21"/>
          <w:lang w:eastAsia="zh-Hans"/>
        </w:rPr>
        <w:t>PCE</w:t>
      </w:r>
      <w:r>
        <w:rPr>
          <w:rFonts w:ascii="宋体" w:hAnsi="宋体" w:hint="eastAsia"/>
          <w:color w:val="000000"/>
          <w:kern w:val="0"/>
          <w:szCs w:val="21"/>
          <w:lang w:eastAsia="zh-Hans"/>
        </w:rPr>
        <w:t>通胀预测的上调，今年中位数上涨</w:t>
      </w:r>
      <w:r>
        <w:rPr>
          <w:rFonts w:ascii="宋体" w:hAnsi="宋体" w:hint="eastAsia"/>
          <w:color w:val="000000"/>
          <w:kern w:val="0"/>
          <w:szCs w:val="21"/>
          <w:lang w:eastAsia="zh-Hans"/>
        </w:rPr>
        <w:t>0.6</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3.3%</w:t>
      </w:r>
      <w:r>
        <w:rPr>
          <w:rFonts w:ascii="宋体" w:hAnsi="宋体" w:hint="eastAsia"/>
          <w:color w:val="000000"/>
          <w:kern w:val="0"/>
          <w:szCs w:val="21"/>
          <w:lang w:eastAsia="zh-Hans"/>
        </w:rPr>
        <w:t>，明年上涨</w:t>
      </w:r>
      <w:r>
        <w:rPr>
          <w:rFonts w:ascii="宋体" w:hAnsi="宋体" w:hint="eastAsia"/>
          <w:color w:val="000000"/>
          <w:kern w:val="0"/>
          <w:szCs w:val="21"/>
          <w:lang w:eastAsia="zh-Hans"/>
        </w:rPr>
        <w:t>0.3</w:t>
      </w:r>
      <w:r>
        <w:rPr>
          <w:rFonts w:ascii="宋体" w:hAnsi="宋体" w:hint="eastAsia"/>
          <w:color w:val="000000"/>
          <w:kern w:val="0"/>
          <w:szCs w:val="21"/>
          <w:lang w:eastAsia="zh-Hans"/>
        </w:rPr>
        <w:t>个百分点至</w:t>
      </w:r>
      <w:r>
        <w:rPr>
          <w:rFonts w:ascii="宋体" w:hAnsi="宋体" w:hint="eastAsia"/>
          <w:color w:val="000000"/>
          <w:kern w:val="0"/>
          <w:szCs w:val="21"/>
          <w:lang w:eastAsia="zh-Hans"/>
        </w:rPr>
        <w:t>2.5%</w:t>
      </w:r>
      <w:r>
        <w:rPr>
          <w:rFonts w:ascii="宋体" w:hAnsi="宋体" w:hint="eastAsia"/>
          <w:color w:val="000000"/>
          <w:kern w:val="0"/>
          <w:szCs w:val="21"/>
          <w:lang w:eastAsia="zh-Hans"/>
        </w:rPr>
        <w:t>。</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美联储内部存在显著分歧，而新任主席凯文·沃什（</w:t>
      </w:r>
      <w:r>
        <w:rPr>
          <w:rFonts w:ascii="宋体" w:hAnsi="宋体" w:hint="eastAsia"/>
          <w:color w:val="000000"/>
          <w:kern w:val="0"/>
          <w:szCs w:val="21"/>
          <w:lang w:eastAsia="zh-Hans"/>
        </w:rPr>
        <w:t>Kevin Warsh</w:t>
      </w:r>
      <w:r>
        <w:rPr>
          <w:rFonts w:ascii="宋体" w:hAnsi="宋体" w:hint="eastAsia"/>
          <w:color w:val="000000"/>
          <w:kern w:val="0"/>
          <w:szCs w:val="21"/>
          <w:lang w:eastAsia="zh-Hans"/>
        </w:rPr>
        <w:t>）的沟通风格和政策框架仍不清晰，这使得关于投票中“决定性一票”走向的不确定性大幅上升。九位委员预计</w:t>
      </w:r>
      <w:r>
        <w:rPr>
          <w:rFonts w:ascii="宋体" w:hAnsi="宋体" w:hint="eastAsia"/>
          <w:color w:val="000000"/>
          <w:kern w:val="0"/>
          <w:szCs w:val="21"/>
          <w:lang w:eastAsia="zh-Hans"/>
        </w:rPr>
        <w:t>2026</w:t>
      </w:r>
      <w:r>
        <w:rPr>
          <w:rFonts w:ascii="宋体" w:hAnsi="宋体" w:hint="eastAsia"/>
          <w:color w:val="000000"/>
          <w:kern w:val="0"/>
          <w:szCs w:val="21"/>
          <w:lang w:eastAsia="zh-Hans"/>
        </w:rPr>
        <w:t>年或将加息（幅度为</w:t>
      </w:r>
      <w:r>
        <w:rPr>
          <w:rFonts w:ascii="宋体" w:hAnsi="宋体" w:hint="eastAsia"/>
          <w:color w:val="000000"/>
          <w:kern w:val="0"/>
          <w:szCs w:val="21"/>
          <w:lang w:eastAsia="zh-Hans"/>
        </w:rPr>
        <w:t>1</w:t>
      </w:r>
      <w:r>
        <w:rPr>
          <w:rFonts w:ascii="宋体" w:hAnsi="宋体" w:hint="eastAsia"/>
          <w:color w:val="000000"/>
          <w:kern w:val="0"/>
          <w:szCs w:val="21"/>
          <w:lang w:eastAsia="zh-Hans"/>
        </w:rPr>
        <w:t>至</w:t>
      </w:r>
      <w:r>
        <w:rPr>
          <w:rFonts w:ascii="宋体" w:hAnsi="宋体" w:hint="eastAsia"/>
          <w:color w:val="000000"/>
          <w:kern w:val="0"/>
          <w:szCs w:val="21"/>
          <w:lang w:eastAsia="zh-Hans"/>
        </w:rPr>
        <w:t>3</w:t>
      </w:r>
      <w:r>
        <w:rPr>
          <w:rFonts w:ascii="宋体" w:hAnsi="宋体" w:hint="eastAsia"/>
          <w:color w:val="000000"/>
          <w:kern w:val="0"/>
          <w:szCs w:val="21"/>
          <w:lang w:eastAsia="zh-Hans"/>
        </w:rPr>
        <w:t>次），而另外九位委员则倾向于维持利率不变或降息。沃什在就任后首次会议上并未提交点阵图，延续了他长期以来对点阵图和前瞻性指引的公开反对立场。</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美国国内通胀的驱动因素（如工资和住房）相对可控，但一系列负面供应冲击导致商品通胀持续，使通胀高于目标的时间拉长，目前通胀水平比美联储</w:t>
      </w:r>
      <w:r>
        <w:rPr>
          <w:rFonts w:ascii="宋体" w:hAnsi="宋体" w:hint="eastAsia"/>
          <w:color w:val="000000"/>
          <w:kern w:val="0"/>
          <w:szCs w:val="21"/>
          <w:lang w:eastAsia="zh-Hans"/>
        </w:rPr>
        <w:t>2%</w:t>
      </w:r>
      <w:r>
        <w:rPr>
          <w:rFonts w:ascii="宋体" w:hAnsi="宋体" w:hint="eastAsia"/>
          <w:color w:val="000000"/>
          <w:kern w:val="0"/>
          <w:szCs w:val="21"/>
          <w:lang w:eastAsia="zh-Hans"/>
        </w:rPr>
        <w:t>的目标高出约</w:t>
      </w:r>
      <w:r>
        <w:rPr>
          <w:rFonts w:ascii="宋体" w:hAnsi="宋体" w:hint="eastAsia"/>
          <w:color w:val="000000"/>
          <w:kern w:val="0"/>
          <w:szCs w:val="21"/>
          <w:lang w:eastAsia="zh-Hans"/>
        </w:rPr>
        <w:t>120</w:t>
      </w:r>
      <w:r>
        <w:rPr>
          <w:rFonts w:ascii="宋体" w:hAnsi="宋体" w:hint="eastAsia"/>
          <w:color w:val="000000"/>
          <w:kern w:val="0"/>
          <w:szCs w:val="21"/>
          <w:lang w:eastAsia="zh-Hans"/>
        </w:rPr>
        <w:t>个基点。</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展望后市，美联储已从宽松政策转向“软紧缩”政策，这一转变主要因为美国劳动力市场尚且保持稳定但持续高于目标通胀所驱动。</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尽管信贷利差处于较低水平，高收益企业债和美元新兴市场债券或仍能为投资者提供一定的收益机会。考虑到发达市场国家财政政策的不确定性，投资者可能倾向于对成熟市场政府债券采取较短久期管理。</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在地缘政治冲突持续的短期内，投资者可能会关注流动性，并寻找逢低布局的机会。然而，准确判断市场时机的难度依然较高。投资者可考虑保持长期投资的定力，重点关注优质信贷资产，如投资级企业债券，以及在面对能源成本上涨和供应链中断时仍能展现强大经营韧性的企业。</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需密切关注的最大风险或仍为通胀。当前美国通胀水平持续高于央行设定的</w:t>
      </w:r>
      <w:r>
        <w:rPr>
          <w:rFonts w:ascii="宋体" w:hAnsi="宋体" w:hint="eastAsia"/>
          <w:color w:val="000000"/>
          <w:kern w:val="0"/>
          <w:szCs w:val="21"/>
          <w:lang w:eastAsia="zh-Hans"/>
        </w:rPr>
        <w:t>2%</w:t>
      </w:r>
      <w:r>
        <w:rPr>
          <w:rFonts w:ascii="宋体" w:hAnsi="宋体" w:hint="eastAsia"/>
          <w:color w:val="000000"/>
          <w:kern w:val="0"/>
          <w:szCs w:val="21"/>
          <w:lang w:eastAsia="zh-Hans"/>
        </w:rPr>
        <w:t>目标，美联储仍可能会在维持美国劳动力市场稳定和控制通胀之间进行平衡，并愿意在必要时调整货币政策以实现这一目标。</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基于稳健的投资原则，本基金在维持现有策略的基础上，将持续密切跟踪市场动态，深入分析市场变化，并谨慎评估投资策略的调整方向。</w:t>
      </w:r>
      <w:r>
        <w:rPr>
          <w:rFonts w:ascii="宋体" w:hAnsi="宋体" w:hint="eastAsia"/>
          <w:color w:val="000000"/>
          <w:kern w:val="0"/>
          <w:szCs w:val="21"/>
          <w:lang w:eastAsia="zh-Hans"/>
        </w:rPr>
        <w:br/>
      </w:r>
      <w:r>
        <w:rPr>
          <w:rFonts w:ascii="宋体" w:hAnsi="宋体" w:hint="eastAsia"/>
          <w:color w:val="000000"/>
          <w:kern w:val="0"/>
          <w:szCs w:val="21"/>
          <w:lang w:eastAsia="zh-Hans"/>
        </w:rPr>
        <w:t xml:space="preserve">　　本基金在报告期内继续持有现金、短久期高流动性美元债券和中短久期债券资产。本基金组合的加权平均久期处于较短区间，资产配置以较高信用等级国债和投资级信用债为主，稳健的持仓策略使得基金净值波动较小</w:t>
      </w:r>
      <w:r>
        <w:rPr>
          <w:rFonts w:ascii="宋体" w:hAnsi="宋体" w:hint="eastAsia"/>
          <w:color w:val="000000"/>
          <w:kern w:val="0"/>
          <w:szCs w:val="21"/>
          <w:lang w:eastAsia="zh-Hans"/>
        </w:rPr>
        <w:t>。</w:t>
      </w:r>
      <w:r>
        <w:rPr>
          <w:rFonts w:ascii="宋体" w:hAnsi="宋体" w:hint="eastAsia"/>
          <w:color w:val="000000"/>
          <w:kern w:val="0"/>
          <w:sz w:val="24"/>
        </w:rPr>
        <w:t xml:space="preserve"> </w:t>
      </w:r>
      <w:bookmarkEnd w:id="82"/>
    </w:p>
    <w:p w:rsidR="00723B5C" w:rsidRDefault="00723B5C">
      <w:pPr>
        <w:pStyle w:val="XBRLTitle3"/>
        <w:spacing w:before="156" w:line="360" w:lineRule="auto"/>
        <w:ind w:left="624"/>
      </w:pPr>
      <w:bookmarkStart w:id="167" w:name="_Toc51408825712"/>
      <w:bookmarkEnd w:id="150"/>
      <w:r>
        <w:rPr>
          <w:rFonts w:hAnsi="宋体" w:hint="eastAsia"/>
        </w:rPr>
        <w:t>报告期内基金的业绩表</w:t>
      </w:r>
      <w:r>
        <w:rPr>
          <w:rFonts w:hAnsi="宋体" w:hint="eastAsia"/>
        </w:rPr>
        <w:t>现</w:t>
      </w:r>
      <w:bookmarkEnd w:id="152"/>
      <w:bookmarkEnd w:id="153"/>
      <w:bookmarkEnd w:id="167"/>
      <w:r>
        <w:rPr>
          <w:rFonts w:hAnsi="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本报告期摩根海外稳健配置混合</w:t>
      </w:r>
      <w:r>
        <w:rPr>
          <w:rFonts w:ascii="宋体" w:hAnsi="宋体" w:cs="宋体" w:hint="eastAsia"/>
          <w:color w:val="000000"/>
          <w:kern w:val="0"/>
        </w:rPr>
        <w:t>(QDII-FOF)</w:t>
      </w:r>
      <w:r>
        <w:rPr>
          <w:rFonts w:ascii="宋体" w:hAnsi="宋体" w:cs="宋体" w:hint="eastAsia"/>
          <w:color w:val="000000"/>
          <w:kern w:val="0"/>
        </w:rPr>
        <w:t>人民币</w:t>
      </w:r>
      <w:r>
        <w:rPr>
          <w:rFonts w:ascii="宋体" w:hAnsi="宋体" w:cs="宋体" w:hint="eastAsia"/>
          <w:color w:val="000000"/>
          <w:kern w:val="0"/>
        </w:rPr>
        <w:t>A</w:t>
      </w:r>
      <w:r>
        <w:rPr>
          <w:rFonts w:ascii="宋体" w:hAnsi="宋体" w:cs="宋体" w:hint="eastAsia"/>
          <w:color w:val="000000"/>
          <w:kern w:val="0"/>
        </w:rPr>
        <w:t>份额净值增长率为：</w:t>
      </w:r>
      <w:r>
        <w:rPr>
          <w:rFonts w:ascii="宋体" w:hAnsi="宋体" w:cs="宋体" w:hint="eastAsia"/>
          <w:color w:val="000000"/>
          <w:kern w:val="0"/>
        </w:rPr>
        <w:t>-0.90%</w:t>
      </w:r>
      <w:r>
        <w:rPr>
          <w:rFonts w:ascii="宋体" w:hAnsi="宋体" w:cs="宋体" w:hint="eastAsia"/>
          <w:color w:val="000000"/>
          <w:kern w:val="0"/>
        </w:rPr>
        <w:t>，同期业绩比较基准收益率为：</w:t>
      </w:r>
      <w:r>
        <w:rPr>
          <w:rFonts w:ascii="宋体" w:hAnsi="宋体" w:cs="宋体" w:hint="eastAsia"/>
          <w:color w:val="000000"/>
          <w:kern w:val="0"/>
        </w:rPr>
        <w:t>2.02%</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摩根海外稳健配置混合</w:t>
      </w:r>
      <w:r>
        <w:rPr>
          <w:rFonts w:ascii="宋体" w:hAnsi="宋体" w:cs="宋体" w:hint="eastAsia"/>
          <w:color w:val="000000"/>
          <w:kern w:val="0"/>
        </w:rPr>
        <w:t>(QDII-FOF)</w:t>
      </w:r>
      <w:r>
        <w:rPr>
          <w:rFonts w:ascii="宋体" w:hAnsi="宋体" w:cs="宋体" w:hint="eastAsia"/>
          <w:color w:val="000000"/>
          <w:kern w:val="0"/>
        </w:rPr>
        <w:t>人民币</w:t>
      </w:r>
      <w:r>
        <w:rPr>
          <w:rFonts w:ascii="宋体" w:hAnsi="宋体" w:cs="宋体" w:hint="eastAsia"/>
          <w:color w:val="000000"/>
          <w:kern w:val="0"/>
        </w:rPr>
        <w:t>C</w:t>
      </w:r>
      <w:r>
        <w:rPr>
          <w:rFonts w:ascii="宋体" w:hAnsi="宋体" w:cs="宋体" w:hint="eastAsia"/>
          <w:color w:val="000000"/>
          <w:kern w:val="0"/>
        </w:rPr>
        <w:t>份额净值增长率为：</w:t>
      </w:r>
      <w:r>
        <w:rPr>
          <w:rFonts w:ascii="宋体" w:hAnsi="宋体" w:cs="宋体" w:hint="eastAsia"/>
          <w:color w:val="000000"/>
          <w:kern w:val="0"/>
        </w:rPr>
        <w:t>-1.01%</w:t>
      </w:r>
      <w:r>
        <w:rPr>
          <w:rFonts w:ascii="宋体" w:hAnsi="宋体" w:cs="宋体" w:hint="eastAsia"/>
          <w:color w:val="000000"/>
          <w:kern w:val="0"/>
        </w:rPr>
        <w:t>，同期业绩比较基准收益率为：</w:t>
      </w:r>
      <w:r>
        <w:rPr>
          <w:rFonts w:ascii="宋体" w:hAnsi="宋体" w:cs="宋体" w:hint="eastAsia"/>
          <w:color w:val="000000"/>
          <w:kern w:val="0"/>
        </w:rPr>
        <w:t>2.02%</w:t>
      </w:r>
      <w:r>
        <w:rPr>
          <w:rFonts w:ascii="宋体" w:hAnsi="宋体" w:cs="宋体" w:hint="eastAsia"/>
          <w:color w:val="000000"/>
          <w:kern w:val="0"/>
        </w:rPr>
        <w:t>。</w:t>
      </w:r>
      <w:bookmarkEnd w:id="154"/>
    </w:p>
    <w:p w:rsidR="00723B5C" w:rsidRDefault="00723B5C">
      <w:pPr>
        <w:pStyle w:val="XBRLTitle2"/>
        <w:spacing w:before="156" w:line="360" w:lineRule="auto"/>
        <w:ind w:left="454"/>
      </w:pPr>
      <w:bookmarkStart w:id="168" w:name="m405_01_2550"/>
      <w:bookmarkStart w:id="169" w:name="_Toc514088258"/>
      <w:bookmarkStart w:id="170" w:name="_Toc480465430"/>
      <w:bookmarkStart w:id="171" w:name="_Toc448480296"/>
      <w:bookmarkStart w:id="172" w:name="_Toc438654084"/>
      <w:bookmarkStart w:id="173" w:name="_Toc456107129"/>
      <w:bookmarkStart w:id="174" w:name="_Toc459213775"/>
      <w:bookmarkStart w:id="175" w:name="_Toc513542659"/>
      <w:bookmarkStart w:id="176" w:name="_Toc512696261"/>
      <w:bookmarkStart w:id="177" w:name="_Toc512612264"/>
      <w:bookmarkStart w:id="178" w:name="_Toc512612088"/>
      <w:bookmarkStart w:id="179" w:name="_Toc512611292"/>
      <w:bookmarkStart w:id="180" w:name="m407"/>
      <w:bookmarkEnd w:id="168"/>
      <w:r>
        <w:rPr>
          <w:rFonts w:eastAsia="宋体" w:hint="eastAsia"/>
        </w:rPr>
        <w:t>报告期内基金持有人数或基金资产净值预警说</w:t>
      </w:r>
      <w:r>
        <w:rPr>
          <w:rFonts w:eastAsia="宋体" w:hint="eastAsia"/>
        </w:rPr>
        <w:t>明</w:t>
      </w:r>
      <w:bookmarkEnd w:id="169"/>
      <w:bookmarkEnd w:id="170"/>
      <w:bookmarkEnd w:id="171"/>
      <w:bookmarkEnd w:id="172"/>
      <w:bookmarkEnd w:id="173"/>
      <w:bookmarkEnd w:id="174"/>
      <w:bookmarkEnd w:id="175"/>
      <w:bookmarkEnd w:id="176"/>
      <w:bookmarkEnd w:id="177"/>
      <w:bookmarkEnd w:id="178"/>
      <w:bookmarkEnd w:id="179"/>
      <w:r>
        <w:rPr>
          <w:rFonts w:eastAsia="宋体" w:hint="eastAsia"/>
        </w:rPr>
        <w:t xml:space="preserve"> </w:t>
      </w:r>
    </w:p>
    <w:p w:rsidR="00723B5C" w:rsidRDefault="00723B5C">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723B5C" w:rsidRDefault="00723B5C">
      <w:pPr>
        <w:pStyle w:val="XBRLTitle1"/>
        <w:spacing w:before="156"/>
        <w:ind w:left="425"/>
      </w:pPr>
      <w:bookmarkStart w:id="181" w:name="_Toc514088259"/>
      <w:bookmarkStart w:id="182" w:name="_Toc480465431"/>
      <w:bookmarkStart w:id="183" w:name="_Toc448480297"/>
      <w:bookmarkStart w:id="184" w:name="_Toc438654085"/>
      <w:bookmarkStart w:id="185" w:name="_Toc445826343"/>
      <w:bookmarkStart w:id="186" w:name="_Toc456107130"/>
      <w:bookmarkStart w:id="187" w:name="_Toc459213776"/>
      <w:bookmarkStart w:id="188" w:name="_Toc513542660"/>
      <w:bookmarkStart w:id="189" w:name="_Toc512696262"/>
      <w:bookmarkStart w:id="190" w:name="_Toc512612265"/>
      <w:bookmarkStart w:id="191" w:name="_Toc512612089"/>
      <w:bookmarkStart w:id="192" w:name="_Toc512611293"/>
      <w:bookmarkEnd w:id="180"/>
      <w:r>
        <w:rPr>
          <w:rFonts w:hint="eastAsia"/>
        </w:rPr>
        <w:t>投资组合报</w:t>
      </w:r>
      <w:r>
        <w:rPr>
          <w:rFonts w:hint="eastAsia"/>
        </w:rPr>
        <w:t>告</w:t>
      </w:r>
      <w:bookmarkEnd w:id="181"/>
      <w:bookmarkEnd w:id="182"/>
      <w:bookmarkEnd w:id="183"/>
      <w:bookmarkEnd w:id="184"/>
      <w:bookmarkEnd w:id="185"/>
      <w:bookmarkEnd w:id="186"/>
      <w:bookmarkEnd w:id="187"/>
      <w:bookmarkEnd w:id="188"/>
      <w:bookmarkEnd w:id="189"/>
      <w:bookmarkEnd w:id="190"/>
      <w:bookmarkEnd w:id="191"/>
      <w:bookmarkEnd w:id="192"/>
    </w:p>
    <w:p w:rsidR="00723B5C" w:rsidRDefault="00723B5C">
      <w:pPr>
        <w:pStyle w:val="XBRLTitle2"/>
        <w:spacing w:before="156" w:line="360" w:lineRule="auto"/>
        <w:ind w:left="454"/>
        <w:rPr>
          <w:rFonts w:hint="eastAsia"/>
        </w:rPr>
      </w:pPr>
      <w:bookmarkStart w:id="193" w:name="_Toc514088260"/>
      <w:bookmarkStart w:id="194" w:name="_Toc480465432"/>
      <w:bookmarkStart w:id="195" w:name="_Toc448480298"/>
      <w:bookmarkStart w:id="196" w:name="_Toc438654086"/>
      <w:bookmarkStart w:id="197" w:name="_Toc456107131"/>
      <w:bookmarkStart w:id="198" w:name="_Toc459213777"/>
      <w:bookmarkStart w:id="199" w:name="_Toc513542661"/>
      <w:bookmarkStart w:id="200" w:name="_Toc512696263"/>
      <w:bookmarkStart w:id="201" w:name="_Toc512612266"/>
      <w:bookmarkStart w:id="202" w:name="_Toc512612090"/>
      <w:bookmarkStart w:id="203" w:name="_Toc512611294"/>
      <w:bookmarkStart w:id="204" w:name="m501"/>
      <w:r>
        <w:rPr>
          <w:rFonts w:eastAsia="宋体" w:hint="eastAsia"/>
        </w:rPr>
        <w:t>报告期末基金资产组合情</w:t>
      </w:r>
      <w:r>
        <w:rPr>
          <w:rFonts w:eastAsia="宋体" w:hint="eastAsia"/>
        </w:rPr>
        <w:t>况</w:t>
      </w:r>
      <w:bookmarkEnd w:id="193"/>
      <w:bookmarkEnd w:id="194"/>
      <w:bookmarkEnd w:id="195"/>
      <w:bookmarkEnd w:id="196"/>
      <w:bookmarkEnd w:id="197"/>
      <w:bookmarkEnd w:id="198"/>
      <w:r>
        <w:rPr>
          <w:rFonts w:hint="eastAsia"/>
        </w:rPr>
        <w:t xml:space="preserve"> </w:t>
      </w:r>
      <w:bookmarkEnd w:id="199"/>
      <w:bookmarkEnd w:id="200"/>
      <w:bookmarkEnd w:id="201"/>
      <w:bookmarkEnd w:id="202"/>
      <w:bookmarkEnd w:id="203"/>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602"/>
        <w:gridCol w:w="3503"/>
        <w:gridCol w:w="2375"/>
        <w:gridCol w:w="2355"/>
      </w:tblGrid>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rPr>
                <w:rFonts w:hint="eastAsia"/>
              </w:rPr>
            </w:pPr>
            <w:bookmarkStart w:id="205" w:name="m08QD_01_tab"/>
            <w:bookmarkStart w:id="206" w:name="OLE_LINK41"/>
            <w:bookmarkStart w:id="207" w:name="OLE_LINK42"/>
            <w:bookmarkStart w:id="208" w:name="OLE_LINK45"/>
            <w:bookmarkStart w:id="209" w:name="OLE_LINK46"/>
            <w:bookmarkEnd w:id="205"/>
            <w:r>
              <w:rPr>
                <w:rFonts w:ascii="宋体" w:hAnsi="宋体" w:hint="eastAsia"/>
                <w:color w:val="000000"/>
              </w:rPr>
              <w:t>序号</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项目</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金额（人民币元）</w:t>
            </w:r>
            <w:r>
              <w:rPr>
                <w:rFonts w:ascii="宋体" w:hAnsi="宋体" w:hint="eastAsia"/>
                <w:color w:val="000000"/>
                <w:lang w:eastAsia="zh-Hans"/>
              </w:rPr>
              <w:t xml:space="preserve"> </w:t>
            </w:r>
          </w:p>
        </w:tc>
        <w:tc>
          <w:tcPr>
            <w:tcW w:w="2373" w:type="dxa"/>
            <w:tcBorders>
              <w:top w:val="single" w:sz="4" w:space="0" w:color="auto"/>
              <w:left w:val="nil"/>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1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rPr>
                <w:rFonts w:hint="eastAsia"/>
              </w:rPr>
            </w:pPr>
            <w:r>
              <w:rPr>
                <w:rFonts w:ascii="宋体" w:hAnsi="宋体" w:hint="eastAsia"/>
                <w:color w:val="000000"/>
              </w:rPr>
              <w:t>其中：普通股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firstLineChars="350" w:firstLine="735"/>
              <w:rPr>
                <w:rFonts w:hint="eastAsia"/>
              </w:rPr>
            </w:pPr>
            <w:r>
              <w:rPr>
                <w:rFonts w:ascii="宋体" w:hAnsi="宋体" w:hint="eastAsia"/>
                <w:color w:val="000000"/>
              </w:rPr>
              <w:t>优先股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firstLineChars="350" w:firstLine="735"/>
              <w:rPr>
                <w:rFonts w:hint="eastAsia"/>
              </w:rPr>
            </w:pPr>
            <w:r>
              <w:rPr>
                <w:rFonts w:ascii="宋体" w:hAnsi="宋体" w:hint="eastAsia"/>
                <w:color w:val="000000"/>
              </w:rPr>
              <w:t>存托凭证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firstLineChars="350" w:firstLine="735"/>
              <w:rPr>
                <w:rFonts w:hint="eastAsia"/>
              </w:rPr>
            </w:pPr>
            <w:r>
              <w:rPr>
                <w:rFonts w:ascii="宋体" w:hAnsi="宋体" w:hint="eastAsia"/>
              </w:rPr>
              <w:t>房地产信托凭证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2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1,276,279,048.5</w:t>
            </w:r>
            <w:r>
              <w:rPr>
                <w:rFonts w:ascii="宋体" w:hAnsi="宋体" w:hint="eastAsia"/>
                <w:szCs w:val="24"/>
                <w:lang w:eastAsia="zh-Hans"/>
              </w:rPr>
              <w:t>8</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89.2</w:t>
            </w:r>
            <w:r>
              <w:rPr>
                <w:rFonts w:ascii="宋体" w:hAnsi="宋体" w:hint="eastAsia"/>
                <w:szCs w:val="24"/>
                <w:lang w:eastAsia="zh-Hans"/>
              </w:rPr>
              <w:t>9</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3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72,567,346.2</w:t>
            </w:r>
            <w:r>
              <w:rPr>
                <w:rFonts w:ascii="宋体" w:hAnsi="宋体" w:hint="eastAsia"/>
                <w:szCs w:val="24"/>
                <w:lang w:eastAsia="zh-Hans"/>
              </w:rPr>
              <w:t>7</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5.0</w:t>
            </w:r>
            <w:r>
              <w:rPr>
                <w:rFonts w:ascii="宋体" w:hAnsi="宋体" w:hint="eastAsia"/>
                <w:szCs w:val="24"/>
                <w:lang w:eastAsia="zh-Hans"/>
              </w:rPr>
              <w:t>8</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72,567,346.2</w:t>
            </w:r>
            <w:r>
              <w:rPr>
                <w:rFonts w:ascii="宋体" w:hAnsi="宋体" w:hint="eastAsia"/>
                <w:szCs w:val="24"/>
                <w:lang w:eastAsia="zh-Hans"/>
              </w:rPr>
              <w:t>7</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5.0</w:t>
            </w:r>
            <w:r>
              <w:rPr>
                <w:rFonts w:ascii="宋体" w:hAnsi="宋体" w:hint="eastAsia"/>
                <w:szCs w:val="24"/>
                <w:lang w:eastAsia="zh-Hans"/>
              </w:rPr>
              <w:t>8</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4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rPr>
                <w:rFonts w:hint="eastAsia"/>
              </w:rPr>
            </w:pPr>
            <w:r>
              <w:rPr>
                <w:rFonts w:ascii="宋体" w:hAnsi="宋体" w:hint="eastAsia"/>
                <w:color w:val="000000"/>
              </w:rPr>
              <w:t>其中：远期</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firstLineChars="350" w:firstLine="735"/>
              <w:rPr>
                <w:rFonts w:hint="eastAsia"/>
              </w:rPr>
            </w:pPr>
            <w:r>
              <w:rPr>
                <w:rFonts w:ascii="宋体" w:hAnsi="宋体" w:hint="eastAsia"/>
                <w:color w:val="000000"/>
              </w:rPr>
              <w:t>期货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firstLineChars="350" w:firstLine="735"/>
              <w:rPr>
                <w:rFonts w:hint="eastAsia"/>
              </w:rPr>
            </w:pPr>
            <w:r>
              <w:rPr>
                <w:rFonts w:ascii="宋体" w:hAnsi="宋体" w:hint="eastAsia"/>
                <w:color w:val="000000"/>
              </w:rPr>
              <w:t>期权</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firstLineChars="350" w:firstLine="735"/>
              <w:rPr>
                <w:rFonts w:hint="eastAsia"/>
              </w:rPr>
            </w:pPr>
            <w:r>
              <w:rPr>
                <w:rFonts w:ascii="宋体" w:hAnsi="宋体" w:hint="eastAsia"/>
                <w:color w:val="000000"/>
              </w:rPr>
              <w:t>权证</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5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6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货币市场工具</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7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76,397,076.8</w:t>
            </w:r>
            <w:r>
              <w:rPr>
                <w:rFonts w:ascii="宋体" w:hAnsi="宋体" w:hint="eastAsia"/>
                <w:szCs w:val="24"/>
                <w:lang w:eastAsia="zh-Hans"/>
              </w:rPr>
              <w:t>2</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5.3</w:t>
            </w:r>
            <w:r>
              <w:rPr>
                <w:rFonts w:ascii="宋体" w:hAnsi="宋体" w:hint="eastAsia"/>
                <w:szCs w:val="24"/>
                <w:lang w:eastAsia="zh-Hans"/>
              </w:rPr>
              <w:t>5</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8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4,050,490.7</w:t>
            </w:r>
            <w:r>
              <w:rPr>
                <w:rFonts w:ascii="宋体" w:hAnsi="宋体" w:hint="eastAsia"/>
                <w:szCs w:val="24"/>
                <w:lang w:eastAsia="zh-Hans"/>
              </w:rPr>
              <w:t>3</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0.2</w:t>
            </w:r>
            <w:r>
              <w:rPr>
                <w:rFonts w:ascii="宋体" w:hAnsi="宋体" w:hint="eastAsia"/>
                <w:szCs w:val="24"/>
                <w:lang w:eastAsia="zh-Hans"/>
              </w:rPr>
              <w:t>8</w:t>
            </w:r>
          </w:p>
        </w:tc>
      </w:tr>
      <w:tr w:rsidR="00000000">
        <w:trPr>
          <w:divId w:val="810828106"/>
          <w:trHeight w:val="20"/>
        </w:trPr>
        <w:tc>
          <w:tcPr>
            <w:tcW w:w="606" w:type="dxa"/>
            <w:tcBorders>
              <w:top w:val="single" w:sz="4" w:space="0" w:color="auto"/>
              <w:left w:val="single" w:sz="4" w:space="0" w:color="auto"/>
              <w:bottom w:val="single" w:sz="4" w:space="0" w:color="auto"/>
              <w:right w:val="single" w:sz="4" w:space="0" w:color="auto"/>
            </w:tcBorders>
            <w:vAlign w:val="center"/>
            <w:hideMark/>
          </w:tcPr>
          <w:p w:rsidR="00723B5C" w:rsidRDefault="00723B5C">
            <w:pPr>
              <w:jc w:val="center"/>
            </w:pPr>
            <w:r>
              <w:rPr>
                <w:rFonts w:ascii="宋体" w:hAnsi="宋体" w:hint="eastAsia"/>
                <w:color w:val="000000"/>
                <w:lang w:eastAsia="zh-Hans"/>
              </w:rPr>
              <w:t xml:space="preserve">9 </w:t>
            </w:r>
          </w:p>
        </w:tc>
        <w:tc>
          <w:tcPr>
            <w:tcW w:w="3529" w:type="dxa"/>
            <w:tcBorders>
              <w:top w:val="single" w:sz="4" w:space="0" w:color="auto"/>
              <w:left w:val="nil"/>
              <w:bottom w:val="single" w:sz="4" w:space="0" w:color="auto"/>
              <w:right w:val="single" w:sz="4" w:space="0" w:color="auto"/>
            </w:tcBorders>
            <w:vAlign w:val="center"/>
            <w:hideMark/>
          </w:tcPr>
          <w:p w:rsidR="00723B5C" w:rsidRDefault="00723B5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2382"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1,429,293,962.4</w:t>
            </w:r>
            <w:r>
              <w:rPr>
                <w:rFonts w:ascii="宋体" w:hAnsi="宋体" w:hint="eastAsia"/>
                <w:szCs w:val="24"/>
                <w:lang w:eastAsia="zh-Hans"/>
              </w:rPr>
              <w:t>0</w:t>
            </w:r>
          </w:p>
        </w:tc>
        <w:tc>
          <w:tcPr>
            <w:tcW w:w="2373" w:type="dxa"/>
            <w:tcBorders>
              <w:top w:val="single" w:sz="4" w:space="0" w:color="auto"/>
              <w:left w:val="nil"/>
              <w:bottom w:val="single" w:sz="4" w:space="0" w:color="auto"/>
              <w:right w:val="single" w:sz="4" w:space="0" w:color="auto"/>
            </w:tcBorders>
            <w:vAlign w:val="center"/>
            <w:hideMark/>
          </w:tcPr>
          <w:p w:rsidR="00723B5C" w:rsidRDefault="00723B5C">
            <w:pPr>
              <w:jc w:val="right"/>
            </w:pPr>
            <w:r>
              <w:rPr>
                <w:rFonts w:ascii="宋体" w:hAnsi="宋体" w:hint="eastAsia"/>
                <w:szCs w:val="24"/>
                <w:lang w:eastAsia="zh-Hans"/>
              </w:rPr>
              <w:t>100.0</w:t>
            </w:r>
            <w:r>
              <w:rPr>
                <w:rFonts w:ascii="宋体" w:hAnsi="宋体" w:hint="eastAsia"/>
                <w:szCs w:val="24"/>
                <w:lang w:eastAsia="zh-Hans"/>
              </w:rPr>
              <w:t>0</w:t>
            </w:r>
          </w:p>
        </w:tc>
      </w:tr>
    </w:tbl>
    <w:p w:rsidR="00723B5C" w:rsidRDefault="00723B5C">
      <w:pPr>
        <w:pStyle w:val="XBRLTitle2"/>
        <w:spacing w:before="156" w:line="360" w:lineRule="auto"/>
        <w:ind w:left="454"/>
      </w:pPr>
      <w:bookmarkStart w:id="210" w:name="_Toc514088261"/>
      <w:bookmarkStart w:id="211" w:name="_Toc480465433"/>
      <w:bookmarkStart w:id="212" w:name="_Toc448480299"/>
      <w:bookmarkStart w:id="213" w:name="_Toc438654087"/>
      <w:bookmarkStart w:id="214" w:name="_Toc456107132"/>
      <w:bookmarkStart w:id="215" w:name="_Toc459213778"/>
      <w:bookmarkStart w:id="216" w:name="_Toc513542662"/>
      <w:bookmarkStart w:id="217" w:name="_Toc512696264"/>
      <w:bookmarkStart w:id="218" w:name="_Toc512612267"/>
      <w:bookmarkStart w:id="219" w:name="_Toc512612091"/>
      <w:bookmarkStart w:id="220" w:name="_Toc512611295"/>
      <w:bookmarkEnd w:id="204"/>
      <w:r>
        <w:rPr>
          <w:rFonts w:eastAsia="宋体" w:hint="eastAsia"/>
        </w:rPr>
        <w:t>报告期末在各个国家（地区）证券市场的股票及存托凭证投资分</w:t>
      </w:r>
      <w:r>
        <w:rPr>
          <w:rFonts w:eastAsia="宋体" w:hint="eastAsia"/>
        </w:rPr>
        <w:t>布</w:t>
      </w:r>
      <w:bookmarkEnd w:id="210"/>
      <w:bookmarkEnd w:id="211"/>
      <w:bookmarkEnd w:id="212"/>
      <w:bookmarkEnd w:id="213"/>
      <w:bookmarkEnd w:id="214"/>
      <w:bookmarkEnd w:id="215"/>
      <w:r>
        <w:rPr>
          <w:rFonts w:hint="eastAsia"/>
        </w:rPr>
        <w:t xml:space="preserve"> </w:t>
      </w:r>
      <w:bookmarkEnd w:id="216"/>
      <w:bookmarkEnd w:id="217"/>
      <w:bookmarkEnd w:id="218"/>
      <w:bookmarkEnd w:id="219"/>
      <w:bookmarkEnd w:id="220"/>
    </w:p>
    <w:p w:rsidR="00723B5C" w:rsidRDefault="00723B5C">
      <w:pPr>
        <w:spacing w:line="360" w:lineRule="auto"/>
        <w:ind w:firstLineChars="200" w:firstLine="420"/>
        <w:jc w:val="left"/>
        <w:rPr>
          <w:rFonts w:hint="eastAsia"/>
        </w:rPr>
      </w:pPr>
      <w:r>
        <w:rPr>
          <w:rFonts w:ascii="宋体" w:hAnsi="宋体" w:hint="eastAsia"/>
        </w:rPr>
        <w:t>本基金本报告期末未持有股票及存托凭证</w:t>
      </w:r>
      <w:r>
        <w:rPr>
          <w:rFonts w:ascii="宋体" w:hAnsi="宋体" w:hint="eastAsia"/>
        </w:rPr>
        <w:t>。</w:t>
      </w:r>
    </w:p>
    <w:p w:rsidR="00723B5C" w:rsidRDefault="00723B5C">
      <w:pPr>
        <w:pStyle w:val="XBRLTitle2"/>
        <w:spacing w:before="156" w:line="360" w:lineRule="auto"/>
        <w:ind w:left="454"/>
      </w:pPr>
      <w:bookmarkStart w:id="221" w:name="m502_tab"/>
      <w:bookmarkStart w:id="222" w:name="_Toc514088262"/>
      <w:bookmarkStart w:id="223" w:name="_Toc480465434"/>
      <w:bookmarkStart w:id="224" w:name="_Toc448480300"/>
      <w:bookmarkStart w:id="225" w:name="_Toc438654088"/>
      <w:bookmarkStart w:id="226" w:name="_Toc456107133"/>
      <w:bookmarkStart w:id="227" w:name="_Toc459213779"/>
      <w:bookmarkStart w:id="228" w:name="_Toc513542663"/>
      <w:bookmarkStart w:id="229" w:name="_Toc512696265"/>
      <w:bookmarkStart w:id="230" w:name="_Toc512612268"/>
      <w:bookmarkStart w:id="231" w:name="_Toc512612092"/>
      <w:bookmarkStart w:id="232" w:name="_Toc512611296"/>
      <w:bookmarkStart w:id="233" w:name="m503"/>
      <w:bookmarkEnd w:id="221"/>
      <w:r>
        <w:rPr>
          <w:rFonts w:eastAsia="宋体" w:hint="eastAsia"/>
        </w:rPr>
        <w:t>报告期末按行业分类的股票及存托凭证投资组</w:t>
      </w:r>
      <w:r>
        <w:rPr>
          <w:rFonts w:eastAsia="宋体" w:hint="eastAsia"/>
        </w:rPr>
        <w:t>合</w:t>
      </w:r>
      <w:bookmarkEnd w:id="222"/>
      <w:bookmarkEnd w:id="223"/>
      <w:bookmarkEnd w:id="224"/>
      <w:bookmarkEnd w:id="225"/>
      <w:bookmarkEnd w:id="226"/>
      <w:bookmarkEnd w:id="227"/>
      <w:r>
        <w:rPr>
          <w:rFonts w:hint="eastAsia"/>
        </w:rPr>
        <w:t xml:space="preserve"> </w:t>
      </w:r>
      <w:bookmarkEnd w:id="228"/>
      <w:bookmarkEnd w:id="229"/>
      <w:bookmarkEnd w:id="230"/>
      <w:bookmarkEnd w:id="231"/>
      <w:bookmarkEnd w:id="232"/>
    </w:p>
    <w:p w:rsidR="00723B5C" w:rsidRDefault="00723B5C">
      <w:pPr>
        <w:spacing w:line="360" w:lineRule="auto"/>
        <w:ind w:firstLineChars="200" w:firstLine="420"/>
        <w:jc w:val="left"/>
        <w:divId w:val="1621690436"/>
        <w:rPr>
          <w:rFonts w:hint="eastAsia"/>
        </w:rPr>
      </w:pPr>
      <w:bookmarkStart w:id="234" w:name="m08QD_03_01_tab"/>
      <w:bookmarkStart w:id="235" w:name="m08QD_03_tab"/>
      <w:bookmarkStart w:id="236" w:name="m08QD_03_01"/>
      <w:bookmarkStart w:id="237" w:name="_Toc247616244"/>
      <w:bookmarkStart w:id="238" w:name="_Toc433036708"/>
      <w:bookmarkStart w:id="239" w:name="_Toc247613259"/>
      <w:bookmarkStart w:id="240" w:name="m08QD_04_01"/>
      <w:bookmarkStart w:id="241" w:name="m07_04_07_02"/>
      <w:bookmarkEnd w:id="234"/>
      <w:bookmarkEnd w:id="235"/>
      <w:bookmarkEnd w:id="236"/>
      <w:r>
        <w:rPr>
          <w:rFonts w:ascii="宋体" w:hAnsi="宋体" w:hint="eastAsia"/>
          <w:szCs w:val="21"/>
          <w:lang w:eastAsia="zh-Hans"/>
        </w:rPr>
        <w:t>本基金本报告期末未持有股票及存托凭证</w:t>
      </w:r>
      <w:r>
        <w:rPr>
          <w:rFonts w:ascii="宋体" w:hAnsi="宋体" w:hint="eastAsia"/>
          <w:szCs w:val="21"/>
          <w:lang w:eastAsia="zh-Hans"/>
        </w:rPr>
        <w:t>。</w:t>
      </w:r>
      <w:bookmarkEnd w:id="237"/>
      <w:bookmarkEnd w:id="238"/>
      <w:bookmarkEnd w:id="239"/>
      <w:r>
        <w:rPr>
          <w:rFonts w:ascii="宋体" w:hAnsi="宋体" w:hint="eastAsia"/>
          <w:szCs w:val="21"/>
          <w:lang w:eastAsia="zh-Hans"/>
        </w:rPr>
        <w:t xml:space="preserve"> </w:t>
      </w:r>
    </w:p>
    <w:p w:rsidR="00723B5C" w:rsidRDefault="00723B5C">
      <w:pPr>
        <w:pStyle w:val="XBRLTitle2"/>
        <w:spacing w:before="156" w:line="360" w:lineRule="auto"/>
        <w:ind w:left="454"/>
      </w:pPr>
      <w:bookmarkStart w:id="242" w:name="_Toc5140882991"/>
      <w:bookmarkStart w:id="243" w:name="_Toc480465441"/>
      <w:bookmarkStart w:id="244" w:name="_Toc459213786"/>
      <w:bookmarkStart w:id="245" w:name="_Toc456107140"/>
      <w:bookmarkStart w:id="246" w:name="_Toc438654095"/>
      <w:bookmarkStart w:id="247" w:name="_Toc448480307"/>
      <w:bookmarkStart w:id="248" w:name="_Toc513542670"/>
      <w:bookmarkStart w:id="249" w:name="_Toc512696272"/>
      <w:bookmarkStart w:id="250" w:name="_Toc512612275"/>
      <w:bookmarkStart w:id="251" w:name="_Toc512612099"/>
      <w:bookmarkStart w:id="252" w:name="_Toc512611303"/>
      <w:bookmarkEnd w:id="233"/>
      <w:r>
        <w:rPr>
          <w:rFonts w:eastAsia="宋体" w:hint="eastAsia"/>
        </w:rPr>
        <w:t>期末按公允价值占基金资产净值比例大小排序的权益投资明</w:t>
      </w:r>
      <w:r>
        <w:rPr>
          <w:rFonts w:eastAsia="宋体" w:hint="eastAsia"/>
        </w:rPr>
        <w:t>细</w:t>
      </w:r>
      <w:bookmarkEnd w:id="242"/>
      <w:r>
        <w:rPr>
          <w:rFonts w:eastAsia="宋体" w:hint="eastAsia"/>
        </w:rPr>
        <w:t xml:space="preserve"> </w:t>
      </w:r>
    </w:p>
    <w:p w:rsidR="00723B5C" w:rsidRDefault="00723B5C">
      <w:pPr>
        <w:pStyle w:val="XBRLTitle3"/>
        <w:spacing w:before="156" w:line="360" w:lineRule="auto"/>
        <w:ind w:left="624"/>
        <w:rPr>
          <w:rFonts w:hint="eastAsia"/>
        </w:rPr>
      </w:pPr>
      <w:bookmarkStart w:id="253" w:name="m510_01_1597"/>
      <w:r>
        <w:rPr>
          <w:rFonts w:hAnsi="宋体" w:hint="eastAsia"/>
        </w:rPr>
        <w:t>报告期末按公允价值占基金资产净值比例大小排序的前十名股票及存托凭证投资明</w:t>
      </w:r>
      <w:r>
        <w:rPr>
          <w:rFonts w:hAnsi="宋体" w:hint="eastAsia"/>
        </w:rPr>
        <w:t>细</w:t>
      </w:r>
      <w:bookmarkStart w:id="254" w:name="_Toc5140882992"/>
      <w:bookmarkStart w:id="255" w:name="_Toc513542671"/>
      <w:bookmarkStart w:id="256" w:name="_Toc480465442"/>
      <w:bookmarkEnd w:id="254"/>
      <w:r>
        <w:rPr>
          <w:rFonts w:hAnsi="宋体" w:hint="eastAsia"/>
        </w:rPr>
        <w:t xml:space="preserve"> </w:t>
      </w:r>
    </w:p>
    <w:p w:rsidR="00723B5C" w:rsidRDefault="00723B5C">
      <w:pPr>
        <w:spacing w:line="360" w:lineRule="auto"/>
        <w:ind w:firstLineChars="200" w:firstLine="420"/>
        <w:rPr>
          <w:rFonts w:hint="eastAsia"/>
        </w:rPr>
      </w:pPr>
      <w:bookmarkStart w:id="257" w:name="m08QD_04_01_tab"/>
      <w:bookmarkEnd w:id="257"/>
      <w:r>
        <w:rPr>
          <w:rFonts w:ascii="宋体" w:hAnsi="宋体" w:hint="eastAsia"/>
          <w:lang w:eastAsia="zh-Hans"/>
        </w:rPr>
        <w:t>本基金本报告期末未持有股票及存托凭证</w:t>
      </w:r>
      <w:r>
        <w:rPr>
          <w:rFonts w:ascii="宋体" w:hAnsi="宋体" w:hint="eastAsia"/>
          <w:lang w:eastAsia="zh-Hans"/>
        </w:rPr>
        <w:t>。</w:t>
      </w:r>
      <w:bookmarkEnd w:id="240"/>
      <w:r>
        <w:rPr>
          <w:rFonts w:ascii="宋体" w:hAnsi="宋体" w:hint="eastAsia"/>
        </w:rPr>
        <w:t xml:space="preserve"> </w:t>
      </w:r>
    </w:p>
    <w:p w:rsidR="00723B5C" w:rsidRDefault="00723B5C">
      <w:pPr>
        <w:pStyle w:val="XBRLTitle2"/>
        <w:spacing w:before="156" w:line="360" w:lineRule="auto"/>
        <w:ind w:left="454"/>
      </w:pPr>
      <w:bookmarkStart w:id="258" w:name="_Toc514088264"/>
      <w:bookmarkStart w:id="259" w:name="_Toc480465436"/>
      <w:bookmarkStart w:id="260" w:name="_Toc448480302"/>
      <w:bookmarkStart w:id="261" w:name="_Toc438654090"/>
      <w:bookmarkStart w:id="262" w:name="_Toc456107135"/>
      <w:bookmarkStart w:id="263" w:name="_Toc459213781"/>
      <w:bookmarkStart w:id="264" w:name="_Toc513542665"/>
      <w:bookmarkStart w:id="265" w:name="_Toc512696267"/>
      <w:bookmarkStart w:id="266" w:name="_Toc512612270"/>
      <w:bookmarkStart w:id="267" w:name="_Toc512612094"/>
      <w:bookmarkStart w:id="268" w:name="_Toc512611298"/>
      <w:bookmarkStart w:id="269" w:name="m505"/>
      <w:r>
        <w:rPr>
          <w:rFonts w:eastAsia="宋体" w:hint="eastAsia"/>
        </w:rPr>
        <w:t>报告期末按债券信用等级分类的债券投资组</w:t>
      </w:r>
      <w:r>
        <w:rPr>
          <w:rFonts w:eastAsia="宋体" w:hint="eastAsia"/>
        </w:rPr>
        <w:t>合</w:t>
      </w:r>
      <w:bookmarkEnd w:id="258"/>
      <w:bookmarkEnd w:id="259"/>
      <w:bookmarkEnd w:id="260"/>
      <w:bookmarkEnd w:id="261"/>
      <w:bookmarkEnd w:id="262"/>
      <w:bookmarkEnd w:id="263"/>
      <w:r>
        <w:rPr>
          <w:rFonts w:hint="eastAsia"/>
        </w:rPr>
        <w:t xml:space="preserve"> </w:t>
      </w:r>
      <w:bookmarkEnd w:id="264"/>
      <w:bookmarkEnd w:id="265"/>
      <w:bookmarkEnd w:id="266"/>
      <w:bookmarkEnd w:id="267"/>
      <w:bookmarkEnd w:id="268"/>
    </w:p>
    <w:tbl>
      <w:tblPr>
        <w:tblW w:w="5000" w:type="pct"/>
        <w:tblCellMar>
          <w:left w:w="30" w:type="dxa"/>
          <w:right w:w="30" w:type="dxa"/>
        </w:tblCellMar>
        <w:tblLook w:val="04A0" w:firstRow="1" w:lastRow="0" w:firstColumn="1" w:lastColumn="0" w:noHBand="0" w:noVBand="1"/>
      </w:tblPr>
      <w:tblGrid>
        <w:gridCol w:w="3011"/>
        <w:gridCol w:w="3066"/>
        <w:gridCol w:w="2758"/>
      </w:tblGrid>
      <w:tr w:rsidR="00000000">
        <w:trPr>
          <w:divId w:val="365571345"/>
          <w:trHeight w:val="315"/>
        </w:trPr>
        <w:tc>
          <w:tcPr>
            <w:tcW w:w="1704"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723B5C" w:rsidRDefault="00723B5C">
            <w:pPr>
              <w:jc w:val="center"/>
              <w:rPr>
                <w:rFonts w:hint="eastAsia"/>
              </w:rPr>
            </w:pPr>
            <w:r>
              <w:rPr>
                <w:rFonts w:ascii="宋体" w:hAnsi="宋体" w:hint="eastAsia"/>
                <w:szCs w:val="21"/>
              </w:rPr>
              <w:t>债券信用等级</w:t>
            </w:r>
            <w:r>
              <w:rPr>
                <w:rFonts w:ascii="宋体" w:hint="eastAsia"/>
                <w:szCs w:val="21"/>
                <w:lang w:eastAsia="zh-Hans"/>
              </w:rPr>
              <w:t xml:space="preserve"> </w:t>
            </w:r>
          </w:p>
        </w:tc>
        <w:tc>
          <w:tcPr>
            <w:tcW w:w="1735"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723B5C" w:rsidRDefault="00723B5C">
            <w:pPr>
              <w:jc w:val="center"/>
            </w:pPr>
            <w:r>
              <w:rPr>
                <w:rFonts w:ascii="宋体" w:hAnsi="宋体" w:hint="eastAsia"/>
                <w:szCs w:val="21"/>
              </w:rPr>
              <w:t>公允价值（人民币元）</w:t>
            </w:r>
            <w:r>
              <w:rPr>
                <w:rFonts w:ascii="宋体" w:hint="eastAsia"/>
                <w:szCs w:val="21"/>
                <w:lang w:eastAsia="zh-Hans"/>
              </w:rPr>
              <w:t xml:space="preserve"> </w:t>
            </w:r>
          </w:p>
        </w:tc>
        <w:tc>
          <w:tcPr>
            <w:tcW w:w="1561" w:type="pct"/>
            <w:tcBorders>
              <w:top w:val="single" w:sz="4" w:space="0" w:color="auto"/>
              <w:left w:val="nil"/>
              <w:bottom w:val="single" w:sz="4" w:space="0" w:color="auto"/>
              <w:right w:val="single" w:sz="4" w:space="0" w:color="auto"/>
            </w:tcBorders>
            <w:shd w:val="clear" w:color="auto" w:fill="D9D9D9"/>
            <w:tcMar>
              <w:top w:w="0" w:type="dxa"/>
              <w:left w:w="0" w:type="dxa"/>
              <w:bottom w:w="0" w:type="dxa"/>
              <w:right w:w="0" w:type="dxa"/>
            </w:tcMar>
            <w:vAlign w:val="center"/>
            <w:hideMark/>
          </w:tcPr>
          <w:p w:rsidR="00723B5C" w:rsidRDefault="00723B5C">
            <w:pPr>
              <w:jc w:val="center"/>
            </w:pPr>
            <w:r>
              <w:rPr>
                <w:rFonts w:ascii="宋体" w:hAnsi="宋体" w:hint="eastAsia"/>
                <w:szCs w:val="21"/>
              </w:rPr>
              <w:t>占基金资产净值比例（</w:t>
            </w:r>
            <w:r>
              <w:rPr>
                <w:rFonts w:ascii="宋体" w:hAnsi="宋体" w:hint="eastAsia"/>
                <w:szCs w:val="21"/>
              </w:rPr>
              <w:t>%</w:t>
            </w:r>
            <w:r>
              <w:rPr>
                <w:rFonts w:ascii="宋体" w:hAnsi="宋体" w:hint="eastAsia"/>
                <w:szCs w:val="21"/>
              </w:rPr>
              <w:t>）</w:t>
            </w:r>
            <w:r>
              <w:rPr>
                <w:rFonts w:ascii="宋体" w:hint="eastAsia"/>
                <w:szCs w:val="21"/>
                <w:lang w:eastAsia="zh-Hans"/>
              </w:rPr>
              <w:t xml:space="preserve"> </w:t>
            </w:r>
          </w:p>
        </w:tc>
      </w:tr>
      <w:tr w:rsidR="00000000">
        <w:trPr>
          <w:divId w:val="365571345"/>
          <w:trHeight w:val="315"/>
        </w:trPr>
        <w:tc>
          <w:tcPr>
            <w:tcW w:w="1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ind w:leftChars="50" w:left="105"/>
            </w:pPr>
            <w:r>
              <w:rPr>
                <w:rFonts w:ascii="宋体" w:hAnsi="宋体" w:hint="eastAsia"/>
                <w:szCs w:val="21"/>
                <w:lang w:eastAsia="zh-Hans"/>
              </w:rPr>
              <w:t>AA</w:t>
            </w:r>
            <w:r>
              <w:rPr>
                <w:rFonts w:ascii="宋体" w:hAnsi="宋体" w:hint="eastAsia"/>
                <w:szCs w:val="21"/>
                <w:lang w:eastAsia="zh-Hans"/>
              </w:rPr>
              <w:t>A</w:t>
            </w:r>
            <w:r>
              <w:rPr>
                <w:rFonts w:ascii="宋体" w:hint="eastAsia"/>
                <w:szCs w:val="21"/>
                <w:lang w:eastAsia="zh-Hans"/>
              </w:rPr>
              <w:t xml:space="preserve"> </w:t>
            </w:r>
          </w:p>
        </w:tc>
        <w:tc>
          <w:tcPr>
            <w:tcW w:w="1735"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c>
          <w:tcPr>
            <w:tcW w:w="156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r>
      <w:tr w:rsidR="00000000">
        <w:trPr>
          <w:divId w:val="365571345"/>
          <w:trHeight w:val="315"/>
        </w:trPr>
        <w:tc>
          <w:tcPr>
            <w:tcW w:w="1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ind w:leftChars="50" w:left="105"/>
            </w:pPr>
            <w:r>
              <w:rPr>
                <w:rFonts w:ascii="宋体" w:hAnsi="宋体" w:hint="eastAsia"/>
                <w:szCs w:val="21"/>
                <w:lang w:eastAsia="zh-Hans"/>
              </w:rPr>
              <w:t>AA-</w:t>
            </w:r>
            <w:r>
              <w:rPr>
                <w:rFonts w:ascii="宋体" w:hAnsi="宋体" w:hint="eastAsia"/>
                <w:szCs w:val="21"/>
                <w:lang w:eastAsia="zh-Hans"/>
              </w:rPr>
              <w:t>至</w:t>
            </w:r>
            <w:r>
              <w:rPr>
                <w:rFonts w:ascii="宋体" w:hAnsi="宋体" w:hint="eastAsia"/>
                <w:szCs w:val="21"/>
                <w:lang w:eastAsia="zh-Hans"/>
              </w:rPr>
              <w:t>AA</w:t>
            </w:r>
            <w:r>
              <w:rPr>
                <w:rFonts w:ascii="宋体" w:hAnsi="宋体" w:hint="eastAsia"/>
                <w:szCs w:val="21"/>
                <w:lang w:eastAsia="zh-Hans"/>
              </w:rPr>
              <w:t>+</w:t>
            </w:r>
            <w:r>
              <w:rPr>
                <w:rFonts w:ascii="宋体" w:hint="eastAsia"/>
                <w:szCs w:val="21"/>
                <w:lang w:eastAsia="zh-Hans"/>
              </w:rPr>
              <w:t xml:space="preserve"> </w:t>
            </w:r>
          </w:p>
        </w:tc>
        <w:tc>
          <w:tcPr>
            <w:tcW w:w="1735"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c>
          <w:tcPr>
            <w:tcW w:w="156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r>
      <w:tr w:rsidR="00000000">
        <w:trPr>
          <w:divId w:val="365571345"/>
          <w:trHeight w:val="315"/>
        </w:trPr>
        <w:tc>
          <w:tcPr>
            <w:tcW w:w="1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ind w:leftChars="50" w:left="105"/>
            </w:pPr>
            <w:r>
              <w:rPr>
                <w:rFonts w:ascii="宋体" w:hAnsi="宋体" w:hint="eastAsia"/>
                <w:szCs w:val="21"/>
                <w:lang w:eastAsia="zh-Hans"/>
              </w:rPr>
              <w:t>A-</w:t>
            </w:r>
            <w:r>
              <w:rPr>
                <w:rFonts w:ascii="宋体" w:hAnsi="宋体" w:hint="eastAsia"/>
                <w:szCs w:val="21"/>
                <w:lang w:eastAsia="zh-Hans"/>
              </w:rPr>
              <w:t>至</w:t>
            </w:r>
            <w:r>
              <w:rPr>
                <w:rFonts w:ascii="宋体" w:hAnsi="宋体" w:hint="eastAsia"/>
                <w:szCs w:val="21"/>
                <w:lang w:eastAsia="zh-Hans"/>
              </w:rPr>
              <w:t>A</w:t>
            </w:r>
            <w:r>
              <w:rPr>
                <w:rFonts w:ascii="宋体" w:hAnsi="宋体" w:hint="eastAsia"/>
                <w:szCs w:val="21"/>
                <w:lang w:eastAsia="zh-Hans"/>
              </w:rPr>
              <w:t>+</w:t>
            </w:r>
            <w:r>
              <w:rPr>
                <w:rFonts w:ascii="宋体" w:hint="eastAsia"/>
                <w:szCs w:val="21"/>
                <w:lang w:eastAsia="zh-Hans"/>
              </w:rPr>
              <w:t xml:space="preserve"> </w:t>
            </w:r>
          </w:p>
        </w:tc>
        <w:tc>
          <w:tcPr>
            <w:tcW w:w="1735"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72,567,346.2</w:t>
            </w:r>
            <w:r>
              <w:rPr>
                <w:rFonts w:ascii="宋体" w:hAnsi="宋体" w:hint="eastAsia"/>
                <w:kern w:val="0"/>
                <w:szCs w:val="21"/>
                <w:lang w:eastAsia="zh-Hans"/>
              </w:rPr>
              <w:t>7</w:t>
            </w:r>
            <w:r>
              <w:rPr>
                <w:rFonts w:ascii="宋体" w:hint="eastAsia"/>
                <w:szCs w:val="21"/>
                <w:lang w:eastAsia="zh-Hans"/>
              </w:rPr>
              <w:t xml:space="preserve"> </w:t>
            </w:r>
          </w:p>
        </w:tc>
        <w:tc>
          <w:tcPr>
            <w:tcW w:w="156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5.2</w:t>
            </w:r>
            <w:r>
              <w:rPr>
                <w:rFonts w:ascii="宋体" w:hAnsi="宋体" w:hint="eastAsia"/>
                <w:kern w:val="0"/>
                <w:szCs w:val="21"/>
                <w:lang w:eastAsia="zh-Hans"/>
              </w:rPr>
              <w:t>9</w:t>
            </w:r>
            <w:r>
              <w:rPr>
                <w:rFonts w:ascii="宋体" w:hint="eastAsia"/>
                <w:szCs w:val="21"/>
                <w:lang w:eastAsia="zh-Hans"/>
              </w:rPr>
              <w:t xml:space="preserve"> </w:t>
            </w:r>
          </w:p>
        </w:tc>
      </w:tr>
      <w:tr w:rsidR="00000000">
        <w:trPr>
          <w:divId w:val="365571345"/>
          <w:trHeight w:val="315"/>
        </w:trPr>
        <w:tc>
          <w:tcPr>
            <w:tcW w:w="1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ind w:leftChars="50" w:left="105"/>
            </w:pPr>
            <w:r>
              <w:rPr>
                <w:rFonts w:ascii="宋体" w:hAnsi="宋体" w:hint="eastAsia"/>
                <w:szCs w:val="21"/>
                <w:lang w:eastAsia="zh-Hans"/>
              </w:rPr>
              <w:t>BBB-</w:t>
            </w:r>
            <w:r>
              <w:rPr>
                <w:rFonts w:ascii="宋体" w:hAnsi="宋体" w:hint="eastAsia"/>
                <w:szCs w:val="21"/>
                <w:lang w:eastAsia="zh-Hans"/>
              </w:rPr>
              <w:t>至</w:t>
            </w:r>
            <w:r>
              <w:rPr>
                <w:rFonts w:ascii="宋体" w:hAnsi="宋体" w:hint="eastAsia"/>
                <w:szCs w:val="21"/>
                <w:lang w:eastAsia="zh-Hans"/>
              </w:rPr>
              <w:t>BBB</w:t>
            </w:r>
            <w:r>
              <w:rPr>
                <w:rFonts w:ascii="宋体" w:hAnsi="宋体" w:hint="eastAsia"/>
                <w:szCs w:val="21"/>
                <w:lang w:eastAsia="zh-Hans"/>
              </w:rPr>
              <w:t>+</w:t>
            </w:r>
            <w:r>
              <w:rPr>
                <w:rFonts w:ascii="宋体" w:hint="eastAsia"/>
                <w:szCs w:val="21"/>
                <w:lang w:eastAsia="zh-Hans"/>
              </w:rPr>
              <w:t xml:space="preserve"> </w:t>
            </w:r>
          </w:p>
        </w:tc>
        <w:tc>
          <w:tcPr>
            <w:tcW w:w="1735"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c>
          <w:tcPr>
            <w:tcW w:w="156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r>
      <w:tr w:rsidR="00000000">
        <w:trPr>
          <w:divId w:val="365571345"/>
          <w:trHeight w:val="315"/>
        </w:trPr>
        <w:tc>
          <w:tcPr>
            <w:tcW w:w="1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ind w:leftChars="50" w:left="105"/>
            </w:pPr>
            <w:r>
              <w:rPr>
                <w:rFonts w:ascii="宋体" w:hAnsi="宋体" w:hint="eastAsia"/>
                <w:szCs w:val="21"/>
                <w:lang w:eastAsia="zh-Hans"/>
              </w:rPr>
              <w:t>BB-</w:t>
            </w:r>
            <w:r>
              <w:rPr>
                <w:rFonts w:ascii="宋体" w:hAnsi="宋体" w:hint="eastAsia"/>
                <w:szCs w:val="21"/>
                <w:lang w:eastAsia="zh-Hans"/>
              </w:rPr>
              <w:t>至</w:t>
            </w:r>
            <w:r>
              <w:rPr>
                <w:rFonts w:ascii="宋体" w:hAnsi="宋体" w:hint="eastAsia"/>
                <w:szCs w:val="21"/>
                <w:lang w:eastAsia="zh-Hans"/>
              </w:rPr>
              <w:t>BB</w:t>
            </w:r>
            <w:r>
              <w:rPr>
                <w:rFonts w:ascii="宋体" w:hAnsi="宋体" w:hint="eastAsia"/>
                <w:szCs w:val="21"/>
                <w:lang w:eastAsia="zh-Hans"/>
              </w:rPr>
              <w:t>+</w:t>
            </w:r>
            <w:r>
              <w:rPr>
                <w:rFonts w:ascii="宋体" w:hint="eastAsia"/>
                <w:szCs w:val="21"/>
                <w:lang w:eastAsia="zh-Hans"/>
              </w:rPr>
              <w:t xml:space="preserve"> </w:t>
            </w:r>
          </w:p>
        </w:tc>
        <w:tc>
          <w:tcPr>
            <w:tcW w:w="1735"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c>
          <w:tcPr>
            <w:tcW w:w="1561" w:type="pct"/>
            <w:tcBorders>
              <w:top w:val="single" w:sz="4" w:space="0" w:color="auto"/>
              <w:left w:val="nil"/>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kern w:val="0"/>
                <w:szCs w:val="21"/>
                <w:lang w:eastAsia="zh-Hans"/>
              </w:rPr>
              <w:t>-</w:t>
            </w:r>
            <w:r>
              <w:rPr>
                <w:rFonts w:ascii="宋体" w:hint="eastAsia"/>
                <w:szCs w:val="21"/>
                <w:lang w:eastAsia="zh-Hans"/>
              </w:rPr>
              <w:t xml:space="preserve"> </w:t>
            </w:r>
          </w:p>
        </w:tc>
      </w:tr>
    </w:tbl>
    <w:p w:rsidR="00723B5C" w:rsidRDefault="00723B5C">
      <w:pPr>
        <w:spacing w:line="360" w:lineRule="auto"/>
        <w:jc w:val="left"/>
      </w:pPr>
      <w:r>
        <w:rPr>
          <w:rFonts w:ascii="宋体" w:hAnsi="宋体" w:hint="eastAsia"/>
          <w:szCs w:val="21"/>
        </w:rPr>
        <w:t>注</w:t>
      </w:r>
      <w:r>
        <w:rPr>
          <w:rFonts w:ascii="宋体" w:hAnsi="宋体" w:hint="eastAsia"/>
          <w:szCs w:val="21"/>
        </w:rPr>
        <w:t>：</w:t>
      </w:r>
      <w:r>
        <w:rPr>
          <w:rFonts w:ascii="宋体" w:hAnsi="宋体" w:hint="eastAsia"/>
        </w:rPr>
        <w:t>本基金债券投资组合主要采用标准普尔、惠誉、穆迪等国际权威评级机构提供的债券发行人长期信用评级信息</w:t>
      </w:r>
      <w:r>
        <w:rPr>
          <w:rFonts w:ascii="宋体" w:hAnsi="宋体" w:hint="eastAsia"/>
        </w:rPr>
        <w:t>。</w:t>
      </w:r>
    </w:p>
    <w:p w:rsidR="00723B5C" w:rsidRDefault="00723B5C">
      <w:pPr>
        <w:pStyle w:val="XBRLTitle2"/>
        <w:spacing w:before="156" w:line="360" w:lineRule="auto"/>
        <w:ind w:left="454"/>
      </w:pPr>
      <w:bookmarkStart w:id="270" w:name="_Toc514088265"/>
      <w:bookmarkStart w:id="271" w:name="_Toc480465437"/>
      <w:bookmarkStart w:id="272" w:name="_Toc448480303"/>
      <w:bookmarkStart w:id="273" w:name="_Toc438654091"/>
      <w:bookmarkStart w:id="274" w:name="_Toc456107136"/>
      <w:bookmarkStart w:id="275" w:name="_Toc459213782"/>
      <w:bookmarkStart w:id="276" w:name="_Toc513542666"/>
      <w:bookmarkStart w:id="277" w:name="_Toc512696268"/>
      <w:bookmarkStart w:id="278" w:name="_Toc512612271"/>
      <w:bookmarkStart w:id="279" w:name="_Toc512612095"/>
      <w:bookmarkStart w:id="280" w:name="_Toc512611299"/>
      <w:bookmarkStart w:id="281" w:name="m506"/>
      <w:bookmarkEnd w:id="269"/>
      <w:r>
        <w:rPr>
          <w:rFonts w:eastAsia="宋体" w:hint="eastAsia"/>
        </w:rPr>
        <w:t>报告期末按公允价值占基金资产净值比例大小排名</w:t>
      </w:r>
      <w:r>
        <w:rPr>
          <w:rFonts w:eastAsia="宋体" w:hint="eastAsia"/>
        </w:rPr>
        <w:t>的</w:t>
      </w:r>
      <w:r>
        <w:rPr>
          <w:rFonts w:eastAsia="宋体" w:hint="eastAsia"/>
        </w:rPr>
        <w:t>前五</w:t>
      </w:r>
      <w:r>
        <w:rPr>
          <w:rFonts w:eastAsia="宋体" w:hint="eastAsia"/>
        </w:rPr>
        <w:t>名</w:t>
      </w:r>
      <w:r>
        <w:rPr>
          <w:rFonts w:eastAsia="宋体" w:hint="eastAsia"/>
        </w:rPr>
        <w:t>债券投资明</w:t>
      </w:r>
      <w:r>
        <w:rPr>
          <w:rFonts w:eastAsia="宋体" w:hint="eastAsia"/>
        </w:rPr>
        <w:t>细</w:t>
      </w:r>
      <w:bookmarkEnd w:id="270"/>
      <w:bookmarkEnd w:id="271"/>
      <w:bookmarkEnd w:id="272"/>
      <w:bookmarkEnd w:id="273"/>
      <w:bookmarkEnd w:id="274"/>
      <w:bookmarkEnd w:id="275"/>
      <w:r>
        <w:rPr>
          <w:rFonts w:hint="eastAsia"/>
        </w:rPr>
        <w:t xml:space="preserve"> </w:t>
      </w:r>
      <w:bookmarkEnd w:id="276"/>
      <w:bookmarkEnd w:id="277"/>
      <w:bookmarkEnd w:id="278"/>
      <w:bookmarkEnd w:id="279"/>
      <w:bookmarkEnd w:id="2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218980890"/>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债券代码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债券名称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数</w:t>
            </w:r>
            <w:r>
              <w:rPr>
                <w:rFonts w:ascii="宋体" w:hAnsi="宋体" w:hint="eastAsia"/>
                <w:color w:val="000000"/>
              </w:rPr>
              <w:t>量</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公允价值（人民币元</w:t>
            </w:r>
            <w:r>
              <w:rPr>
                <w:rFonts w:ascii="宋体" w:hAnsi="宋体" w:hint="eastAsia"/>
                <w:color w:val="000000"/>
              </w:rPr>
              <w:t>）</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218980890"/>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01982</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szCs w:val="24"/>
                <w:lang w:eastAsia="zh-Hans"/>
              </w:rPr>
              <w:t>26</w:t>
            </w:r>
            <w:r>
              <w:rPr>
                <w:rFonts w:ascii="宋体" w:hAnsi="宋体" w:hint="eastAsia"/>
                <w:szCs w:val="24"/>
                <w:lang w:eastAsia="zh-Hans"/>
              </w:rPr>
              <w:t>国债</w:t>
            </w:r>
            <w:r>
              <w:rPr>
                <w:rFonts w:ascii="宋体" w:hAnsi="宋体" w:hint="eastAsia"/>
                <w:szCs w:val="24"/>
                <w:lang w:eastAsia="zh-Hans"/>
              </w:rPr>
              <w:t>0</w:t>
            </w:r>
            <w:r>
              <w:rPr>
                <w:rFonts w:ascii="宋体" w:hAnsi="宋体" w:hint="eastAsia"/>
                <w:szCs w:val="24"/>
                <w:lang w:eastAsia="zh-Hans"/>
              </w:rPr>
              <w:t>1</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szCs w:val="24"/>
                <w:lang w:eastAsia="zh-Hans"/>
              </w:rPr>
              <w:t>721,00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szCs w:val="24"/>
                <w:lang w:eastAsia="zh-Hans"/>
              </w:rPr>
              <w:t>72,567,346.2</w:t>
            </w:r>
            <w:r>
              <w:rPr>
                <w:rFonts w:ascii="宋体" w:hAnsi="宋体" w:hint="eastAsia"/>
                <w:szCs w:val="24"/>
                <w:lang w:eastAsia="zh-Hans"/>
              </w:rPr>
              <w:t>7</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szCs w:val="24"/>
                <w:lang w:eastAsia="zh-Hans"/>
              </w:rPr>
              <w:t>5.2</w:t>
            </w:r>
            <w:r>
              <w:rPr>
                <w:rFonts w:ascii="宋体" w:hAnsi="宋体" w:hint="eastAsia"/>
                <w:szCs w:val="24"/>
                <w:lang w:eastAsia="zh-Hans"/>
              </w:rPr>
              <w:t>9</w:t>
            </w:r>
          </w:p>
        </w:tc>
      </w:tr>
    </w:tbl>
    <w:p w:rsidR="00723B5C" w:rsidRDefault="00723B5C">
      <w:pPr>
        <w:pStyle w:val="XBRLTitle2"/>
        <w:spacing w:before="156" w:line="360" w:lineRule="auto"/>
        <w:ind w:left="454"/>
      </w:pPr>
      <w:bookmarkStart w:id="282" w:name="_Toc514088266"/>
      <w:bookmarkStart w:id="283" w:name="_Toc480465438"/>
      <w:bookmarkStart w:id="284" w:name="_Toc448480304"/>
      <w:bookmarkStart w:id="285" w:name="_Toc438654092"/>
      <w:bookmarkStart w:id="286" w:name="_Toc456107137"/>
      <w:bookmarkStart w:id="287" w:name="_Toc459213783"/>
      <w:bookmarkStart w:id="288" w:name="_Toc513542667"/>
      <w:bookmarkStart w:id="289" w:name="_Toc512696269"/>
      <w:bookmarkStart w:id="290" w:name="_Toc512612272"/>
      <w:bookmarkStart w:id="291" w:name="_Toc512612096"/>
      <w:bookmarkStart w:id="292" w:name="_Toc512611300"/>
      <w:bookmarkStart w:id="293" w:name="m507"/>
      <w:bookmarkEnd w:id="281"/>
      <w:r>
        <w:rPr>
          <w:rFonts w:eastAsia="宋体" w:hint="eastAsia"/>
        </w:rPr>
        <w:t>报告期末按公允价值占基金资产净值比例大小排名的前十名资产支持证券投资明</w:t>
      </w:r>
      <w:r>
        <w:rPr>
          <w:rFonts w:eastAsia="宋体" w:hint="eastAsia"/>
        </w:rPr>
        <w:t>细</w:t>
      </w:r>
      <w:bookmarkEnd w:id="282"/>
      <w:bookmarkEnd w:id="283"/>
      <w:bookmarkEnd w:id="284"/>
      <w:bookmarkEnd w:id="285"/>
      <w:bookmarkEnd w:id="286"/>
      <w:bookmarkEnd w:id="287"/>
      <w:r>
        <w:rPr>
          <w:rFonts w:hint="eastAsia"/>
        </w:rPr>
        <w:t xml:space="preserve"> </w:t>
      </w:r>
      <w:bookmarkEnd w:id="288"/>
      <w:bookmarkEnd w:id="289"/>
      <w:bookmarkEnd w:id="290"/>
      <w:bookmarkEnd w:id="291"/>
      <w:bookmarkEnd w:id="292"/>
    </w:p>
    <w:p w:rsidR="00723B5C" w:rsidRDefault="00723B5C">
      <w:pPr>
        <w:spacing w:line="360" w:lineRule="auto"/>
        <w:ind w:firstLineChars="200" w:firstLine="420"/>
        <w:jc w:val="left"/>
        <w:divId w:val="1707678023"/>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723B5C" w:rsidRDefault="00723B5C">
      <w:pPr>
        <w:pStyle w:val="XBRLTitle2"/>
        <w:spacing w:before="156" w:line="360" w:lineRule="auto"/>
        <w:ind w:left="454"/>
      </w:pPr>
      <w:bookmarkStart w:id="294" w:name="_Toc514088267"/>
      <w:bookmarkStart w:id="295" w:name="_Toc480465439"/>
      <w:bookmarkStart w:id="296" w:name="_Toc459213784"/>
      <w:bookmarkStart w:id="297" w:name="_Toc456107138"/>
      <w:bookmarkStart w:id="298" w:name="_Toc438654093"/>
      <w:bookmarkStart w:id="299" w:name="_Toc448480305"/>
      <w:bookmarkStart w:id="300" w:name="_Toc513542668"/>
      <w:bookmarkStart w:id="301" w:name="_Toc512696270"/>
      <w:bookmarkStart w:id="302" w:name="_Toc512612273"/>
      <w:bookmarkStart w:id="303" w:name="_Toc512612097"/>
      <w:bookmarkStart w:id="304" w:name="_Toc512611301"/>
      <w:bookmarkStart w:id="305" w:name="m508"/>
      <w:bookmarkEnd w:id="293"/>
      <w:r>
        <w:rPr>
          <w:rFonts w:eastAsia="宋体" w:hint="eastAsia"/>
        </w:rPr>
        <w:t>报告期末按公允价值占基金资产净值比例大小排名的前五名金融衍生品投资明</w:t>
      </w:r>
      <w:r>
        <w:rPr>
          <w:rFonts w:eastAsia="宋体" w:hint="eastAsia"/>
        </w:rPr>
        <w:t>细</w:t>
      </w:r>
      <w:bookmarkEnd w:id="294"/>
      <w:bookmarkEnd w:id="295"/>
      <w:bookmarkEnd w:id="296"/>
      <w:bookmarkEnd w:id="297"/>
      <w:bookmarkEnd w:id="298"/>
      <w:bookmarkEnd w:id="299"/>
      <w:r>
        <w:rPr>
          <w:rFonts w:hint="eastAsia"/>
        </w:rPr>
        <w:t xml:space="preserve"> </w:t>
      </w:r>
      <w:bookmarkEnd w:id="300"/>
      <w:bookmarkEnd w:id="301"/>
      <w:bookmarkEnd w:id="302"/>
      <w:bookmarkEnd w:id="303"/>
      <w:bookmarkEnd w:id="304"/>
    </w:p>
    <w:p w:rsidR="00723B5C" w:rsidRDefault="00723B5C">
      <w:pPr>
        <w:spacing w:line="360" w:lineRule="auto"/>
        <w:ind w:firstLineChars="200" w:firstLine="420"/>
        <w:divId w:val="934940835"/>
        <w:rPr>
          <w:rFonts w:hint="eastAsia"/>
        </w:rPr>
      </w:pPr>
      <w:bookmarkStart w:id="306" w:name="m08QD_09"/>
      <w:bookmarkEnd w:id="241"/>
      <w:r>
        <w:rPr>
          <w:rFonts w:ascii="宋体" w:hAnsi="宋体" w:hint="eastAsia"/>
          <w:szCs w:val="24"/>
          <w:lang w:eastAsia="zh-Hans"/>
        </w:rPr>
        <w:t>本基金本报告期末未持有金融衍生品</w:t>
      </w:r>
      <w:r>
        <w:rPr>
          <w:rFonts w:ascii="宋体" w:hAnsi="宋体" w:hint="eastAsia"/>
          <w:szCs w:val="24"/>
          <w:lang w:eastAsia="zh-Hans"/>
        </w:rPr>
        <w:t>。</w:t>
      </w:r>
      <w:r>
        <w:rPr>
          <w:rFonts w:ascii="宋体" w:hAnsi="宋体" w:hint="eastAsia"/>
          <w:lang w:eastAsia="zh-Hans"/>
        </w:rPr>
        <w:t xml:space="preserve"> </w:t>
      </w:r>
      <w:r>
        <w:rPr>
          <w:rFonts w:ascii="宋体" w:hAnsi="宋体" w:hint="eastAsia"/>
          <w:szCs w:val="24"/>
          <w:lang w:eastAsia="zh-Hans"/>
        </w:rPr>
        <w:t xml:space="preserve"> </w:t>
      </w:r>
      <w:bookmarkEnd w:id="306"/>
      <w:r>
        <w:rPr>
          <w:rFonts w:ascii="宋体" w:hAnsi="宋体" w:hint="eastAsia"/>
          <w:szCs w:val="24"/>
          <w:lang w:eastAsia="zh-Hans"/>
        </w:rPr>
        <w:t xml:space="preserve"> </w:t>
      </w:r>
    </w:p>
    <w:p w:rsidR="00723B5C" w:rsidRDefault="00723B5C">
      <w:pPr>
        <w:pStyle w:val="XBRLTitle2"/>
        <w:spacing w:before="156" w:line="360" w:lineRule="auto"/>
        <w:ind w:left="454"/>
      </w:pPr>
      <w:bookmarkStart w:id="307" w:name="_Toc514088268"/>
      <w:bookmarkStart w:id="308" w:name="_Toc480465440"/>
      <w:bookmarkStart w:id="309" w:name="_Toc459213785"/>
      <w:bookmarkStart w:id="310" w:name="_Toc456107139"/>
      <w:bookmarkStart w:id="311" w:name="_Toc438654094"/>
      <w:bookmarkStart w:id="312" w:name="_Toc448480306"/>
      <w:bookmarkStart w:id="313" w:name="_Toc513542669"/>
      <w:bookmarkStart w:id="314" w:name="_Toc512696271"/>
      <w:bookmarkStart w:id="315" w:name="_Toc512612274"/>
      <w:bookmarkStart w:id="316" w:name="_Toc512612098"/>
      <w:bookmarkStart w:id="317" w:name="_Toc512611302"/>
      <w:bookmarkStart w:id="318" w:name="m509"/>
      <w:bookmarkEnd w:id="305"/>
      <w:r>
        <w:rPr>
          <w:rFonts w:eastAsia="宋体" w:hint="eastAsia"/>
        </w:rPr>
        <w:t>报告期末按公允价值占基金资产净值比例大小排序的前十名基金投资明</w:t>
      </w:r>
      <w:r>
        <w:rPr>
          <w:rFonts w:eastAsia="宋体" w:hint="eastAsia"/>
        </w:rPr>
        <w:t>细</w:t>
      </w:r>
      <w:bookmarkEnd w:id="307"/>
      <w:bookmarkEnd w:id="308"/>
      <w:bookmarkEnd w:id="309"/>
      <w:bookmarkEnd w:id="310"/>
      <w:bookmarkEnd w:id="311"/>
      <w:bookmarkEnd w:id="312"/>
      <w:r>
        <w:rPr>
          <w:rFonts w:hint="eastAsia"/>
        </w:rPr>
        <w:t xml:space="preserve"> </w:t>
      </w:r>
      <w:bookmarkEnd w:id="313"/>
      <w:bookmarkEnd w:id="314"/>
      <w:bookmarkEnd w:id="315"/>
      <w:bookmarkEnd w:id="316"/>
      <w:bookmarkEnd w:id="317"/>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917"/>
        <w:gridCol w:w="1184"/>
        <w:gridCol w:w="873"/>
        <w:gridCol w:w="1054"/>
        <w:gridCol w:w="2001"/>
        <w:gridCol w:w="1686"/>
        <w:gridCol w:w="1120"/>
      </w:tblGrid>
      <w:tr w:rsidR="00000000">
        <w:trPr>
          <w:divId w:val="2065323511"/>
          <w:trHeight w:val="1153"/>
        </w:trPr>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bookmarkStart w:id="319" w:name="m08QD_10"/>
            <w:r>
              <w:rPr>
                <w:rFonts w:hint="eastAsia"/>
                <w:kern w:val="2"/>
                <w:sz w:val="21"/>
              </w:rPr>
              <w:t>序号</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rPr>
              <w:t>基金名称</w:t>
            </w:r>
            <w:r>
              <w:rPr>
                <w:rFonts w:hint="eastAsia"/>
                <w:kern w:val="2"/>
                <w:sz w:val="21"/>
                <w:lang w:eastAsia="zh-Hans"/>
              </w:rPr>
              <w:t xml:space="preserve"> </w:t>
            </w:r>
          </w:p>
        </w:tc>
        <w:tc>
          <w:tcPr>
            <w:tcW w:w="12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rPr>
              <w:t>基金类型</w:t>
            </w:r>
            <w:r>
              <w:rPr>
                <w:rFonts w:hint="eastAsia"/>
                <w:kern w:val="2"/>
                <w:sz w:val="21"/>
                <w:lang w:eastAsia="zh-Hans"/>
              </w:rPr>
              <w:t xml:space="preserve"> </w:t>
            </w:r>
          </w:p>
        </w:tc>
        <w:tc>
          <w:tcPr>
            <w:tcW w:w="12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rPr>
              <w:t>运作方式</w:t>
            </w:r>
            <w:r>
              <w:rPr>
                <w:rFonts w:hint="eastAsia"/>
                <w:kern w:val="2"/>
                <w:sz w:val="21"/>
                <w:lang w:eastAsia="zh-Hans"/>
              </w:rPr>
              <w:t xml:space="preserve"> </w:t>
            </w:r>
          </w:p>
        </w:tc>
        <w:tc>
          <w:tcPr>
            <w:tcW w:w="124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rPr>
              <w:t>管理人</w:t>
            </w:r>
            <w:r>
              <w:rPr>
                <w:rFonts w:hint="eastAsia"/>
                <w:kern w:val="2"/>
                <w:sz w:val="21"/>
                <w:lang w:eastAsia="zh-Hans"/>
              </w:rPr>
              <w:t xml:space="preserve"> </w:t>
            </w:r>
          </w:p>
        </w:tc>
        <w:tc>
          <w:tcPr>
            <w:tcW w:w="137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rPr>
              <w:t>公允价值（人民币元</w:t>
            </w:r>
            <w:r>
              <w:rPr>
                <w:rFonts w:hint="eastAsia"/>
                <w:kern w:val="2"/>
                <w:sz w:val="21"/>
              </w:rPr>
              <w:t>）</w:t>
            </w:r>
            <w:r>
              <w:rPr>
                <w:rFonts w:hint="eastAsia"/>
                <w:kern w:val="2"/>
                <w:sz w:val="21"/>
                <w:lang w:eastAsia="zh-Hans"/>
              </w:rPr>
              <w:t xml:space="preserve"> </w:t>
            </w:r>
          </w:p>
        </w:tc>
        <w:tc>
          <w:tcPr>
            <w:tcW w:w="13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rPr>
              <w:t>占基金资产净值比例（</w:t>
            </w:r>
            <w:r>
              <w:rPr>
                <w:rFonts w:hint="eastAsia"/>
                <w:kern w:val="2"/>
                <w:sz w:val="21"/>
              </w:rPr>
              <w:t>%</w:t>
            </w:r>
            <w:r>
              <w:rPr>
                <w:rFonts w:hint="eastAsia"/>
                <w:kern w:val="2"/>
                <w:sz w:val="21"/>
              </w:rPr>
              <w:t>）</w:t>
            </w:r>
            <w:r>
              <w:rPr>
                <w:rFonts w:hint="eastAsia"/>
                <w:kern w:val="2"/>
                <w:sz w:val="21"/>
                <w:lang w:eastAsia="zh-Hans"/>
              </w:rPr>
              <w:t xml:space="preserve"> </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1</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US SHORT DUR BD I(ACC)-US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250,806,384.3</w:t>
            </w:r>
            <w:r>
              <w:rPr>
                <w:rFonts w:hint="eastAsia"/>
                <w:kern w:val="2"/>
                <w:sz w:val="21"/>
                <w:lang w:eastAsia="zh-Hans"/>
              </w:rPr>
              <w:t>8</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18.2</w:t>
            </w:r>
            <w:r>
              <w:rPr>
                <w:rFonts w:hint="eastAsia"/>
                <w:kern w:val="2"/>
                <w:sz w:val="21"/>
                <w:lang w:eastAsia="zh-Hans"/>
              </w:rPr>
              <w:t>8</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2</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MGD RESERVES-I ACC 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250,314,166.2</w:t>
            </w:r>
            <w:r>
              <w:rPr>
                <w:rFonts w:hint="eastAsia"/>
                <w:kern w:val="2"/>
                <w:sz w:val="21"/>
                <w:lang w:eastAsia="zh-Hans"/>
              </w:rPr>
              <w:t>2</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18.2</w:t>
            </w:r>
            <w:r>
              <w:rPr>
                <w:rFonts w:hint="eastAsia"/>
                <w:kern w:val="2"/>
                <w:sz w:val="21"/>
                <w:lang w:eastAsia="zh-Hans"/>
              </w:rPr>
              <w:t>5</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3</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USD ULTSHT INC UCITS ETF L</w:t>
            </w:r>
            <w:r>
              <w:rPr>
                <w:rFonts w:hint="eastAsia"/>
                <w:kern w:val="2"/>
                <w:sz w:val="21"/>
                <w:lang w:eastAsia="zh-Hans"/>
              </w:rPr>
              <w:t>N</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ETFs(Ireland)ICA</w:t>
            </w:r>
            <w:r>
              <w:rPr>
                <w:rFonts w:hint="eastAsia"/>
                <w:kern w:val="2"/>
                <w:sz w:val="21"/>
                <w:lang w:eastAsia="zh-Hans"/>
              </w:rPr>
              <w:t>V</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246,246,635.1</w:t>
            </w:r>
            <w:r>
              <w:rPr>
                <w:rFonts w:hint="eastAsia"/>
                <w:kern w:val="2"/>
                <w:sz w:val="21"/>
                <w:lang w:eastAsia="zh-Hans"/>
              </w:rPr>
              <w:t>7</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17.9</w:t>
            </w:r>
            <w:r>
              <w:rPr>
                <w:rFonts w:hint="eastAsia"/>
                <w:kern w:val="2"/>
                <w:sz w:val="21"/>
                <w:lang w:eastAsia="zh-Hans"/>
              </w:rPr>
              <w:t>5</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4</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BETA USTRES 0-1 USD UCITS L</w:t>
            </w:r>
            <w:r>
              <w:rPr>
                <w:rFonts w:hint="eastAsia"/>
                <w:kern w:val="2"/>
                <w:sz w:val="21"/>
                <w:lang w:eastAsia="zh-Hans"/>
              </w:rPr>
              <w:t>N</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ETFs(Ireland)ICA</w:t>
            </w:r>
            <w:r>
              <w:rPr>
                <w:rFonts w:hint="eastAsia"/>
                <w:kern w:val="2"/>
                <w:sz w:val="21"/>
                <w:lang w:eastAsia="zh-Hans"/>
              </w:rPr>
              <w:t>V</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245,225,333.4</w:t>
            </w:r>
            <w:r>
              <w:rPr>
                <w:rFonts w:hint="eastAsia"/>
                <w:kern w:val="2"/>
                <w:sz w:val="21"/>
                <w:lang w:eastAsia="zh-Hans"/>
              </w:rPr>
              <w:t>9</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17.8</w:t>
            </w:r>
            <w:r>
              <w:rPr>
                <w:rFonts w:hint="eastAsia"/>
                <w:kern w:val="2"/>
                <w:sz w:val="21"/>
                <w:lang w:eastAsia="zh-Hans"/>
              </w:rPr>
              <w:t>8</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5</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GLOBL SHO DUR BND I(ACC)US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137,485,658.3</w:t>
            </w:r>
            <w:r>
              <w:rPr>
                <w:rFonts w:hint="eastAsia"/>
                <w:kern w:val="2"/>
                <w:sz w:val="21"/>
                <w:lang w:eastAsia="zh-Hans"/>
              </w:rPr>
              <w:t>3</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10.0</w:t>
            </w:r>
            <w:r>
              <w:rPr>
                <w:rFonts w:hint="eastAsia"/>
                <w:kern w:val="2"/>
                <w:sz w:val="21"/>
                <w:lang w:eastAsia="zh-Hans"/>
              </w:rPr>
              <w:t>2</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6</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INCOME FUND I (ACC) - US</w:t>
            </w:r>
            <w:r>
              <w:rPr>
                <w:rFonts w:hint="eastAsia"/>
                <w:kern w:val="2"/>
                <w:sz w:val="21"/>
                <w:lang w:eastAsia="zh-Hans"/>
              </w:rPr>
              <w:t>D</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契约型开放</w:t>
            </w:r>
            <w:r>
              <w:rPr>
                <w:rFonts w:hint="eastAsia"/>
                <w:kern w:val="2"/>
                <w:sz w:val="21"/>
                <w:lang w:eastAsia="zh-Hans"/>
              </w:rPr>
              <w:t>式</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Asset Management (Europe) S.</w:t>
            </w:r>
            <w:r>
              <w:rPr>
                <w:rFonts w:hint="eastAsia"/>
                <w:kern w:val="2"/>
                <w:sz w:val="21"/>
                <w:lang w:eastAsia="zh-Hans"/>
              </w:rPr>
              <w:t>á</w:t>
            </w:r>
            <w:r>
              <w:rPr>
                <w:rFonts w:hint="eastAsia"/>
                <w:kern w:val="2"/>
                <w:sz w:val="21"/>
                <w:lang w:eastAsia="zh-Hans"/>
              </w:rPr>
              <w:t xml:space="preserve"> r.l</w:t>
            </w:r>
            <w:r>
              <w:rPr>
                <w:rFonts w:hint="eastAsia"/>
                <w:kern w:val="2"/>
                <w:sz w:val="21"/>
                <w:lang w:eastAsia="zh-Hans"/>
              </w:rPr>
              <w:t>.</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97,154,525.7</w:t>
            </w:r>
            <w:r>
              <w:rPr>
                <w:rFonts w:hint="eastAsia"/>
                <w:kern w:val="2"/>
                <w:sz w:val="21"/>
                <w:lang w:eastAsia="zh-Hans"/>
              </w:rPr>
              <w:t>6</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7.0</w:t>
            </w:r>
            <w:r>
              <w:rPr>
                <w:rFonts w:hint="eastAsia"/>
                <w:kern w:val="2"/>
                <w:sz w:val="21"/>
                <w:lang w:eastAsia="zh-Hans"/>
              </w:rPr>
              <w:t>8</w:t>
            </w:r>
          </w:p>
        </w:tc>
      </w:tr>
      <w:tr w:rsidR="00000000">
        <w:trPr>
          <w:divId w:val="2065323511"/>
        </w:trPr>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ind w:firstLineChars="50" w:firstLine="105"/>
              <w:jc w:val="center"/>
              <w:rPr>
                <w:rFonts w:hint="eastAsia"/>
              </w:rPr>
            </w:pPr>
            <w:r>
              <w:rPr>
                <w:rFonts w:hint="eastAsia"/>
                <w:kern w:val="2"/>
                <w:sz w:val="21"/>
                <w:lang w:eastAsia="zh-Hans"/>
              </w:rPr>
              <w:t>7</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 BETA US TRE BD 0-3 USD A ET</w:t>
            </w:r>
            <w:r>
              <w:rPr>
                <w:rFonts w:hint="eastAsia"/>
                <w:kern w:val="2"/>
                <w:sz w:val="21"/>
                <w:lang w:eastAsia="zh-Hans"/>
              </w:rPr>
              <w:t>F</w:t>
            </w:r>
          </w:p>
        </w:tc>
        <w:tc>
          <w:tcPr>
            <w:tcW w:w="12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债券</w:t>
            </w:r>
            <w:r>
              <w:rPr>
                <w:rFonts w:hint="eastAsia"/>
                <w:kern w:val="2"/>
                <w:sz w:val="21"/>
                <w:lang w:eastAsia="zh-Hans"/>
              </w:rPr>
              <w:t>型</w:t>
            </w:r>
          </w:p>
        </w:tc>
        <w:tc>
          <w:tcPr>
            <w:tcW w:w="1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交易型开放式</w:t>
            </w:r>
            <w:r>
              <w:rPr>
                <w:rFonts w:hint="eastAsia"/>
                <w:kern w:val="2"/>
                <w:sz w:val="21"/>
                <w:lang w:eastAsia="zh-Hans"/>
              </w:rPr>
              <w:t>(ETF</w:t>
            </w:r>
            <w:r>
              <w:rPr>
                <w:rFonts w:hint="eastAsia"/>
                <w:kern w:val="2"/>
                <w:sz w:val="21"/>
                <w:lang w:eastAsia="zh-Hans"/>
              </w:rPr>
              <w:t>)</w:t>
            </w:r>
          </w:p>
        </w:tc>
        <w:tc>
          <w:tcPr>
            <w:tcW w:w="1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center"/>
              <w:rPr>
                <w:rFonts w:hint="eastAsia"/>
              </w:rPr>
            </w:pPr>
            <w:r>
              <w:rPr>
                <w:rFonts w:hint="eastAsia"/>
                <w:kern w:val="2"/>
                <w:sz w:val="21"/>
                <w:lang w:eastAsia="zh-Hans"/>
              </w:rPr>
              <w:t>JPMorgan ETFs(Ireland)ICA</w:t>
            </w:r>
            <w:r>
              <w:rPr>
                <w:rFonts w:hint="eastAsia"/>
                <w:kern w:val="2"/>
                <w:sz w:val="21"/>
                <w:lang w:eastAsia="zh-Hans"/>
              </w:rPr>
              <w:t>V</w:t>
            </w:r>
          </w:p>
        </w:tc>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49,046,345.2</w:t>
            </w:r>
            <w:r>
              <w:rPr>
                <w:rFonts w:hint="eastAsia"/>
                <w:kern w:val="2"/>
                <w:sz w:val="21"/>
                <w:lang w:eastAsia="zh-Hans"/>
              </w:rPr>
              <w:t>3</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723B5C" w:rsidRDefault="00723B5C">
            <w:pPr>
              <w:pStyle w:val="a5"/>
              <w:spacing w:before="0" w:beforeAutospacing="0" w:after="0" w:afterAutospacing="0"/>
              <w:jc w:val="right"/>
              <w:rPr>
                <w:rFonts w:hint="eastAsia"/>
              </w:rPr>
            </w:pPr>
            <w:r>
              <w:rPr>
                <w:rFonts w:hint="eastAsia"/>
                <w:kern w:val="2"/>
                <w:sz w:val="21"/>
                <w:lang w:eastAsia="zh-Hans"/>
              </w:rPr>
              <w:t>3.5</w:t>
            </w:r>
            <w:r>
              <w:rPr>
                <w:rFonts w:hint="eastAsia"/>
                <w:kern w:val="2"/>
                <w:sz w:val="21"/>
                <w:lang w:eastAsia="zh-Hans"/>
              </w:rPr>
              <w:t>8</w:t>
            </w:r>
            <w:bookmarkEnd w:id="206"/>
            <w:bookmarkEnd w:id="207"/>
            <w:bookmarkEnd w:id="208"/>
            <w:bookmarkEnd w:id="209"/>
            <w:bookmarkEnd w:id="319"/>
          </w:p>
        </w:tc>
      </w:tr>
    </w:tbl>
    <w:p w:rsidR="00723B5C" w:rsidRDefault="00723B5C">
      <w:pPr>
        <w:pStyle w:val="XBRLTitle2"/>
        <w:spacing w:before="156" w:line="360" w:lineRule="auto"/>
        <w:ind w:left="454"/>
        <w:rPr>
          <w:rFonts w:hint="eastAsia"/>
        </w:rPr>
      </w:pPr>
      <w:bookmarkStart w:id="320" w:name="_Toc514088269"/>
      <w:bookmarkEnd w:id="318"/>
      <w:r>
        <w:rPr>
          <w:rFonts w:eastAsia="宋体" w:hint="eastAsia"/>
        </w:rPr>
        <w:t>投资组合报告附</w:t>
      </w:r>
      <w:r>
        <w:rPr>
          <w:rFonts w:eastAsia="宋体" w:hint="eastAsia"/>
        </w:rPr>
        <w:t>注</w:t>
      </w:r>
      <w:bookmarkEnd w:id="243"/>
      <w:bookmarkEnd w:id="244"/>
      <w:bookmarkEnd w:id="245"/>
      <w:bookmarkEnd w:id="246"/>
      <w:bookmarkEnd w:id="247"/>
      <w:bookmarkEnd w:id="248"/>
      <w:bookmarkEnd w:id="249"/>
      <w:bookmarkEnd w:id="250"/>
      <w:bookmarkEnd w:id="251"/>
      <w:bookmarkEnd w:id="252"/>
      <w:bookmarkEnd w:id="320"/>
      <w:r>
        <w:rPr>
          <w:rFonts w:eastAsia="宋体" w:hint="eastAsia"/>
        </w:rPr>
        <w:t xml:space="preserve"> </w:t>
      </w:r>
    </w:p>
    <w:p w:rsidR="00723B5C" w:rsidRDefault="00723B5C">
      <w:pPr>
        <w:pStyle w:val="XBRLTitle3"/>
        <w:spacing w:before="156" w:line="360" w:lineRule="auto"/>
        <w:ind w:left="624"/>
        <w:rPr>
          <w:rFonts w:hint="eastAsia"/>
        </w:rPr>
      </w:pPr>
      <w:r>
        <w:rPr>
          <w:rFonts w:hAnsi="宋体" w:hint="eastAsia"/>
        </w:rPr>
        <w:t> </w:t>
      </w:r>
      <w:r>
        <w:rPr>
          <w:rFonts w:hAnsi="宋体" w:hint="eastAsia"/>
          <w:lang w:eastAsia="zh-CN"/>
        </w:rPr>
        <w:t xml:space="preserve"> </w:t>
      </w:r>
      <w:bookmarkStart w:id="321" w:name="_Toc514088270"/>
      <w:bookmarkEnd w:id="255"/>
      <w:bookmarkEnd w:id="256"/>
      <w:bookmarkEnd w:id="321"/>
      <w:r>
        <w:rPr>
          <w:rFonts w:hAnsi="宋体" w:hint="eastAsia"/>
        </w:rPr>
        <w:t xml:space="preserve"> </w:t>
      </w:r>
    </w:p>
    <w:p w:rsidR="00723B5C" w:rsidRDefault="00723B5C">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723B5C" w:rsidRDefault="00723B5C">
      <w:pPr>
        <w:pStyle w:val="XBRLTitle3"/>
        <w:spacing w:before="156" w:line="360" w:lineRule="auto"/>
        <w:ind w:left="624"/>
      </w:pPr>
      <w:bookmarkStart w:id="322" w:name="m510_01_1598"/>
      <w:bookmarkEnd w:id="253"/>
      <w:r>
        <w:rPr>
          <w:rFonts w:hAnsi="宋体" w:hint="eastAsia"/>
        </w:rPr>
        <w:t> </w:t>
      </w:r>
      <w:r>
        <w:rPr>
          <w:rFonts w:hAnsi="宋体" w:hint="eastAsia"/>
          <w:lang w:eastAsia="zh-CN"/>
        </w:rPr>
        <w:t xml:space="preserve"> </w:t>
      </w:r>
      <w:bookmarkStart w:id="323" w:name="_Toc514088271"/>
      <w:bookmarkStart w:id="324" w:name="_Toc513542672"/>
      <w:bookmarkStart w:id="325" w:name="_Toc480465443"/>
      <w:bookmarkEnd w:id="323"/>
      <w:bookmarkEnd w:id="324"/>
      <w:bookmarkEnd w:id="325"/>
      <w:r>
        <w:rPr>
          <w:rFonts w:hAnsi="宋体" w:hint="eastAsia"/>
        </w:rPr>
        <w:t xml:space="preserve"> </w:t>
      </w:r>
    </w:p>
    <w:p w:rsidR="00723B5C" w:rsidRDefault="00723B5C">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723B5C" w:rsidRDefault="00723B5C">
      <w:pPr>
        <w:pStyle w:val="XBRLTitle3"/>
        <w:spacing w:before="156" w:line="360" w:lineRule="auto"/>
        <w:ind w:left="624"/>
      </w:pPr>
      <w:bookmarkStart w:id="326" w:name="_Toc514088272"/>
      <w:bookmarkStart w:id="327" w:name="_Toc480465444"/>
      <w:bookmarkStart w:id="328" w:name="_Toc513542673"/>
      <w:bookmarkStart w:id="329" w:name="m510_02"/>
      <w:bookmarkEnd w:id="322"/>
      <w:r>
        <w:rPr>
          <w:rFonts w:hAnsi="宋体" w:hint="eastAsia"/>
        </w:rPr>
        <w:t>其他资产构</w:t>
      </w:r>
      <w:r>
        <w:rPr>
          <w:rFonts w:hAnsi="宋体" w:hint="eastAsia"/>
        </w:rPr>
        <w:t>成</w:t>
      </w:r>
      <w:bookmarkEnd w:id="326"/>
      <w:bookmarkEnd w:id="327"/>
      <w:r>
        <w:rPr>
          <w:rFonts w:hint="eastAsia"/>
        </w:rPr>
        <w:t xml:space="preserve"> </w:t>
      </w:r>
      <w:bookmarkEnd w:id="3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92773076"/>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23B5C" w:rsidRDefault="00723B5C">
            <w:pPr>
              <w:jc w:val="center"/>
            </w:pPr>
            <w:r>
              <w:rPr>
                <w:rFonts w:ascii="宋体" w:hAnsi="宋体" w:hint="eastAsia"/>
              </w:rPr>
              <w:t>金额（人民币元</w:t>
            </w:r>
            <w:r>
              <w:rPr>
                <w:rFonts w:ascii="宋体" w:hAnsi="宋体" w:hint="eastAsia"/>
              </w:rPr>
              <w:t>）</w:t>
            </w:r>
            <w:r>
              <w:t xml:space="preserve"> </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4,065.5</w:t>
            </w:r>
            <w:r>
              <w:rPr>
                <w:rFonts w:ascii="宋体" w:hAnsi="宋体" w:hint="eastAsia"/>
              </w:rPr>
              <w:t>9</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4,046,425.1</w:t>
            </w:r>
            <w:r>
              <w:rPr>
                <w:rFonts w:ascii="宋体" w:hAnsi="宋体" w:hint="eastAsia"/>
              </w:rPr>
              <w:t>4</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w:t>
            </w:r>
          </w:p>
        </w:tc>
      </w:tr>
      <w:tr w:rsidR="00000000">
        <w:trPr>
          <w:divId w:val="192773076"/>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4,050,490.7</w:t>
            </w:r>
            <w:r>
              <w:rPr>
                <w:rFonts w:ascii="宋体" w:hAnsi="宋体" w:hint="eastAsia"/>
              </w:rPr>
              <w:t>3</w:t>
            </w:r>
          </w:p>
        </w:tc>
      </w:tr>
    </w:tbl>
    <w:p w:rsidR="00723B5C" w:rsidRDefault="00723B5C">
      <w:pPr>
        <w:pStyle w:val="XBRLTitle3"/>
        <w:spacing w:before="156" w:line="360" w:lineRule="auto"/>
        <w:ind w:left="624"/>
      </w:pPr>
      <w:bookmarkStart w:id="330" w:name="_Toc514088273"/>
      <w:bookmarkStart w:id="331" w:name="_Toc480465445"/>
      <w:bookmarkStart w:id="332" w:name="_Toc513542674"/>
      <w:bookmarkStart w:id="333" w:name="m510_03"/>
      <w:bookmarkEnd w:id="329"/>
      <w:r>
        <w:rPr>
          <w:rFonts w:hAnsi="宋体" w:hint="eastAsia"/>
        </w:rPr>
        <w:t>报告期末持有的处于转股期的可转换债券明</w:t>
      </w:r>
      <w:r>
        <w:rPr>
          <w:rFonts w:hAnsi="宋体" w:hint="eastAsia"/>
        </w:rPr>
        <w:t>细</w:t>
      </w:r>
      <w:bookmarkEnd w:id="330"/>
      <w:bookmarkEnd w:id="331"/>
      <w:r>
        <w:rPr>
          <w:rFonts w:hint="eastAsia"/>
        </w:rPr>
        <w:t xml:space="preserve"> </w:t>
      </w:r>
      <w:bookmarkEnd w:id="332"/>
    </w:p>
    <w:p w:rsidR="00723B5C" w:rsidRDefault="00723B5C">
      <w:pPr>
        <w:spacing w:line="360" w:lineRule="auto"/>
        <w:ind w:firstLineChars="200" w:firstLine="420"/>
        <w:jc w:val="left"/>
        <w:divId w:val="566065892"/>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723B5C" w:rsidRDefault="00723B5C">
      <w:pPr>
        <w:pStyle w:val="XBRLTitle3"/>
        <w:spacing w:before="156" w:line="360" w:lineRule="auto"/>
        <w:ind w:left="624"/>
      </w:pPr>
      <w:bookmarkStart w:id="334" w:name="_Toc514088274"/>
      <w:bookmarkStart w:id="335" w:name="_Toc480465446"/>
      <w:bookmarkStart w:id="336" w:name="_Toc513542675"/>
      <w:bookmarkStart w:id="337" w:name="m510_04"/>
      <w:bookmarkEnd w:id="333"/>
      <w:r>
        <w:rPr>
          <w:rFonts w:hAnsi="宋体" w:hint="eastAsia"/>
        </w:rPr>
        <w:t>报告期末前十名股票中存在流通受限情况的说</w:t>
      </w:r>
      <w:r>
        <w:rPr>
          <w:rFonts w:hAnsi="宋体" w:hint="eastAsia"/>
        </w:rPr>
        <w:t>明</w:t>
      </w:r>
      <w:bookmarkEnd w:id="334"/>
      <w:bookmarkEnd w:id="335"/>
      <w:r>
        <w:rPr>
          <w:rFonts w:hint="eastAsia"/>
        </w:rPr>
        <w:t xml:space="preserve"> </w:t>
      </w:r>
      <w:bookmarkEnd w:id="336"/>
    </w:p>
    <w:p w:rsidR="00723B5C" w:rsidRDefault="00723B5C">
      <w:pPr>
        <w:spacing w:line="360" w:lineRule="auto"/>
        <w:ind w:firstLineChars="200" w:firstLine="420"/>
        <w:jc w:val="left"/>
        <w:rPr>
          <w:rFonts w:hint="eastAsia"/>
        </w:rPr>
      </w:pPr>
      <w:r>
        <w:rPr>
          <w:rFonts w:ascii="宋体" w:hAnsi="宋体" w:hint="eastAsia"/>
        </w:rPr>
        <w:t>本基金本报告期末前十名股票中不存在流通受限情况</w:t>
      </w:r>
      <w:r>
        <w:rPr>
          <w:rFonts w:ascii="宋体" w:hAnsi="宋体" w:hint="eastAsia"/>
        </w:rPr>
        <w:t>。</w:t>
      </w:r>
      <w:bookmarkEnd w:id="19"/>
      <w:bookmarkEnd w:id="20"/>
      <w:bookmarkEnd w:id="21"/>
      <w:bookmarkEnd w:id="22"/>
      <w:bookmarkEnd w:id="23"/>
    </w:p>
    <w:p w:rsidR="00723B5C" w:rsidRDefault="00723B5C">
      <w:pPr>
        <w:pStyle w:val="XBRLTitle3"/>
        <w:spacing w:before="156" w:line="360" w:lineRule="auto"/>
        <w:ind w:left="624"/>
      </w:pPr>
      <w:bookmarkStart w:id="338" w:name="_Toc514088275"/>
      <w:bookmarkStart w:id="339" w:name="_Toc480465447"/>
      <w:bookmarkStart w:id="340" w:name="_Toc513542676"/>
      <w:bookmarkStart w:id="341" w:name="m510_05_1678"/>
      <w:bookmarkEnd w:id="337"/>
      <w:r>
        <w:rPr>
          <w:rFonts w:hAnsi="宋体" w:hint="eastAsia"/>
        </w:rPr>
        <w:t>投资组合报告附注的其他文字描述部</w:t>
      </w:r>
      <w:r>
        <w:rPr>
          <w:rFonts w:hAnsi="宋体" w:hint="eastAsia"/>
        </w:rPr>
        <w:t>分</w:t>
      </w:r>
      <w:bookmarkEnd w:id="338"/>
      <w:bookmarkEnd w:id="339"/>
      <w:bookmarkEnd w:id="340"/>
      <w:r>
        <w:rPr>
          <w:rFonts w:hAnsi="宋体" w:hint="eastAsia"/>
        </w:rPr>
        <w:t xml:space="preserve"> </w:t>
      </w:r>
    </w:p>
    <w:p w:rsidR="00723B5C" w:rsidRDefault="00723B5C">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p>
    <w:p w:rsidR="00723B5C" w:rsidRDefault="00723B5C">
      <w:pPr>
        <w:pStyle w:val="XBRLTitle1"/>
        <w:spacing w:before="156"/>
        <w:ind w:left="425"/>
      </w:pPr>
      <w:bookmarkStart w:id="342" w:name="_Toc514088276"/>
      <w:bookmarkStart w:id="343" w:name="_Toc480465448"/>
      <w:bookmarkStart w:id="344" w:name="_Toc448480308"/>
      <w:bookmarkStart w:id="345" w:name="_Toc438654096"/>
      <w:bookmarkStart w:id="346" w:name="_Toc456107141"/>
      <w:bookmarkStart w:id="347" w:name="_Toc459213787"/>
      <w:bookmarkStart w:id="348" w:name="_Toc513542677"/>
      <w:bookmarkStart w:id="349" w:name="_Toc512696273"/>
      <w:bookmarkStart w:id="350" w:name="_Toc512612276"/>
      <w:bookmarkStart w:id="351" w:name="_Toc512612100"/>
      <w:bookmarkStart w:id="352" w:name="_Toc512611304"/>
      <w:bookmarkStart w:id="353" w:name="m601"/>
      <w:r>
        <w:rPr>
          <w:rFonts w:hint="eastAsia"/>
        </w:rPr>
        <w:t>开放式基金份额变</w:t>
      </w:r>
      <w:r>
        <w:rPr>
          <w:rFonts w:hint="eastAsia"/>
        </w:rPr>
        <w:t>动</w:t>
      </w:r>
      <w:bookmarkEnd w:id="342"/>
      <w:bookmarkEnd w:id="343"/>
      <w:bookmarkEnd w:id="344"/>
      <w:bookmarkEnd w:id="345"/>
      <w:bookmarkEnd w:id="346"/>
      <w:bookmarkEnd w:id="347"/>
      <w:bookmarkEnd w:id="348"/>
      <w:bookmarkEnd w:id="349"/>
      <w:bookmarkEnd w:id="350"/>
      <w:bookmarkEnd w:id="351"/>
      <w:bookmarkEnd w:id="352"/>
    </w:p>
    <w:p w:rsidR="00723B5C" w:rsidRDefault="00723B5C">
      <w:pPr>
        <w:wordWrap w:val="0"/>
        <w:spacing w:line="360" w:lineRule="auto"/>
        <w:jc w:val="right"/>
        <w:rPr>
          <w:rFonts w:hint="eastAsia"/>
        </w:rPr>
      </w:pPr>
      <w:bookmarkStart w:id="35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4"/>
        <w:gridCol w:w="2690"/>
        <w:gridCol w:w="2531"/>
      </w:tblGrid>
      <w:tr w:rsidR="00000000">
        <w:trPr>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723B5C" w:rsidRDefault="00723B5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bookmarkStart w:id="355" w:name="m10_01" w:colFirst="1" w:colLast="2"/>
            <w:bookmarkStart w:id="356" w:name="m601_tab"/>
            <w:bookmarkEnd w:id="354"/>
            <w:r>
              <w:rPr>
                <w:rFonts w:ascii="宋体" w:hAnsi="宋体" w:cs="Times New Roman" w:hint="eastAsia"/>
                <w:kern w:val="2"/>
                <w:sz w:val="21"/>
              </w:rPr>
              <w:t>项目</w:t>
            </w:r>
            <w:r>
              <w:rPr>
                <w:rFonts w:ascii="宋体" w:hAnsi="宋体" w:cs="Times New Roman"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ind w:right="3"/>
              <w:jc w:val="center"/>
            </w:pPr>
            <w:r>
              <w:rPr>
                <w:rFonts w:ascii="宋体" w:hAnsi="宋体" w:hint="eastAsia"/>
                <w:lang w:eastAsia="zh-Hans"/>
              </w:rPr>
              <w:t>摩根海外稳健配置混合</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23B5C" w:rsidRDefault="00723B5C">
            <w:pPr>
              <w:ind w:right="3"/>
              <w:jc w:val="center"/>
            </w:pPr>
            <w:r>
              <w:rPr>
                <w:rFonts w:ascii="宋体" w:hAnsi="宋体" w:hint="eastAsia"/>
                <w:lang w:eastAsia="zh-Hans"/>
              </w:rPr>
              <w:t>摩根海外稳健配置混合</w:t>
            </w:r>
            <w:r>
              <w:rPr>
                <w:rFonts w:ascii="宋体" w:hAnsi="宋体" w:hint="eastAsia"/>
                <w:lang w:eastAsia="zh-Hans"/>
              </w:rPr>
              <w:t>(QDII-FOF)</w:t>
            </w:r>
            <w:r>
              <w:rPr>
                <w:rFonts w:ascii="宋体" w:hAnsi="宋体" w:hint="eastAsia"/>
                <w:lang w:eastAsia="zh-Hans"/>
              </w:rPr>
              <w:t>人民币</w:t>
            </w:r>
            <w:r>
              <w:rPr>
                <w:rFonts w:ascii="宋体" w:hAnsi="宋体" w:hint="eastAsia"/>
                <w:lang w:eastAsia="zh-Hans"/>
              </w:rPr>
              <w:t>C</w:t>
            </w:r>
            <w:r>
              <w:rPr>
                <w:rFonts w:ascii="宋体" w:hAnsi="宋体" w:hint="eastAsia"/>
                <w:kern w:val="0"/>
                <w:szCs w:val="24"/>
                <w:lang w:eastAsia="zh-Hans"/>
              </w:rPr>
              <w:t xml:space="preserve"> </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初</w:t>
            </w:r>
            <w:r>
              <w:rPr>
                <w:rStyle w:val="grame"/>
                <w:rFonts w:ascii="宋体" w:hAnsi="宋体" w:cs="Times New Roman" w:hint="eastAsia"/>
                <w:kern w:val="2"/>
                <w:sz w:val="21"/>
              </w:rPr>
              <w:t>基金</w:t>
            </w:r>
            <w:r>
              <w:rPr>
                <w:rFonts w:ascii="宋体" w:hAnsi="宋体" w:cs="Times New Roman" w:hint="eastAsia"/>
                <w:kern w:val="2"/>
                <w:sz w:val="21"/>
              </w:rPr>
              <w:t>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1,334,384,966.7</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211,907,045.0</w:t>
            </w:r>
            <w:r>
              <w:rPr>
                <w:rFonts w:ascii="宋体" w:hAnsi="宋体" w:hint="eastAsia"/>
              </w:rPr>
              <w:t>8</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基金总申购份额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170,627,518.7</w:t>
            </w:r>
            <w:r>
              <w:rPr>
                <w:rFonts w:ascii="宋体" w:hAnsi="宋体" w:hint="eastAsia"/>
              </w:rPr>
              <w:t>2</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24,445,650.6</w:t>
            </w:r>
            <w:r>
              <w:rPr>
                <w:rFonts w:ascii="宋体" w:hAnsi="宋体" w:hint="eastAsia"/>
              </w:rPr>
              <w:t>6</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减</w:t>
            </w:r>
            <w:r>
              <w:rPr>
                <w:rFonts w:ascii="宋体" w:hAnsi="宋体" w:cs="Times New Roman" w:hint="eastAsia"/>
                <w:kern w:val="2"/>
                <w:sz w:val="21"/>
              </w:rPr>
              <w:t>:</w:t>
            </w: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基金总赎回份额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347,327,133.9</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101,619,413.6</w:t>
            </w:r>
            <w:r>
              <w:rPr>
                <w:rFonts w:ascii="宋体" w:hAnsi="宋体" w:hint="eastAsia"/>
              </w:rPr>
              <w:t>0</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w:t>
            </w:r>
            <w:r>
              <w:rPr>
                <w:rFonts w:ascii="宋体" w:hAnsi="宋体" w:cs="Times New Roman" w:hint="eastAsia"/>
                <w:kern w:val="2"/>
                <w:sz w:val="21"/>
              </w:rPr>
              <w:t>间</w:t>
            </w:r>
            <w:r>
              <w:rPr>
                <w:rFonts w:ascii="宋体" w:hAnsi="宋体" w:cs="Times New Roman" w:hint="eastAsia"/>
                <w:kern w:val="2"/>
                <w:sz w:val="21"/>
              </w:rPr>
              <w:t>基金拆分变动份额（份额减少以“</w:t>
            </w:r>
            <w:r>
              <w:rPr>
                <w:rFonts w:ascii="宋体" w:hAnsi="宋体" w:cs="Times New Roman" w:hint="eastAsia"/>
                <w:kern w:val="2"/>
                <w:sz w:val="21"/>
              </w:rPr>
              <w:t>-</w:t>
            </w:r>
            <w:r>
              <w:rPr>
                <w:rFonts w:ascii="宋体" w:hAnsi="宋体" w:cs="Times New Roman" w:hint="eastAsia"/>
                <w:kern w:val="2"/>
                <w:sz w:val="21"/>
              </w:rPr>
              <w:t>”填列）</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w:t>
            </w:r>
          </w:p>
        </w:tc>
      </w:tr>
      <w:tr w:rsidR="00000000">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pStyle w:val="xl33"/>
              <w:widowControl w:val="0"/>
              <w:pBdr>
                <w:left w:val="none" w:sz="0" w:space="0" w:color="auto"/>
                <w:bottom w:val="none" w:sz="0" w:space="0" w:color="auto"/>
                <w:right w:val="none" w:sz="0" w:space="0" w:color="auto"/>
              </w:pBdr>
              <w:spacing w:before="0" w:beforeAutospacing="0" w:after="0" w:afterAutospacing="0"/>
              <w:jc w:val="both"/>
              <w:rPr>
                <w:rFonts w:cs="Times New Roman"/>
              </w:rPr>
            </w:pPr>
            <w:r>
              <w:rPr>
                <w:rFonts w:ascii="宋体" w:hAnsi="宋体" w:cs="Times New Roman" w:hint="eastAsia"/>
                <w:kern w:val="2"/>
                <w:sz w:val="21"/>
              </w:rPr>
              <w:t>报告期期末基金份额总额</w:t>
            </w:r>
            <w:r>
              <w:rPr>
                <w:rFonts w:ascii="宋体" w:hAnsi="宋体" w:cs="Times New Roman"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1,157,685,351.5</w:t>
            </w:r>
            <w:r>
              <w:rPr>
                <w:rFonts w:ascii="宋体" w:hAnsi="宋体" w:hint="eastAsia"/>
              </w:rPr>
              <w:t>3</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723B5C" w:rsidRDefault="00723B5C">
            <w:pPr>
              <w:jc w:val="right"/>
            </w:pPr>
            <w:r>
              <w:rPr>
                <w:rFonts w:ascii="宋体" w:hAnsi="宋体" w:hint="eastAsia"/>
              </w:rPr>
              <w:t>134,733,282.1</w:t>
            </w:r>
            <w:r>
              <w:rPr>
                <w:rFonts w:ascii="宋体" w:hAnsi="宋体" w:hint="eastAsia"/>
              </w:rPr>
              <w:t>4</w:t>
            </w:r>
          </w:p>
        </w:tc>
      </w:tr>
    </w:tbl>
    <w:p w:rsidR="00723B5C" w:rsidRDefault="00723B5C">
      <w:pPr>
        <w:spacing w:line="360" w:lineRule="auto"/>
        <w:jc w:val="left"/>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55"/>
      <w:r>
        <w:rPr>
          <w:rFonts w:ascii="宋体" w:hAnsi="宋体" w:hint="eastAsia"/>
        </w:rPr>
        <w:t xml:space="preserve"> </w:t>
      </w:r>
    </w:p>
    <w:p w:rsidR="00723B5C" w:rsidRDefault="00723B5C">
      <w:pPr>
        <w:pStyle w:val="XBRLTitle1"/>
        <w:spacing w:before="156"/>
        <w:ind w:left="425"/>
      </w:pPr>
      <w:bookmarkStart w:id="357" w:name="_Toc514088277"/>
      <w:bookmarkStart w:id="358" w:name="_Toc480465449"/>
      <w:bookmarkStart w:id="359" w:name="_Toc448480309"/>
      <w:bookmarkStart w:id="360" w:name="_Toc438654097"/>
      <w:bookmarkStart w:id="361" w:name="_Toc456107142"/>
      <w:bookmarkStart w:id="362" w:name="_Toc459213788"/>
      <w:bookmarkStart w:id="363" w:name="_Toc513542678"/>
      <w:bookmarkStart w:id="364" w:name="_Toc512696274"/>
      <w:bookmarkStart w:id="365" w:name="_Toc512612277"/>
      <w:bookmarkStart w:id="366" w:name="_Toc512612101"/>
      <w:bookmarkStart w:id="367" w:name="_Toc512611305"/>
      <w:bookmarkStart w:id="368" w:name="m7manage01"/>
      <w:bookmarkEnd w:id="353"/>
      <w:bookmarkEnd w:id="356"/>
      <w:r>
        <w:rPr>
          <w:rFonts w:hint="eastAsia"/>
        </w:rPr>
        <w:t>基金管理人运用固有资金投资本基金交易明</w:t>
      </w:r>
      <w:r>
        <w:rPr>
          <w:rFonts w:hint="eastAsia"/>
        </w:rPr>
        <w:t>细</w:t>
      </w:r>
      <w:bookmarkEnd w:id="341"/>
      <w:bookmarkEnd w:id="357"/>
      <w:bookmarkEnd w:id="358"/>
      <w:bookmarkEnd w:id="359"/>
      <w:bookmarkEnd w:id="360"/>
      <w:bookmarkEnd w:id="361"/>
      <w:bookmarkEnd w:id="362"/>
      <w:bookmarkEnd w:id="363"/>
      <w:bookmarkEnd w:id="364"/>
      <w:bookmarkEnd w:id="365"/>
      <w:bookmarkEnd w:id="366"/>
      <w:bookmarkEnd w:id="367"/>
      <w:bookmarkEnd w:id="3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48381925"/>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723B5C" w:rsidRDefault="00723B5C">
            <w:pPr>
              <w:jc w:val="center"/>
            </w:pPr>
            <w:r>
              <w:rPr>
                <w:rFonts w:ascii="宋体" w:hAnsi="宋体" w:hint="eastAsia"/>
              </w:rPr>
              <w:t>适用费率</w:t>
            </w:r>
            <w:r>
              <w:rPr>
                <w:rFonts w:ascii="宋体" w:hAnsi="宋体" w:hint="eastAsia"/>
              </w:rPr>
              <w:t xml:space="preserve"> </w:t>
            </w:r>
          </w:p>
        </w:tc>
      </w:tr>
      <w:tr w:rsidR="00000000">
        <w:trPr>
          <w:divId w:val="4838192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2026-05-1</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-154,964.8</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-164,774.1</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w:t>
            </w:r>
            <w:r>
              <w:t xml:space="preserve"> </w:t>
            </w:r>
          </w:p>
        </w:tc>
      </w:tr>
      <w:tr w:rsidR="00000000">
        <w:trPr>
          <w:divId w:val="48381925"/>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-154,964.8</w:t>
            </w:r>
            <w:r>
              <w:rPr>
                <w:rFonts w:ascii="宋体" w:hAnsi="宋体" w:hint="eastAsia"/>
              </w:rPr>
              <w:t>2</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pPr>
              <w:jc w:val="right"/>
            </w:pPr>
            <w:r>
              <w:rPr>
                <w:rFonts w:ascii="宋体" w:hAnsi="宋体" w:hint="eastAsia"/>
              </w:rPr>
              <w:t>-164,774.1</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723B5C" w:rsidRDefault="00723B5C"/>
        </w:tc>
      </w:tr>
    </w:tbl>
    <w:p w:rsidR="00723B5C" w:rsidRDefault="00723B5C">
      <w:pPr>
        <w:spacing w:line="360" w:lineRule="auto"/>
        <w:jc w:val="left"/>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723B5C" w:rsidRDefault="00723B5C">
      <w:pPr>
        <w:pStyle w:val="XBRLTitle1"/>
        <w:spacing w:before="156"/>
        <w:ind w:left="425"/>
      </w:pPr>
      <w:bookmarkStart w:id="369" w:name="_Toc17881714"/>
      <w:bookmarkStart w:id="370" w:name="_Toc479856294"/>
      <w:bookmarkStart w:id="371" w:name="_Toc492299909"/>
      <w:bookmarkStart w:id="372" w:name="_Toc512627244"/>
      <w:bookmarkStart w:id="373" w:name="_Toc512694324"/>
      <w:bookmarkStart w:id="374" w:name="m701"/>
      <w:r>
        <w:rPr>
          <w:rFonts w:hint="eastAsia"/>
        </w:rPr>
        <w:t>影响投资者决策的其他重要信</w:t>
      </w:r>
      <w:r>
        <w:rPr>
          <w:rFonts w:hint="eastAsia"/>
        </w:rPr>
        <w:t>息</w:t>
      </w:r>
      <w:bookmarkEnd w:id="369"/>
      <w:bookmarkEnd w:id="370"/>
      <w:bookmarkEnd w:id="371"/>
      <w:bookmarkEnd w:id="372"/>
      <w:bookmarkEnd w:id="373"/>
      <w:r>
        <w:rPr>
          <w:rFonts w:hint="eastAsia"/>
          <w:lang w:eastAsia="zh-CN"/>
        </w:rPr>
        <w:t xml:space="preserve"> </w:t>
      </w:r>
    </w:p>
    <w:p w:rsidR="00723B5C" w:rsidRDefault="00723B5C">
      <w:pPr>
        <w:pStyle w:val="XBRLTitle2"/>
        <w:spacing w:before="156"/>
        <w:ind w:left="454"/>
        <w:rPr>
          <w:rFonts w:hint="eastAsia"/>
        </w:rPr>
      </w:pPr>
      <w:bookmarkStart w:id="375" w:name="_Toc17881715"/>
      <w:bookmarkStart w:id="376" w:name="_Toc492299910"/>
      <w:bookmarkStart w:id="377" w:name="_Toc512627245"/>
      <w:bookmarkStart w:id="378" w:name="_Toc512694325"/>
      <w:r>
        <w:rPr>
          <w:rFonts w:eastAsia="宋体" w:cs="宋体" w:hint="eastAsia"/>
          <w:kern w:val="0"/>
        </w:rPr>
        <w:t>报告期内单一投资者持有基金份额比例达到或超过</w:t>
      </w:r>
      <w:r>
        <w:rPr>
          <w:rFonts w:hint="eastAsia"/>
          <w:kern w:val="0"/>
        </w:rPr>
        <w:t>20%</w:t>
      </w:r>
      <w:r>
        <w:rPr>
          <w:rFonts w:eastAsia="宋体" w:cs="宋体" w:hint="eastAsia"/>
          <w:kern w:val="0"/>
        </w:rPr>
        <w:t>的情</w:t>
      </w:r>
      <w:r>
        <w:rPr>
          <w:rFonts w:eastAsia="宋体" w:cs="宋体" w:hint="eastAsia"/>
          <w:kern w:val="0"/>
        </w:rPr>
        <w:t>况</w:t>
      </w:r>
      <w:bookmarkEnd w:id="375"/>
      <w:bookmarkEnd w:id="376"/>
      <w:bookmarkEnd w:id="377"/>
      <w:bookmarkEnd w:id="378"/>
      <w:r>
        <w:rPr>
          <w:rFonts w:hint="eastAsia"/>
          <w:kern w:val="0"/>
          <w:lang w:eastAsia="zh-CN"/>
        </w:rPr>
        <w:t xml:space="preserve"> </w:t>
      </w:r>
    </w:p>
    <w:bookmarkEnd w:id="24"/>
    <w:bookmarkEnd w:id="50"/>
    <w:bookmarkEnd w:id="51"/>
    <w:p w:rsidR="00723B5C" w:rsidRDefault="00723B5C">
      <w:pPr>
        <w:spacing w:line="360" w:lineRule="auto"/>
        <w:ind w:firstLineChars="200" w:firstLine="420"/>
        <w:rPr>
          <w:rFonts w:ascii="宋体" w:hAnsi="宋体" w:hint="eastAsia"/>
          <w:szCs w:val="21"/>
          <w:lang w:eastAsia="zh-Hans"/>
        </w:rPr>
      </w:pPr>
      <w:r>
        <w:rPr>
          <w:rFonts w:ascii="宋体" w:hAnsi="宋体" w:hint="eastAsia"/>
          <w:szCs w:val="21"/>
          <w:lang w:eastAsia="zh-Hans"/>
        </w:rPr>
        <w:t>无。</w:t>
      </w:r>
    </w:p>
    <w:p w:rsidR="00723B5C" w:rsidRDefault="00723B5C">
      <w:pPr>
        <w:pStyle w:val="XBRLTitle1"/>
        <w:spacing w:before="156"/>
        <w:ind w:left="425"/>
        <w:rPr>
          <w:rFonts w:hint="eastAsia"/>
        </w:rPr>
      </w:pPr>
      <w:bookmarkStart w:id="379" w:name="_Toc514088283"/>
      <w:bookmarkStart w:id="380" w:name="_Toc466644495"/>
      <w:bookmarkStart w:id="381" w:name="_Toc480465455"/>
      <w:bookmarkStart w:id="382" w:name="_Toc513542684"/>
      <w:bookmarkStart w:id="383" w:name="_Toc512696280"/>
      <w:bookmarkStart w:id="384" w:name="_Toc512612283"/>
      <w:bookmarkStart w:id="385" w:name="_Toc512612107"/>
      <w:bookmarkStart w:id="386" w:name="_Toc512611311"/>
      <w:bookmarkEnd w:id="374"/>
      <w:r>
        <w:rPr>
          <w:rFonts w:hint="eastAsia"/>
        </w:rPr>
        <w:t>备查文件目</w:t>
      </w:r>
      <w:r>
        <w:rPr>
          <w:rFonts w:hint="eastAsia"/>
        </w:rPr>
        <w:t>录</w:t>
      </w:r>
      <w:bookmarkEnd w:id="379"/>
      <w:bookmarkEnd w:id="380"/>
      <w:bookmarkEnd w:id="381"/>
      <w:bookmarkEnd w:id="382"/>
      <w:bookmarkEnd w:id="383"/>
      <w:bookmarkEnd w:id="384"/>
      <w:bookmarkEnd w:id="385"/>
      <w:bookmarkEnd w:id="386"/>
    </w:p>
    <w:p w:rsidR="00723B5C" w:rsidRDefault="00723B5C">
      <w:pPr>
        <w:pStyle w:val="XBRLTitle2"/>
        <w:spacing w:before="156" w:line="360" w:lineRule="auto"/>
        <w:ind w:left="454"/>
        <w:rPr>
          <w:rFonts w:hint="eastAsia"/>
        </w:rPr>
      </w:pPr>
      <w:bookmarkStart w:id="387" w:name="_Toc514088284"/>
      <w:bookmarkStart w:id="388" w:name="_Toc480465456"/>
      <w:bookmarkStart w:id="389" w:name="_Toc448480313"/>
      <w:bookmarkStart w:id="390" w:name="_Toc438654101"/>
      <w:bookmarkStart w:id="391" w:name="_Toc456107145"/>
      <w:bookmarkStart w:id="392" w:name="_Toc459213792"/>
      <w:bookmarkStart w:id="393" w:name="_Toc513542685"/>
      <w:bookmarkStart w:id="394" w:name="_Toc512696281"/>
      <w:bookmarkStart w:id="395" w:name="_Toc512612284"/>
      <w:bookmarkStart w:id="396" w:name="_Toc512612108"/>
      <w:bookmarkStart w:id="397" w:name="_Toc512611312"/>
      <w:bookmarkStart w:id="398" w:name="m801_01_1733"/>
      <w:r>
        <w:rPr>
          <w:rFonts w:eastAsia="宋体" w:hint="eastAsia"/>
        </w:rPr>
        <w:t>备查文件目</w:t>
      </w:r>
      <w:r>
        <w:rPr>
          <w:rFonts w:eastAsia="宋体" w:hint="eastAsia"/>
        </w:rPr>
        <w:t>录</w:t>
      </w:r>
      <w:bookmarkEnd w:id="387"/>
      <w:bookmarkEnd w:id="388"/>
      <w:bookmarkEnd w:id="389"/>
      <w:bookmarkEnd w:id="390"/>
      <w:bookmarkEnd w:id="391"/>
      <w:bookmarkEnd w:id="392"/>
      <w:bookmarkEnd w:id="393"/>
      <w:bookmarkEnd w:id="394"/>
      <w:bookmarkEnd w:id="395"/>
      <w:bookmarkEnd w:id="396"/>
      <w:bookmarkEnd w:id="397"/>
      <w:r>
        <w:rPr>
          <w:rFonts w:eastAsia="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摩根海外稳健配置混合型证券投资基金</w:t>
      </w:r>
      <w:r>
        <w:rPr>
          <w:rFonts w:ascii="宋体" w:hAnsi="宋体" w:cs="宋体" w:hint="eastAsia"/>
          <w:color w:val="000000"/>
          <w:kern w:val="0"/>
        </w:rPr>
        <w:t>(QDII-FOF)</w:t>
      </w:r>
      <w:r>
        <w:rPr>
          <w:rFonts w:ascii="宋体" w:hAnsi="宋体" w:cs="宋体" w:hint="eastAsia"/>
          <w:color w:val="000000"/>
          <w:kern w:val="0"/>
        </w:rPr>
        <w:t>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摩根海外稳健配置混合型证券投资基金</w:t>
      </w:r>
      <w:r>
        <w:rPr>
          <w:rFonts w:ascii="宋体" w:hAnsi="宋体" w:cs="宋体" w:hint="eastAsia"/>
          <w:color w:val="000000"/>
          <w:kern w:val="0"/>
        </w:rPr>
        <w:t>(QDII-FOF)</w:t>
      </w:r>
      <w:r>
        <w:rPr>
          <w:rFonts w:ascii="宋体" w:hAnsi="宋体" w:cs="宋体" w:hint="eastAsia"/>
          <w:color w:val="000000"/>
          <w:kern w:val="0"/>
        </w:rPr>
        <w:t>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723B5C" w:rsidRDefault="00723B5C">
      <w:pPr>
        <w:pStyle w:val="XBRLTitle2"/>
        <w:spacing w:before="156" w:line="360" w:lineRule="auto"/>
        <w:ind w:left="454"/>
      </w:pPr>
      <w:bookmarkStart w:id="399" w:name="_Toc514088285"/>
      <w:bookmarkStart w:id="400" w:name="_Toc480465457"/>
      <w:bookmarkStart w:id="401" w:name="_Toc448480314"/>
      <w:bookmarkStart w:id="402" w:name="_Toc438654102"/>
      <w:bookmarkStart w:id="403" w:name="_Toc456107146"/>
      <w:bookmarkStart w:id="404" w:name="_Toc459213793"/>
      <w:bookmarkStart w:id="405" w:name="_Toc513542686"/>
      <w:bookmarkStart w:id="406" w:name="_Toc512696282"/>
      <w:bookmarkStart w:id="407" w:name="_Toc512612285"/>
      <w:bookmarkStart w:id="408" w:name="_Toc512612109"/>
      <w:bookmarkStart w:id="409" w:name="_Toc512611313"/>
      <w:bookmarkStart w:id="410" w:name="m801_01_1734"/>
      <w:bookmarkEnd w:id="398"/>
      <w:r>
        <w:rPr>
          <w:rFonts w:eastAsia="宋体" w:hint="eastAsia"/>
        </w:rPr>
        <w:t>存放地</w:t>
      </w:r>
      <w:r>
        <w:rPr>
          <w:rFonts w:eastAsia="宋体" w:hint="eastAsia"/>
        </w:rPr>
        <w:t>点</w:t>
      </w:r>
      <w:bookmarkEnd w:id="399"/>
      <w:bookmarkEnd w:id="400"/>
      <w:bookmarkEnd w:id="401"/>
      <w:bookmarkEnd w:id="402"/>
      <w:bookmarkEnd w:id="403"/>
      <w:bookmarkEnd w:id="404"/>
      <w:bookmarkEnd w:id="405"/>
      <w:bookmarkEnd w:id="406"/>
      <w:bookmarkEnd w:id="407"/>
      <w:bookmarkEnd w:id="408"/>
      <w:bookmarkEnd w:id="409"/>
      <w:r>
        <w:rPr>
          <w:rFonts w:eastAsia="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723B5C" w:rsidRDefault="00723B5C">
      <w:pPr>
        <w:pStyle w:val="XBRLTitle2"/>
        <w:spacing w:before="156" w:line="360" w:lineRule="auto"/>
        <w:ind w:left="454"/>
      </w:pPr>
      <w:bookmarkStart w:id="411" w:name="_Toc514088286"/>
      <w:bookmarkStart w:id="412" w:name="_Toc480465458"/>
      <w:bookmarkStart w:id="413" w:name="_Toc448480315"/>
      <w:bookmarkStart w:id="414" w:name="_Toc438654103"/>
      <w:bookmarkStart w:id="415" w:name="_Toc456107147"/>
      <w:bookmarkStart w:id="416" w:name="_Toc459213794"/>
      <w:bookmarkStart w:id="417" w:name="_Toc513542687"/>
      <w:bookmarkStart w:id="418" w:name="_Toc512696283"/>
      <w:bookmarkStart w:id="419" w:name="_Toc512612286"/>
      <w:bookmarkStart w:id="420" w:name="_Toc512612110"/>
      <w:bookmarkStart w:id="421" w:name="_Toc512611314"/>
      <w:bookmarkStart w:id="422" w:name="m801_01_1735"/>
      <w:bookmarkEnd w:id="410"/>
      <w:r>
        <w:rPr>
          <w:rFonts w:eastAsia="宋体" w:hint="eastAsia"/>
        </w:rPr>
        <w:t>查阅方</w:t>
      </w:r>
      <w:r>
        <w:rPr>
          <w:rFonts w:eastAsia="宋体" w:hint="eastAsia"/>
        </w:rPr>
        <w:t>式</w:t>
      </w:r>
      <w:bookmarkEnd w:id="411"/>
      <w:bookmarkEnd w:id="412"/>
      <w:bookmarkEnd w:id="413"/>
      <w:bookmarkEnd w:id="414"/>
      <w:bookmarkEnd w:id="415"/>
      <w:bookmarkEnd w:id="416"/>
      <w:bookmarkEnd w:id="417"/>
      <w:bookmarkEnd w:id="418"/>
      <w:bookmarkEnd w:id="419"/>
      <w:bookmarkEnd w:id="420"/>
      <w:bookmarkEnd w:id="421"/>
      <w:r>
        <w:rPr>
          <w:rFonts w:eastAsia="宋体" w:hint="eastAsia"/>
        </w:rPr>
        <w:t xml:space="preserve"> </w:t>
      </w:r>
    </w:p>
    <w:p w:rsidR="00723B5C" w:rsidRDefault="00723B5C">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bookmarkEnd w:id="25"/>
      <w:r>
        <w:rPr>
          <w:rFonts w:ascii="宋体" w:hAnsi="宋体" w:cs="宋体" w:hint="eastAsia"/>
          <w:color w:val="000000"/>
          <w:kern w:val="0"/>
        </w:rPr>
        <w:t xml:space="preserve"> </w:t>
      </w:r>
    </w:p>
    <w:bookmarkEnd w:id="422"/>
    <w:p w:rsidR="00723B5C" w:rsidRDefault="00723B5C">
      <w:pPr>
        <w:spacing w:line="360" w:lineRule="auto"/>
        <w:jc w:val="left"/>
        <w:rPr>
          <w:rFonts w:ascii="宋体" w:hAnsi="宋体"/>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723B5C" w:rsidRDefault="00723B5C">
      <w:pPr>
        <w:spacing w:line="360" w:lineRule="auto"/>
        <w:jc w:val="left"/>
        <w:rPr>
          <w:rFonts w:ascii="宋体" w:hAnsi="宋体" w:hint="eastAsia"/>
          <w:b/>
          <w:bCs/>
          <w:sz w:val="28"/>
          <w:szCs w:val="30"/>
        </w:rPr>
      </w:pPr>
      <w:r>
        <w:rPr>
          <w:rFonts w:ascii="宋体" w:hAnsi="宋体" w:hint="eastAsia"/>
          <w:b/>
          <w:bCs/>
          <w:sz w:val="28"/>
          <w:szCs w:val="30"/>
        </w:rPr>
        <w:t xml:space="preserve">　</w:t>
      </w:r>
      <w:r>
        <w:rPr>
          <w:rFonts w:ascii="宋体" w:hAnsi="宋体" w:hint="eastAsia"/>
          <w:b/>
          <w:bCs/>
          <w:sz w:val="28"/>
          <w:szCs w:val="30"/>
        </w:rPr>
        <w:t xml:space="preserve"> </w:t>
      </w:r>
    </w:p>
    <w:p w:rsidR="00723B5C" w:rsidRDefault="00723B5C">
      <w:pPr>
        <w:spacing w:line="360" w:lineRule="auto"/>
        <w:ind w:firstLineChars="600" w:firstLine="1446"/>
        <w:jc w:val="right"/>
        <w:rPr>
          <w:rFonts w:hint="eastAsia"/>
        </w:rPr>
      </w:pPr>
      <w:r>
        <w:rPr>
          <w:rFonts w:ascii="宋体" w:hAnsi="宋体" w:hint="eastAsia"/>
          <w:b/>
          <w:bCs/>
          <w:sz w:val="24"/>
          <w:szCs w:val="24"/>
        </w:rPr>
        <w:t>摩根基金管理（中国）有限公</w:t>
      </w:r>
      <w:r>
        <w:rPr>
          <w:rFonts w:ascii="宋体" w:hAnsi="宋体" w:hint="eastAsia"/>
          <w:b/>
          <w:bCs/>
          <w:sz w:val="24"/>
          <w:szCs w:val="24"/>
        </w:rPr>
        <w:t>司</w:t>
      </w:r>
    </w:p>
    <w:p w:rsidR="00723B5C" w:rsidRDefault="00723B5C">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p>
    <w:sectPr w:rsidR="00723B5C">
      <w:headerReference w:type="default" r:id="rId10"/>
      <w:footerReference w:type="even" r:id="rId11"/>
      <w:footerReference w:type="default" r:id="rId12"/>
      <w:headerReference w:type="first" r:id="rId13"/>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3B5C" w:rsidRDefault="00723B5C">
      <w:pPr>
        <w:rPr>
          <w:szCs w:val="21"/>
        </w:rPr>
      </w:pPr>
      <w:r>
        <w:rPr>
          <w:szCs w:val="21"/>
        </w:rPr>
        <w:separator/>
      </w:r>
      <w:r>
        <w:rPr>
          <w:szCs w:val="21"/>
        </w:rPr>
        <w:t xml:space="preserve"> </w:t>
      </w:r>
    </w:p>
  </w:endnote>
  <w:endnote w:type="continuationSeparator" w:id="0">
    <w:p w:rsidR="00723B5C" w:rsidRDefault="00723B5C">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B5C" w:rsidRDefault="00723B5C">
    <w:pPr>
      <w:pStyle w:val="aa"/>
      <w:framePr w:wrap="around" w:vAnchor="text" w:hAnchor="margin" w:xAlign="right" w:y="1"/>
      <w:rPr>
        <w:rStyle w:val="af9"/>
      </w:rPr>
    </w:pPr>
    <w:r>
      <w:fldChar w:fldCharType="begin"/>
    </w:r>
    <w:r>
      <w:rPr>
        <w:rStyle w:val="af9"/>
      </w:rPr>
      <w:instrText xml:space="preserve">PAGE  </w:instrText>
    </w:r>
    <w:r>
      <w:fldChar w:fldCharType="separate"/>
    </w:r>
    <w:r>
      <w:fldChar w:fldCharType="end"/>
    </w:r>
  </w:p>
  <w:p w:rsidR="00723B5C" w:rsidRDefault="00723B5C">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B5C" w:rsidRDefault="00723B5C">
    <w:pPr>
      <w:pStyle w:val="aa"/>
      <w:framePr w:wrap="around" w:vAnchor="text" w:hAnchor="margin" w:xAlign="right" w:y="1"/>
      <w:rPr>
        <w:rStyle w:val="af9"/>
      </w:rPr>
    </w:pPr>
    <w:r>
      <w:rPr>
        <w:rStyle w:val="af9"/>
      </w:rPr>
      <w:t xml:space="preserve">  </w:t>
    </w:r>
  </w:p>
  <w:p w:rsidR="00723B5C" w:rsidRDefault="00723B5C">
    <w:pPr>
      <w:jc w:val="center"/>
      <w:rPr>
        <w:rFonts w:ascii="宋体" w:hAnsi="宋体"/>
        <w:sz w:val="18"/>
        <w:szCs w:val="18"/>
      </w:rPr>
    </w:pPr>
    <w:r>
      <w:rPr>
        <w:rFonts w:ascii="宋体" w:hAnsi="宋体" w:hint="eastAsia"/>
        <w:sz w:val="18"/>
        <w:szCs w:val="18"/>
      </w:rPr>
      <w:t>第</w:t>
    </w:r>
    <w:r>
      <w:rPr>
        <w:rFonts w:ascii="宋体" w:hAnsi="宋体" w:hint="eastAsia"/>
        <w:sz w:val="18"/>
        <w:szCs w:val="18"/>
      </w:rPr>
      <w:t xml:space="preserve"> </w:t>
    </w:r>
    <w:r>
      <w:rPr>
        <w:rFonts w:ascii="宋体" w:hAnsi="宋体" w:hint="eastAsia"/>
        <w:sz w:val="18"/>
        <w:szCs w:val="18"/>
      </w:rPr>
      <w:fldChar w:fldCharType="begin"/>
    </w:r>
    <w:r>
      <w:rPr>
        <w:rFonts w:ascii="宋体" w:hAnsi="宋体" w:hint="eastAsia"/>
        <w:sz w:val="18"/>
        <w:szCs w:val="18"/>
      </w:rPr>
      <w:instrText xml:space="preserve"> PAGE   \* MERGEFORMAT </w:instrText>
    </w:r>
    <w:r>
      <w:rPr>
        <w:rFonts w:ascii="宋体" w:hAnsi="宋体" w:hint="eastAsia"/>
        <w:sz w:val="18"/>
        <w:szCs w:val="18"/>
      </w:rPr>
      <w:fldChar w:fldCharType="separate"/>
    </w:r>
    <w:r>
      <w:rPr>
        <w:rFonts w:ascii="宋体" w:hAnsi="宋体" w:hint="eastAsia"/>
        <w:noProof/>
        <w:sz w:val="18"/>
        <w:szCs w:val="18"/>
      </w:rPr>
      <w:t>7</w:t>
    </w:r>
    <w:r>
      <w:t xml:space="preserve"> </w:t>
    </w:r>
    <w:r>
      <w:rPr>
        <w:rFonts w:ascii="宋体" w:hAnsi="宋体" w:hint="eastAsia"/>
        <w:sz w:val="18"/>
        <w:szCs w:val="18"/>
      </w:rPr>
      <w:fldChar w:fldCharType="end"/>
    </w:r>
    <w:r>
      <w:rPr>
        <w:rFonts w:ascii="宋体" w:hAnsi="宋体" w:hint="eastAsia"/>
        <w:sz w:val="18"/>
        <w:szCs w:val="18"/>
      </w:rPr>
      <w:t>页</w:t>
    </w:r>
    <w:r>
      <w:rPr>
        <w:rFonts w:ascii="宋体" w:hAnsi="宋体" w:hint="eastAsia"/>
        <w:sz w:val="18"/>
        <w:szCs w:val="18"/>
      </w:rPr>
      <w:t xml:space="preserve"> </w:t>
    </w:r>
    <w:r>
      <w:rPr>
        <w:rFonts w:ascii="宋体" w:hAnsi="宋体" w:hint="eastAsia"/>
        <w:sz w:val="18"/>
        <w:szCs w:val="18"/>
      </w:rPr>
      <w:t>共</w:t>
    </w:r>
    <w:r>
      <w:rPr>
        <w:rFonts w:ascii="宋体" w:hAnsi="宋体" w:hint="eastAsia"/>
        <w:sz w:val="18"/>
        <w:szCs w:val="18"/>
      </w:rPr>
      <w:fldChar w:fldCharType="begin"/>
    </w:r>
    <w:r>
      <w:rPr>
        <w:rFonts w:ascii="宋体" w:hAnsi="宋体" w:hint="eastAsia"/>
        <w:sz w:val="18"/>
        <w:szCs w:val="18"/>
      </w:rPr>
      <w:instrText xml:space="preserve"> NUMPAGES   \* MERGEFORMAT </w:instrText>
    </w:r>
    <w:r>
      <w:rPr>
        <w:rFonts w:ascii="宋体" w:hAnsi="宋体" w:hint="eastAsia"/>
        <w:sz w:val="18"/>
        <w:szCs w:val="18"/>
      </w:rPr>
      <w:fldChar w:fldCharType="separate"/>
    </w:r>
    <w:r>
      <w:rPr>
        <w:rFonts w:ascii="宋体" w:hAnsi="宋体" w:hint="eastAsia"/>
        <w:noProof/>
        <w:sz w:val="18"/>
        <w:szCs w:val="18"/>
      </w:rPr>
      <w:t>7</w:t>
    </w:r>
    <w:r>
      <w:rPr>
        <w:rFonts w:ascii="宋体" w:hAnsi="宋体" w:hint="eastAsia"/>
        <w:sz w:val="18"/>
        <w:szCs w:val="18"/>
      </w:rPr>
      <w:fldChar w:fldCharType="end"/>
    </w:r>
    <w:r>
      <w:rPr>
        <w:rFonts w:ascii="宋体" w:hAnsi="宋体" w:hint="eastAsia"/>
        <w:sz w:val="18"/>
        <w:szCs w:val="18"/>
      </w:rPr>
      <w:t xml:space="preserve"> </w:t>
    </w:r>
    <w:r>
      <w:rPr>
        <w:rFonts w:ascii="宋体" w:hAnsi="宋体" w:hint="eastAsia"/>
        <w:sz w:val="18"/>
        <w:szCs w:val="18"/>
      </w:rPr>
      <w:t>页</w:t>
    </w:r>
    <w:r>
      <w:rPr>
        <w:rFonts w:ascii="宋体" w:hAnsi="宋体" w:hint="eastAsia"/>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3B5C" w:rsidRDefault="00723B5C">
      <w:pPr>
        <w:rPr>
          <w:szCs w:val="21"/>
        </w:rPr>
      </w:pPr>
      <w:r>
        <w:rPr>
          <w:szCs w:val="21"/>
        </w:rPr>
        <w:separator/>
      </w:r>
      <w:r>
        <w:rPr>
          <w:szCs w:val="21"/>
        </w:rPr>
        <w:t xml:space="preserve"> </w:t>
      </w:r>
    </w:p>
  </w:footnote>
  <w:footnote w:type="continuationSeparator" w:id="0">
    <w:p w:rsidR="00723B5C" w:rsidRDefault="00723B5C">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B5C" w:rsidRDefault="00723B5C">
    <w:pPr>
      <w:pStyle w:val="a8"/>
      <w:pBdr>
        <w:between w:val="single" w:sz="4" w:space="1" w:color="4F81BD"/>
      </w:pBdr>
      <w:spacing w:line="276" w:lineRule="auto"/>
      <w:jc w:val="right"/>
    </w:pPr>
    <w:r>
      <w:rPr>
        <w:rFonts w:ascii="宋体" w:hAnsi="宋体" w:hint="eastAsia"/>
        <w:bCs/>
      </w:rPr>
      <w:t>摩根海外稳健配置混合型证券投资基金</w:t>
    </w:r>
    <w:r>
      <w:rPr>
        <w:rFonts w:ascii="宋体" w:hAnsi="宋体" w:hint="eastAsia"/>
        <w:bCs/>
      </w:rPr>
      <w:t>(QDII-FOF)2026</w:t>
    </w:r>
    <w:r>
      <w:rPr>
        <w:rFonts w:ascii="宋体" w:hAnsi="宋体" w:hint="eastAsia"/>
        <w:bCs/>
      </w:rPr>
      <w:t>年第</w:t>
    </w:r>
    <w:r>
      <w:rPr>
        <w:rFonts w:ascii="宋体" w:hAnsi="宋体" w:hint="eastAsia"/>
        <w:bCs/>
      </w:rPr>
      <w:t>2</w:t>
    </w:r>
    <w:r>
      <w:rPr>
        <w:rFonts w:ascii="宋体" w:hAnsi="宋体" w:hint="eastAsia"/>
        <w:bCs/>
      </w:rPr>
      <w:t>季度报</w:t>
    </w:r>
    <w:r>
      <w:rPr>
        <w:rFonts w:ascii="宋体" w:hAnsi="宋体" w:hint="eastAsia"/>
        <w:bCs/>
      </w:rPr>
      <w:t>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3B5C" w:rsidRDefault="00723B5C">
    <w:pPr>
      <w:pStyle w:val="a8"/>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70D4EB84"/>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624" w:hanging="624"/>
      </w:pPr>
      <w:rPr>
        <w:rFonts w:ascii="宋体" w:eastAsia="宋体" w:hAnsi="宋体"/>
      </w:rPr>
    </w:lvl>
    <w:lvl w:ilvl="3">
      <w:start w:val="1"/>
      <w:numFmt w:val="decimal"/>
      <w:pStyle w:val="XBRLTitle4"/>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897205196">
    <w:abstractNumId w:val="0"/>
  </w:num>
  <w:num w:numId="2" w16cid:durableId="437531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72219"/>
    <w:rsid w:val="000B44AF"/>
    <w:rsid w:val="00723B5C"/>
    <w:rsid w:val="00C72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F9ABC30-0D56-43E5-A0C1-4BD47EF35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10">
    <w:name w:val="标题 1 字符"/>
    <w:basedOn w:val="a0"/>
    <w:link w:val="1"/>
    <w:uiPriority w:val="9"/>
    <w:rPr>
      <w:rFonts w:asciiTheme="majorHAnsi" w:eastAsiaTheme="majorEastAsia" w:hAnsiTheme="majorHAnsi" w:cstheme="majorBidi"/>
      <w:color w:val="365F91" w:themeColor="accent1" w:themeShade="BF"/>
      <w:kern w:val="2"/>
      <w:sz w:val="48"/>
      <w:szCs w:val="48"/>
    </w:rPr>
  </w:style>
  <w:style w:type="character" w:customStyle="1" w:styleId="20">
    <w:name w:val="标题 2 字符"/>
    <w:basedOn w:val="a0"/>
    <w:link w:val="2"/>
    <w:uiPriority w:val="9"/>
    <w:rPr>
      <w:rFonts w:asciiTheme="majorHAnsi" w:eastAsiaTheme="majorEastAsia" w:hAnsiTheme="majorHAnsi" w:cstheme="majorBidi"/>
      <w:color w:val="365F91" w:themeColor="accent1" w:themeShade="BF"/>
      <w:kern w:val="2"/>
      <w:sz w:val="40"/>
      <w:szCs w:val="40"/>
    </w:rPr>
  </w:style>
  <w:style w:type="character" w:customStyle="1" w:styleId="30">
    <w:name w:val="标题 3 字符"/>
    <w:basedOn w:val="a0"/>
    <w:link w:val="3"/>
    <w:uiPriority w:val="9"/>
    <w:rPr>
      <w:rFonts w:asciiTheme="majorHAnsi" w:eastAsiaTheme="majorEastAsia" w:hAnsiTheme="majorHAnsi" w:cstheme="majorBidi"/>
      <w:color w:val="365F91" w:themeColor="accent1" w:themeShade="BF"/>
      <w:kern w:val="2"/>
      <w:sz w:val="32"/>
      <w:szCs w:val="32"/>
    </w:rPr>
  </w:style>
  <w:style w:type="character" w:customStyle="1" w:styleId="40">
    <w:name w:val="标题 4 字符"/>
    <w:basedOn w:val="a0"/>
    <w:link w:val="4"/>
    <w:rPr>
      <w:rFonts w:asciiTheme="minorHAnsi" w:eastAsiaTheme="minorEastAsia" w:hAnsiTheme="minorHAnsi" w:cstheme="majorBidi"/>
      <w:color w:val="365F91" w:themeColor="accent1" w:themeShade="BF"/>
      <w:kern w:val="2"/>
      <w:sz w:val="28"/>
      <w:szCs w:val="28"/>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qFormat/>
    <w:pPr>
      <w:snapToGrid w:val="0"/>
      <w:jc w:val="left"/>
    </w:pPr>
    <w:rPr>
      <w:sz w:val="18"/>
      <w:szCs w:val="18"/>
    </w:rPr>
  </w:style>
  <w:style w:type="character" w:customStyle="1" w:styleId="a7">
    <w:name w:val="脚注文本 字符"/>
    <w:basedOn w:val="a0"/>
    <w:link w:val="a6"/>
    <w:rPr>
      <w:kern w:val="2"/>
      <w:sz w:val="18"/>
      <w:szCs w:val="18"/>
    </w:rPr>
  </w:style>
  <w:style w:type="paragraph" w:styleId="a8">
    <w:name w:val="header"/>
    <w:basedOn w:val="a"/>
    <w:link w:val="13"/>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Pr>
      <w:kern w:val="2"/>
      <w:sz w:val="18"/>
      <w:szCs w:val="18"/>
    </w:rPr>
  </w:style>
  <w:style w:type="paragraph" w:styleId="aa">
    <w:name w:val="footer"/>
    <w:basedOn w:val="a"/>
    <w:link w:val="14"/>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rPr>
      <w:kern w:val="2"/>
      <w:sz w:val="18"/>
      <w:szCs w:val="18"/>
    </w:rPr>
  </w:style>
  <w:style w:type="paragraph" w:styleId="ac">
    <w:name w:val="Title"/>
    <w:basedOn w:val="1"/>
    <w:next w:val="2"/>
    <w:link w:val="15"/>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rPr>
      <w:rFonts w:asciiTheme="majorHAnsi" w:eastAsiaTheme="majorEastAsia" w:hAnsiTheme="majorHAnsi" w:cstheme="majorBidi"/>
      <w:spacing w:val="-10"/>
      <w:kern w:val="28"/>
      <w:sz w:val="56"/>
      <w:szCs w:val="56"/>
    </w:rPr>
  </w:style>
  <w:style w:type="paragraph" w:styleId="ae">
    <w:name w:val="Subtitle"/>
    <w:basedOn w:val="2"/>
    <w:next w:val="3"/>
    <w:link w:val="16"/>
    <w:qFormat/>
    <w:pPr>
      <w:spacing w:before="240" w:after="60" w:line="312" w:lineRule="auto"/>
      <w:jc w:val="left"/>
    </w:pPr>
    <w:rPr>
      <w:rFonts w:cs="Times New Roman"/>
      <w:bCs w:val="0"/>
      <w:kern w:val="28"/>
      <w:sz w:val="24"/>
    </w:rPr>
  </w:style>
  <w:style w:type="character" w:customStyle="1" w:styleId="af">
    <w:name w:val="副标题 字符"/>
    <w:basedOn w:val="a0"/>
    <w:link w:val="ae"/>
    <w:rPr>
      <w:rFonts w:asciiTheme="majorHAnsi" w:eastAsiaTheme="majorEastAsia" w:hAnsiTheme="majorHAnsi" w:cstheme="majorBidi"/>
      <w:color w:val="595959" w:themeColor="text1" w:themeTint="A6"/>
      <w:spacing w:val="15"/>
      <w:kern w:val="2"/>
      <w:sz w:val="28"/>
      <w:szCs w:val="28"/>
    </w:rPr>
  </w:style>
  <w:style w:type="paragraph" w:styleId="af0">
    <w:name w:val="Date"/>
    <w:basedOn w:val="a"/>
    <w:next w:val="a"/>
    <w:link w:val="17"/>
    <w:rPr>
      <w:rFonts w:ascii="宋体" w:hAnsi="宋体"/>
      <w:sz w:val="32"/>
      <w:lang w:val="x-none" w:eastAsia="x-none"/>
    </w:rPr>
  </w:style>
  <w:style w:type="character" w:customStyle="1" w:styleId="af1">
    <w:name w:val="日期 字符"/>
    <w:basedOn w:val="a0"/>
    <w:link w:val="af0"/>
    <w:rPr>
      <w:kern w:val="2"/>
      <w:sz w:val="21"/>
    </w:rPr>
  </w:style>
  <w:style w:type="paragraph" w:styleId="af2">
    <w:name w:val="Document Map"/>
    <w:basedOn w:val="a"/>
    <w:link w:val="18"/>
    <w:pPr>
      <w:shd w:val="clear" w:color="auto" w:fill="000080"/>
    </w:pPr>
  </w:style>
  <w:style w:type="character" w:customStyle="1" w:styleId="af3">
    <w:name w:val="文档结构图 字符"/>
    <w:basedOn w:val="a0"/>
    <w:link w:val="af2"/>
    <w:rPr>
      <w:rFonts w:ascii="Microsoft YaHei UI" w:eastAsia="Microsoft YaHei UI"/>
      <w:kern w:val="2"/>
      <w:sz w:val="18"/>
      <w:szCs w:val="18"/>
    </w:rPr>
  </w:style>
  <w:style w:type="paragraph" w:styleId="af4">
    <w:name w:val="Balloon Text"/>
    <w:basedOn w:val="a"/>
    <w:link w:val="19"/>
    <w:uiPriority w:val="99"/>
    <w:semiHidden/>
    <w:unhideWhenUsed/>
    <w:rPr>
      <w:sz w:val="18"/>
      <w:szCs w:val="18"/>
    </w:rPr>
  </w:style>
  <w:style w:type="character" w:customStyle="1" w:styleId="af5">
    <w:name w:val="批注框文本 字符"/>
    <w:basedOn w:val="a0"/>
    <w:link w:val="af4"/>
    <w:uiPriority w:val="99"/>
    <w:semiHidden/>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autoRedefine/>
    <w:qFormat/>
    <w:pPr>
      <w:keepNext w:val="0"/>
      <w:keepLines w:val="0"/>
      <w:numPr>
        <w:numId w:val="2"/>
      </w:numPr>
      <w:spacing w:beforeLines="50" w:before="0" w:after="0" w:line="360" w:lineRule="auto"/>
      <w:ind w:left="850"/>
      <w:jc w:val="center"/>
    </w:pPr>
    <w:rPr>
      <w:rFonts w:ascii="宋体" w:hAnsi="宋体"/>
      <w:sz w:val="28"/>
    </w:rPr>
  </w:style>
  <w:style w:type="paragraph" w:customStyle="1" w:styleId="XBRLTitle2">
    <w:name w:val="XBRLTitle2"/>
    <w:basedOn w:val="ae"/>
    <w:next w:val="4"/>
    <w:autoRedefine/>
    <w:qFormat/>
    <w:pPr>
      <w:keepNext w:val="0"/>
      <w:keepLines w:val="0"/>
      <w:numPr>
        <w:ilvl w:val="1"/>
        <w:numId w:val="2"/>
      </w:numPr>
      <w:spacing w:beforeLines="50" w:before="0" w:after="0" w:line="240" w:lineRule="auto"/>
      <w:ind w:left="908"/>
    </w:pPr>
    <w:rPr>
      <w:rFonts w:ascii="宋体" w:eastAsia="Cambria" w:hAns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rFonts w:ascii="宋体" w:eastAsia="Cambria" w:hAns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宋体"/>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240" w:lineRule="auto"/>
      <w:ind w:left="1248"/>
      <w:outlineLvl w:val="9"/>
    </w:pPr>
    <w:rPr>
      <w:rFonts w:ascii="宋体"/>
      <w:bCs/>
    </w:rPr>
  </w:style>
  <w:style w:type="character" w:styleId="af7">
    <w:name w:val="footnote reference"/>
    <w:qFormat/>
    <w:rPr>
      <w:vertAlign w:val="superscript"/>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13">
    <w:name w:val="页眉 字符1"/>
    <w:basedOn w:val="a0"/>
    <w:link w:val="a8"/>
    <w:uiPriority w:val="99"/>
    <w:locked/>
    <w:rPr>
      <w:kern w:val="2"/>
      <w:sz w:val="18"/>
      <w:szCs w:val="18"/>
    </w:rPr>
  </w:style>
  <w:style w:type="character" w:customStyle="1" w:styleId="14">
    <w:name w:val="页脚 字符1"/>
    <w:basedOn w:val="a0"/>
    <w:link w:val="aa"/>
    <w:uiPriority w:val="99"/>
    <w:locked/>
    <w:rPr>
      <w:kern w:val="2"/>
      <w:sz w:val="18"/>
      <w:szCs w:val="18"/>
    </w:rPr>
  </w:style>
  <w:style w:type="character" w:customStyle="1" w:styleId="15">
    <w:name w:val="标题 字符1"/>
    <w:link w:val="ac"/>
    <w:uiPriority w:val="10"/>
    <w:locked/>
    <w:rPr>
      <w:rFonts w:ascii="Cambria" w:hAnsi="Cambria" w:cs="Times New Roman" w:hint="default"/>
      <w:b/>
      <w:bCs/>
      <w:sz w:val="32"/>
      <w:szCs w:val="32"/>
    </w:rPr>
  </w:style>
  <w:style w:type="character" w:customStyle="1" w:styleId="16">
    <w:name w:val="副标题 字符1"/>
    <w:link w:val="ae"/>
    <w:locked/>
    <w:rPr>
      <w:rFonts w:ascii="Cambria" w:eastAsia="宋体" w:hAnsi="Cambria" w:cs="Times New Roman" w:hint="default"/>
      <w:b/>
      <w:bCs w:val="0"/>
      <w:kern w:val="28"/>
      <w:sz w:val="24"/>
      <w:szCs w:val="32"/>
    </w:rPr>
  </w:style>
  <w:style w:type="character" w:customStyle="1" w:styleId="17">
    <w:name w:val="日期 字符1"/>
    <w:link w:val="af0"/>
    <w:locked/>
    <w:rPr>
      <w:rFonts w:ascii="宋体" w:eastAsia="宋体" w:hAnsi="宋体" w:hint="eastAsia"/>
      <w:kern w:val="2"/>
      <w:sz w:val="32"/>
    </w:rPr>
  </w:style>
  <w:style w:type="character" w:customStyle="1" w:styleId="18">
    <w:name w:val="文档结构图 字符1"/>
    <w:basedOn w:val="a0"/>
    <w:link w:val="af2"/>
    <w:locked/>
    <w:rPr>
      <w:rFonts w:ascii="宋体" w:eastAsia="宋体" w:hAnsi="宋体" w:hint="eastAsia"/>
      <w:kern w:val="2"/>
      <w:sz w:val="18"/>
      <w:szCs w:val="18"/>
    </w:rPr>
  </w:style>
  <w:style w:type="character" w:customStyle="1" w:styleId="19">
    <w:name w:val="批注框文本 字符1"/>
    <w:basedOn w:val="a0"/>
    <w:link w:val="af4"/>
    <w:uiPriority w:val="99"/>
    <w:semiHidden/>
    <w:locked/>
    <w:rPr>
      <w:kern w:val="2"/>
      <w:sz w:val="18"/>
      <w:szCs w:val="18"/>
    </w:rPr>
  </w:style>
  <w:style w:type="character" w:customStyle="1" w:styleId="Char1">
    <w:name w:val="脚注文本 Char1"/>
    <w:basedOn w:val="a0"/>
    <w:uiPriority w:val="99"/>
    <w:semiHidden/>
    <w:qFormat/>
    <w:rPr>
      <w:sz w:val="18"/>
      <w:szCs w:val="18"/>
    </w:rPr>
  </w:style>
  <w:style w:type="table" w:styleId="af8">
    <w:name w:val="Table Grid"/>
    <w:basedOn w:val="a1"/>
    <w:uiPriority w:val="59"/>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0">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styleId="af9">
    <w:name w:val="page number"/>
    <w:basedOn w:val="a0"/>
    <w:uiPriority w:val="99"/>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381925">
      <w:marLeft w:val="0"/>
      <w:marRight w:val="0"/>
      <w:marTop w:val="0"/>
      <w:marBottom w:val="0"/>
      <w:divBdr>
        <w:top w:val="none" w:sz="0" w:space="0" w:color="auto"/>
        <w:left w:val="none" w:sz="0" w:space="0" w:color="auto"/>
        <w:bottom w:val="none" w:sz="0" w:space="0" w:color="auto"/>
        <w:right w:val="none" w:sz="0" w:space="0" w:color="auto"/>
      </w:divBdr>
    </w:div>
    <w:div w:id="76439891">
      <w:marLeft w:val="0"/>
      <w:marRight w:val="0"/>
      <w:marTop w:val="0"/>
      <w:marBottom w:val="0"/>
      <w:divBdr>
        <w:top w:val="none" w:sz="0" w:space="0" w:color="auto"/>
        <w:left w:val="none" w:sz="0" w:space="0" w:color="auto"/>
        <w:bottom w:val="none" w:sz="0" w:space="0" w:color="auto"/>
        <w:right w:val="none" w:sz="0" w:space="0" w:color="auto"/>
      </w:divBdr>
      <w:divsChild>
        <w:div w:id="340133114">
          <w:marLeft w:val="0"/>
          <w:marRight w:val="0"/>
          <w:marTop w:val="0"/>
          <w:marBottom w:val="0"/>
          <w:divBdr>
            <w:top w:val="none" w:sz="0" w:space="0" w:color="auto"/>
            <w:left w:val="none" w:sz="0" w:space="0" w:color="auto"/>
            <w:bottom w:val="none" w:sz="0" w:space="0" w:color="auto"/>
            <w:right w:val="none" w:sz="0" w:space="0" w:color="auto"/>
          </w:divBdr>
          <w:divsChild>
            <w:div w:id="196650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3076">
      <w:marLeft w:val="0"/>
      <w:marRight w:val="0"/>
      <w:marTop w:val="0"/>
      <w:marBottom w:val="0"/>
      <w:divBdr>
        <w:top w:val="none" w:sz="0" w:space="0" w:color="auto"/>
        <w:left w:val="none" w:sz="0" w:space="0" w:color="auto"/>
        <w:bottom w:val="none" w:sz="0" w:space="0" w:color="auto"/>
        <w:right w:val="none" w:sz="0" w:space="0" w:color="auto"/>
      </w:divBdr>
    </w:div>
    <w:div w:id="365571345">
      <w:marLeft w:val="0"/>
      <w:marRight w:val="0"/>
      <w:marTop w:val="0"/>
      <w:marBottom w:val="0"/>
      <w:divBdr>
        <w:top w:val="none" w:sz="0" w:space="0" w:color="auto"/>
        <w:left w:val="none" w:sz="0" w:space="0" w:color="auto"/>
        <w:bottom w:val="none" w:sz="0" w:space="0" w:color="auto"/>
        <w:right w:val="none" w:sz="0" w:space="0" w:color="auto"/>
      </w:divBdr>
    </w:div>
    <w:div w:id="506142047">
      <w:marLeft w:val="0"/>
      <w:marRight w:val="0"/>
      <w:marTop w:val="0"/>
      <w:marBottom w:val="0"/>
      <w:divBdr>
        <w:top w:val="none" w:sz="0" w:space="0" w:color="auto"/>
        <w:left w:val="none" w:sz="0" w:space="0" w:color="auto"/>
        <w:bottom w:val="none" w:sz="0" w:space="0" w:color="auto"/>
        <w:right w:val="none" w:sz="0" w:space="0" w:color="auto"/>
      </w:divBdr>
    </w:div>
    <w:div w:id="559053040">
      <w:marLeft w:val="0"/>
      <w:marRight w:val="0"/>
      <w:marTop w:val="0"/>
      <w:marBottom w:val="0"/>
      <w:divBdr>
        <w:top w:val="none" w:sz="0" w:space="0" w:color="auto"/>
        <w:left w:val="none" w:sz="0" w:space="0" w:color="auto"/>
        <w:bottom w:val="none" w:sz="0" w:space="0" w:color="auto"/>
        <w:right w:val="none" w:sz="0" w:space="0" w:color="auto"/>
      </w:divBdr>
    </w:div>
    <w:div w:id="566065892">
      <w:marLeft w:val="0"/>
      <w:marRight w:val="0"/>
      <w:marTop w:val="0"/>
      <w:marBottom w:val="0"/>
      <w:divBdr>
        <w:top w:val="none" w:sz="0" w:space="0" w:color="auto"/>
        <w:left w:val="none" w:sz="0" w:space="0" w:color="auto"/>
        <w:bottom w:val="none" w:sz="0" w:space="0" w:color="auto"/>
        <w:right w:val="none" w:sz="0" w:space="0" w:color="auto"/>
      </w:divBdr>
    </w:div>
    <w:div w:id="655301184">
      <w:marLeft w:val="0"/>
      <w:marRight w:val="0"/>
      <w:marTop w:val="0"/>
      <w:marBottom w:val="0"/>
      <w:divBdr>
        <w:top w:val="none" w:sz="0" w:space="0" w:color="auto"/>
        <w:left w:val="none" w:sz="0" w:space="0" w:color="auto"/>
        <w:bottom w:val="none" w:sz="0" w:space="0" w:color="auto"/>
        <w:right w:val="none" w:sz="0" w:space="0" w:color="auto"/>
      </w:divBdr>
      <w:divsChild>
        <w:div w:id="1886484523">
          <w:marLeft w:val="0"/>
          <w:marRight w:val="0"/>
          <w:marTop w:val="0"/>
          <w:marBottom w:val="0"/>
          <w:divBdr>
            <w:top w:val="none" w:sz="0" w:space="0" w:color="auto"/>
            <w:left w:val="none" w:sz="0" w:space="0" w:color="auto"/>
            <w:bottom w:val="none" w:sz="0" w:space="0" w:color="auto"/>
            <w:right w:val="none" w:sz="0" w:space="0" w:color="auto"/>
          </w:divBdr>
        </w:div>
      </w:divsChild>
    </w:div>
    <w:div w:id="682902569">
      <w:marLeft w:val="0"/>
      <w:marRight w:val="0"/>
      <w:marTop w:val="0"/>
      <w:marBottom w:val="0"/>
      <w:divBdr>
        <w:top w:val="none" w:sz="0" w:space="0" w:color="auto"/>
        <w:left w:val="none" w:sz="0" w:space="0" w:color="auto"/>
        <w:bottom w:val="none" w:sz="0" w:space="0" w:color="auto"/>
        <w:right w:val="none" w:sz="0" w:space="0" w:color="auto"/>
      </w:divBdr>
      <w:divsChild>
        <w:div w:id="218980890">
          <w:marLeft w:val="0"/>
          <w:marRight w:val="0"/>
          <w:marTop w:val="0"/>
          <w:marBottom w:val="0"/>
          <w:divBdr>
            <w:top w:val="none" w:sz="0" w:space="0" w:color="auto"/>
            <w:left w:val="none" w:sz="0" w:space="0" w:color="auto"/>
            <w:bottom w:val="none" w:sz="0" w:space="0" w:color="auto"/>
            <w:right w:val="none" w:sz="0" w:space="0" w:color="auto"/>
          </w:divBdr>
        </w:div>
      </w:divsChild>
    </w:div>
    <w:div w:id="810828106">
      <w:marLeft w:val="0"/>
      <w:marRight w:val="0"/>
      <w:marTop w:val="0"/>
      <w:marBottom w:val="0"/>
      <w:divBdr>
        <w:top w:val="none" w:sz="0" w:space="0" w:color="auto"/>
        <w:left w:val="none" w:sz="0" w:space="0" w:color="auto"/>
        <w:bottom w:val="none" w:sz="0" w:space="0" w:color="auto"/>
        <w:right w:val="none" w:sz="0" w:space="0" w:color="auto"/>
      </w:divBdr>
    </w:div>
    <w:div w:id="871572490">
      <w:marLeft w:val="0"/>
      <w:marRight w:val="0"/>
      <w:marTop w:val="0"/>
      <w:marBottom w:val="0"/>
      <w:divBdr>
        <w:top w:val="none" w:sz="0" w:space="0" w:color="auto"/>
        <w:left w:val="none" w:sz="0" w:space="0" w:color="auto"/>
        <w:bottom w:val="none" w:sz="0" w:space="0" w:color="auto"/>
        <w:right w:val="none" w:sz="0" w:space="0" w:color="auto"/>
      </w:divBdr>
    </w:div>
    <w:div w:id="934940835">
      <w:marLeft w:val="0"/>
      <w:marRight w:val="0"/>
      <w:marTop w:val="0"/>
      <w:marBottom w:val="0"/>
      <w:divBdr>
        <w:top w:val="none" w:sz="0" w:space="0" w:color="auto"/>
        <w:left w:val="none" w:sz="0" w:space="0" w:color="auto"/>
        <w:bottom w:val="none" w:sz="0" w:space="0" w:color="auto"/>
        <w:right w:val="none" w:sz="0" w:space="0" w:color="auto"/>
      </w:divBdr>
    </w:div>
    <w:div w:id="1065764638">
      <w:marLeft w:val="0"/>
      <w:marRight w:val="0"/>
      <w:marTop w:val="0"/>
      <w:marBottom w:val="0"/>
      <w:divBdr>
        <w:top w:val="none" w:sz="0" w:space="0" w:color="auto"/>
        <w:left w:val="none" w:sz="0" w:space="0" w:color="auto"/>
        <w:bottom w:val="none" w:sz="0" w:space="0" w:color="auto"/>
        <w:right w:val="none" w:sz="0" w:space="0" w:color="auto"/>
      </w:divBdr>
    </w:div>
    <w:div w:id="1443499277">
      <w:marLeft w:val="0"/>
      <w:marRight w:val="0"/>
      <w:marTop w:val="0"/>
      <w:marBottom w:val="0"/>
      <w:divBdr>
        <w:top w:val="none" w:sz="0" w:space="0" w:color="auto"/>
        <w:left w:val="none" w:sz="0" w:space="0" w:color="auto"/>
        <w:bottom w:val="none" w:sz="0" w:space="0" w:color="auto"/>
        <w:right w:val="none" w:sz="0" w:space="0" w:color="auto"/>
      </w:divBdr>
    </w:div>
    <w:div w:id="1461418200">
      <w:marLeft w:val="0"/>
      <w:marRight w:val="0"/>
      <w:marTop w:val="0"/>
      <w:marBottom w:val="0"/>
      <w:divBdr>
        <w:top w:val="none" w:sz="0" w:space="0" w:color="auto"/>
        <w:left w:val="none" w:sz="0" w:space="0" w:color="auto"/>
        <w:bottom w:val="none" w:sz="0" w:space="0" w:color="auto"/>
        <w:right w:val="none" w:sz="0" w:space="0" w:color="auto"/>
      </w:divBdr>
    </w:div>
    <w:div w:id="1493569055">
      <w:marLeft w:val="0"/>
      <w:marRight w:val="0"/>
      <w:marTop w:val="0"/>
      <w:marBottom w:val="0"/>
      <w:divBdr>
        <w:top w:val="none" w:sz="0" w:space="0" w:color="auto"/>
        <w:left w:val="none" w:sz="0" w:space="0" w:color="auto"/>
        <w:bottom w:val="none" w:sz="0" w:space="0" w:color="auto"/>
        <w:right w:val="none" w:sz="0" w:space="0" w:color="auto"/>
      </w:divBdr>
    </w:div>
    <w:div w:id="1621690436">
      <w:marLeft w:val="0"/>
      <w:marRight w:val="0"/>
      <w:marTop w:val="0"/>
      <w:marBottom w:val="0"/>
      <w:divBdr>
        <w:top w:val="none" w:sz="0" w:space="0" w:color="auto"/>
        <w:left w:val="none" w:sz="0" w:space="0" w:color="auto"/>
        <w:bottom w:val="none" w:sz="0" w:space="0" w:color="auto"/>
        <w:right w:val="none" w:sz="0" w:space="0" w:color="auto"/>
      </w:divBdr>
    </w:div>
    <w:div w:id="1707678023">
      <w:marLeft w:val="0"/>
      <w:marRight w:val="0"/>
      <w:marTop w:val="0"/>
      <w:marBottom w:val="0"/>
      <w:divBdr>
        <w:top w:val="none" w:sz="0" w:space="0" w:color="auto"/>
        <w:left w:val="none" w:sz="0" w:space="0" w:color="auto"/>
        <w:bottom w:val="none" w:sz="0" w:space="0" w:color="auto"/>
        <w:right w:val="none" w:sz="0" w:space="0" w:color="auto"/>
      </w:divBdr>
    </w:div>
    <w:div w:id="1874610698">
      <w:marLeft w:val="0"/>
      <w:marRight w:val="0"/>
      <w:marTop w:val="0"/>
      <w:marBottom w:val="0"/>
      <w:divBdr>
        <w:top w:val="none" w:sz="0" w:space="0" w:color="auto"/>
        <w:left w:val="none" w:sz="0" w:space="0" w:color="auto"/>
        <w:bottom w:val="none" w:sz="0" w:space="0" w:color="auto"/>
        <w:right w:val="none" w:sz="0" w:space="0" w:color="auto"/>
      </w:divBdr>
    </w:div>
    <w:div w:id="2065323511">
      <w:marLeft w:val="0"/>
      <w:marRight w:val="0"/>
      <w:marTop w:val="0"/>
      <w:marBottom w:val="0"/>
      <w:divBdr>
        <w:top w:val="none" w:sz="0" w:space="0" w:color="auto"/>
        <w:left w:val="none" w:sz="0" w:space="0" w:color="auto"/>
        <w:bottom w:val="none" w:sz="0" w:space="0" w:color="auto"/>
        <w:right w:val="none" w:sz="0" w:space="0" w:color="auto"/>
      </w:divBdr>
    </w:div>
    <w:div w:id="2086490954">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2123F-EEC0-4322-A92B-997051105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1499</Words>
  <Characters>8546</Characters>
  <Application>Microsoft Office Word</Application>
  <DocSecurity>4</DocSecurity>
  <Lines>71</Lines>
  <Paragraphs>20</Paragraphs>
  <ScaleCrop>false</ScaleCrop>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2026-07-13T13:29:00Z</dcterms:created>
  <dcterms:modified xsi:type="dcterms:W3CDTF">2026-07-13T13:29:00Z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