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摩根双季鑫</w:t>
      </w:r>
      <w:r w:rsidRPr="00B27A29">
        <w:rPr>
          <w:rFonts w:eastAsiaTheme="minorEastAsia"/>
          <w:b/>
          <w:color w:val="000000" w:themeColor="text1"/>
          <w:sz w:val="36"/>
          <w:szCs w:val="36"/>
        </w:rPr>
        <w:t>6</w:t>
      </w:r>
      <w:r w:rsidRPr="00B27A29">
        <w:rPr>
          <w:rFonts w:eastAsiaTheme="minorEastAsia"/>
          <w:b/>
          <w:color w:val="000000" w:themeColor="text1"/>
          <w:sz w:val="36"/>
          <w:szCs w:val="36"/>
        </w:rPr>
        <w:t>个月持有期债券型发起式基金中基金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基金托管人：中国光大银行股份有限公司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基金托管人中国光大银行股份有限公司根据本基金合同规定，于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摩根双季鑫</w:t>
            </w:r>
            <w:r w:rsidRPr="00B27A29">
              <w:rPr>
                <w:rFonts w:eastAsiaTheme="minorEastAsia"/>
                <w:color w:val="000000" w:themeColor="text1"/>
                <w:kern w:val="0"/>
                <w:szCs w:val="21"/>
              </w:rPr>
              <w:t>6</w:t>
            </w:r>
            <w:r w:rsidRPr="00B27A29">
              <w:rPr>
                <w:rFonts w:eastAsiaTheme="minorEastAsia"/>
                <w:color w:val="000000" w:themeColor="text1"/>
                <w:kern w:val="0"/>
                <w:szCs w:val="21"/>
              </w:rPr>
              <w:t>个月持有债券</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018428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15,258,660.89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首先，管理人将根据基金业绩基准确定产品的风险收益特征。其次，管理人将根据投研团队的长期资本市场观点对各类型资产的风险收益特征进行判断。最后，结合本基金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本基金将定期结合策略观点，修正资产配置，实现细分资产类别的动态调整。</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、基金投资策略：</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）主动管理型基金投资策略</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通过自下而上的方式优选基金，研究过程中综合运用定量分析和定性分析，优选符合要求且能在中长期创造超额收益的基金。</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）指数基金投资策略</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优选中长期景气向好的指数基金进行配置，增厚组合收益，并把握阶段性投资机会，获取超额收益。</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）公募</w:t>
            </w:r>
            <w:r>
              <w:rPr>
                <w:rFonts w:eastAsiaTheme="minorEastAsia"/>
                <w:color w:val="000000" w:themeColor="text1"/>
                <w:kern w:val="0"/>
                <w:szCs w:val="21"/>
              </w:rPr>
              <w:t xml:space="preserve"> REITs </w:t>
            </w:r>
            <w:r>
              <w:rPr>
                <w:rFonts w:eastAsiaTheme="minorEastAsia"/>
                <w:color w:val="000000" w:themeColor="text1"/>
                <w:kern w:val="0"/>
                <w:szCs w:val="21"/>
              </w:rPr>
              <w:t>投资策略</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）本基金投资于其他基金份额的限制</w:t>
            </w:r>
          </w:p>
          <w:p w:rsidR="00A32864" w:rsidRDefault="00364A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包括股票投资策略、债券投资策略、证券公司短期公司债投资策略、资产支持证券投资策略、存托凭证投资策略。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本基金属于债券型基金中基金，预期风险和收益水平低于股票型基金中基金和混合型基金中基金，高于货币型基金中基金。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中国光大银行股份有限公司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018428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018429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14,717,942.14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540,718.75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57,298.01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1,768.49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-36,792.29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-1,677.99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14,609,653.87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536,208.39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0.9926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0.9917</w:t>
            </w:r>
          </w:p>
        </w:tc>
      </w:tr>
    </w:tbl>
    <w:p w:rsidR="00A32864" w:rsidRDefault="00364A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摩根双季鑫</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个月持有债券</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32864">
        <w:tc>
          <w:tcPr>
            <w:tcW w:w="1290" w:type="dxa"/>
            <w:vAlign w:val="center"/>
          </w:tcPr>
          <w:p w:rsidR="00A32864" w:rsidRDefault="00364AB7">
            <w:pPr>
              <w:jc w:val="left"/>
            </w:pPr>
            <w:r>
              <w:rPr>
                <w:rFonts w:eastAsiaTheme="minorEastAsia"/>
                <w:color w:val="000000" w:themeColor="text1"/>
                <w:szCs w:val="21"/>
              </w:rPr>
              <w:t>过去三个月</w:t>
            </w:r>
          </w:p>
        </w:tc>
        <w:tc>
          <w:tcPr>
            <w:tcW w:w="1291" w:type="dxa"/>
            <w:vAlign w:val="center"/>
          </w:tcPr>
          <w:p w:rsidR="00A32864" w:rsidRDefault="00364AB7">
            <w:pPr>
              <w:jc w:val="right"/>
            </w:pPr>
            <w:r>
              <w:rPr>
                <w:rFonts w:eastAsiaTheme="minorEastAsia"/>
                <w:color w:val="000000" w:themeColor="text1"/>
                <w:szCs w:val="21"/>
              </w:rPr>
              <w:t>-0.25%</w:t>
            </w:r>
          </w:p>
        </w:tc>
        <w:tc>
          <w:tcPr>
            <w:tcW w:w="1291" w:type="dxa"/>
            <w:vAlign w:val="center"/>
          </w:tcPr>
          <w:p w:rsidR="00A32864" w:rsidRDefault="00364AB7">
            <w:pPr>
              <w:jc w:val="right"/>
            </w:pPr>
            <w:r>
              <w:rPr>
                <w:rFonts w:eastAsiaTheme="minorEastAsia"/>
                <w:color w:val="000000" w:themeColor="text1"/>
                <w:szCs w:val="21"/>
              </w:rPr>
              <w:t>0.07%</w:t>
            </w:r>
          </w:p>
        </w:tc>
        <w:tc>
          <w:tcPr>
            <w:tcW w:w="1291" w:type="dxa"/>
            <w:vAlign w:val="center"/>
          </w:tcPr>
          <w:p w:rsidR="00A32864" w:rsidRDefault="00364AB7">
            <w:pPr>
              <w:jc w:val="right"/>
            </w:pPr>
            <w:r>
              <w:rPr>
                <w:rFonts w:eastAsiaTheme="minorEastAsia"/>
                <w:color w:val="000000" w:themeColor="text1"/>
                <w:szCs w:val="21"/>
              </w:rPr>
              <w:t>0.49%</w:t>
            </w:r>
          </w:p>
        </w:tc>
        <w:tc>
          <w:tcPr>
            <w:tcW w:w="1291" w:type="dxa"/>
            <w:vAlign w:val="center"/>
          </w:tcPr>
          <w:p w:rsidR="00A32864" w:rsidRDefault="00364AB7">
            <w:pPr>
              <w:jc w:val="right"/>
            </w:pPr>
            <w:r>
              <w:rPr>
                <w:rFonts w:eastAsiaTheme="minorEastAsia"/>
                <w:color w:val="000000" w:themeColor="text1"/>
                <w:szCs w:val="21"/>
              </w:rPr>
              <w:t>0.04%</w:t>
            </w:r>
          </w:p>
        </w:tc>
        <w:tc>
          <w:tcPr>
            <w:tcW w:w="1291" w:type="dxa"/>
            <w:vAlign w:val="center"/>
          </w:tcPr>
          <w:p w:rsidR="00A32864" w:rsidRDefault="00364AB7">
            <w:pPr>
              <w:jc w:val="right"/>
            </w:pPr>
            <w:r>
              <w:rPr>
                <w:rFonts w:eastAsiaTheme="minorEastAsia"/>
                <w:color w:val="000000" w:themeColor="text1"/>
                <w:szCs w:val="21"/>
              </w:rPr>
              <w:t>-0.74%</w:t>
            </w:r>
          </w:p>
        </w:tc>
        <w:tc>
          <w:tcPr>
            <w:tcW w:w="1291" w:type="dxa"/>
            <w:vAlign w:val="center"/>
          </w:tcPr>
          <w:p w:rsidR="00A32864" w:rsidRDefault="00364AB7">
            <w:pPr>
              <w:jc w:val="right"/>
            </w:pPr>
            <w:r>
              <w:rPr>
                <w:rFonts w:eastAsiaTheme="minorEastAsia"/>
                <w:color w:val="000000" w:themeColor="text1"/>
                <w:szCs w:val="21"/>
              </w:rPr>
              <w:t>0.03%</w:t>
            </w:r>
          </w:p>
        </w:tc>
      </w:tr>
      <w:tr w:rsidR="00A32864">
        <w:tc>
          <w:tcPr>
            <w:tcW w:w="1290" w:type="dxa"/>
            <w:vAlign w:val="center"/>
          </w:tcPr>
          <w:p w:rsidR="00A32864" w:rsidRDefault="00364AB7">
            <w:pPr>
              <w:jc w:val="left"/>
            </w:pPr>
            <w:r>
              <w:rPr>
                <w:rFonts w:eastAsiaTheme="minorEastAsia"/>
                <w:color w:val="000000" w:themeColor="text1"/>
                <w:szCs w:val="21"/>
              </w:rPr>
              <w:t>过去六个月</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r>
      <w:tr w:rsidR="00A32864">
        <w:tc>
          <w:tcPr>
            <w:tcW w:w="1290" w:type="dxa"/>
            <w:vAlign w:val="center"/>
          </w:tcPr>
          <w:p w:rsidR="00A32864" w:rsidRDefault="00364AB7">
            <w:pPr>
              <w:jc w:val="left"/>
            </w:pPr>
            <w:r>
              <w:rPr>
                <w:rFonts w:eastAsiaTheme="minorEastAsia"/>
                <w:color w:val="000000" w:themeColor="text1"/>
                <w:szCs w:val="21"/>
              </w:rPr>
              <w:t>过去一年</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r>
      <w:tr w:rsidR="00A32864">
        <w:tc>
          <w:tcPr>
            <w:tcW w:w="1290" w:type="dxa"/>
            <w:vAlign w:val="center"/>
          </w:tcPr>
          <w:p w:rsidR="00A32864" w:rsidRDefault="00364AB7">
            <w:pPr>
              <w:jc w:val="left"/>
            </w:pPr>
            <w:r>
              <w:rPr>
                <w:rFonts w:eastAsiaTheme="minorEastAsia"/>
                <w:color w:val="000000" w:themeColor="text1"/>
                <w:szCs w:val="21"/>
              </w:rPr>
              <w:t>过去三年</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r>
      <w:tr w:rsidR="00A32864">
        <w:tc>
          <w:tcPr>
            <w:tcW w:w="1290" w:type="dxa"/>
            <w:vAlign w:val="center"/>
          </w:tcPr>
          <w:p w:rsidR="00A32864" w:rsidRDefault="00364AB7">
            <w:pPr>
              <w:jc w:val="left"/>
            </w:pPr>
            <w:r>
              <w:rPr>
                <w:rFonts w:eastAsiaTheme="minorEastAsia"/>
                <w:color w:val="000000" w:themeColor="text1"/>
                <w:szCs w:val="21"/>
              </w:rPr>
              <w:t>过去五年</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r>
      <w:tr w:rsidR="00A32864">
        <w:tc>
          <w:tcPr>
            <w:tcW w:w="1290" w:type="dxa"/>
            <w:vAlign w:val="center"/>
          </w:tcPr>
          <w:p w:rsidR="00A32864" w:rsidRDefault="00364AB7">
            <w:pPr>
              <w:jc w:val="left"/>
            </w:pPr>
            <w:r>
              <w:rPr>
                <w:rFonts w:eastAsiaTheme="minorEastAsia"/>
                <w:color w:val="000000" w:themeColor="text1"/>
                <w:szCs w:val="21"/>
              </w:rPr>
              <w:t>自基金合同生效起至今</w:t>
            </w:r>
          </w:p>
        </w:tc>
        <w:tc>
          <w:tcPr>
            <w:tcW w:w="1291" w:type="dxa"/>
            <w:vAlign w:val="center"/>
          </w:tcPr>
          <w:p w:rsidR="00A32864" w:rsidRDefault="00364AB7">
            <w:pPr>
              <w:jc w:val="right"/>
            </w:pPr>
            <w:r>
              <w:rPr>
                <w:rFonts w:eastAsiaTheme="minorEastAsia"/>
                <w:color w:val="000000" w:themeColor="text1"/>
                <w:szCs w:val="21"/>
              </w:rPr>
              <w:t>-0.74%</w:t>
            </w:r>
          </w:p>
        </w:tc>
        <w:tc>
          <w:tcPr>
            <w:tcW w:w="1291" w:type="dxa"/>
            <w:vAlign w:val="center"/>
          </w:tcPr>
          <w:p w:rsidR="00A32864" w:rsidRDefault="00364AB7">
            <w:pPr>
              <w:jc w:val="right"/>
            </w:pPr>
            <w:r>
              <w:rPr>
                <w:rFonts w:eastAsiaTheme="minorEastAsia"/>
                <w:color w:val="000000" w:themeColor="text1"/>
                <w:szCs w:val="21"/>
              </w:rPr>
              <w:t>0.06%</w:t>
            </w:r>
          </w:p>
        </w:tc>
        <w:tc>
          <w:tcPr>
            <w:tcW w:w="1291" w:type="dxa"/>
            <w:vAlign w:val="center"/>
          </w:tcPr>
          <w:p w:rsidR="00A32864" w:rsidRDefault="00364AB7">
            <w:pPr>
              <w:jc w:val="right"/>
            </w:pPr>
            <w:r>
              <w:rPr>
                <w:rFonts w:eastAsiaTheme="minorEastAsia"/>
                <w:color w:val="000000" w:themeColor="text1"/>
                <w:szCs w:val="21"/>
              </w:rPr>
              <w:t>0.45%</w:t>
            </w:r>
          </w:p>
        </w:tc>
        <w:tc>
          <w:tcPr>
            <w:tcW w:w="1291" w:type="dxa"/>
            <w:vAlign w:val="center"/>
          </w:tcPr>
          <w:p w:rsidR="00A32864" w:rsidRDefault="00364AB7">
            <w:pPr>
              <w:jc w:val="right"/>
            </w:pPr>
            <w:r>
              <w:rPr>
                <w:rFonts w:eastAsiaTheme="minorEastAsia"/>
                <w:color w:val="000000" w:themeColor="text1"/>
                <w:szCs w:val="21"/>
              </w:rPr>
              <w:t>0.03%</w:t>
            </w:r>
          </w:p>
        </w:tc>
        <w:tc>
          <w:tcPr>
            <w:tcW w:w="1291" w:type="dxa"/>
            <w:vAlign w:val="center"/>
          </w:tcPr>
          <w:p w:rsidR="00A32864" w:rsidRDefault="00364AB7">
            <w:pPr>
              <w:jc w:val="right"/>
            </w:pPr>
            <w:r>
              <w:rPr>
                <w:rFonts w:eastAsiaTheme="minorEastAsia"/>
                <w:color w:val="000000" w:themeColor="text1"/>
                <w:szCs w:val="21"/>
              </w:rPr>
              <w:t>-1.19%</w:t>
            </w:r>
          </w:p>
        </w:tc>
        <w:tc>
          <w:tcPr>
            <w:tcW w:w="1291" w:type="dxa"/>
            <w:vAlign w:val="center"/>
          </w:tcPr>
          <w:p w:rsidR="00A32864" w:rsidRDefault="00364AB7">
            <w:pPr>
              <w:jc w:val="right"/>
            </w:pPr>
            <w:r>
              <w:rPr>
                <w:rFonts w:eastAsiaTheme="minorEastAsia"/>
                <w:color w:val="000000" w:themeColor="text1"/>
                <w:szCs w:val="21"/>
              </w:rPr>
              <w:t>0.03%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摩根双季鑫</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个月持有债券</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32864">
        <w:tc>
          <w:tcPr>
            <w:tcW w:w="1290" w:type="dxa"/>
            <w:vAlign w:val="center"/>
          </w:tcPr>
          <w:p w:rsidR="00A32864" w:rsidRDefault="00364AB7">
            <w:pPr>
              <w:jc w:val="left"/>
            </w:pPr>
            <w:r>
              <w:rPr>
                <w:rFonts w:eastAsiaTheme="minorEastAsia"/>
                <w:color w:val="000000" w:themeColor="text1"/>
                <w:szCs w:val="21"/>
              </w:rPr>
              <w:t>过去三个月</w:t>
            </w:r>
          </w:p>
        </w:tc>
        <w:tc>
          <w:tcPr>
            <w:tcW w:w="1291" w:type="dxa"/>
            <w:vAlign w:val="center"/>
          </w:tcPr>
          <w:p w:rsidR="00A32864" w:rsidRDefault="00364AB7">
            <w:pPr>
              <w:jc w:val="right"/>
            </w:pPr>
            <w:r>
              <w:rPr>
                <w:rFonts w:eastAsiaTheme="minorEastAsia"/>
                <w:color w:val="000000" w:themeColor="text1"/>
                <w:szCs w:val="21"/>
              </w:rPr>
              <w:t>-0.31%</w:t>
            </w:r>
          </w:p>
        </w:tc>
        <w:tc>
          <w:tcPr>
            <w:tcW w:w="1291" w:type="dxa"/>
            <w:vAlign w:val="center"/>
          </w:tcPr>
          <w:p w:rsidR="00A32864" w:rsidRDefault="00364AB7">
            <w:pPr>
              <w:jc w:val="right"/>
            </w:pPr>
            <w:r>
              <w:rPr>
                <w:rFonts w:eastAsiaTheme="minorEastAsia"/>
                <w:color w:val="000000" w:themeColor="text1"/>
                <w:szCs w:val="21"/>
              </w:rPr>
              <w:t>0.07%</w:t>
            </w:r>
          </w:p>
        </w:tc>
        <w:tc>
          <w:tcPr>
            <w:tcW w:w="1291" w:type="dxa"/>
            <w:vAlign w:val="center"/>
          </w:tcPr>
          <w:p w:rsidR="00A32864" w:rsidRDefault="00364AB7">
            <w:pPr>
              <w:jc w:val="right"/>
            </w:pPr>
            <w:r>
              <w:rPr>
                <w:rFonts w:eastAsiaTheme="minorEastAsia"/>
                <w:color w:val="000000" w:themeColor="text1"/>
                <w:szCs w:val="21"/>
              </w:rPr>
              <w:t>0.49%</w:t>
            </w:r>
          </w:p>
        </w:tc>
        <w:tc>
          <w:tcPr>
            <w:tcW w:w="1291" w:type="dxa"/>
            <w:vAlign w:val="center"/>
          </w:tcPr>
          <w:p w:rsidR="00A32864" w:rsidRDefault="00364AB7">
            <w:pPr>
              <w:jc w:val="right"/>
            </w:pPr>
            <w:r>
              <w:rPr>
                <w:rFonts w:eastAsiaTheme="minorEastAsia"/>
                <w:color w:val="000000" w:themeColor="text1"/>
                <w:szCs w:val="21"/>
              </w:rPr>
              <w:t>0.04%</w:t>
            </w:r>
          </w:p>
        </w:tc>
        <w:tc>
          <w:tcPr>
            <w:tcW w:w="1291" w:type="dxa"/>
            <w:vAlign w:val="center"/>
          </w:tcPr>
          <w:p w:rsidR="00A32864" w:rsidRDefault="00364AB7">
            <w:pPr>
              <w:jc w:val="right"/>
            </w:pPr>
            <w:r>
              <w:rPr>
                <w:rFonts w:eastAsiaTheme="minorEastAsia"/>
                <w:color w:val="000000" w:themeColor="text1"/>
                <w:szCs w:val="21"/>
              </w:rPr>
              <w:t>-0.80%</w:t>
            </w:r>
          </w:p>
        </w:tc>
        <w:tc>
          <w:tcPr>
            <w:tcW w:w="1291" w:type="dxa"/>
            <w:vAlign w:val="center"/>
          </w:tcPr>
          <w:p w:rsidR="00A32864" w:rsidRDefault="00364AB7">
            <w:pPr>
              <w:jc w:val="right"/>
            </w:pPr>
            <w:r>
              <w:rPr>
                <w:rFonts w:eastAsiaTheme="minorEastAsia"/>
                <w:color w:val="000000" w:themeColor="text1"/>
                <w:szCs w:val="21"/>
              </w:rPr>
              <w:t>0.03%</w:t>
            </w:r>
          </w:p>
        </w:tc>
      </w:tr>
      <w:tr w:rsidR="00A32864">
        <w:tc>
          <w:tcPr>
            <w:tcW w:w="1290" w:type="dxa"/>
            <w:vAlign w:val="center"/>
          </w:tcPr>
          <w:p w:rsidR="00A32864" w:rsidRDefault="00364AB7">
            <w:pPr>
              <w:jc w:val="left"/>
            </w:pPr>
            <w:r>
              <w:rPr>
                <w:rFonts w:eastAsiaTheme="minorEastAsia"/>
                <w:color w:val="000000" w:themeColor="text1"/>
                <w:szCs w:val="21"/>
              </w:rPr>
              <w:t>过去六个月</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r>
      <w:tr w:rsidR="00A32864">
        <w:tc>
          <w:tcPr>
            <w:tcW w:w="1290" w:type="dxa"/>
            <w:vAlign w:val="center"/>
          </w:tcPr>
          <w:p w:rsidR="00A32864" w:rsidRDefault="00364AB7">
            <w:pPr>
              <w:jc w:val="left"/>
            </w:pPr>
            <w:r>
              <w:rPr>
                <w:rFonts w:eastAsiaTheme="minorEastAsia"/>
                <w:color w:val="000000" w:themeColor="text1"/>
                <w:szCs w:val="21"/>
              </w:rPr>
              <w:t>过去一年</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r>
      <w:tr w:rsidR="00A32864">
        <w:tc>
          <w:tcPr>
            <w:tcW w:w="1290" w:type="dxa"/>
            <w:vAlign w:val="center"/>
          </w:tcPr>
          <w:p w:rsidR="00A32864" w:rsidRDefault="00364AB7">
            <w:pPr>
              <w:jc w:val="left"/>
            </w:pPr>
            <w:r>
              <w:rPr>
                <w:rFonts w:eastAsiaTheme="minorEastAsia"/>
                <w:color w:val="000000" w:themeColor="text1"/>
                <w:szCs w:val="21"/>
              </w:rPr>
              <w:t>过去三年</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r>
      <w:tr w:rsidR="00A32864">
        <w:tc>
          <w:tcPr>
            <w:tcW w:w="1290" w:type="dxa"/>
            <w:vAlign w:val="center"/>
          </w:tcPr>
          <w:p w:rsidR="00A32864" w:rsidRDefault="00364AB7">
            <w:pPr>
              <w:jc w:val="left"/>
            </w:pPr>
            <w:r>
              <w:rPr>
                <w:rFonts w:eastAsiaTheme="minorEastAsia"/>
                <w:color w:val="000000" w:themeColor="text1"/>
                <w:szCs w:val="21"/>
              </w:rPr>
              <w:t>过去五年</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c>
          <w:tcPr>
            <w:tcW w:w="1291" w:type="dxa"/>
            <w:vAlign w:val="center"/>
          </w:tcPr>
          <w:p w:rsidR="00A32864" w:rsidRDefault="00364AB7">
            <w:pPr>
              <w:jc w:val="right"/>
            </w:pPr>
            <w:r>
              <w:rPr>
                <w:rFonts w:eastAsiaTheme="minorEastAsia"/>
                <w:color w:val="000000" w:themeColor="text1"/>
                <w:szCs w:val="21"/>
              </w:rPr>
              <w:t>-</w:t>
            </w:r>
          </w:p>
        </w:tc>
      </w:tr>
      <w:tr w:rsidR="00A32864">
        <w:tc>
          <w:tcPr>
            <w:tcW w:w="1290" w:type="dxa"/>
            <w:vAlign w:val="center"/>
          </w:tcPr>
          <w:p w:rsidR="00A32864" w:rsidRDefault="00364AB7">
            <w:pPr>
              <w:jc w:val="left"/>
            </w:pPr>
            <w:r>
              <w:rPr>
                <w:rFonts w:eastAsiaTheme="minorEastAsia"/>
                <w:color w:val="000000" w:themeColor="text1"/>
                <w:szCs w:val="21"/>
              </w:rPr>
              <w:t>自基金合同生效起至今</w:t>
            </w:r>
          </w:p>
        </w:tc>
        <w:tc>
          <w:tcPr>
            <w:tcW w:w="1291" w:type="dxa"/>
            <w:vAlign w:val="center"/>
          </w:tcPr>
          <w:p w:rsidR="00A32864" w:rsidRDefault="00364AB7">
            <w:pPr>
              <w:jc w:val="right"/>
            </w:pPr>
            <w:r>
              <w:rPr>
                <w:rFonts w:eastAsiaTheme="minorEastAsia"/>
                <w:color w:val="000000" w:themeColor="text1"/>
                <w:szCs w:val="21"/>
              </w:rPr>
              <w:t>-0.83%</w:t>
            </w:r>
          </w:p>
        </w:tc>
        <w:tc>
          <w:tcPr>
            <w:tcW w:w="1291" w:type="dxa"/>
            <w:vAlign w:val="center"/>
          </w:tcPr>
          <w:p w:rsidR="00A32864" w:rsidRDefault="00364AB7">
            <w:pPr>
              <w:jc w:val="right"/>
            </w:pPr>
            <w:r>
              <w:rPr>
                <w:rFonts w:eastAsiaTheme="minorEastAsia"/>
                <w:color w:val="000000" w:themeColor="text1"/>
                <w:szCs w:val="21"/>
              </w:rPr>
              <w:t>0.06%</w:t>
            </w:r>
          </w:p>
        </w:tc>
        <w:tc>
          <w:tcPr>
            <w:tcW w:w="1291" w:type="dxa"/>
            <w:vAlign w:val="center"/>
          </w:tcPr>
          <w:p w:rsidR="00A32864" w:rsidRDefault="00364AB7">
            <w:pPr>
              <w:jc w:val="right"/>
            </w:pPr>
            <w:r>
              <w:rPr>
                <w:rFonts w:eastAsiaTheme="minorEastAsia"/>
                <w:color w:val="000000" w:themeColor="text1"/>
                <w:szCs w:val="21"/>
              </w:rPr>
              <w:t>0.45%</w:t>
            </w:r>
          </w:p>
        </w:tc>
        <w:tc>
          <w:tcPr>
            <w:tcW w:w="1291" w:type="dxa"/>
            <w:vAlign w:val="center"/>
          </w:tcPr>
          <w:p w:rsidR="00A32864" w:rsidRDefault="00364AB7">
            <w:pPr>
              <w:jc w:val="right"/>
            </w:pPr>
            <w:r>
              <w:rPr>
                <w:rFonts w:eastAsiaTheme="minorEastAsia"/>
                <w:color w:val="000000" w:themeColor="text1"/>
                <w:szCs w:val="21"/>
              </w:rPr>
              <w:t>0.03%</w:t>
            </w:r>
          </w:p>
        </w:tc>
        <w:tc>
          <w:tcPr>
            <w:tcW w:w="1291" w:type="dxa"/>
            <w:vAlign w:val="center"/>
          </w:tcPr>
          <w:p w:rsidR="00A32864" w:rsidRDefault="00364AB7">
            <w:pPr>
              <w:jc w:val="right"/>
            </w:pPr>
            <w:r>
              <w:rPr>
                <w:rFonts w:eastAsiaTheme="minorEastAsia"/>
                <w:color w:val="000000" w:themeColor="text1"/>
                <w:szCs w:val="21"/>
              </w:rPr>
              <w:t>-1.28%</w:t>
            </w:r>
          </w:p>
        </w:tc>
        <w:tc>
          <w:tcPr>
            <w:tcW w:w="1291" w:type="dxa"/>
            <w:vAlign w:val="center"/>
          </w:tcPr>
          <w:p w:rsidR="00A32864" w:rsidRDefault="00364AB7">
            <w:pPr>
              <w:jc w:val="right"/>
            </w:pPr>
            <w:r>
              <w:rPr>
                <w:rFonts w:eastAsiaTheme="minorEastAsia"/>
                <w:color w:val="000000" w:themeColor="text1"/>
                <w:szCs w:val="21"/>
              </w:rPr>
              <w:t>0.03%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个月持有期债券型发起式基金中基金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32864">
        <w:tc>
          <w:tcPr>
            <w:tcW w:w="952" w:type="dxa"/>
            <w:vAlign w:val="center"/>
          </w:tcPr>
          <w:p w:rsidR="00A32864" w:rsidRDefault="00364AB7">
            <w:pPr>
              <w:jc w:val="center"/>
            </w:pPr>
            <w:r>
              <w:rPr>
                <w:rFonts w:eastAsiaTheme="minorEastAsia"/>
                <w:color w:val="000000" w:themeColor="text1"/>
                <w:szCs w:val="21"/>
              </w:rPr>
              <w:t>杜习杰</w:t>
            </w:r>
          </w:p>
        </w:tc>
        <w:tc>
          <w:tcPr>
            <w:tcW w:w="930" w:type="dxa"/>
            <w:vAlign w:val="center"/>
          </w:tcPr>
          <w:p w:rsidR="00A32864" w:rsidRDefault="00364AB7">
            <w:pPr>
              <w:jc w:val="center"/>
            </w:pPr>
            <w:r>
              <w:rPr>
                <w:rFonts w:eastAsiaTheme="minorEastAsia"/>
                <w:color w:val="000000" w:themeColor="text1"/>
                <w:szCs w:val="21"/>
              </w:rPr>
              <w:t>本基金基金经理</w:t>
            </w:r>
          </w:p>
        </w:tc>
        <w:tc>
          <w:tcPr>
            <w:tcW w:w="1210" w:type="dxa"/>
            <w:vAlign w:val="center"/>
          </w:tcPr>
          <w:p w:rsidR="00A32864" w:rsidRDefault="00364AB7">
            <w:pPr>
              <w:jc w:val="center"/>
            </w:pPr>
            <w:r>
              <w:rPr>
                <w:rFonts w:eastAsiaTheme="minorEastAsia"/>
                <w:color w:val="000000" w:themeColor="text1"/>
                <w:szCs w:val="21"/>
              </w:rPr>
              <w:t>2023-08-08</w:t>
            </w:r>
          </w:p>
        </w:tc>
        <w:tc>
          <w:tcPr>
            <w:tcW w:w="1309" w:type="dxa"/>
            <w:vAlign w:val="center"/>
          </w:tcPr>
          <w:p w:rsidR="00A32864" w:rsidRDefault="00364AB7">
            <w:pPr>
              <w:jc w:val="center"/>
            </w:pPr>
            <w:r>
              <w:rPr>
                <w:rFonts w:eastAsiaTheme="minorEastAsia"/>
                <w:color w:val="000000" w:themeColor="text1"/>
                <w:szCs w:val="21"/>
              </w:rPr>
              <w:t>-</w:t>
            </w:r>
          </w:p>
        </w:tc>
        <w:tc>
          <w:tcPr>
            <w:tcW w:w="1254" w:type="dxa"/>
            <w:vAlign w:val="center"/>
          </w:tcPr>
          <w:p w:rsidR="00A32864" w:rsidRDefault="00364AB7">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A32864" w:rsidRDefault="00364AB7">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A32864">
        <w:tc>
          <w:tcPr>
            <w:tcW w:w="952" w:type="dxa"/>
            <w:vAlign w:val="center"/>
          </w:tcPr>
          <w:p w:rsidR="00A32864" w:rsidRDefault="00364AB7">
            <w:pPr>
              <w:jc w:val="center"/>
            </w:pPr>
            <w:r>
              <w:rPr>
                <w:rFonts w:eastAsiaTheme="minorEastAsia"/>
                <w:color w:val="000000" w:themeColor="text1"/>
                <w:szCs w:val="21"/>
              </w:rPr>
              <w:t>吴春杰</w:t>
            </w:r>
          </w:p>
        </w:tc>
        <w:tc>
          <w:tcPr>
            <w:tcW w:w="930" w:type="dxa"/>
            <w:vAlign w:val="center"/>
          </w:tcPr>
          <w:p w:rsidR="00A32864" w:rsidRDefault="00364AB7">
            <w:pPr>
              <w:jc w:val="center"/>
            </w:pPr>
            <w:r>
              <w:rPr>
                <w:rFonts w:eastAsiaTheme="minorEastAsia"/>
                <w:color w:val="000000" w:themeColor="text1"/>
                <w:szCs w:val="21"/>
              </w:rPr>
              <w:t>本基金基金经理</w:t>
            </w:r>
          </w:p>
        </w:tc>
        <w:tc>
          <w:tcPr>
            <w:tcW w:w="1210" w:type="dxa"/>
            <w:vAlign w:val="center"/>
          </w:tcPr>
          <w:p w:rsidR="00A32864" w:rsidRDefault="00364AB7">
            <w:pPr>
              <w:jc w:val="center"/>
            </w:pPr>
            <w:r>
              <w:rPr>
                <w:rFonts w:eastAsiaTheme="minorEastAsia"/>
                <w:color w:val="000000" w:themeColor="text1"/>
                <w:szCs w:val="21"/>
              </w:rPr>
              <w:t>2023-08-08</w:t>
            </w:r>
          </w:p>
        </w:tc>
        <w:tc>
          <w:tcPr>
            <w:tcW w:w="1309" w:type="dxa"/>
            <w:vAlign w:val="center"/>
          </w:tcPr>
          <w:p w:rsidR="00A32864" w:rsidRDefault="00364AB7">
            <w:pPr>
              <w:jc w:val="center"/>
            </w:pPr>
            <w:r>
              <w:rPr>
                <w:rFonts w:eastAsiaTheme="minorEastAsia"/>
                <w:color w:val="000000" w:themeColor="text1"/>
                <w:szCs w:val="21"/>
              </w:rPr>
              <w:t>-</w:t>
            </w:r>
          </w:p>
        </w:tc>
        <w:tc>
          <w:tcPr>
            <w:tcW w:w="1254" w:type="dxa"/>
            <w:vAlign w:val="center"/>
          </w:tcPr>
          <w:p w:rsidR="00A32864" w:rsidRDefault="00364AB7">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A32864" w:rsidRDefault="00364AB7">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w:t>
            </w:r>
            <w:r>
              <w:rPr>
                <w:rFonts w:eastAsiaTheme="minorEastAsia"/>
                <w:color w:val="000000" w:themeColor="text1"/>
                <w:szCs w:val="21"/>
              </w:rPr>
              <w:lastRenderedPageBreak/>
              <w:t>究员，现任高级基金经理。</w:t>
            </w:r>
          </w:p>
        </w:tc>
      </w:tr>
      <w:tr w:rsidR="00A32864">
        <w:tc>
          <w:tcPr>
            <w:tcW w:w="952" w:type="dxa"/>
            <w:vAlign w:val="center"/>
          </w:tcPr>
          <w:p w:rsidR="00A32864" w:rsidRDefault="00364AB7">
            <w:pPr>
              <w:jc w:val="center"/>
            </w:pPr>
            <w:r>
              <w:rPr>
                <w:rFonts w:eastAsiaTheme="minorEastAsia"/>
                <w:color w:val="000000" w:themeColor="text1"/>
                <w:szCs w:val="21"/>
              </w:rPr>
              <w:lastRenderedPageBreak/>
              <w:t>恩学海</w:t>
            </w:r>
          </w:p>
        </w:tc>
        <w:tc>
          <w:tcPr>
            <w:tcW w:w="930" w:type="dxa"/>
            <w:vAlign w:val="center"/>
          </w:tcPr>
          <w:p w:rsidR="00A32864" w:rsidRDefault="00364AB7">
            <w:pPr>
              <w:jc w:val="center"/>
            </w:pPr>
            <w:r>
              <w:rPr>
                <w:rFonts w:eastAsiaTheme="minorEastAsia"/>
                <w:color w:val="000000" w:themeColor="text1"/>
                <w:szCs w:val="21"/>
              </w:rPr>
              <w:t>本基金基金经理、资产配置及退休金管理首席投资官</w:t>
            </w:r>
          </w:p>
        </w:tc>
        <w:tc>
          <w:tcPr>
            <w:tcW w:w="1210" w:type="dxa"/>
            <w:vAlign w:val="center"/>
          </w:tcPr>
          <w:p w:rsidR="00A32864" w:rsidRDefault="00364AB7">
            <w:pPr>
              <w:jc w:val="center"/>
            </w:pPr>
            <w:r>
              <w:rPr>
                <w:rFonts w:eastAsiaTheme="minorEastAsia"/>
                <w:color w:val="000000" w:themeColor="text1"/>
                <w:szCs w:val="21"/>
              </w:rPr>
              <w:t>2023-08-08</w:t>
            </w:r>
          </w:p>
        </w:tc>
        <w:tc>
          <w:tcPr>
            <w:tcW w:w="1309" w:type="dxa"/>
            <w:vAlign w:val="center"/>
          </w:tcPr>
          <w:p w:rsidR="00A32864" w:rsidRDefault="00364AB7">
            <w:pPr>
              <w:jc w:val="center"/>
            </w:pPr>
            <w:r>
              <w:rPr>
                <w:rFonts w:eastAsiaTheme="minorEastAsia"/>
                <w:color w:val="000000" w:themeColor="text1"/>
                <w:szCs w:val="21"/>
              </w:rPr>
              <w:t>-</w:t>
            </w:r>
          </w:p>
        </w:tc>
        <w:tc>
          <w:tcPr>
            <w:tcW w:w="1254" w:type="dxa"/>
            <w:vAlign w:val="center"/>
          </w:tcPr>
          <w:p w:rsidR="00A32864" w:rsidRDefault="00364AB7">
            <w:pPr>
              <w:jc w:val="center"/>
            </w:pPr>
            <w:r>
              <w:rPr>
                <w:rFonts w:eastAsiaTheme="minorEastAsia"/>
                <w:color w:val="000000" w:themeColor="text1"/>
                <w:szCs w:val="21"/>
              </w:rPr>
              <w:t>29</w:t>
            </w:r>
            <w:r>
              <w:rPr>
                <w:rFonts w:eastAsiaTheme="minorEastAsia"/>
                <w:color w:val="000000" w:themeColor="text1"/>
                <w:szCs w:val="21"/>
              </w:rPr>
              <w:t>年</w:t>
            </w:r>
          </w:p>
        </w:tc>
        <w:tc>
          <w:tcPr>
            <w:tcW w:w="3276" w:type="dxa"/>
            <w:vAlign w:val="center"/>
          </w:tcPr>
          <w:p w:rsidR="00A32864" w:rsidRDefault="00364AB7">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rsidR="00A32864" w:rsidRDefault="00364A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32864" w:rsidRDefault="00364A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恩学海先生、杜习杰先生、吴春杰女士为本基金首任基金经理，其任职日期指本基金基金合同生效之日。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国内经济总体平稳运行，结构上，工业生产同比回升，消费数据在去年低基数下反弹，但同时，部分投资与新开工进入季节性淡季；出口增速负值修复，通胀低位震荡略不及预期，反映出当前内、外需存在的压力。随着金融工作会议、中央经济工作会议的召开，政策面发力扩内需、防范化解风险的信号更加明朗，包括财政方面超</w:t>
      </w:r>
      <w:r>
        <w:rPr>
          <w:rFonts w:eastAsiaTheme="minorEastAsia"/>
          <w:color w:val="000000" w:themeColor="text1"/>
          <w:szCs w:val="21"/>
        </w:rPr>
        <w:t>1.3</w:t>
      </w:r>
      <w:r>
        <w:rPr>
          <w:rFonts w:eastAsiaTheme="minorEastAsia"/>
          <w:color w:val="000000" w:themeColor="text1"/>
          <w:szCs w:val="21"/>
        </w:rPr>
        <w:t>万亿的特别再融资债发行、增发</w:t>
      </w:r>
      <w:r>
        <w:rPr>
          <w:rFonts w:eastAsiaTheme="minorEastAsia"/>
          <w:color w:val="000000" w:themeColor="text1"/>
          <w:szCs w:val="21"/>
        </w:rPr>
        <w:t>1</w:t>
      </w:r>
      <w:r>
        <w:rPr>
          <w:rFonts w:eastAsiaTheme="minorEastAsia"/>
          <w:color w:val="000000" w:themeColor="text1"/>
          <w:szCs w:val="21"/>
        </w:rPr>
        <w:t>万亿特别国债，以及货币政策在量、价工具上的积极操作等，总体来讲，有助于</w:t>
      </w:r>
      <w:r>
        <w:rPr>
          <w:rFonts w:eastAsiaTheme="minorEastAsia"/>
          <w:color w:val="000000" w:themeColor="text1"/>
          <w:szCs w:val="21"/>
        </w:rPr>
        <w:t>2024</w:t>
      </w:r>
      <w:r>
        <w:rPr>
          <w:rFonts w:eastAsiaTheme="minorEastAsia"/>
          <w:color w:val="000000" w:themeColor="text1"/>
          <w:szCs w:val="21"/>
        </w:rPr>
        <w:t>年经济修复动力的积蓄。</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国内股票市场震荡走弱，中证</w:t>
      </w:r>
      <w:r>
        <w:rPr>
          <w:rFonts w:eastAsiaTheme="minorEastAsia"/>
          <w:color w:val="000000" w:themeColor="text1"/>
          <w:szCs w:val="21"/>
        </w:rPr>
        <w:t>800</w:t>
      </w:r>
      <w:r>
        <w:rPr>
          <w:rFonts w:eastAsiaTheme="minorEastAsia"/>
          <w:color w:val="000000" w:themeColor="text1"/>
          <w:szCs w:val="21"/>
        </w:rPr>
        <w:t>指数全季下跌</w:t>
      </w:r>
      <w:r>
        <w:rPr>
          <w:rFonts w:eastAsiaTheme="minorEastAsia"/>
          <w:color w:val="000000" w:themeColor="text1"/>
          <w:szCs w:val="21"/>
        </w:rPr>
        <w:t>6.4%</w:t>
      </w:r>
      <w:r>
        <w:rPr>
          <w:rFonts w:eastAsiaTheme="minorEastAsia"/>
          <w:color w:val="000000" w:themeColor="text1"/>
          <w:szCs w:val="21"/>
        </w:rPr>
        <w:t>。一方面，市场在经济基本面数据未出现持续改善前，对政策面持续加码的预期强于现实；另一方面，北上资金仍延续了三季度的流出态势。市场对于央行后续继续降准、降息保持乐观预期下，国内债券收益率曲线整体下移，</w:t>
      </w:r>
      <w:r>
        <w:rPr>
          <w:rFonts w:eastAsiaTheme="minorEastAsia"/>
          <w:color w:val="000000" w:themeColor="text1"/>
          <w:szCs w:val="21"/>
        </w:rPr>
        <w:t>10</w:t>
      </w:r>
      <w:r>
        <w:rPr>
          <w:rFonts w:eastAsiaTheme="minorEastAsia"/>
          <w:color w:val="000000" w:themeColor="text1"/>
          <w:szCs w:val="21"/>
        </w:rPr>
        <w:t>年国债到期收益率下降</w:t>
      </w:r>
      <w:r>
        <w:rPr>
          <w:rFonts w:eastAsiaTheme="minorEastAsia"/>
          <w:color w:val="000000" w:themeColor="text1"/>
          <w:szCs w:val="21"/>
        </w:rPr>
        <w:t>12BP</w:t>
      </w:r>
      <w:r>
        <w:rPr>
          <w:rFonts w:eastAsiaTheme="minorEastAsia"/>
          <w:color w:val="000000" w:themeColor="text1"/>
          <w:szCs w:val="21"/>
        </w:rPr>
        <w:t>至</w:t>
      </w:r>
      <w:r>
        <w:rPr>
          <w:rFonts w:eastAsiaTheme="minorEastAsia"/>
          <w:color w:val="000000" w:themeColor="text1"/>
          <w:szCs w:val="21"/>
        </w:rPr>
        <w:t>2.56%</w:t>
      </w:r>
      <w:r>
        <w:rPr>
          <w:rFonts w:eastAsiaTheme="minorEastAsia"/>
          <w:color w:val="000000" w:themeColor="text1"/>
          <w:szCs w:val="21"/>
        </w:rPr>
        <w:t>。</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海外方面，四季度美国通胀回落、就业市场指标边际弱化，美债收益率由</w:t>
      </w:r>
      <w:r>
        <w:rPr>
          <w:rFonts w:eastAsiaTheme="minorEastAsia"/>
          <w:color w:val="000000" w:themeColor="text1"/>
          <w:szCs w:val="21"/>
        </w:rPr>
        <w:t>5%</w:t>
      </w:r>
      <w:r>
        <w:rPr>
          <w:rFonts w:eastAsiaTheme="minorEastAsia"/>
          <w:color w:val="000000" w:themeColor="text1"/>
          <w:szCs w:val="21"/>
        </w:rPr>
        <w:t>的高位快速下行至</w:t>
      </w:r>
      <w:r>
        <w:rPr>
          <w:rFonts w:eastAsiaTheme="minorEastAsia"/>
          <w:color w:val="000000" w:themeColor="text1"/>
          <w:szCs w:val="21"/>
        </w:rPr>
        <w:t>3.87%</w:t>
      </w:r>
      <w:r>
        <w:rPr>
          <w:rFonts w:eastAsiaTheme="minorEastAsia"/>
          <w:color w:val="000000" w:themeColor="text1"/>
          <w:szCs w:val="21"/>
        </w:rPr>
        <w:t>，有利于提振风险资产的估值水平，标普</w:t>
      </w:r>
      <w:r>
        <w:rPr>
          <w:rFonts w:eastAsiaTheme="minorEastAsia"/>
          <w:color w:val="000000" w:themeColor="text1"/>
          <w:szCs w:val="21"/>
        </w:rPr>
        <w:t>500</w:t>
      </w:r>
      <w:r>
        <w:rPr>
          <w:rFonts w:eastAsiaTheme="minorEastAsia"/>
          <w:color w:val="000000" w:themeColor="text1"/>
          <w:szCs w:val="21"/>
        </w:rPr>
        <w:t>指数震荡上涨</w:t>
      </w:r>
      <w:r>
        <w:rPr>
          <w:rFonts w:eastAsiaTheme="minorEastAsia"/>
          <w:color w:val="000000" w:themeColor="text1"/>
          <w:szCs w:val="21"/>
        </w:rPr>
        <w:t>11.2%</w:t>
      </w:r>
      <w:r>
        <w:rPr>
          <w:rFonts w:eastAsiaTheme="minorEastAsia"/>
          <w:color w:val="000000" w:themeColor="text1"/>
          <w:szCs w:val="21"/>
        </w:rPr>
        <w:t>。另类资产方面，</w:t>
      </w:r>
      <w:r>
        <w:rPr>
          <w:rFonts w:eastAsiaTheme="minorEastAsia"/>
          <w:color w:val="000000" w:themeColor="text1"/>
          <w:szCs w:val="21"/>
        </w:rPr>
        <w:t>COMEX</w:t>
      </w:r>
      <w:r>
        <w:rPr>
          <w:rFonts w:eastAsiaTheme="minorEastAsia"/>
          <w:color w:val="000000" w:themeColor="text1"/>
          <w:szCs w:val="21"/>
        </w:rPr>
        <w:t>黄金上涨</w:t>
      </w:r>
      <w:r>
        <w:rPr>
          <w:rFonts w:eastAsiaTheme="minorEastAsia"/>
          <w:color w:val="000000" w:themeColor="text1"/>
          <w:szCs w:val="21"/>
        </w:rPr>
        <w:t>11%</w:t>
      </w:r>
      <w:r>
        <w:rPr>
          <w:rFonts w:eastAsiaTheme="minorEastAsia"/>
          <w:color w:val="000000" w:themeColor="text1"/>
          <w:szCs w:val="21"/>
        </w:rPr>
        <w:t>，海外发达市场</w:t>
      </w:r>
      <w:r>
        <w:rPr>
          <w:rFonts w:eastAsiaTheme="minorEastAsia"/>
          <w:color w:val="000000" w:themeColor="text1"/>
          <w:szCs w:val="21"/>
        </w:rPr>
        <w:t>Reits</w:t>
      </w:r>
      <w:r>
        <w:rPr>
          <w:rFonts w:eastAsiaTheme="minorEastAsia"/>
          <w:color w:val="000000" w:themeColor="text1"/>
          <w:szCs w:val="21"/>
        </w:rPr>
        <w:t>亦有较好表现。</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12</w:t>
      </w:r>
      <w:r>
        <w:rPr>
          <w:rFonts w:eastAsiaTheme="minorEastAsia"/>
          <w:color w:val="000000" w:themeColor="text1"/>
          <w:szCs w:val="21"/>
        </w:rPr>
        <w:t>月中央经济工作会议已经释放了进一步推动经济回升向好的预期，后续关注</w:t>
      </w:r>
      <w:r>
        <w:rPr>
          <w:rFonts w:eastAsiaTheme="minorEastAsia"/>
          <w:color w:val="000000" w:themeColor="text1"/>
          <w:szCs w:val="21"/>
        </w:rPr>
        <w:t>2024</w:t>
      </w:r>
      <w:r>
        <w:rPr>
          <w:rFonts w:eastAsiaTheme="minorEastAsia"/>
          <w:color w:val="000000" w:themeColor="text1"/>
          <w:szCs w:val="21"/>
        </w:rPr>
        <w:t>年初两会将制定的各项经济目标以及财政、货币政策发力的力度，其对各类资产的潜在回报与市场信心的恢复均较为重要。新旧经济动能的结构调整过程中，</w:t>
      </w:r>
      <w:r>
        <w:rPr>
          <w:rFonts w:eastAsiaTheme="minorEastAsia"/>
          <w:color w:val="000000" w:themeColor="text1"/>
          <w:szCs w:val="21"/>
        </w:rPr>
        <w:t>“</w:t>
      </w:r>
      <w:r>
        <w:rPr>
          <w:rFonts w:eastAsiaTheme="minorEastAsia"/>
          <w:color w:val="000000" w:themeColor="text1"/>
          <w:szCs w:val="21"/>
        </w:rPr>
        <w:t>先立后破</w:t>
      </w:r>
      <w:r>
        <w:rPr>
          <w:rFonts w:eastAsiaTheme="minorEastAsia"/>
          <w:color w:val="000000" w:themeColor="text1"/>
          <w:szCs w:val="21"/>
        </w:rPr>
        <w:t>”</w:t>
      </w:r>
      <w:r>
        <w:rPr>
          <w:rFonts w:eastAsiaTheme="minorEastAsia"/>
          <w:color w:val="000000" w:themeColor="text1"/>
          <w:szCs w:val="21"/>
        </w:rPr>
        <w:t>的定调有望为旧经济托住下行的底，同时，经济内生的修复动力在经历疫后第一年的曲折后，一些适应国内需求升级的科技创新领域也有望迎来较好的增长。</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对于国内权益来讲，当前历史绝对估值分位、相对债券资产的估值均处在较高吸引力的水平，具备长期配置价值。临近年底，企业盈利预期指标有所企稳，并有望逐步修复。进入</w:t>
      </w:r>
      <w:r>
        <w:rPr>
          <w:rFonts w:eastAsiaTheme="minorEastAsia"/>
          <w:color w:val="000000" w:themeColor="text1"/>
          <w:szCs w:val="21"/>
        </w:rPr>
        <w:t>2024</w:t>
      </w:r>
      <w:r>
        <w:rPr>
          <w:rFonts w:eastAsiaTheme="minorEastAsia"/>
          <w:color w:val="000000" w:themeColor="text1"/>
          <w:szCs w:val="21"/>
        </w:rPr>
        <w:t>年，关注市场能否有增量资金流入，以打破存量资金博弈的格局。对于国内债券来讲，托底经济增长的政策在发力中，内外利差仍为负值，相对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股配置价值处在偏低的位置。但考虑到当前处在地方化债进程中、实际利率高位下，货币政策仍有进一步宽松的空间，国内债券的下行风险相对可控。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美债、美股延续过去一个季度的同时大幅上涨，依赖美国经济软着陆且美联储快速进入降息周期的预期叠加。中期来看，前期高利率对企业、居民部门的冲击在逐步上升，对美债收益率下行的逻辑有支撑；经济增长趋弱对股权回报的影响相对负面，可等待更好的时机配置发达国家权益资产。对于港股，来自国内经济基本面、海外高利率环境的压力均有望逐步缓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本报告期摩根双季鑫</w:t>
      </w:r>
      <w:r>
        <w:rPr>
          <w:rFonts w:eastAsiaTheme="minorEastAsia"/>
          <w:color w:val="000000" w:themeColor="text1"/>
          <w:szCs w:val="21"/>
        </w:rPr>
        <w:t>6</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:-0.25%</w:t>
      </w:r>
      <w:r>
        <w:rPr>
          <w:rFonts w:eastAsiaTheme="minorEastAsia"/>
          <w:color w:val="000000" w:themeColor="text1"/>
          <w:szCs w:val="21"/>
        </w:rPr>
        <w:t>，同期业绩比较基准收益率为</w:t>
      </w:r>
      <w:r>
        <w:rPr>
          <w:rFonts w:eastAsiaTheme="minorEastAsia"/>
          <w:color w:val="000000" w:themeColor="text1"/>
          <w:szCs w:val="21"/>
        </w:rPr>
        <w:t>:0.49%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12,818,553.31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83.99</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706,352.33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4.63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706,352.33</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4.63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1,500,516.57</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9.83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230,051.45</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1.51</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5,811.07</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15,261,284.73</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706,352.33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706,352.33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A32864">
        <w:tc>
          <w:tcPr>
            <w:tcW w:w="1504" w:type="dxa"/>
            <w:vAlign w:val="center"/>
          </w:tcPr>
          <w:p w:rsidR="00A32864" w:rsidRDefault="00364AB7">
            <w:pPr>
              <w:jc w:val="center"/>
            </w:pPr>
            <w:r>
              <w:rPr>
                <w:rFonts w:eastAsiaTheme="minorEastAsia"/>
                <w:color w:val="000000" w:themeColor="text1"/>
                <w:szCs w:val="21"/>
              </w:rPr>
              <w:t>1</w:t>
            </w:r>
          </w:p>
        </w:tc>
        <w:tc>
          <w:tcPr>
            <w:tcW w:w="1504" w:type="dxa"/>
            <w:vAlign w:val="center"/>
          </w:tcPr>
          <w:p w:rsidR="00A32864" w:rsidRDefault="00364AB7">
            <w:pPr>
              <w:jc w:val="center"/>
            </w:pPr>
            <w:r>
              <w:rPr>
                <w:rFonts w:eastAsiaTheme="minorEastAsia"/>
                <w:color w:val="000000" w:themeColor="text1"/>
                <w:szCs w:val="21"/>
              </w:rPr>
              <w:t>019709</w:t>
            </w:r>
          </w:p>
        </w:tc>
        <w:tc>
          <w:tcPr>
            <w:tcW w:w="1504" w:type="dxa"/>
            <w:vAlign w:val="center"/>
          </w:tcPr>
          <w:p w:rsidR="00A32864" w:rsidRDefault="00364AB7">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16</w:t>
            </w:r>
          </w:p>
        </w:tc>
        <w:tc>
          <w:tcPr>
            <w:tcW w:w="1503" w:type="dxa"/>
            <w:vAlign w:val="center"/>
          </w:tcPr>
          <w:p w:rsidR="00A32864" w:rsidRDefault="00364AB7">
            <w:pPr>
              <w:jc w:val="right"/>
            </w:pPr>
            <w:r>
              <w:rPr>
                <w:rFonts w:eastAsiaTheme="minorEastAsia"/>
                <w:color w:val="000000" w:themeColor="text1"/>
                <w:szCs w:val="21"/>
              </w:rPr>
              <w:t>4,000</w:t>
            </w:r>
          </w:p>
        </w:tc>
        <w:tc>
          <w:tcPr>
            <w:tcW w:w="1503" w:type="dxa"/>
            <w:vAlign w:val="center"/>
          </w:tcPr>
          <w:p w:rsidR="00A32864" w:rsidRDefault="00364AB7">
            <w:pPr>
              <w:jc w:val="right"/>
            </w:pPr>
            <w:r>
              <w:rPr>
                <w:rFonts w:eastAsiaTheme="minorEastAsia"/>
                <w:color w:val="000000" w:themeColor="text1"/>
                <w:szCs w:val="21"/>
              </w:rPr>
              <w:t>402,093.15</w:t>
            </w:r>
          </w:p>
        </w:tc>
        <w:tc>
          <w:tcPr>
            <w:tcW w:w="1503" w:type="dxa"/>
            <w:vAlign w:val="center"/>
          </w:tcPr>
          <w:p w:rsidR="00A32864" w:rsidRDefault="00364AB7">
            <w:pPr>
              <w:jc w:val="right"/>
            </w:pPr>
            <w:r>
              <w:rPr>
                <w:rFonts w:eastAsiaTheme="minorEastAsia"/>
                <w:color w:val="000000" w:themeColor="text1"/>
                <w:szCs w:val="21"/>
              </w:rPr>
              <w:t>2.65</w:t>
            </w:r>
          </w:p>
        </w:tc>
      </w:tr>
      <w:tr w:rsidR="00A32864">
        <w:tc>
          <w:tcPr>
            <w:tcW w:w="1504" w:type="dxa"/>
            <w:vAlign w:val="center"/>
          </w:tcPr>
          <w:p w:rsidR="00A32864" w:rsidRDefault="00364AB7">
            <w:pPr>
              <w:jc w:val="center"/>
            </w:pPr>
            <w:r>
              <w:rPr>
                <w:rFonts w:eastAsiaTheme="minorEastAsia"/>
                <w:color w:val="000000" w:themeColor="text1"/>
                <w:szCs w:val="21"/>
              </w:rPr>
              <w:t>2</w:t>
            </w:r>
          </w:p>
        </w:tc>
        <w:tc>
          <w:tcPr>
            <w:tcW w:w="1504" w:type="dxa"/>
            <w:vAlign w:val="center"/>
          </w:tcPr>
          <w:p w:rsidR="00A32864" w:rsidRDefault="00364AB7">
            <w:pPr>
              <w:jc w:val="center"/>
            </w:pPr>
            <w:r>
              <w:rPr>
                <w:rFonts w:eastAsiaTheme="minorEastAsia"/>
                <w:color w:val="000000" w:themeColor="text1"/>
                <w:szCs w:val="21"/>
              </w:rPr>
              <w:t>019703</w:t>
            </w:r>
          </w:p>
        </w:tc>
        <w:tc>
          <w:tcPr>
            <w:tcW w:w="1504" w:type="dxa"/>
            <w:vAlign w:val="center"/>
          </w:tcPr>
          <w:p w:rsidR="00A32864" w:rsidRDefault="00364AB7">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A32864" w:rsidRDefault="00364AB7">
            <w:pPr>
              <w:jc w:val="right"/>
            </w:pPr>
            <w:r>
              <w:rPr>
                <w:rFonts w:eastAsiaTheme="minorEastAsia"/>
                <w:color w:val="000000" w:themeColor="text1"/>
                <w:szCs w:val="21"/>
              </w:rPr>
              <w:t>3,000</w:t>
            </w:r>
          </w:p>
        </w:tc>
        <w:tc>
          <w:tcPr>
            <w:tcW w:w="1503" w:type="dxa"/>
            <w:vAlign w:val="center"/>
          </w:tcPr>
          <w:p w:rsidR="00A32864" w:rsidRDefault="00364AB7">
            <w:pPr>
              <w:jc w:val="right"/>
            </w:pPr>
            <w:r>
              <w:rPr>
                <w:rFonts w:eastAsiaTheme="minorEastAsia"/>
                <w:color w:val="000000" w:themeColor="text1"/>
                <w:szCs w:val="21"/>
              </w:rPr>
              <w:t>304,259.18</w:t>
            </w:r>
          </w:p>
        </w:tc>
        <w:tc>
          <w:tcPr>
            <w:tcW w:w="1503" w:type="dxa"/>
            <w:vAlign w:val="center"/>
          </w:tcPr>
          <w:p w:rsidR="00A32864" w:rsidRDefault="00364AB7">
            <w:pPr>
              <w:jc w:val="right"/>
            </w:pPr>
            <w:r>
              <w:rPr>
                <w:rFonts w:eastAsiaTheme="minorEastAsia"/>
                <w:color w:val="000000" w:themeColor="text1"/>
                <w:szCs w:val="21"/>
              </w:rPr>
              <w:t>2.01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2,108.25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3,647.77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55.05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5,811.07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A32864">
        <w:tc>
          <w:tcPr>
            <w:tcW w:w="817" w:type="dxa"/>
            <w:vAlign w:val="center"/>
          </w:tcPr>
          <w:p w:rsidR="00A32864" w:rsidRDefault="00364AB7">
            <w:pPr>
              <w:jc w:val="center"/>
            </w:pPr>
            <w:r>
              <w:rPr>
                <w:sz w:val="24"/>
              </w:rPr>
              <w:t>1</w:t>
            </w:r>
          </w:p>
        </w:tc>
        <w:tc>
          <w:tcPr>
            <w:tcW w:w="1133" w:type="dxa"/>
            <w:vAlign w:val="center"/>
          </w:tcPr>
          <w:p w:rsidR="00A32864" w:rsidRDefault="00364AB7">
            <w:pPr>
              <w:jc w:val="center"/>
            </w:pPr>
            <w:r>
              <w:rPr>
                <w:sz w:val="24"/>
              </w:rPr>
              <w:t>531028</w:t>
            </w:r>
          </w:p>
        </w:tc>
        <w:tc>
          <w:tcPr>
            <w:tcW w:w="1135" w:type="dxa"/>
            <w:vAlign w:val="center"/>
          </w:tcPr>
          <w:p w:rsidR="00A32864" w:rsidRDefault="00364AB7">
            <w:pPr>
              <w:jc w:val="center"/>
            </w:pPr>
            <w:r>
              <w:rPr>
                <w:sz w:val="24"/>
              </w:rPr>
              <w:t>建信短债债券</w:t>
            </w:r>
            <w:r>
              <w:rPr>
                <w:sz w:val="24"/>
              </w:rPr>
              <w:t>A</w:t>
            </w:r>
          </w:p>
        </w:tc>
        <w:tc>
          <w:tcPr>
            <w:tcW w:w="1135" w:type="dxa"/>
            <w:vAlign w:val="center"/>
          </w:tcPr>
          <w:p w:rsidR="00A32864" w:rsidRDefault="00364AB7">
            <w:pPr>
              <w:jc w:val="center"/>
            </w:pPr>
            <w:r>
              <w:rPr>
                <w:sz w:val="24"/>
              </w:rPr>
              <w:t>契约型开放式</w:t>
            </w:r>
          </w:p>
        </w:tc>
        <w:tc>
          <w:tcPr>
            <w:tcW w:w="1133" w:type="dxa"/>
            <w:vAlign w:val="center"/>
          </w:tcPr>
          <w:p w:rsidR="00A32864" w:rsidRDefault="00364AB7">
            <w:pPr>
              <w:jc w:val="center"/>
            </w:pPr>
            <w:r>
              <w:rPr>
                <w:sz w:val="24"/>
              </w:rPr>
              <w:t>1,378,762.08</w:t>
            </w:r>
          </w:p>
        </w:tc>
        <w:tc>
          <w:tcPr>
            <w:tcW w:w="1276" w:type="dxa"/>
            <w:vAlign w:val="center"/>
          </w:tcPr>
          <w:p w:rsidR="00A32864" w:rsidRDefault="00364AB7">
            <w:pPr>
              <w:jc w:val="center"/>
            </w:pPr>
            <w:r>
              <w:rPr>
                <w:sz w:val="24"/>
              </w:rPr>
              <w:t>1,534,148.57</w:t>
            </w:r>
          </w:p>
        </w:tc>
        <w:tc>
          <w:tcPr>
            <w:tcW w:w="1135" w:type="dxa"/>
            <w:vAlign w:val="center"/>
          </w:tcPr>
          <w:p w:rsidR="00A32864" w:rsidRDefault="00364AB7">
            <w:pPr>
              <w:jc w:val="center"/>
            </w:pPr>
            <w:r>
              <w:rPr>
                <w:sz w:val="24"/>
              </w:rPr>
              <w:t>10.13%</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2</w:t>
            </w:r>
          </w:p>
        </w:tc>
        <w:tc>
          <w:tcPr>
            <w:tcW w:w="1133" w:type="dxa"/>
            <w:vAlign w:val="center"/>
          </w:tcPr>
          <w:p w:rsidR="00A32864" w:rsidRDefault="00364AB7">
            <w:pPr>
              <w:jc w:val="center"/>
            </w:pPr>
            <w:r>
              <w:rPr>
                <w:sz w:val="24"/>
              </w:rPr>
              <w:t>012247</w:t>
            </w:r>
          </w:p>
        </w:tc>
        <w:tc>
          <w:tcPr>
            <w:tcW w:w="1135" w:type="dxa"/>
            <w:vAlign w:val="center"/>
          </w:tcPr>
          <w:p w:rsidR="00A32864" w:rsidRDefault="00364AB7">
            <w:pPr>
              <w:jc w:val="center"/>
            </w:pPr>
            <w:r>
              <w:rPr>
                <w:sz w:val="24"/>
              </w:rPr>
              <w:t>博时月月享</w:t>
            </w:r>
            <w:r>
              <w:rPr>
                <w:sz w:val="24"/>
              </w:rPr>
              <w:t>30</w:t>
            </w:r>
            <w:r>
              <w:rPr>
                <w:sz w:val="24"/>
              </w:rPr>
              <w:t>天持有期短债</w:t>
            </w:r>
            <w:r>
              <w:rPr>
                <w:sz w:val="24"/>
              </w:rPr>
              <w:t>C</w:t>
            </w:r>
          </w:p>
        </w:tc>
        <w:tc>
          <w:tcPr>
            <w:tcW w:w="1135" w:type="dxa"/>
            <w:vAlign w:val="center"/>
          </w:tcPr>
          <w:p w:rsidR="00A32864" w:rsidRDefault="00364AB7">
            <w:pPr>
              <w:jc w:val="center"/>
            </w:pPr>
            <w:r>
              <w:rPr>
                <w:sz w:val="24"/>
              </w:rPr>
              <w:t>契约型开放式</w:t>
            </w:r>
          </w:p>
        </w:tc>
        <w:tc>
          <w:tcPr>
            <w:tcW w:w="1133" w:type="dxa"/>
            <w:vAlign w:val="center"/>
          </w:tcPr>
          <w:p w:rsidR="00A32864" w:rsidRDefault="00364AB7">
            <w:pPr>
              <w:jc w:val="center"/>
            </w:pPr>
            <w:r>
              <w:rPr>
                <w:sz w:val="24"/>
              </w:rPr>
              <w:t>1,433,827.00</w:t>
            </w:r>
          </w:p>
        </w:tc>
        <w:tc>
          <w:tcPr>
            <w:tcW w:w="1276" w:type="dxa"/>
            <w:vAlign w:val="center"/>
          </w:tcPr>
          <w:p w:rsidR="00A32864" w:rsidRDefault="00364AB7">
            <w:pPr>
              <w:jc w:val="center"/>
            </w:pPr>
            <w:r>
              <w:rPr>
                <w:sz w:val="24"/>
              </w:rPr>
              <w:t>1,531,040.47</w:t>
            </w:r>
          </w:p>
        </w:tc>
        <w:tc>
          <w:tcPr>
            <w:tcW w:w="1135" w:type="dxa"/>
            <w:vAlign w:val="center"/>
          </w:tcPr>
          <w:p w:rsidR="00A32864" w:rsidRDefault="00364AB7">
            <w:pPr>
              <w:jc w:val="center"/>
            </w:pPr>
            <w:r>
              <w:rPr>
                <w:sz w:val="24"/>
              </w:rPr>
              <w:t>10.11%</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3</w:t>
            </w:r>
          </w:p>
        </w:tc>
        <w:tc>
          <w:tcPr>
            <w:tcW w:w="1133" w:type="dxa"/>
            <w:vAlign w:val="center"/>
          </w:tcPr>
          <w:p w:rsidR="00A32864" w:rsidRDefault="00364AB7">
            <w:pPr>
              <w:jc w:val="center"/>
            </w:pPr>
            <w:r>
              <w:rPr>
                <w:sz w:val="24"/>
              </w:rPr>
              <w:t>002301</w:t>
            </w:r>
          </w:p>
        </w:tc>
        <w:tc>
          <w:tcPr>
            <w:tcW w:w="1135" w:type="dxa"/>
            <w:vAlign w:val="center"/>
          </w:tcPr>
          <w:p w:rsidR="00A32864" w:rsidRDefault="00364AB7">
            <w:pPr>
              <w:jc w:val="center"/>
            </w:pPr>
            <w:r>
              <w:rPr>
                <w:sz w:val="24"/>
              </w:rPr>
              <w:t>兴业短债债券</w:t>
            </w:r>
            <w:r>
              <w:rPr>
                <w:sz w:val="24"/>
              </w:rPr>
              <w:t>A</w:t>
            </w:r>
          </w:p>
        </w:tc>
        <w:tc>
          <w:tcPr>
            <w:tcW w:w="1135" w:type="dxa"/>
            <w:vAlign w:val="center"/>
          </w:tcPr>
          <w:p w:rsidR="00A32864" w:rsidRDefault="00364AB7">
            <w:pPr>
              <w:jc w:val="center"/>
            </w:pPr>
            <w:r>
              <w:rPr>
                <w:sz w:val="24"/>
              </w:rPr>
              <w:t>契约型开放式</w:t>
            </w:r>
          </w:p>
        </w:tc>
        <w:tc>
          <w:tcPr>
            <w:tcW w:w="1133" w:type="dxa"/>
            <w:vAlign w:val="center"/>
          </w:tcPr>
          <w:p w:rsidR="00A32864" w:rsidRDefault="00364AB7">
            <w:pPr>
              <w:jc w:val="center"/>
            </w:pPr>
            <w:r>
              <w:rPr>
                <w:sz w:val="24"/>
              </w:rPr>
              <w:t>1,470,863.40</w:t>
            </w:r>
          </w:p>
        </w:tc>
        <w:tc>
          <w:tcPr>
            <w:tcW w:w="1276" w:type="dxa"/>
            <w:vAlign w:val="center"/>
          </w:tcPr>
          <w:p w:rsidR="00A32864" w:rsidRDefault="00364AB7">
            <w:pPr>
              <w:jc w:val="center"/>
            </w:pPr>
            <w:r>
              <w:rPr>
                <w:sz w:val="24"/>
              </w:rPr>
              <w:t>1,503,075.31</w:t>
            </w:r>
          </w:p>
        </w:tc>
        <w:tc>
          <w:tcPr>
            <w:tcW w:w="1135" w:type="dxa"/>
            <w:vAlign w:val="center"/>
          </w:tcPr>
          <w:p w:rsidR="00A32864" w:rsidRDefault="00364AB7">
            <w:pPr>
              <w:jc w:val="center"/>
            </w:pPr>
            <w:r>
              <w:rPr>
                <w:sz w:val="24"/>
              </w:rPr>
              <w:t>9.92%</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4</w:t>
            </w:r>
          </w:p>
        </w:tc>
        <w:tc>
          <w:tcPr>
            <w:tcW w:w="1133" w:type="dxa"/>
            <w:vAlign w:val="center"/>
          </w:tcPr>
          <w:p w:rsidR="00A32864" w:rsidRDefault="00364AB7">
            <w:pPr>
              <w:jc w:val="center"/>
            </w:pPr>
            <w:r>
              <w:rPr>
                <w:sz w:val="24"/>
              </w:rPr>
              <w:t>110053</w:t>
            </w:r>
          </w:p>
        </w:tc>
        <w:tc>
          <w:tcPr>
            <w:tcW w:w="1135" w:type="dxa"/>
            <w:vAlign w:val="center"/>
          </w:tcPr>
          <w:p w:rsidR="00A32864" w:rsidRDefault="00364AB7">
            <w:pPr>
              <w:jc w:val="center"/>
            </w:pPr>
            <w:r>
              <w:rPr>
                <w:sz w:val="24"/>
              </w:rPr>
              <w:t>易方达</w:t>
            </w:r>
            <w:r>
              <w:rPr>
                <w:sz w:val="24"/>
              </w:rPr>
              <w:lastRenderedPageBreak/>
              <w:t>安源中短债债券</w:t>
            </w:r>
            <w:r>
              <w:rPr>
                <w:sz w:val="24"/>
              </w:rPr>
              <w:t>A</w:t>
            </w:r>
          </w:p>
        </w:tc>
        <w:tc>
          <w:tcPr>
            <w:tcW w:w="1135" w:type="dxa"/>
            <w:vAlign w:val="center"/>
          </w:tcPr>
          <w:p w:rsidR="00A32864" w:rsidRDefault="00364AB7">
            <w:pPr>
              <w:jc w:val="center"/>
            </w:pPr>
            <w:r>
              <w:rPr>
                <w:sz w:val="24"/>
              </w:rPr>
              <w:lastRenderedPageBreak/>
              <w:t>契约型</w:t>
            </w:r>
            <w:r>
              <w:rPr>
                <w:sz w:val="24"/>
              </w:rPr>
              <w:lastRenderedPageBreak/>
              <w:t>开放式</w:t>
            </w:r>
          </w:p>
        </w:tc>
        <w:tc>
          <w:tcPr>
            <w:tcW w:w="1133" w:type="dxa"/>
            <w:vAlign w:val="center"/>
          </w:tcPr>
          <w:p w:rsidR="00A32864" w:rsidRDefault="00364AB7">
            <w:pPr>
              <w:jc w:val="center"/>
            </w:pPr>
            <w:r>
              <w:rPr>
                <w:sz w:val="24"/>
              </w:rPr>
              <w:lastRenderedPageBreak/>
              <w:t>1,401,80</w:t>
            </w:r>
            <w:r>
              <w:rPr>
                <w:sz w:val="24"/>
              </w:rPr>
              <w:lastRenderedPageBreak/>
              <w:t>4.32</w:t>
            </w:r>
          </w:p>
        </w:tc>
        <w:tc>
          <w:tcPr>
            <w:tcW w:w="1276" w:type="dxa"/>
            <w:vAlign w:val="center"/>
          </w:tcPr>
          <w:p w:rsidR="00A32864" w:rsidRDefault="00364AB7">
            <w:pPr>
              <w:jc w:val="center"/>
            </w:pPr>
            <w:r>
              <w:rPr>
                <w:sz w:val="24"/>
              </w:rPr>
              <w:lastRenderedPageBreak/>
              <w:t>1,435,727.</w:t>
            </w:r>
            <w:r>
              <w:rPr>
                <w:sz w:val="24"/>
              </w:rPr>
              <w:lastRenderedPageBreak/>
              <w:t>98</w:t>
            </w:r>
          </w:p>
        </w:tc>
        <w:tc>
          <w:tcPr>
            <w:tcW w:w="1135" w:type="dxa"/>
            <w:vAlign w:val="center"/>
          </w:tcPr>
          <w:p w:rsidR="00A32864" w:rsidRDefault="00364AB7">
            <w:pPr>
              <w:jc w:val="center"/>
            </w:pPr>
            <w:r>
              <w:rPr>
                <w:sz w:val="24"/>
              </w:rPr>
              <w:lastRenderedPageBreak/>
              <w:t>9.48%</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5</w:t>
            </w:r>
          </w:p>
        </w:tc>
        <w:tc>
          <w:tcPr>
            <w:tcW w:w="1133" w:type="dxa"/>
            <w:vAlign w:val="center"/>
          </w:tcPr>
          <w:p w:rsidR="00A32864" w:rsidRDefault="00364AB7">
            <w:pPr>
              <w:jc w:val="center"/>
            </w:pPr>
            <w:r>
              <w:rPr>
                <w:sz w:val="24"/>
              </w:rPr>
              <w:t>015862</w:t>
            </w:r>
          </w:p>
        </w:tc>
        <w:tc>
          <w:tcPr>
            <w:tcW w:w="1135" w:type="dxa"/>
            <w:vAlign w:val="center"/>
          </w:tcPr>
          <w:p w:rsidR="00A32864" w:rsidRDefault="00364AB7">
            <w:pPr>
              <w:jc w:val="center"/>
            </w:pPr>
            <w:r>
              <w:rPr>
                <w:sz w:val="24"/>
              </w:rPr>
              <w:t>景顺长城中证同业存单</w:t>
            </w:r>
            <w:r>
              <w:rPr>
                <w:sz w:val="24"/>
              </w:rPr>
              <w:t>AAA</w:t>
            </w:r>
            <w:r>
              <w:rPr>
                <w:sz w:val="24"/>
              </w:rPr>
              <w:t>指数</w:t>
            </w:r>
            <w:r>
              <w:rPr>
                <w:sz w:val="24"/>
              </w:rPr>
              <w:t>7</w:t>
            </w:r>
            <w:r>
              <w:rPr>
                <w:sz w:val="24"/>
              </w:rPr>
              <w:t>天持有</w:t>
            </w:r>
          </w:p>
        </w:tc>
        <w:tc>
          <w:tcPr>
            <w:tcW w:w="1135" w:type="dxa"/>
            <w:vAlign w:val="center"/>
          </w:tcPr>
          <w:p w:rsidR="00A32864" w:rsidRDefault="00364AB7">
            <w:pPr>
              <w:jc w:val="center"/>
            </w:pPr>
            <w:r>
              <w:rPr>
                <w:sz w:val="24"/>
              </w:rPr>
              <w:t>契约型开放式</w:t>
            </w:r>
          </w:p>
        </w:tc>
        <w:tc>
          <w:tcPr>
            <w:tcW w:w="1133" w:type="dxa"/>
            <w:vAlign w:val="center"/>
          </w:tcPr>
          <w:p w:rsidR="00A32864" w:rsidRDefault="00364AB7">
            <w:pPr>
              <w:jc w:val="center"/>
            </w:pPr>
            <w:r>
              <w:rPr>
                <w:sz w:val="24"/>
              </w:rPr>
              <w:t>736,077.48</w:t>
            </w:r>
          </w:p>
        </w:tc>
        <w:tc>
          <w:tcPr>
            <w:tcW w:w="1276" w:type="dxa"/>
            <w:vAlign w:val="center"/>
          </w:tcPr>
          <w:p w:rsidR="00A32864" w:rsidRDefault="00364AB7">
            <w:pPr>
              <w:jc w:val="center"/>
            </w:pPr>
            <w:r>
              <w:rPr>
                <w:sz w:val="24"/>
              </w:rPr>
              <w:t>765,078.93</w:t>
            </w:r>
          </w:p>
        </w:tc>
        <w:tc>
          <w:tcPr>
            <w:tcW w:w="1135" w:type="dxa"/>
            <w:vAlign w:val="center"/>
          </w:tcPr>
          <w:p w:rsidR="00A32864" w:rsidRDefault="00364AB7">
            <w:pPr>
              <w:jc w:val="center"/>
            </w:pPr>
            <w:r>
              <w:rPr>
                <w:sz w:val="24"/>
              </w:rPr>
              <w:t>5.05%</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6</w:t>
            </w:r>
          </w:p>
        </w:tc>
        <w:tc>
          <w:tcPr>
            <w:tcW w:w="1133" w:type="dxa"/>
            <w:vAlign w:val="center"/>
          </w:tcPr>
          <w:p w:rsidR="00A32864" w:rsidRDefault="00364AB7">
            <w:pPr>
              <w:jc w:val="center"/>
            </w:pPr>
            <w:r>
              <w:rPr>
                <w:sz w:val="24"/>
              </w:rPr>
              <w:t>015825</w:t>
            </w:r>
          </w:p>
        </w:tc>
        <w:tc>
          <w:tcPr>
            <w:tcW w:w="1135" w:type="dxa"/>
            <w:vAlign w:val="center"/>
          </w:tcPr>
          <w:p w:rsidR="00A32864" w:rsidRDefault="00364AB7">
            <w:pPr>
              <w:jc w:val="center"/>
            </w:pPr>
            <w:r>
              <w:rPr>
                <w:sz w:val="24"/>
              </w:rPr>
              <w:t>国泰中证同业存单</w:t>
            </w:r>
            <w:r>
              <w:rPr>
                <w:sz w:val="24"/>
              </w:rPr>
              <w:t>AAA</w:t>
            </w:r>
            <w:r>
              <w:rPr>
                <w:sz w:val="24"/>
              </w:rPr>
              <w:t>指数</w:t>
            </w:r>
            <w:r>
              <w:rPr>
                <w:sz w:val="24"/>
              </w:rPr>
              <w:t>7</w:t>
            </w:r>
            <w:r>
              <w:rPr>
                <w:sz w:val="24"/>
              </w:rPr>
              <w:t>天持有期</w:t>
            </w:r>
          </w:p>
        </w:tc>
        <w:tc>
          <w:tcPr>
            <w:tcW w:w="1135" w:type="dxa"/>
            <w:vAlign w:val="center"/>
          </w:tcPr>
          <w:p w:rsidR="00A32864" w:rsidRDefault="00364AB7">
            <w:pPr>
              <w:jc w:val="center"/>
            </w:pPr>
            <w:r>
              <w:rPr>
                <w:sz w:val="24"/>
              </w:rPr>
              <w:t>契约型开放式</w:t>
            </w:r>
          </w:p>
        </w:tc>
        <w:tc>
          <w:tcPr>
            <w:tcW w:w="1133" w:type="dxa"/>
            <w:vAlign w:val="center"/>
          </w:tcPr>
          <w:p w:rsidR="00A32864" w:rsidRDefault="00364AB7">
            <w:pPr>
              <w:jc w:val="center"/>
            </w:pPr>
            <w:r>
              <w:rPr>
                <w:sz w:val="24"/>
              </w:rPr>
              <w:t>738,117.11</w:t>
            </w:r>
          </w:p>
        </w:tc>
        <w:tc>
          <w:tcPr>
            <w:tcW w:w="1276" w:type="dxa"/>
            <w:vAlign w:val="center"/>
          </w:tcPr>
          <w:p w:rsidR="00A32864" w:rsidRDefault="00364AB7">
            <w:pPr>
              <w:jc w:val="center"/>
            </w:pPr>
            <w:r>
              <w:rPr>
                <w:sz w:val="24"/>
              </w:rPr>
              <w:t>764,836.95</w:t>
            </w:r>
          </w:p>
        </w:tc>
        <w:tc>
          <w:tcPr>
            <w:tcW w:w="1135" w:type="dxa"/>
            <w:vAlign w:val="center"/>
          </w:tcPr>
          <w:p w:rsidR="00A32864" w:rsidRDefault="00364AB7">
            <w:pPr>
              <w:jc w:val="center"/>
            </w:pPr>
            <w:r>
              <w:rPr>
                <w:sz w:val="24"/>
              </w:rPr>
              <w:t>5.05%</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7</w:t>
            </w:r>
          </w:p>
        </w:tc>
        <w:tc>
          <w:tcPr>
            <w:tcW w:w="1133" w:type="dxa"/>
            <w:vAlign w:val="center"/>
          </w:tcPr>
          <w:p w:rsidR="00A32864" w:rsidRDefault="00364AB7">
            <w:pPr>
              <w:jc w:val="center"/>
            </w:pPr>
            <w:r>
              <w:rPr>
                <w:sz w:val="24"/>
              </w:rPr>
              <w:t>014437</w:t>
            </w:r>
          </w:p>
        </w:tc>
        <w:tc>
          <w:tcPr>
            <w:tcW w:w="1135" w:type="dxa"/>
            <w:vAlign w:val="center"/>
          </w:tcPr>
          <w:p w:rsidR="00A32864" w:rsidRDefault="00364AB7">
            <w:pPr>
              <w:jc w:val="center"/>
            </w:pPr>
            <w:r>
              <w:rPr>
                <w:sz w:val="24"/>
              </w:rPr>
              <w:t>鹏华中证同业存单</w:t>
            </w:r>
            <w:r>
              <w:rPr>
                <w:sz w:val="24"/>
              </w:rPr>
              <w:t>AAA</w:t>
            </w:r>
            <w:r>
              <w:rPr>
                <w:sz w:val="24"/>
              </w:rPr>
              <w:t>指数</w:t>
            </w:r>
            <w:r>
              <w:rPr>
                <w:sz w:val="24"/>
              </w:rPr>
              <w:t>7</w:t>
            </w:r>
            <w:r>
              <w:rPr>
                <w:sz w:val="24"/>
              </w:rPr>
              <w:t>天持有期</w:t>
            </w:r>
          </w:p>
        </w:tc>
        <w:tc>
          <w:tcPr>
            <w:tcW w:w="1135" w:type="dxa"/>
            <w:vAlign w:val="center"/>
          </w:tcPr>
          <w:p w:rsidR="00A32864" w:rsidRDefault="00364AB7">
            <w:pPr>
              <w:jc w:val="center"/>
            </w:pPr>
            <w:r>
              <w:rPr>
                <w:sz w:val="24"/>
              </w:rPr>
              <w:t>契约型开放式</w:t>
            </w:r>
          </w:p>
        </w:tc>
        <w:tc>
          <w:tcPr>
            <w:tcW w:w="1133" w:type="dxa"/>
            <w:vAlign w:val="center"/>
          </w:tcPr>
          <w:p w:rsidR="00A32864" w:rsidRDefault="00364AB7">
            <w:pPr>
              <w:jc w:val="center"/>
            </w:pPr>
            <w:r>
              <w:rPr>
                <w:sz w:val="24"/>
              </w:rPr>
              <w:t>726,022.16</w:t>
            </w:r>
          </w:p>
        </w:tc>
        <w:tc>
          <w:tcPr>
            <w:tcW w:w="1276" w:type="dxa"/>
            <w:vAlign w:val="center"/>
          </w:tcPr>
          <w:p w:rsidR="00A32864" w:rsidRDefault="00364AB7">
            <w:pPr>
              <w:jc w:val="center"/>
            </w:pPr>
            <w:r>
              <w:rPr>
                <w:sz w:val="24"/>
              </w:rPr>
              <w:t>764,791.74</w:t>
            </w:r>
          </w:p>
        </w:tc>
        <w:tc>
          <w:tcPr>
            <w:tcW w:w="1135" w:type="dxa"/>
            <w:vAlign w:val="center"/>
          </w:tcPr>
          <w:p w:rsidR="00A32864" w:rsidRDefault="00364AB7">
            <w:pPr>
              <w:jc w:val="center"/>
            </w:pPr>
            <w:r>
              <w:rPr>
                <w:sz w:val="24"/>
              </w:rPr>
              <w:t>5.05%</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8</w:t>
            </w:r>
          </w:p>
        </w:tc>
        <w:tc>
          <w:tcPr>
            <w:tcW w:w="1133" w:type="dxa"/>
            <w:vAlign w:val="center"/>
          </w:tcPr>
          <w:p w:rsidR="00A32864" w:rsidRDefault="00364AB7">
            <w:pPr>
              <w:jc w:val="center"/>
            </w:pPr>
            <w:r>
              <w:rPr>
                <w:sz w:val="24"/>
              </w:rPr>
              <w:t>015861</w:t>
            </w:r>
          </w:p>
        </w:tc>
        <w:tc>
          <w:tcPr>
            <w:tcW w:w="1135" w:type="dxa"/>
            <w:vAlign w:val="center"/>
          </w:tcPr>
          <w:p w:rsidR="00A32864" w:rsidRDefault="00364AB7">
            <w:pPr>
              <w:jc w:val="center"/>
            </w:pPr>
            <w:r>
              <w:rPr>
                <w:sz w:val="24"/>
              </w:rPr>
              <w:t>嘉实中证同业存单</w:t>
            </w:r>
            <w:r>
              <w:rPr>
                <w:sz w:val="24"/>
              </w:rPr>
              <w:t>AAA</w:t>
            </w:r>
            <w:r>
              <w:rPr>
                <w:sz w:val="24"/>
              </w:rPr>
              <w:t>指数</w:t>
            </w:r>
            <w:r>
              <w:rPr>
                <w:sz w:val="24"/>
              </w:rPr>
              <w:t>7</w:t>
            </w:r>
            <w:r>
              <w:rPr>
                <w:sz w:val="24"/>
              </w:rPr>
              <w:t>天持有期</w:t>
            </w:r>
          </w:p>
        </w:tc>
        <w:tc>
          <w:tcPr>
            <w:tcW w:w="1135" w:type="dxa"/>
            <w:vAlign w:val="center"/>
          </w:tcPr>
          <w:p w:rsidR="00A32864" w:rsidRDefault="00364AB7">
            <w:pPr>
              <w:jc w:val="center"/>
            </w:pPr>
            <w:r>
              <w:rPr>
                <w:sz w:val="24"/>
              </w:rPr>
              <w:t>契约型开放式</w:t>
            </w:r>
          </w:p>
        </w:tc>
        <w:tc>
          <w:tcPr>
            <w:tcW w:w="1133" w:type="dxa"/>
            <w:vAlign w:val="center"/>
          </w:tcPr>
          <w:p w:rsidR="00A32864" w:rsidRDefault="00364AB7">
            <w:pPr>
              <w:jc w:val="center"/>
            </w:pPr>
            <w:r>
              <w:rPr>
                <w:sz w:val="24"/>
              </w:rPr>
              <w:t>737,291.42</w:t>
            </w:r>
          </w:p>
        </w:tc>
        <w:tc>
          <w:tcPr>
            <w:tcW w:w="1276" w:type="dxa"/>
            <w:vAlign w:val="center"/>
          </w:tcPr>
          <w:p w:rsidR="00A32864" w:rsidRDefault="00364AB7">
            <w:pPr>
              <w:jc w:val="center"/>
            </w:pPr>
            <w:r>
              <w:rPr>
                <w:sz w:val="24"/>
              </w:rPr>
              <w:t>764,055.10</w:t>
            </w:r>
          </w:p>
        </w:tc>
        <w:tc>
          <w:tcPr>
            <w:tcW w:w="1135" w:type="dxa"/>
            <w:vAlign w:val="center"/>
          </w:tcPr>
          <w:p w:rsidR="00A32864" w:rsidRDefault="00364AB7">
            <w:pPr>
              <w:jc w:val="center"/>
            </w:pPr>
            <w:r>
              <w:rPr>
                <w:sz w:val="24"/>
              </w:rPr>
              <w:t>5.04%</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9</w:t>
            </w:r>
          </w:p>
        </w:tc>
        <w:tc>
          <w:tcPr>
            <w:tcW w:w="1133" w:type="dxa"/>
            <w:vAlign w:val="center"/>
          </w:tcPr>
          <w:p w:rsidR="00A32864" w:rsidRDefault="00364AB7">
            <w:pPr>
              <w:jc w:val="center"/>
            </w:pPr>
            <w:r>
              <w:rPr>
                <w:sz w:val="24"/>
              </w:rPr>
              <w:t>511360</w:t>
            </w:r>
          </w:p>
        </w:tc>
        <w:tc>
          <w:tcPr>
            <w:tcW w:w="1135" w:type="dxa"/>
            <w:vAlign w:val="center"/>
          </w:tcPr>
          <w:p w:rsidR="00A32864" w:rsidRDefault="00364AB7">
            <w:pPr>
              <w:jc w:val="center"/>
            </w:pPr>
            <w:r>
              <w:rPr>
                <w:sz w:val="24"/>
              </w:rPr>
              <w:t>海富通中证短融</w:t>
            </w:r>
            <w:r>
              <w:rPr>
                <w:sz w:val="24"/>
              </w:rPr>
              <w:t>ETF</w:t>
            </w:r>
          </w:p>
        </w:tc>
        <w:tc>
          <w:tcPr>
            <w:tcW w:w="1135" w:type="dxa"/>
            <w:vAlign w:val="center"/>
          </w:tcPr>
          <w:p w:rsidR="00A32864" w:rsidRDefault="00364AB7">
            <w:pPr>
              <w:jc w:val="center"/>
            </w:pPr>
            <w:r>
              <w:rPr>
                <w:rFonts w:hint="eastAsia"/>
                <w:sz w:val="24"/>
              </w:rPr>
              <w:t>交易型开放式</w:t>
            </w:r>
          </w:p>
        </w:tc>
        <w:tc>
          <w:tcPr>
            <w:tcW w:w="1133" w:type="dxa"/>
            <w:vAlign w:val="center"/>
          </w:tcPr>
          <w:p w:rsidR="00A32864" w:rsidRDefault="00364AB7">
            <w:pPr>
              <w:jc w:val="center"/>
            </w:pPr>
            <w:r>
              <w:rPr>
                <w:sz w:val="24"/>
              </w:rPr>
              <w:t>7,000.00</w:t>
            </w:r>
          </w:p>
        </w:tc>
        <w:tc>
          <w:tcPr>
            <w:tcW w:w="1276" w:type="dxa"/>
            <w:vAlign w:val="center"/>
          </w:tcPr>
          <w:p w:rsidR="00A32864" w:rsidRDefault="00364AB7">
            <w:pPr>
              <w:jc w:val="center"/>
            </w:pPr>
            <w:r>
              <w:rPr>
                <w:sz w:val="24"/>
              </w:rPr>
              <w:t>760,900.00</w:t>
            </w:r>
          </w:p>
        </w:tc>
        <w:tc>
          <w:tcPr>
            <w:tcW w:w="1135" w:type="dxa"/>
            <w:vAlign w:val="center"/>
          </w:tcPr>
          <w:p w:rsidR="00A32864" w:rsidRDefault="00364AB7">
            <w:pPr>
              <w:jc w:val="center"/>
            </w:pPr>
            <w:r>
              <w:rPr>
                <w:sz w:val="24"/>
              </w:rPr>
              <w:t>5.02%</w:t>
            </w:r>
          </w:p>
        </w:tc>
        <w:tc>
          <w:tcPr>
            <w:tcW w:w="1272" w:type="dxa"/>
            <w:vAlign w:val="center"/>
          </w:tcPr>
          <w:p w:rsidR="00A32864" w:rsidRDefault="00364AB7">
            <w:pPr>
              <w:jc w:val="center"/>
            </w:pPr>
            <w:r>
              <w:rPr>
                <w:sz w:val="24"/>
              </w:rPr>
              <w:t>否</w:t>
            </w:r>
          </w:p>
        </w:tc>
      </w:tr>
      <w:tr w:rsidR="00A32864">
        <w:tc>
          <w:tcPr>
            <w:tcW w:w="817" w:type="dxa"/>
            <w:vAlign w:val="center"/>
          </w:tcPr>
          <w:p w:rsidR="00A32864" w:rsidRDefault="00364AB7">
            <w:pPr>
              <w:jc w:val="center"/>
            </w:pPr>
            <w:r>
              <w:rPr>
                <w:sz w:val="24"/>
              </w:rPr>
              <w:t>10</w:t>
            </w:r>
          </w:p>
        </w:tc>
        <w:tc>
          <w:tcPr>
            <w:tcW w:w="1133" w:type="dxa"/>
            <w:vAlign w:val="center"/>
          </w:tcPr>
          <w:p w:rsidR="00A32864" w:rsidRDefault="00364AB7">
            <w:pPr>
              <w:jc w:val="center"/>
            </w:pPr>
            <w:r>
              <w:rPr>
                <w:sz w:val="24"/>
              </w:rPr>
              <w:t>000857</w:t>
            </w:r>
          </w:p>
        </w:tc>
        <w:tc>
          <w:tcPr>
            <w:tcW w:w="1135" w:type="dxa"/>
            <w:vAlign w:val="center"/>
          </w:tcPr>
          <w:p w:rsidR="00A32864" w:rsidRDefault="00364AB7">
            <w:pPr>
              <w:jc w:val="center"/>
            </w:pPr>
            <w:r>
              <w:rPr>
                <w:sz w:val="24"/>
              </w:rPr>
              <w:t>摩根天添盈货币</w:t>
            </w:r>
            <w:r>
              <w:rPr>
                <w:sz w:val="24"/>
              </w:rPr>
              <w:t>E</w:t>
            </w:r>
          </w:p>
        </w:tc>
        <w:tc>
          <w:tcPr>
            <w:tcW w:w="1135" w:type="dxa"/>
            <w:vAlign w:val="center"/>
          </w:tcPr>
          <w:p w:rsidR="00A32864" w:rsidRDefault="00364AB7">
            <w:pPr>
              <w:jc w:val="center"/>
            </w:pPr>
            <w:r>
              <w:rPr>
                <w:sz w:val="24"/>
              </w:rPr>
              <w:t>契约型开放式</w:t>
            </w:r>
          </w:p>
        </w:tc>
        <w:tc>
          <w:tcPr>
            <w:tcW w:w="1133" w:type="dxa"/>
            <w:vAlign w:val="center"/>
          </w:tcPr>
          <w:p w:rsidR="00A32864" w:rsidRDefault="00364AB7">
            <w:pPr>
              <w:jc w:val="center"/>
            </w:pPr>
            <w:r>
              <w:rPr>
                <w:sz w:val="24"/>
              </w:rPr>
              <w:t>706,786.39</w:t>
            </w:r>
          </w:p>
        </w:tc>
        <w:tc>
          <w:tcPr>
            <w:tcW w:w="1276" w:type="dxa"/>
            <w:vAlign w:val="center"/>
          </w:tcPr>
          <w:p w:rsidR="00A32864" w:rsidRDefault="00364AB7">
            <w:pPr>
              <w:jc w:val="center"/>
            </w:pPr>
            <w:r>
              <w:rPr>
                <w:sz w:val="24"/>
              </w:rPr>
              <w:t>706,786.39</w:t>
            </w:r>
          </w:p>
        </w:tc>
        <w:tc>
          <w:tcPr>
            <w:tcW w:w="1135" w:type="dxa"/>
            <w:vAlign w:val="center"/>
          </w:tcPr>
          <w:p w:rsidR="00A32864" w:rsidRDefault="00364AB7">
            <w:pPr>
              <w:jc w:val="center"/>
            </w:pPr>
            <w:r>
              <w:rPr>
                <w:sz w:val="24"/>
              </w:rPr>
              <w:t>4.67%</w:t>
            </w:r>
          </w:p>
        </w:tc>
        <w:tc>
          <w:tcPr>
            <w:tcW w:w="1272" w:type="dxa"/>
            <w:vAlign w:val="center"/>
          </w:tcPr>
          <w:p w:rsidR="00A32864" w:rsidRDefault="00364AB7">
            <w:pPr>
              <w:jc w:val="center"/>
            </w:pPr>
            <w:r>
              <w:rPr>
                <w:sz w:val="24"/>
              </w:rPr>
              <w:t>是</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149.78</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lastRenderedPageBreak/>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2,108.40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53.61</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10,030.85</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1,930.98</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2,498.25</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315.14</w:t>
            </w:r>
          </w:p>
        </w:tc>
      </w:tr>
      <w:tr w:rsidR="00A32864">
        <w:tc>
          <w:tcPr>
            <w:tcW w:w="3012" w:type="dxa"/>
            <w:vAlign w:val="center"/>
          </w:tcPr>
          <w:p w:rsidR="00A32864" w:rsidRDefault="00364AB7">
            <w:pPr>
              <w:jc w:val="left"/>
            </w:pPr>
            <w:r>
              <w:rPr>
                <w:rFonts w:eastAsiaTheme="minorEastAsia"/>
                <w:color w:val="000000" w:themeColor="text1"/>
                <w:sz w:val="24"/>
              </w:rPr>
              <w:t>当期交易基金产生的交易费（元）</w:t>
            </w:r>
          </w:p>
        </w:tc>
        <w:tc>
          <w:tcPr>
            <w:tcW w:w="3012" w:type="dxa"/>
            <w:vAlign w:val="center"/>
          </w:tcPr>
          <w:p w:rsidR="00A32864" w:rsidRDefault="00364AB7">
            <w:pPr>
              <w:jc w:val="right"/>
            </w:pPr>
            <w:r>
              <w:rPr>
                <w:rFonts w:eastAsiaTheme="minorEastAsia"/>
                <w:color w:val="000000" w:themeColor="text1"/>
                <w:sz w:val="24"/>
              </w:rPr>
              <w:t>1,342.02</w:t>
            </w:r>
          </w:p>
        </w:tc>
        <w:tc>
          <w:tcPr>
            <w:tcW w:w="3012" w:type="dxa"/>
            <w:vAlign w:val="center"/>
          </w:tcPr>
          <w:p w:rsidR="00A32864" w:rsidRDefault="00364AB7">
            <w:pPr>
              <w:jc w:val="right"/>
            </w:pPr>
            <w:r>
              <w:rPr>
                <w:rFonts w:eastAsiaTheme="minorEastAsia"/>
                <w:color w:val="000000" w:themeColor="text1"/>
                <w:sz w:val="24"/>
              </w:rPr>
              <w:t>-</w:t>
            </w:r>
          </w:p>
        </w:tc>
      </w:tr>
      <w:tr w:rsidR="00A32864">
        <w:tc>
          <w:tcPr>
            <w:tcW w:w="3012" w:type="dxa"/>
            <w:vAlign w:val="center"/>
          </w:tcPr>
          <w:p w:rsidR="00A32864" w:rsidRDefault="00364AB7">
            <w:pPr>
              <w:jc w:val="left"/>
            </w:pPr>
            <w:r>
              <w:rPr>
                <w:rFonts w:eastAsiaTheme="minorEastAsia"/>
                <w:color w:val="000000" w:themeColor="text1"/>
                <w:sz w:val="24"/>
              </w:rPr>
              <w:t>当期交易基金产生的转换费（元）</w:t>
            </w:r>
          </w:p>
        </w:tc>
        <w:tc>
          <w:tcPr>
            <w:tcW w:w="3012" w:type="dxa"/>
            <w:vAlign w:val="center"/>
          </w:tcPr>
          <w:p w:rsidR="00A32864" w:rsidRDefault="00364AB7">
            <w:pPr>
              <w:jc w:val="right"/>
            </w:pPr>
            <w:r>
              <w:rPr>
                <w:rFonts w:eastAsiaTheme="minorEastAsia"/>
                <w:color w:val="000000" w:themeColor="text1"/>
                <w:sz w:val="24"/>
              </w:rPr>
              <w:t>-</w:t>
            </w:r>
          </w:p>
        </w:tc>
        <w:tc>
          <w:tcPr>
            <w:tcW w:w="3012" w:type="dxa"/>
            <w:vAlign w:val="center"/>
          </w:tcPr>
          <w:p w:rsidR="00A32864" w:rsidRDefault="00364AB7">
            <w:pPr>
              <w:jc w:val="right"/>
            </w:pPr>
            <w:r>
              <w:rPr>
                <w:rFonts w:eastAsiaTheme="minorEastAsia"/>
                <w:color w:val="000000" w:themeColor="text1"/>
                <w:sz w:val="24"/>
              </w:rPr>
              <w:t>-</w:t>
            </w:r>
          </w:p>
        </w:tc>
      </w:tr>
    </w:tbl>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14,693,520.00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533,721.06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24,422.14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6,997.69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14,717,942.14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540,718.75</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10,000,388.89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lastRenderedPageBreak/>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10,000,388.89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65.54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报告期末发起式基金发起资金持有份额情况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trPr>
          <w:trHeight w:val="543"/>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65.54%</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65.54%</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trPr>
          <w:trHeight w:val="790"/>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1,428.91</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0.01%</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10,001,817.80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65.55%</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65.54%</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10.1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A32864">
        <w:tc>
          <w:tcPr>
            <w:tcW w:w="993" w:type="dxa"/>
            <w:vAlign w:val="center"/>
          </w:tcPr>
          <w:p w:rsidR="00A32864" w:rsidRDefault="00364AB7">
            <w:r>
              <w:rPr>
                <w:bCs/>
                <w:color w:val="000000"/>
                <w:kern w:val="0"/>
                <w:szCs w:val="21"/>
              </w:rPr>
              <w:t>机构</w:t>
            </w:r>
          </w:p>
        </w:tc>
        <w:tc>
          <w:tcPr>
            <w:tcW w:w="992" w:type="dxa"/>
            <w:vAlign w:val="center"/>
          </w:tcPr>
          <w:p w:rsidR="00A32864" w:rsidRDefault="00364AB7">
            <w:pPr>
              <w:jc w:val="center"/>
            </w:pPr>
            <w:r>
              <w:rPr>
                <w:color w:val="000000"/>
                <w:kern w:val="0"/>
                <w:szCs w:val="21"/>
              </w:rPr>
              <w:t>1</w:t>
            </w:r>
          </w:p>
        </w:tc>
        <w:tc>
          <w:tcPr>
            <w:tcW w:w="1843" w:type="dxa"/>
            <w:vAlign w:val="center"/>
          </w:tcPr>
          <w:p w:rsidR="00A32864" w:rsidRDefault="00364AB7">
            <w:pPr>
              <w:jc w:val="center"/>
            </w:pPr>
            <w:r>
              <w:rPr>
                <w:color w:val="000000"/>
                <w:kern w:val="0"/>
                <w:szCs w:val="21"/>
              </w:rPr>
              <w:t>20231001-20231231</w:t>
            </w:r>
          </w:p>
        </w:tc>
        <w:tc>
          <w:tcPr>
            <w:tcW w:w="851" w:type="dxa"/>
            <w:vAlign w:val="center"/>
          </w:tcPr>
          <w:p w:rsidR="00A32864" w:rsidRDefault="00364AB7">
            <w:pPr>
              <w:jc w:val="center"/>
            </w:pPr>
            <w:r>
              <w:rPr>
                <w:color w:val="000000"/>
                <w:kern w:val="0"/>
                <w:szCs w:val="21"/>
              </w:rPr>
              <w:t>10,000,388.89</w:t>
            </w:r>
          </w:p>
        </w:tc>
        <w:tc>
          <w:tcPr>
            <w:tcW w:w="850" w:type="dxa"/>
            <w:vAlign w:val="center"/>
          </w:tcPr>
          <w:p w:rsidR="00A32864" w:rsidRDefault="00364AB7">
            <w:pPr>
              <w:jc w:val="center"/>
            </w:pPr>
            <w:r>
              <w:rPr>
                <w:color w:val="000000"/>
                <w:kern w:val="0"/>
                <w:szCs w:val="21"/>
              </w:rPr>
              <w:t>0.00</w:t>
            </w:r>
          </w:p>
        </w:tc>
        <w:tc>
          <w:tcPr>
            <w:tcW w:w="1134" w:type="dxa"/>
            <w:vAlign w:val="center"/>
          </w:tcPr>
          <w:p w:rsidR="00A32864" w:rsidRDefault="00364AB7">
            <w:pPr>
              <w:jc w:val="center"/>
            </w:pPr>
            <w:r>
              <w:rPr>
                <w:color w:val="000000"/>
                <w:kern w:val="0"/>
                <w:szCs w:val="21"/>
              </w:rPr>
              <w:t>0.00</w:t>
            </w:r>
          </w:p>
        </w:tc>
        <w:tc>
          <w:tcPr>
            <w:tcW w:w="1419" w:type="dxa"/>
            <w:vAlign w:val="center"/>
          </w:tcPr>
          <w:p w:rsidR="00A32864" w:rsidRDefault="00364AB7">
            <w:pPr>
              <w:jc w:val="center"/>
            </w:pPr>
            <w:r>
              <w:rPr>
                <w:color w:val="000000"/>
                <w:kern w:val="0"/>
                <w:szCs w:val="21"/>
              </w:rPr>
              <w:t>10,000,388.89</w:t>
            </w:r>
          </w:p>
        </w:tc>
        <w:tc>
          <w:tcPr>
            <w:tcW w:w="1130" w:type="dxa"/>
            <w:vAlign w:val="center"/>
          </w:tcPr>
          <w:p w:rsidR="00A32864" w:rsidRDefault="00364AB7">
            <w:pPr>
              <w:jc w:val="center"/>
            </w:pPr>
            <w:r>
              <w:rPr>
                <w:color w:val="000000"/>
                <w:kern w:val="0"/>
                <w:szCs w:val="21"/>
              </w:rPr>
              <w:t>65.54%</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§11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11.1</w:t>
      </w:r>
      <w:r w:rsidRPr="00B27A29">
        <w:rPr>
          <w:rFonts w:eastAsiaTheme="minorEastAsia"/>
          <w:b/>
          <w:bCs/>
          <w:color w:val="000000" w:themeColor="text1"/>
          <w:kern w:val="0"/>
          <w:szCs w:val="21"/>
        </w:rPr>
        <w:t>备查文件目录</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（一）中国证监会准予本基金募集注册的文件</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（二）摩根双季鑫</w:t>
      </w:r>
      <w:r>
        <w:rPr>
          <w:rFonts w:eastAsiaTheme="minorEastAsia"/>
          <w:color w:val="000000" w:themeColor="text1"/>
          <w:szCs w:val="21"/>
        </w:rPr>
        <w:t>6</w:t>
      </w:r>
      <w:r>
        <w:rPr>
          <w:rFonts w:eastAsiaTheme="minorEastAsia"/>
          <w:color w:val="000000" w:themeColor="text1"/>
          <w:szCs w:val="21"/>
        </w:rPr>
        <w:t>个月持有期债券型发起式基金中基金</w:t>
      </w:r>
      <w:r>
        <w:rPr>
          <w:rFonts w:eastAsiaTheme="minorEastAsia"/>
          <w:color w:val="000000" w:themeColor="text1"/>
          <w:szCs w:val="21"/>
        </w:rPr>
        <w:t>(FOF)</w:t>
      </w:r>
      <w:r>
        <w:rPr>
          <w:rFonts w:eastAsiaTheme="minorEastAsia"/>
          <w:color w:val="000000" w:themeColor="text1"/>
          <w:szCs w:val="21"/>
        </w:rPr>
        <w:t>基金合同</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（三）摩根双季鑫</w:t>
      </w:r>
      <w:r>
        <w:rPr>
          <w:rFonts w:eastAsiaTheme="minorEastAsia"/>
          <w:color w:val="000000" w:themeColor="text1"/>
          <w:szCs w:val="21"/>
        </w:rPr>
        <w:t>6</w:t>
      </w:r>
      <w:r>
        <w:rPr>
          <w:rFonts w:eastAsiaTheme="minorEastAsia"/>
          <w:color w:val="000000" w:themeColor="text1"/>
          <w:szCs w:val="21"/>
        </w:rPr>
        <w:t>个月持有期债券型发起式基金中基金</w:t>
      </w:r>
      <w:r>
        <w:rPr>
          <w:rFonts w:eastAsiaTheme="minorEastAsia"/>
          <w:color w:val="000000" w:themeColor="text1"/>
          <w:szCs w:val="21"/>
        </w:rPr>
        <w:t>(FOF)</w:t>
      </w:r>
      <w:r>
        <w:rPr>
          <w:rFonts w:eastAsiaTheme="minorEastAsia"/>
          <w:color w:val="000000" w:themeColor="text1"/>
          <w:szCs w:val="21"/>
        </w:rPr>
        <w:t>托管协议</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A32864" w:rsidRDefault="00364AB7">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711B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711BC">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711BC">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摩根双季鑫</w:t>
    </w:r>
    <w:r>
      <w:t>6</w:t>
    </w:r>
    <w:r>
      <w:t>个月持有期债券型发起式基金中基金</w:t>
    </w:r>
    <w:r>
      <w:t>(FOF)2023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4AB7"/>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864"/>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11BC"/>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887E-413F-488C-9AF7-41B8C5D5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36</TotalTime>
  <Pages>16</Pages>
  <Words>1368</Words>
  <Characters>7799</Characters>
  <Application>Microsoft Office Word</Application>
  <DocSecurity>0</DocSecurity>
  <Lines>64</Lines>
  <Paragraphs>18</Paragraphs>
  <ScaleCrop>false</ScaleCrop>
  <Company>TRT. Ltd. Co.</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227</cp:revision>
  <cp:lastPrinted>2007-07-19T00:46:00Z</cp:lastPrinted>
  <dcterms:created xsi:type="dcterms:W3CDTF">2013-06-21T06:56:00Z</dcterms:created>
  <dcterms:modified xsi:type="dcterms:W3CDTF">2024-01-19T05:46:00Z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