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C1BA"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7CC8C21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CCB4ED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E9D520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4606C9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2320651"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摩根双季鑫</w:t>
      </w:r>
      <w:r w:rsidRPr="00B27A29">
        <w:rPr>
          <w:rFonts w:eastAsiaTheme="minorEastAsia"/>
          <w:b/>
          <w:color w:val="000000" w:themeColor="text1"/>
          <w:sz w:val="36"/>
          <w:szCs w:val="36"/>
        </w:rPr>
        <w:t>6</w:t>
      </w:r>
      <w:r w:rsidRPr="00B27A29">
        <w:rPr>
          <w:rFonts w:eastAsiaTheme="minorEastAsia"/>
          <w:b/>
          <w:color w:val="000000" w:themeColor="text1"/>
          <w:sz w:val="36"/>
          <w:szCs w:val="36"/>
        </w:rPr>
        <w:t>个月持有期债券型发起</w:t>
      </w:r>
      <w:proofErr w:type="gramStart"/>
      <w:r w:rsidRPr="00B27A29">
        <w:rPr>
          <w:rFonts w:eastAsiaTheme="minorEastAsia"/>
          <w:b/>
          <w:color w:val="000000" w:themeColor="text1"/>
          <w:sz w:val="36"/>
          <w:szCs w:val="36"/>
        </w:rPr>
        <w:t>式基金</w:t>
      </w:r>
      <w:proofErr w:type="gramEnd"/>
      <w:r w:rsidRPr="00B27A29">
        <w:rPr>
          <w:rFonts w:eastAsiaTheme="minorEastAsia"/>
          <w:b/>
          <w:color w:val="000000" w:themeColor="text1"/>
          <w:sz w:val="36"/>
          <w:szCs w:val="36"/>
        </w:rPr>
        <w:t>中基金</w:t>
      </w:r>
      <w:r w:rsidRPr="00B27A29">
        <w:rPr>
          <w:rFonts w:eastAsiaTheme="minorEastAsia"/>
          <w:b/>
          <w:color w:val="000000" w:themeColor="text1"/>
          <w:sz w:val="36"/>
          <w:szCs w:val="36"/>
        </w:rPr>
        <w:t>(FOF)</w:t>
      </w:r>
    </w:p>
    <w:p w14:paraId="24290CC5"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55DBB602"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68E25FC3" w14:textId="77777777" w:rsidR="005E6DF3" w:rsidRPr="00B27A29" w:rsidRDefault="005E6DF3">
      <w:pPr>
        <w:spacing w:line="360" w:lineRule="auto"/>
        <w:jc w:val="center"/>
        <w:rPr>
          <w:rFonts w:eastAsiaTheme="minorEastAsia"/>
          <w:b/>
          <w:color w:val="000000" w:themeColor="text1"/>
          <w:szCs w:val="21"/>
        </w:rPr>
      </w:pPr>
    </w:p>
    <w:p w14:paraId="4F80B167" w14:textId="77777777" w:rsidR="005E6DF3" w:rsidRPr="00B27A29" w:rsidRDefault="005E6DF3">
      <w:pPr>
        <w:spacing w:line="360" w:lineRule="auto"/>
        <w:jc w:val="center"/>
        <w:rPr>
          <w:rFonts w:eastAsiaTheme="minorEastAsia"/>
          <w:b/>
          <w:color w:val="000000" w:themeColor="text1"/>
          <w:szCs w:val="21"/>
        </w:rPr>
      </w:pPr>
    </w:p>
    <w:p w14:paraId="17229609" w14:textId="77777777" w:rsidR="005E6DF3" w:rsidRPr="00B27A29" w:rsidRDefault="005E6DF3">
      <w:pPr>
        <w:spacing w:line="360" w:lineRule="auto"/>
        <w:jc w:val="center"/>
        <w:rPr>
          <w:rFonts w:eastAsiaTheme="minorEastAsia"/>
          <w:b/>
          <w:color w:val="000000" w:themeColor="text1"/>
          <w:szCs w:val="21"/>
        </w:rPr>
      </w:pPr>
    </w:p>
    <w:p w14:paraId="24E2940A" w14:textId="77777777" w:rsidR="005E6DF3" w:rsidRPr="00B27A29" w:rsidRDefault="005E6DF3">
      <w:pPr>
        <w:spacing w:line="360" w:lineRule="auto"/>
        <w:jc w:val="center"/>
        <w:rPr>
          <w:rFonts w:eastAsiaTheme="minorEastAsia"/>
          <w:b/>
          <w:color w:val="000000" w:themeColor="text1"/>
          <w:szCs w:val="21"/>
        </w:rPr>
      </w:pPr>
    </w:p>
    <w:p w14:paraId="23560306" w14:textId="77777777" w:rsidR="005E6DF3" w:rsidRPr="00B27A29" w:rsidRDefault="005E6DF3">
      <w:pPr>
        <w:spacing w:line="360" w:lineRule="auto"/>
        <w:jc w:val="center"/>
        <w:rPr>
          <w:rFonts w:eastAsiaTheme="minorEastAsia"/>
          <w:b/>
          <w:color w:val="000000" w:themeColor="text1"/>
          <w:szCs w:val="21"/>
        </w:rPr>
      </w:pPr>
    </w:p>
    <w:p w14:paraId="35BECA48" w14:textId="77777777" w:rsidR="005E6DF3" w:rsidRPr="00B27A29" w:rsidRDefault="005E6DF3">
      <w:pPr>
        <w:spacing w:line="360" w:lineRule="auto"/>
        <w:jc w:val="center"/>
        <w:rPr>
          <w:rFonts w:eastAsiaTheme="minorEastAsia"/>
          <w:b/>
          <w:color w:val="000000" w:themeColor="text1"/>
          <w:szCs w:val="21"/>
        </w:rPr>
      </w:pPr>
    </w:p>
    <w:p w14:paraId="73630279" w14:textId="77777777" w:rsidR="005E6DF3" w:rsidRPr="00B27A29" w:rsidRDefault="005E6DF3">
      <w:pPr>
        <w:spacing w:line="360" w:lineRule="auto"/>
        <w:jc w:val="center"/>
        <w:rPr>
          <w:rFonts w:eastAsiaTheme="minorEastAsia"/>
          <w:b/>
          <w:color w:val="000000" w:themeColor="text1"/>
          <w:szCs w:val="21"/>
        </w:rPr>
      </w:pPr>
    </w:p>
    <w:p w14:paraId="3862BF63" w14:textId="77777777" w:rsidR="005E6DF3" w:rsidRPr="00B27A29" w:rsidRDefault="005E6DF3">
      <w:pPr>
        <w:spacing w:line="360" w:lineRule="auto"/>
        <w:jc w:val="center"/>
        <w:rPr>
          <w:rFonts w:eastAsiaTheme="minorEastAsia"/>
          <w:b/>
          <w:color w:val="000000" w:themeColor="text1"/>
          <w:szCs w:val="21"/>
        </w:rPr>
      </w:pPr>
    </w:p>
    <w:p w14:paraId="3F55144E" w14:textId="77777777" w:rsidR="005E6DF3" w:rsidRPr="00B27A29" w:rsidRDefault="005E6DF3">
      <w:pPr>
        <w:spacing w:line="360" w:lineRule="auto"/>
        <w:jc w:val="center"/>
        <w:rPr>
          <w:rFonts w:eastAsiaTheme="minorEastAsia"/>
          <w:b/>
          <w:color w:val="000000" w:themeColor="text1"/>
          <w:szCs w:val="21"/>
        </w:rPr>
      </w:pPr>
    </w:p>
    <w:p w14:paraId="3DF8B7EC" w14:textId="77777777" w:rsidR="005E6DF3" w:rsidRPr="00B27A29" w:rsidRDefault="005E6DF3">
      <w:pPr>
        <w:spacing w:line="360" w:lineRule="auto"/>
        <w:jc w:val="center"/>
        <w:rPr>
          <w:rFonts w:eastAsiaTheme="minorEastAsia"/>
          <w:b/>
          <w:color w:val="000000" w:themeColor="text1"/>
          <w:szCs w:val="21"/>
        </w:rPr>
      </w:pPr>
    </w:p>
    <w:p w14:paraId="09B4AC6F" w14:textId="77777777" w:rsidR="005E6DF3" w:rsidRPr="00B27A29" w:rsidRDefault="005E6DF3">
      <w:pPr>
        <w:spacing w:line="360" w:lineRule="auto"/>
        <w:jc w:val="center"/>
        <w:rPr>
          <w:rFonts w:eastAsiaTheme="minorEastAsia"/>
          <w:b/>
          <w:color w:val="000000" w:themeColor="text1"/>
          <w:szCs w:val="21"/>
        </w:rPr>
      </w:pPr>
    </w:p>
    <w:p w14:paraId="7347CDAD" w14:textId="77777777" w:rsidR="005E6DF3" w:rsidRPr="00B27A29" w:rsidRDefault="005E6DF3">
      <w:pPr>
        <w:spacing w:line="360" w:lineRule="auto"/>
        <w:jc w:val="center"/>
        <w:rPr>
          <w:rFonts w:eastAsiaTheme="minorEastAsia"/>
          <w:b/>
          <w:color w:val="000000" w:themeColor="text1"/>
          <w:szCs w:val="21"/>
        </w:rPr>
      </w:pPr>
    </w:p>
    <w:p w14:paraId="24AA5E42" w14:textId="77777777" w:rsidR="005E6DF3" w:rsidRPr="00B27A29" w:rsidRDefault="005E6DF3">
      <w:pPr>
        <w:spacing w:line="360" w:lineRule="auto"/>
        <w:jc w:val="center"/>
        <w:rPr>
          <w:rFonts w:eastAsiaTheme="minorEastAsia"/>
          <w:b/>
          <w:color w:val="000000" w:themeColor="text1"/>
          <w:szCs w:val="21"/>
        </w:rPr>
      </w:pPr>
    </w:p>
    <w:p w14:paraId="36EEDFEC" w14:textId="77777777" w:rsidR="005E6DF3" w:rsidRPr="00B27A29" w:rsidRDefault="005E6DF3">
      <w:pPr>
        <w:spacing w:line="360" w:lineRule="auto"/>
        <w:rPr>
          <w:rFonts w:eastAsiaTheme="minorEastAsia"/>
          <w:b/>
          <w:color w:val="000000" w:themeColor="text1"/>
          <w:szCs w:val="21"/>
        </w:rPr>
      </w:pPr>
    </w:p>
    <w:p w14:paraId="05112154"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7D3836A7"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基金托管人：中国光大银行股份有限公司</w:t>
      </w:r>
    </w:p>
    <w:p w14:paraId="7095AC23"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38F9A424"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5C1AC26E" w14:textId="77777777" w:rsidR="00946BC5" w:rsidRDefault="00876C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09A1EF80" w14:textId="77777777" w:rsidR="00946BC5" w:rsidRDefault="00876C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基金托管人中国光大银行股份有限公司根据本基金合同规定，于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246DA671" w14:textId="77777777" w:rsidR="00946BC5" w:rsidRDefault="00876C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D970595" w14:textId="77777777" w:rsidR="00946BC5" w:rsidRDefault="00876CE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45BDF860" w14:textId="77777777" w:rsidR="00946BC5" w:rsidRDefault="00876CE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23EE4D2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08126F3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56E820D5" w14:textId="77777777">
        <w:tc>
          <w:tcPr>
            <w:tcW w:w="2835" w:type="dxa"/>
            <w:vAlign w:val="center"/>
          </w:tcPr>
          <w:p w14:paraId="4641649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55BD36B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摩根双季鑫</w:t>
            </w:r>
            <w:r w:rsidRPr="00B27A29">
              <w:rPr>
                <w:rFonts w:eastAsiaTheme="minorEastAsia"/>
                <w:color w:val="000000" w:themeColor="text1"/>
                <w:kern w:val="0"/>
                <w:szCs w:val="21"/>
              </w:rPr>
              <w:t>6</w:t>
            </w:r>
            <w:r w:rsidRPr="00B27A29">
              <w:rPr>
                <w:rFonts w:eastAsiaTheme="minorEastAsia"/>
                <w:color w:val="000000" w:themeColor="text1"/>
                <w:kern w:val="0"/>
                <w:szCs w:val="21"/>
              </w:rPr>
              <w:t>个月持有债券</w:t>
            </w:r>
            <w:r w:rsidRPr="00B27A29">
              <w:rPr>
                <w:rFonts w:eastAsiaTheme="minorEastAsia"/>
                <w:color w:val="000000" w:themeColor="text1"/>
                <w:kern w:val="0"/>
                <w:szCs w:val="21"/>
              </w:rPr>
              <w:t>(FOF)</w:t>
            </w:r>
          </w:p>
        </w:tc>
      </w:tr>
      <w:tr w:rsidR="005E6DF3" w:rsidRPr="00B27A29" w14:paraId="65F2602F" w14:textId="77777777">
        <w:tc>
          <w:tcPr>
            <w:tcW w:w="2835" w:type="dxa"/>
            <w:vAlign w:val="center"/>
          </w:tcPr>
          <w:p w14:paraId="224060E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1AD12E8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018428</w:t>
            </w:r>
          </w:p>
        </w:tc>
      </w:tr>
      <w:tr w:rsidR="005E6DF3" w:rsidRPr="00B27A29" w14:paraId="7A33A146" w14:textId="77777777">
        <w:tc>
          <w:tcPr>
            <w:tcW w:w="2835" w:type="dxa"/>
            <w:vAlign w:val="center"/>
          </w:tcPr>
          <w:p w14:paraId="1E60C9F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022FAE0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44D014AA" w14:textId="77777777">
        <w:tc>
          <w:tcPr>
            <w:tcW w:w="2835" w:type="dxa"/>
            <w:vAlign w:val="center"/>
          </w:tcPr>
          <w:p w14:paraId="29BEE1C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1AE7AC7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2023</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14:paraId="4D987679" w14:textId="77777777">
        <w:tc>
          <w:tcPr>
            <w:tcW w:w="2835" w:type="dxa"/>
            <w:vAlign w:val="center"/>
          </w:tcPr>
          <w:p w14:paraId="7DB5A9E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3D42FAB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17,760,756.25</w:t>
            </w:r>
            <w:r w:rsidRPr="00B27A29">
              <w:rPr>
                <w:rFonts w:eastAsiaTheme="minorEastAsia"/>
                <w:color w:val="000000" w:themeColor="text1"/>
                <w:kern w:val="0"/>
                <w:szCs w:val="21"/>
              </w:rPr>
              <w:t>份</w:t>
            </w:r>
          </w:p>
        </w:tc>
      </w:tr>
      <w:tr w:rsidR="005E6DF3" w:rsidRPr="00B27A29" w14:paraId="04DC0F4E" w14:textId="77777777">
        <w:tc>
          <w:tcPr>
            <w:tcW w:w="2835" w:type="dxa"/>
            <w:vAlign w:val="center"/>
          </w:tcPr>
          <w:p w14:paraId="6D05EAC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170DBB6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本基金通过资产配置及优选基金，并结合严格的风险控制，力争实现基金资产的长期稳健增值。</w:t>
            </w:r>
          </w:p>
        </w:tc>
      </w:tr>
      <w:tr w:rsidR="005E6DF3" w:rsidRPr="00B27A29" w14:paraId="15E3E6E0" w14:textId="77777777">
        <w:tc>
          <w:tcPr>
            <w:tcW w:w="2835" w:type="dxa"/>
            <w:vAlign w:val="center"/>
          </w:tcPr>
          <w:p w14:paraId="0943DA7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0B2194E7" w14:textId="77777777" w:rsidR="00946BC5" w:rsidRDefault="00876C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225A0AD5" w14:textId="77777777" w:rsidR="00946BC5" w:rsidRDefault="00876C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在大类资产配置上，本基金将结合产品定位、风险收益特征以及管理人的长期资本市场观点确定基金的资产配置方案。</w:t>
            </w:r>
          </w:p>
          <w:p w14:paraId="735E4798" w14:textId="77777777" w:rsidR="00946BC5" w:rsidRDefault="00876C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首先，管理人将根据基金业绩基准确定产品的风险收益特征。其次，管理人将根据投</w:t>
            </w:r>
            <w:proofErr w:type="gramStart"/>
            <w:r>
              <w:rPr>
                <w:rFonts w:eastAsiaTheme="minorEastAsia"/>
                <w:color w:val="000000" w:themeColor="text1"/>
                <w:kern w:val="0"/>
                <w:szCs w:val="21"/>
              </w:rPr>
              <w:t>研</w:t>
            </w:r>
            <w:proofErr w:type="gramEnd"/>
            <w:r>
              <w:rPr>
                <w:rFonts w:eastAsiaTheme="minorEastAsia"/>
                <w:color w:val="000000" w:themeColor="text1"/>
                <w:kern w:val="0"/>
                <w:szCs w:val="21"/>
              </w:rPr>
              <w:t>团队的长期资本市场观点对各类型资产的风险收益特征进行判断。最后，结合本基金</w:t>
            </w:r>
            <w:r>
              <w:rPr>
                <w:rFonts w:eastAsiaTheme="minorEastAsia"/>
                <w:color w:val="000000" w:themeColor="text1"/>
                <w:kern w:val="0"/>
                <w:szCs w:val="21"/>
              </w:rPr>
              <w:lastRenderedPageBreak/>
              <w:t>以及各资产类别的风险收益特征，依据现代投资组合理论，模拟得出各大类资产的长期战略配置比例。</w:t>
            </w:r>
          </w:p>
          <w:p w14:paraId="02ED9798" w14:textId="77777777" w:rsidR="00946BC5" w:rsidRDefault="00876C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本基金将定期结合策略观点，修正资产配置，实现细分资产类别的动态调整。</w:t>
            </w:r>
          </w:p>
          <w:p w14:paraId="6FDD61FB" w14:textId="77777777" w:rsidR="00946BC5" w:rsidRDefault="00876C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、基金投资策略：</w:t>
            </w:r>
          </w:p>
          <w:p w14:paraId="1B04CA22" w14:textId="77777777" w:rsidR="00946BC5" w:rsidRDefault="00876C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）主动管理型基金投资策略</w:t>
            </w:r>
          </w:p>
          <w:p w14:paraId="21CB2CC8" w14:textId="77777777" w:rsidR="00946BC5" w:rsidRDefault="00876C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通过自下而上的方式优选基金，研究过程中综合运用定量分析和定性分析，优选符合要求且能在中长期创造超额收益的基金。</w:t>
            </w:r>
          </w:p>
          <w:p w14:paraId="0A81B180" w14:textId="77777777" w:rsidR="00946BC5" w:rsidRDefault="00876C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）指数基金投资策略</w:t>
            </w:r>
          </w:p>
          <w:p w14:paraId="2C8341DC" w14:textId="77777777" w:rsidR="00946BC5" w:rsidRDefault="00876C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优选中长期</w:t>
            </w:r>
            <w:proofErr w:type="gramStart"/>
            <w:r>
              <w:rPr>
                <w:rFonts w:eastAsiaTheme="minorEastAsia"/>
                <w:color w:val="000000" w:themeColor="text1"/>
                <w:kern w:val="0"/>
                <w:szCs w:val="21"/>
              </w:rPr>
              <w:t>景气向好的指数</w:t>
            </w:r>
            <w:proofErr w:type="gramEnd"/>
            <w:r>
              <w:rPr>
                <w:rFonts w:eastAsiaTheme="minorEastAsia"/>
                <w:color w:val="000000" w:themeColor="text1"/>
                <w:kern w:val="0"/>
                <w:szCs w:val="21"/>
              </w:rPr>
              <w:t>基金进行配置，增厚组合收益，并把握阶段性投资机会，获取超额收益。</w:t>
            </w:r>
          </w:p>
          <w:p w14:paraId="42825DE7" w14:textId="77777777" w:rsidR="00946BC5" w:rsidRDefault="00876C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）公募</w:t>
            </w:r>
            <w:r>
              <w:rPr>
                <w:rFonts w:eastAsiaTheme="minorEastAsia"/>
                <w:color w:val="000000" w:themeColor="text1"/>
                <w:kern w:val="0"/>
                <w:szCs w:val="21"/>
              </w:rPr>
              <w:t xml:space="preserve"> REITs </w:t>
            </w:r>
            <w:r>
              <w:rPr>
                <w:rFonts w:eastAsiaTheme="minorEastAsia"/>
                <w:color w:val="000000" w:themeColor="text1"/>
                <w:kern w:val="0"/>
                <w:szCs w:val="21"/>
              </w:rPr>
              <w:t>投资策略</w:t>
            </w:r>
          </w:p>
          <w:p w14:paraId="1E593D9D" w14:textId="77777777" w:rsidR="00946BC5" w:rsidRDefault="00876C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4</w:t>
            </w:r>
            <w:r>
              <w:rPr>
                <w:rFonts w:eastAsiaTheme="minorEastAsia"/>
                <w:color w:val="000000" w:themeColor="text1"/>
                <w:kern w:val="0"/>
                <w:szCs w:val="21"/>
              </w:rPr>
              <w:t>）本基金投资于其他基金份额的限制</w:t>
            </w:r>
          </w:p>
          <w:p w14:paraId="609D6994" w14:textId="77777777" w:rsidR="00946BC5" w:rsidRDefault="00876CE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、其他投资策略：</w:t>
            </w:r>
          </w:p>
          <w:p w14:paraId="11E83FC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包括股票投资策略、债券投资策略、证券公司短期公司债投资策略、资产支持证券投资策略、存托凭证投资策略。</w:t>
            </w:r>
          </w:p>
        </w:tc>
      </w:tr>
      <w:tr w:rsidR="005E6DF3" w:rsidRPr="00B27A29" w14:paraId="328A74B4" w14:textId="77777777">
        <w:tc>
          <w:tcPr>
            <w:tcW w:w="2835" w:type="dxa"/>
            <w:vAlign w:val="center"/>
          </w:tcPr>
          <w:p w14:paraId="631CE59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66A0668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中证债券型基金指数收益率</w:t>
            </w:r>
            <w:r w:rsidRPr="00B27A29">
              <w:rPr>
                <w:rFonts w:eastAsiaTheme="minorEastAsia"/>
                <w:color w:val="000000" w:themeColor="text1"/>
                <w:kern w:val="0"/>
                <w:szCs w:val="21"/>
              </w:rPr>
              <w:t>*90%</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*10%</w:t>
            </w:r>
          </w:p>
        </w:tc>
      </w:tr>
      <w:tr w:rsidR="005E6DF3" w:rsidRPr="00B27A29" w14:paraId="27EC9770" w14:textId="77777777">
        <w:tc>
          <w:tcPr>
            <w:tcW w:w="2835" w:type="dxa"/>
            <w:vAlign w:val="center"/>
          </w:tcPr>
          <w:p w14:paraId="04ABFC8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55047AE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本基金属于债券型基金中基金，预期风险和收益水平低于股票型基金中基金和混合型基金中基金，高于货币型基金中基金。</w:t>
            </w:r>
          </w:p>
        </w:tc>
      </w:tr>
      <w:tr w:rsidR="005E6DF3" w:rsidRPr="00B27A29" w14:paraId="1395B8FC" w14:textId="77777777">
        <w:tc>
          <w:tcPr>
            <w:tcW w:w="2835" w:type="dxa"/>
            <w:vAlign w:val="center"/>
          </w:tcPr>
          <w:p w14:paraId="3A7A662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04AD9E1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5111C440" w14:textId="77777777">
        <w:tc>
          <w:tcPr>
            <w:tcW w:w="2835" w:type="dxa"/>
            <w:vAlign w:val="center"/>
          </w:tcPr>
          <w:p w14:paraId="71E667F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2F2F9FC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中国光大银行股份有限公司</w:t>
            </w:r>
          </w:p>
        </w:tc>
      </w:tr>
      <w:tr w:rsidR="005E6DF3" w:rsidRPr="00B27A29" w14:paraId="62426AA2" w14:textId="77777777">
        <w:tc>
          <w:tcPr>
            <w:tcW w:w="2835" w:type="dxa"/>
            <w:vAlign w:val="center"/>
          </w:tcPr>
          <w:p w14:paraId="31A2AA1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4864CC5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(FOF)A</w:t>
            </w:r>
          </w:p>
        </w:tc>
        <w:tc>
          <w:tcPr>
            <w:tcW w:w="2740" w:type="dxa"/>
            <w:vAlign w:val="center"/>
          </w:tcPr>
          <w:p w14:paraId="5E00DD9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(FOF)C</w:t>
            </w:r>
          </w:p>
        </w:tc>
      </w:tr>
      <w:tr w:rsidR="005E6DF3" w:rsidRPr="00B27A29" w14:paraId="7CD41323" w14:textId="77777777">
        <w:tc>
          <w:tcPr>
            <w:tcW w:w="2835" w:type="dxa"/>
            <w:vAlign w:val="center"/>
          </w:tcPr>
          <w:p w14:paraId="2901B53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4191320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018428</w:t>
            </w:r>
          </w:p>
        </w:tc>
        <w:tc>
          <w:tcPr>
            <w:tcW w:w="2740" w:type="dxa"/>
            <w:vAlign w:val="center"/>
          </w:tcPr>
          <w:p w14:paraId="7A3921D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018429</w:t>
            </w:r>
          </w:p>
        </w:tc>
      </w:tr>
      <w:tr w:rsidR="005E6DF3" w:rsidRPr="00B27A29" w14:paraId="477C96E5" w14:textId="77777777">
        <w:tc>
          <w:tcPr>
            <w:tcW w:w="2835" w:type="dxa"/>
            <w:vAlign w:val="center"/>
          </w:tcPr>
          <w:p w14:paraId="6EEF246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6754FCB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10,624,216.64</w:t>
            </w:r>
            <w:r w:rsidRPr="00B27A29">
              <w:rPr>
                <w:rFonts w:eastAsiaTheme="minorEastAsia"/>
                <w:color w:val="000000" w:themeColor="text1"/>
                <w:kern w:val="0"/>
                <w:szCs w:val="21"/>
              </w:rPr>
              <w:t>份</w:t>
            </w:r>
          </w:p>
        </w:tc>
        <w:tc>
          <w:tcPr>
            <w:tcW w:w="2740" w:type="dxa"/>
            <w:vAlign w:val="center"/>
          </w:tcPr>
          <w:p w14:paraId="426F6B8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7,136,539.61</w:t>
            </w:r>
            <w:r w:rsidRPr="00B27A29">
              <w:rPr>
                <w:rFonts w:eastAsiaTheme="minorEastAsia"/>
                <w:color w:val="000000" w:themeColor="text1"/>
                <w:kern w:val="0"/>
                <w:szCs w:val="21"/>
              </w:rPr>
              <w:t>份</w:t>
            </w:r>
          </w:p>
        </w:tc>
      </w:tr>
    </w:tbl>
    <w:p w14:paraId="11B5B74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14:paraId="0344910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787BC361"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372D0DB3" w14:textId="77777777">
        <w:tc>
          <w:tcPr>
            <w:tcW w:w="3402" w:type="dxa"/>
            <w:vMerge w:val="restart"/>
            <w:vAlign w:val="center"/>
          </w:tcPr>
          <w:p w14:paraId="3F034F4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7D05756A"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557651C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516B75DB" w14:textId="77777777">
        <w:tc>
          <w:tcPr>
            <w:tcW w:w="3402" w:type="dxa"/>
            <w:vMerge/>
            <w:vAlign w:val="center"/>
          </w:tcPr>
          <w:p w14:paraId="567358E7"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22267DB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(FOF)A</w:t>
            </w:r>
          </w:p>
        </w:tc>
        <w:tc>
          <w:tcPr>
            <w:tcW w:w="2481" w:type="dxa"/>
            <w:vAlign w:val="center"/>
          </w:tcPr>
          <w:p w14:paraId="39B0DF18"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(FOF)C</w:t>
            </w:r>
          </w:p>
        </w:tc>
      </w:tr>
      <w:tr w:rsidR="005E6DF3" w:rsidRPr="00B27A29" w14:paraId="513F2EEB" w14:textId="77777777">
        <w:tc>
          <w:tcPr>
            <w:tcW w:w="3402" w:type="dxa"/>
            <w:vAlign w:val="center"/>
          </w:tcPr>
          <w:p w14:paraId="2295401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52C914B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66,527.50</w:t>
            </w:r>
          </w:p>
        </w:tc>
        <w:tc>
          <w:tcPr>
            <w:tcW w:w="2481" w:type="dxa"/>
            <w:vAlign w:val="center"/>
          </w:tcPr>
          <w:p w14:paraId="072C803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39,454.63</w:t>
            </w:r>
          </w:p>
        </w:tc>
      </w:tr>
      <w:tr w:rsidR="005E6DF3" w:rsidRPr="00B27A29" w14:paraId="5EFDD26B" w14:textId="77777777">
        <w:tc>
          <w:tcPr>
            <w:tcW w:w="3402" w:type="dxa"/>
            <w:vAlign w:val="center"/>
          </w:tcPr>
          <w:p w14:paraId="7FF7DA0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6273B3D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124,337.16</w:t>
            </w:r>
          </w:p>
        </w:tc>
        <w:tc>
          <w:tcPr>
            <w:tcW w:w="2481" w:type="dxa"/>
            <w:vAlign w:val="center"/>
          </w:tcPr>
          <w:p w14:paraId="0BC6A6E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80,413.52</w:t>
            </w:r>
          </w:p>
        </w:tc>
      </w:tr>
      <w:tr w:rsidR="005E6DF3" w:rsidRPr="00B27A29" w14:paraId="7181FD70" w14:textId="77777777">
        <w:tc>
          <w:tcPr>
            <w:tcW w:w="3402" w:type="dxa"/>
            <w:vAlign w:val="center"/>
          </w:tcPr>
          <w:p w14:paraId="4A7E3F4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684EF3B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0.0117</w:t>
            </w:r>
          </w:p>
        </w:tc>
        <w:tc>
          <w:tcPr>
            <w:tcW w:w="2481" w:type="dxa"/>
            <w:vAlign w:val="center"/>
          </w:tcPr>
          <w:p w14:paraId="37E89AA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0.0113</w:t>
            </w:r>
          </w:p>
        </w:tc>
      </w:tr>
      <w:tr w:rsidR="005E6DF3" w:rsidRPr="00B27A29" w14:paraId="0C8BF129" w14:textId="77777777">
        <w:tc>
          <w:tcPr>
            <w:tcW w:w="3402" w:type="dxa"/>
            <w:vAlign w:val="center"/>
          </w:tcPr>
          <w:p w14:paraId="22E4ACC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39C5D25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10,905,532.49</w:t>
            </w:r>
          </w:p>
        </w:tc>
        <w:tc>
          <w:tcPr>
            <w:tcW w:w="2481" w:type="dxa"/>
            <w:vAlign w:val="center"/>
          </w:tcPr>
          <w:p w14:paraId="75244C3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7,300,387.33</w:t>
            </w:r>
          </w:p>
        </w:tc>
      </w:tr>
      <w:tr w:rsidR="005E6DF3" w:rsidRPr="00B27A29" w14:paraId="4DCF42B2" w14:textId="77777777">
        <w:trPr>
          <w:trHeight w:val="158"/>
        </w:trPr>
        <w:tc>
          <w:tcPr>
            <w:tcW w:w="3402" w:type="dxa"/>
            <w:vAlign w:val="center"/>
          </w:tcPr>
          <w:p w14:paraId="6FAF610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362A06A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1.0265</w:t>
            </w:r>
          </w:p>
        </w:tc>
        <w:tc>
          <w:tcPr>
            <w:tcW w:w="2481" w:type="dxa"/>
            <w:vAlign w:val="center"/>
          </w:tcPr>
          <w:p w14:paraId="054F49C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1.0230</w:t>
            </w:r>
          </w:p>
        </w:tc>
      </w:tr>
    </w:tbl>
    <w:p w14:paraId="233E7EDB" w14:textId="77777777" w:rsidR="00946BC5" w:rsidRDefault="00876C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2F95696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11F8959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088EA1AA"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62DC9CE5"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摩根双季鑫</w:t>
      </w:r>
      <w:r w:rsidRPr="00B27A29">
        <w:rPr>
          <w:rFonts w:eastAsiaTheme="minorEastAsia"/>
          <w:b/>
          <w:color w:val="000000" w:themeColor="text1"/>
          <w:kern w:val="0"/>
          <w:szCs w:val="21"/>
        </w:rPr>
        <w:t>6</w:t>
      </w:r>
      <w:r w:rsidRPr="00B27A29">
        <w:rPr>
          <w:rFonts w:eastAsiaTheme="minorEastAsia"/>
          <w:b/>
          <w:color w:val="000000" w:themeColor="text1"/>
          <w:kern w:val="0"/>
          <w:szCs w:val="21"/>
        </w:rPr>
        <w:t>个月持有债券</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5004FC59" w14:textId="77777777">
        <w:tc>
          <w:tcPr>
            <w:tcW w:w="1290" w:type="dxa"/>
            <w:vAlign w:val="center"/>
          </w:tcPr>
          <w:p w14:paraId="447BE87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6092E17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7DDFAAA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08A3AE0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0A57194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4A71AC7B"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05F2D5E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46BC5" w14:paraId="65CB2866" w14:textId="77777777">
        <w:tc>
          <w:tcPr>
            <w:tcW w:w="1290" w:type="dxa"/>
            <w:vAlign w:val="center"/>
          </w:tcPr>
          <w:p w14:paraId="6A51BEB7" w14:textId="77777777" w:rsidR="00946BC5" w:rsidRDefault="00876CEF">
            <w:pPr>
              <w:jc w:val="left"/>
            </w:pPr>
            <w:r>
              <w:rPr>
                <w:rFonts w:eastAsiaTheme="minorEastAsia"/>
                <w:color w:val="000000" w:themeColor="text1"/>
                <w:szCs w:val="21"/>
              </w:rPr>
              <w:t>过去三个月</w:t>
            </w:r>
          </w:p>
        </w:tc>
        <w:tc>
          <w:tcPr>
            <w:tcW w:w="1291" w:type="dxa"/>
            <w:vAlign w:val="center"/>
          </w:tcPr>
          <w:p w14:paraId="5D0E7142" w14:textId="77777777" w:rsidR="00946BC5" w:rsidRDefault="00876CEF">
            <w:pPr>
              <w:jc w:val="right"/>
            </w:pPr>
            <w:r>
              <w:rPr>
                <w:rFonts w:eastAsiaTheme="minorEastAsia"/>
                <w:color w:val="000000" w:themeColor="text1"/>
                <w:szCs w:val="21"/>
              </w:rPr>
              <w:t>1.18%</w:t>
            </w:r>
          </w:p>
        </w:tc>
        <w:tc>
          <w:tcPr>
            <w:tcW w:w="1291" w:type="dxa"/>
            <w:vAlign w:val="center"/>
          </w:tcPr>
          <w:p w14:paraId="0E1BD7B5" w14:textId="77777777" w:rsidR="00946BC5" w:rsidRDefault="00876CEF">
            <w:pPr>
              <w:jc w:val="right"/>
            </w:pPr>
            <w:r>
              <w:rPr>
                <w:rFonts w:eastAsiaTheme="minorEastAsia"/>
                <w:color w:val="000000" w:themeColor="text1"/>
                <w:szCs w:val="21"/>
              </w:rPr>
              <w:t>0.06%</w:t>
            </w:r>
          </w:p>
        </w:tc>
        <w:tc>
          <w:tcPr>
            <w:tcW w:w="1291" w:type="dxa"/>
            <w:vAlign w:val="center"/>
          </w:tcPr>
          <w:p w14:paraId="5D2EEF5A" w14:textId="77777777" w:rsidR="00946BC5" w:rsidRDefault="00876CEF">
            <w:pPr>
              <w:jc w:val="right"/>
            </w:pPr>
            <w:r>
              <w:rPr>
                <w:rFonts w:eastAsiaTheme="minorEastAsia"/>
                <w:color w:val="000000" w:themeColor="text1"/>
                <w:szCs w:val="21"/>
              </w:rPr>
              <w:t>1.51%</w:t>
            </w:r>
          </w:p>
        </w:tc>
        <w:tc>
          <w:tcPr>
            <w:tcW w:w="1291" w:type="dxa"/>
            <w:vAlign w:val="center"/>
          </w:tcPr>
          <w:p w14:paraId="6CA13D2A" w14:textId="77777777" w:rsidR="00946BC5" w:rsidRDefault="00876CEF">
            <w:pPr>
              <w:jc w:val="right"/>
            </w:pPr>
            <w:r>
              <w:rPr>
                <w:rFonts w:eastAsiaTheme="minorEastAsia"/>
                <w:color w:val="000000" w:themeColor="text1"/>
                <w:szCs w:val="21"/>
              </w:rPr>
              <w:t>0.06%</w:t>
            </w:r>
          </w:p>
        </w:tc>
        <w:tc>
          <w:tcPr>
            <w:tcW w:w="1291" w:type="dxa"/>
            <w:vAlign w:val="center"/>
          </w:tcPr>
          <w:p w14:paraId="00B45C90" w14:textId="77777777" w:rsidR="00946BC5" w:rsidRDefault="00876CEF">
            <w:pPr>
              <w:jc w:val="right"/>
            </w:pPr>
            <w:r>
              <w:rPr>
                <w:rFonts w:eastAsiaTheme="minorEastAsia"/>
                <w:color w:val="000000" w:themeColor="text1"/>
                <w:szCs w:val="21"/>
              </w:rPr>
              <w:t>-0.33%</w:t>
            </w:r>
          </w:p>
        </w:tc>
        <w:tc>
          <w:tcPr>
            <w:tcW w:w="1291" w:type="dxa"/>
            <w:vAlign w:val="center"/>
          </w:tcPr>
          <w:p w14:paraId="224FADCC" w14:textId="77777777" w:rsidR="00946BC5" w:rsidRDefault="00876CEF">
            <w:pPr>
              <w:jc w:val="right"/>
            </w:pPr>
            <w:r>
              <w:rPr>
                <w:rFonts w:eastAsiaTheme="minorEastAsia"/>
                <w:color w:val="000000" w:themeColor="text1"/>
                <w:szCs w:val="21"/>
              </w:rPr>
              <w:t>0.00%</w:t>
            </w:r>
          </w:p>
        </w:tc>
      </w:tr>
      <w:tr w:rsidR="00946BC5" w14:paraId="060101E4" w14:textId="77777777">
        <w:tc>
          <w:tcPr>
            <w:tcW w:w="1290" w:type="dxa"/>
            <w:vAlign w:val="center"/>
          </w:tcPr>
          <w:p w14:paraId="3DD9CCB9" w14:textId="77777777" w:rsidR="00946BC5" w:rsidRDefault="00876CEF">
            <w:pPr>
              <w:jc w:val="left"/>
            </w:pPr>
            <w:r>
              <w:rPr>
                <w:rFonts w:eastAsiaTheme="minorEastAsia"/>
                <w:color w:val="000000" w:themeColor="text1"/>
                <w:szCs w:val="21"/>
              </w:rPr>
              <w:t>过去六个月</w:t>
            </w:r>
          </w:p>
        </w:tc>
        <w:tc>
          <w:tcPr>
            <w:tcW w:w="1291" w:type="dxa"/>
            <w:vAlign w:val="center"/>
          </w:tcPr>
          <w:p w14:paraId="678FBA82" w14:textId="77777777" w:rsidR="00946BC5" w:rsidRDefault="00876CEF">
            <w:pPr>
              <w:jc w:val="right"/>
            </w:pPr>
            <w:r>
              <w:rPr>
                <w:rFonts w:eastAsiaTheme="minorEastAsia"/>
                <w:color w:val="000000" w:themeColor="text1"/>
                <w:szCs w:val="21"/>
              </w:rPr>
              <w:t>1.71%</w:t>
            </w:r>
          </w:p>
        </w:tc>
        <w:tc>
          <w:tcPr>
            <w:tcW w:w="1291" w:type="dxa"/>
            <w:vAlign w:val="center"/>
          </w:tcPr>
          <w:p w14:paraId="0FF2FD3F" w14:textId="77777777" w:rsidR="00946BC5" w:rsidRDefault="00876CEF">
            <w:pPr>
              <w:jc w:val="right"/>
            </w:pPr>
            <w:r>
              <w:rPr>
                <w:rFonts w:eastAsiaTheme="minorEastAsia"/>
                <w:color w:val="000000" w:themeColor="text1"/>
                <w:szCs w:val="21"/>
              </w:rPr>
              <w:t>0.06%</w:t>
            </w:r>
          </w:p>
        </w:tc>
        <w:tc>
          <w:tcPr>
            <w:tcW w:w="1291" w:type="dxa"/>
            <w:vAlign w:val="center"/>
          </w:tcPr>
          <w:p w14:paraId="77EA2290" w14:textId="77777777" w:rsidR="00946BC5" w:rsidRDefault="00876CEF">
            <w:pPr>
              <w:jc w:val="right"/>
            </w:pPr>
            <w:r>
              <w:rPr>
                <w:rFonts w:eastAsiaTheme="minorEastAsia"/>
                <w:color w:val="000000" w:themeColor="text1"/>
                <w:szCs w:val="21"/>
              </w:rPr>
              <w:t>1.95%</w:t>
            </w:r>
          </w:p>
        </w:tc>
        <w:tc>
          <w:tcPr>
            <w:tcW w:w="1291" w:type="dxa"/>
            <w:vAlign w:val="center"/>
          </w:tcPr>
          <w:p w14:paraId="6C3CF5DB" w14:textId="77777777" w:rsidR="00946BC5" w:rsidRDefault="00876CEF">
            <w:pPr>
              <w:jc w:val="right"/>
            </w:pPr>
            <w:r>
              <w:rPr>
                <w:rFonts w:eastAsiaTheme="minorEastAsia"/>
                <w:color w:val="000000" w:themeColor="text1"/>
                <w:szCs w:val="21"/>
              </w:rPr>
              <w:t>0.05%</w:t>
            </w:r>
          </w:p>
        </w:tc>
        <w:tc>
          <w:tcPr>
            <w:tcW w:w="1291" w:type="dxa"/>
            <w:vAlign w:val="center"/>
          </w:tcPr>
          <w:p w14:paraId="79B0C306" w14:textId="77777777" w:rsidR="00946BC5" w:rsidRDefault="00876CEF">
            <w:pPr>
              <w:jc w:val="right"/>
            </w:pPr>
            <w:r>
              <w:rPr>
                <w:rFonts w:eastAsiaTheme="minorEastAsia"/>
                <w:color w:val="000000" w:themeColor="text1"/>
                <w:szCs w:val="21"/>
              </w:rPr>
              <w:t>-0.24%</w:t>
            </w:r>
          </w:p>
        </w:tc>
        <w:tc>
          <w:tcPr>
            <w:tcW w:w="1291" w:type="dxa"/>
            <w:vAlign w:val="center"/>
          </w:tcPr>
          <w:p w14:paraId="0D36AFC0" w14:textId="77777777" w:rsidR="00946BC5" w:rsidRDefault="00876CEF">
            <w:pPr>
              <w:jc w:val="right"/>
            </w:pPr>
            <w:r>
              <w:rPr>
                <w:rFonts w:eastAsiaTheme="minorEastAsia"/>
                <w:color w:val="000000" w:themeColor="text1"/>
                <w:szCs w:val="21"/>
              </w:rPr>
              <w:t>0.01%</w:t>
            </w:r>
          </w:p>
        </w:tc>
      </w:tr>
      <w:tr w:rsidR="00946BC5" w14:paraId="71C73198" w14:textId="77777777">
        <w:tc>
          <w:tcPr>
            <w:tcW w:w="1290" w:type="dxa"/>
            <w:vAlign w:val="center"/>
          </w:tcPr>
          <w:p w14:paraId="6FB23096" w14:textId="77777777" w:rsidR="00946BC5" w:rsidRDefault="00876CEF">
            <w:pPr>
              <w:jc w:val="left"/>
            </w:pPr>
            <w:r>
              <w:rPr>
                <w:rFonts w:eastAsiaTheme="minorEastAsia"/>
                <w:color w:val="000000" w:themeColor="text1"/>
                <w:szCs w:val="21"/>
              </w:rPr>
              <w:t>过去一年</w:t>
            </w:r>
          </w:p>
        </w:tc>
        <w:tc>
          <w:tcPr>
            <w:tcW w:w="1291" w:type="dxa"/>
            <w:vAlign w:val="center"/>
          </w:tcPr>
          <w:p w14:paraId="21FEE381" w14:textId="77777777" w:rsidR="00946BC5" w:rsidRDefault="00876CEF">
            <w:pPr>
              <w:jc w:val="right"/>
            </w:pPr>
            <w:r>
              <w:rPr>
                <w:rFonts w:eastAsiaTheme="minorEastAsia"/>
                <w:color w:val="000000" w:themeColor="text1"/>
                <w:szCs w:val="21"/>
              </w:rPr>
              <w:t>3.42%</w:t>
            </w:r>
          </w:p>
        </w:tc>
        <w:tc>
          <w:tcPr>
            <w:tcW w:w="1291" w:type="dxa"/>
            <w:vAlign w:val="center"/>
          </w:tcPr>
          <w:p w14:paraId="4A6A8CD3" w14:textId="77777777" w:rsidR="00946BC5" w:rsidRDefault="00876CEF">
            <w:pPr>
              <w:jc w:val="right"/>
            </w:pPr>
            <w:r>
              <w:rPr>
                <w:rFonts w:eastAsiaTheme="minorEastAsia"/>
                <w:color w:val="000000" w:themeColor="text1"/>
                <w:szCs w:val="21"/>
              </w:rPr>
              <w:t>0.09%</w:t>
            </w:r>
          </w:p>
        </w:tc>
        <w:tc>
          <w:tcPr>
            <w:tcW w:w="1291" w:type="dxa"/>
            <w:vAlign w:val="center"/>
          </w:tcPr>
          <w:p w14:paraId="74A966FF" w14:textId="77777777" w:rsidR="00946BC5" w:rsidRDefault="00876CEF">
            <w:pPr>
              <w:jc w:val="right"/>
            </w:pPr>
            <w:r>
              <w:rPr>
                <w:rFonts w:eastAsiaTheme="minorEastAsia"/>
                <w:color w:val="000000" w:themeColor="text1"/>
                <w:szCs w:val="21"/>
              </w:rPr>
              <w:t>3.87%</w:t>
            </w:r>
          </w:p>
        </w:tc>
        <w:tc>
          <w:tcPr>
            <w:tcW w:w="1291" w:type="dxa"/>
            <w:vAlign w:val="center"/>
          </w:tcPr>
          <w:p w14:paraId="21E13781" w14:textId="77777777" w:rsidR="00946BC5" w:rsidRDefault="00876CEF">
            <w:pPr>
              <w:jc w:val="right"/>
            </w:pPr>
            <w:r>
              <w:rPr>
                <w:rFonts w:eastAsiaTheme="minorEastAsia"/>
                <w:color w:val="000000" w:themeColor="text1"/>
                <w:szCs w:val="21"/>
              </w:rPr>
              <w:t>0.04%</w:t>
            </w:r>
          </w:p>
        </w:tc>
        <w:tc>
          <w:tcPr>
            <w:tcW w:w="1291" w:type="dxa"/>
            <w:vAlign w:val="center"/>
          </w:tcPr>
          <w:p w14:paraId="581B14DF" w14:textId="77777777" w:rsidR="00946BC5" w:rsidRDefault="00876CEF">
            <w:pPr>
              <w:jc w:val="right"/>
            </w:pPr>
            <w:r>
              <w:rPr>
                <w:rFonts w:eastAsiaTheme="minorEastAsia"/>
                <w:color w:val="000000" w:themeColor="text1"/>
                <w:szCs w:val="21"/>
              </w:rPr>
              <w:t>-0.45%</w:t>
            </w:r>
          </w:p>
        </w:tc>
        <w:tc>
          <w:tcPr>
            <w:tcW w:w="1291" w:type="dxa"/>
            <w:vAlign w:val="center"/>
          </w:tcPr>
          <w:p w14:paraId="21FC9404" w14:textId="77777777" w:rsidR="00946BC5" w:rsidRDefault="00876CEF">
            <w:pPr>
              <w:jc w:val="right"/>
            </w:pPr>
            <w:r>
              <w:rPr>
                <w:rFonts w:eastAsiaTheme="minorEastAsia"/>
                <w:color w:val="000000" w:themeColor="text1"/>
                <w:szCs w:val="21"/>
              </w:rPr>
              <w:t>0.05%</w:t>
            </w:r>
          </w:p>
        </w:tc>
      </w:tr>
      <w:tr w:rsidR="00946BC5" w14:paraId="0E86608D" w14:textId="77777777">
        <w:tc>
          <w:tcPr>
            <w:tcW w:w="1290" w:type="dxa"/>
            <w:vAlign w:val="center"/>
          </w:tcPr>
          <w:p w14:paraId="01C693C0" w14:textId="77777777" w:rsidR="00946BC5" w:rsidRDefault="00876CEF">
            <w:pPr>
              <w:jc w:val="left"/>
            </w:pPr>
            <w:r>
              <w:rPr>
                <w:rFonts w:eastAsiaTheme="minorEastAsia"/>
                <w:color w:val="000000" w:themeColor="text1"/>
                <w:szCs w:val="21"/>
              </w:rPr>
              <w:t>过去三年</w:t>
            </w:r>
          </w:p>
        </w:tc>
        <w:tc>
          <w:tcPr>
            <w:tcW w:w="1291" w:type="dxa"/>
            <w:vAlign w:val="center"/>
          </w:tcPr>
          <w:p w14:paraId="3A1EE638" w14:textId="77777777" w:rsidR="00946BC5" w:rsidRDefault="00876CEF">
            <w:pPr>
              <w:jc w:val="right"/>
            </w:pPr>
            <w:r>
              <w:rPr>
                <w:rFonts w:eastAsiaTheme="minorEastAsia"/>
                <w:color w:val="000000" w:themeColor="text1"/>
                <w:szCs w:val="21"/>
              </w:rPr>
              <w:t>-</w:t>
            </w:r>
          </w:p>
        </w:tc>
        <w:tc>
          <w:tcPr>
            <w:tcW w:w="1291" w:type="dxa"/>
            <w:vAlign w:val="center"/>
          </w:tcPr>
          <w:p w14:paraId="4E72D866" w14:textId="77777777" w:rsidR="00946BC5" w:rsidRDefault="00876CEF">
            <w:pPr>
              <w:jc w:val="right"/>
            </w:pPr>
            <w:r>
              <w:rPr>
                <w:rFonts w:eastAsiaTheme="minorEastAsia"/>
                <w:color w:val="000000" w:themeColor="text1"/>
                <w:szCs w:val="21"/>
              </w:rPr>
              <w:t>-</w:t>
            </w:r>
          </w:p>
        </w:tc>
        <w:tc>
          <w:tcPr>
            <w:tcW w:w="1291" w:type="dxa"/>
            <w:vAlign w:val="center"/>
          </w:tcPr>
          <w:p w14:paraId="26E49AAC" w14:textId="77777777" w:rsidR="00946BC5" w:rsidRDefault="00876CEF">
            <w:pPr>
              <w:jc w:val="right"/>
            </w:pPr>
            <w:r>
              <w:rPr>
                <w:rFonts w:eastAsiaTheme="minorEastAsia"/>
                <w:color w:val="000000" w:themeColor="text1"/>
                <w:szCs w:val="21"/>
              </w:rPr>
              <w:t>-</w:t>
            </w:r>
          </w:p>
        </w:tc>
        <w:tc>
          <w:tcPr>
            <w:tcW w:w="1291" w:type="dxa"/>
            <w:vAlign w:val="center"/>
          </w:tcPr>
          <w:p w14:paraId="2B0E7541" w14:textId="77777777" w:rsidR="00946BC5" w:rsidRDefault="00876CEF">
            <w:pPr>
              <w:jc w:val="right"/>
            </w:pPr>
            <w:r>
              <w:rPr>
                <w:rFonts w:eastAsiaTheme="minorEastAsia"/>
                <w:color w:val="000000" w:themeColor="text1"/>
                <w:szCs w:val="21"/>
              </w:rPr>
              <w:t>-</w:t>
            </w:r>
          </w:p>
        </w:tc>
        <w:tc>
          <w:tcPr>
            <w:tcW w:w="1291" w:type="dxa"/>
            <w:vAlign w:val="center"/>
          </w:tcPr>
          <w:p w14:paraId="64B4FE00" w14:textId="77777777" w:rsidR="00946BC5" w:rsidRDefault="00876CEF">
            <w:pPr>
              <w:jc w:val="right"/>
            </w:pPr>
            <w:r>
              <w:rPr>
                <w:rFonts w:eastAsiaTheme="minorEastAsia"/>
                <w:color w:val="000000" w:themeColor="text1"/>
                <w:szCs w:val="21"/>
              </w:rPr>
              <w:t>-</w:t>
            </w:r>
          </w:p>
        </w:tc>
        <w:tc>
          <w:tcPr>
            <w:tcW w:w="1291" w:type="dxa"/>
            <w:vAlign w:val="center"/>
          </w:tcPr>
          <w:p w14:paraId="0E813978" w14:textId="77777777" w:rsidR="00946BC5" w:rsidRDefault="00876CEF">
            <w:pPr>
              <w:jc w:val="right"/>
            </w:pPr>
            <w:r>
              <w:rPr>
                <w:rFonts w:eastAsiaTheme="minorEastAsia"/>
                <w:color w:val="000000" w:themeColor="text1"/>
                <w:szCs w:val="21"/>
              </w:rPr>
              <w:t>-</w:t>
            </w:r>
          </w:p>
        </w:tc>
      </w:tr>
      <w:tr w:rsidR="00946BC5" w14:paraId="7432B33E" w14:textId="77777777">
        <w:tc>
          <w:tcPr>
            <w:tcW w:w="1290" w:type="dxa"/>
            <w:vAlign w:val="center"/>
          </w:tcPr>
          <w:p w14:paraId="5432BE4A" w14:textId="77777777" w:rsidR="00946BC5" w:rsidRDefault="00876CEF">
            <w:pPr>
              <w:jc w:val="left"/>
            </w:pPr>
            <w:r>
              <w:rPr>
                <w:rFonts w:eastAsiaTheme="minorEastAsia"/>
                <w:color w:val="000000" w:themeColor="text1"/>
                <w:szCs w:val="21"/>
              </w:rPr>
              <w:t>过去五年</w:t>
            </w:r>
          </w:p>
        </w:tc>
        <w:tc>
          <w:tcPr>
            <w:tcW w:w="1291" w:type="dxa"/>
            <w:vAlign w:val="center"/>
          </w:tcPr>
          <w:p w14:paraId="39BAF825" w14:textId="77777777" w:rsidR="00946BC5" w:rsidRDefault="00876CEF">
            <w:pPr>
              <w:jc w:val="right"/>
            </w:pPr>
            <w:r>
              <w:rPr>
                <w:rFonts w:eastAsiaTheme="minorEastAsia"/>
                <w:color w:val="000000" w:themeColor="text1"/>
                <w:szCs w:val="21"/>
              </w:rPr>
              <w:t>-</w:t>
            </w:r>
          </w:p>
        </w:tc>
        <w:tc>
          <w:tcPr>
            <w:tcW w:w="1291" w:type="dxa"/>
            <w:vAlign w:val="center"/>
          </w:tcPr>
          <w:p w14:paraId="54CE866C" w14:textId="77777777" w:rsidR="00946BC5" w:rsidRDefault="00876CEF">
            <w:pPr>
              <w:jc w:val="right"/>
            </w:pPr>
            <w:r>
              <w:rPr>
                <w:rFonts w:eastAsiaTheme="minorEastAsia"/>
                <w:color w:val="000000" w:themeColor="text1"/>
                <w:szCs w:val="21"/>
              </w:rPr>
              <w:t>-</w:t>
            </w:r>
          </w:p>
        </w:tc>
        <w:tc>
          <w:tcPr>
            <w:tcW w:w="1291" w:type="dxa"/>
            <w:vAlign w:val="center"/>
          </w:tcPr>
          <w:p w14:paraId="1207B50E" w14:textId="77777777" w:rsidR="00946BC5" w:rsidRDefault="00876CEF">
            <w:pPr>
              <w:jc w:val="right"/>
            </w:pPr>
            <w:r>
              <w:rPr>
                <w:rFonts w:eastAsiaTheme="minorEastAsia"/>
                <w:color w:val="000000" w:themeColor="text1"/>
                <w:szCs w:val="21"/>
              </w:rPr>
              <w:t>-</w:t>
            </w:r>
          </w:p>
        </w:tc>
        <w:tc>
          <w:tcPr>
            <w:tcW w:w="1291" w:type="dxa"/>
            <w:vAlign w:val="center"/>
          </w:tcPr>
          <w:p w14:paraId="4CB98911" w14:textId="77777777" w:rsidR="00946BC5" w:rsidRDefault="00876CEF">
            <w:pPr>
              <w:jc w:val="right"/>
            </w:pPr>
            <w:r>
              <w:rPr>
                <w:rFonts w:eastAsiaTheme="minorEastAsia"/>
                <w:color w:val="000000" w:themeColor="text1"/>
                <w:szCs w:val="21"/>
              </w:rPr>
              <w:t>-</w:t>
            </w:r>
          </w:p>
        </w:tc>
        <w:tc>
          <w:tcPr>
            <w:tcW w:w="1291" w:type="dxa"/>
            <w:vAlign w:val="center"/>
          </w:tcPr>
          <w:p w14:paraId="04CC26BF" w14:textId="77777777" w:rsidR="00946BC5" w:rsidRDefault="00876CEF">
            <w:pPr>
              <w:jc w:val="right"/>
            </w:pPr>
            <w:r>
              <w:rPr>
                <w:rFonts w:eastAsiaTheme="minorEastAsia"/>
                <w:color w:val="000000" w:themeColor="text1"/>
                <w:szCs w:val="21"/>
              </w:rPr>
              <w:t>-</w:t>
            </w:r>
          </w:p>
        </w:tc>
        <w:tc>
          <w:tcPr>
            <w:tcW w:w="1291" w:type="dxa"/>
            <w:vAlign w:val="center"/>
          </w:tcPr>
          <w:p w14:paraId="26F73180" w14:textId="77777777" w:rsidR="00946BC5" w:rsidRDefault="00876CEF">
            <w:pPr>
              <w:jc w:val="right"/>
            </w:pPr>
            <w:r>
              <w:rPr>
                <w:rFonts w:eastAsiaTheme="minorEastAsia"/>
                <w:color w:val="000000" w:themeColor="text1"/>
                <w:szCs w:val="21"/>
              </w:rPr>
              <w:t>-</w:t>
            </w:r>
          </w:p>
        </w:tc>
      </w:tr>
      <w:tr w:rsidR="00946BC5" w14:paraId="557D5905" w14:textId="77777777">
        <w:tc>
          <w:tcPr>
            <w:tcW w:w="1290" w:type="dxa"/>
            <w:vAlign w:val="center"/>
          </w:tcPr>
          <w:p w14:paraId="5813571F" w14:textId="77777777" w:rsidR="00946BC5" w:rsidRDefault="00876CEF">
            <w:pPr>
              <w:jc w:val="left"/>
            </w:pPr>
            <w:r>
              <w:rPr>
                <w:rFonts w:eastAsiaTheme="minorEastAsia"/>
                <w:color w:val="000000" w:themeColor="text1"/>
                <w:szCs w:val="21"/>
              </w:rPr>
              <w:t>自基金合同生效起至今</w:t>
            </w:r>
          </w:p>
        </w:tc>
        <w:tc>
          <w:tcPr>
            <w:tcW w:w="1291" w:type="dxa"/>
            <w:vAlign w:val="center"/>
          </w:tcPr>
          <w:p w14:paraId="79021501" w14:textId="77777777" w:rsidR="00946BC5" w:rsidRDefault="00876CEF">
            <w:pPr>
              <w:jc w:val="right"/>
            </w:pPr>
            <w:r>
              <w:rPr>
                <w:rFonts w:eastAsiaTheme="minorEastAsia"/>
                <w:color w:val="000000" w:themeColor="text1"/>
                <w:szCs w:val="21"/>
              </w:rPr>
              <w:t>2.65%</w:t>
            </w:r>
          </w:p>
        </w:tc>
        <w:tc>
          <w:tcPr>
            <w:tcW w:w="1291" w:type="dxa"/>
            <w:vAlign w:val="center"/>
          </w:tcPr>
          <w:p w14:paraId="5FECB1E9" w14:textId="77777777" w:rsidR="00946BC5" w:rsidRDefault="00876CEF">
            <w:pPr>
              <w:jc w:val="right"/>
            </w:pPr>
            <w:r>
              <w:rPr>
                <w:rFonts w:eastAsiaTheme="minorEastAsia"/>
                <w:color w:val="000000" w:themeColor="text1"/>
                <w:szCs w:val="21"/>
              </w:rPr>
              <w:t>0.08%</w:t>
            </w:r>
          </w:p>
        </w:tc>
        <w:tc>
          <w:tcPr>
            <w:tcW w:w="1291" w:type="dxa"/>
            <w:vAlign w:val="center"/>
          </w:tcPr>
          <w:p w14:paraId="16721CE0" w14:textId="77777777" w:rsidR="00946BC5" w:rsidRDefault="00876CEF">
            <w:pPr>
              <w:jc w:val="right"/>
            </w:pPr>
            <w:r>
              <w:rPr>
                <w:rFonts w:eastAsiaTheme="minorEastAsia"/>
                <w:color w:val="000000" w:themeColor="text1"/>
                <w:szCs w:val="21"/>
              </w:rPr>
              <w:t>4.33%</w:t>
            </w:r>
          </w:p>
        </w:tc>
        <w:tc>
          <w:tcPr>
            <w:tcW w:w="1291" w:type="dxa"/>
            <w:vAlign w:val="center"/>
          </w:tcPr>
          <w:p w14:paraId="32CA8010" w14:textId="77777777" w:rsidR="00946BC5" w:rsidRDefault="00876CEF">
            <w:pPr>
              <w:jc w:val="right"/>
            </w:pPr>
            <w:r>
              <w:rPr>
                <w:rFonts w:eastAsiaTheme="minorEastAsia"/>
                <w:color w:val="000000" w:themeColor="text1"/>
                <w:szCs w:val="21"/>
              </w:rPr>
              <w:t>0.04%</w:t>
            </w:r>
          </w:p>
        </w:tc>
        <w:tc>
          <w:tcPr>
            <w:tcW w:w="1291" w:type="dxa"/>
            <w:vAlign w:val="center"/>
          </w:tcPr>
          <w:p w14:paraId="1D9FB29E" w14:textId="77777777" w:rsidR="00946BC5" w:rsidRDefault="00876CEF">
            <w:pPr>
              <w:jc w:val="right"/>
            </w:pPr>
            <w:r>
              <w:rPr>
                <w:rFonts w:eastAsiaTheme="minorEastAsia"/>
                <w:color w:val="000000" w:themeColor="text1"/>
                <w:szCs w:val="21"/>
              </w:rPr>
              <w:t>-1.68%</w:t>
            </w:r>
          </w:p>
        </w:tc>
        <w:tc>
          <w:tcPr>
            <w:tcW w:w="1291" w:type="dxa"/>
            <w:vAlign w:val="center"/>
          </w:tcPr>
          <w:p w14:paraId="129411D8" w14:textId="77777777" w:rsidR="00946BC5" w:rsidRDefault="00876CEF">
            <w:pPr>
              <w:jc w:val="right"/>
            </w:pPr>
            <w:r>
              <w:rPr>
                <w:rFonts w:eastAsiaTheme="minorEastAsia"/>
                <w:color w:val="000000" w:themeColor="text1"/>
                <w:szCs w:val="21"/>
              </w:rPr>
              <w:t>0.04%</w:t>
            </w:r>
          </w:p>
        </w:tc>
      </w:tr>
    </w:tbl>
    <w:p w14:paraId="44CCEE95"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摩根双季鑫</w:t>
      </w:r>
      <w:r w:rsidRPr="00B27A29">
        <w:rPr>
          <w:rFonts w:eastAsiaTheme="minorEastAsia"/>
          <w:b/>
          <w:color w:val="000000" w:themeColor="text1"/>
          <w:kern w:val="0"/>
          <w:szCs w:val="21"/>
        </w:rPr>
        <w:t>6</w:t>
      </w:r>
      <w:r w:rsidRPr="00B27A29">
        <w:rPr>
          <w:rFonts w:eastAsiaTheme="minorEastAsia"/>
          <w:b/>
          <w:color w:val="000000" w:themeColor="text1"/>
          <w:kern w:val="0"/>
          <w:szCs w:val="21"/>
        </w:rPr>
        <w:t>个月持有债券</w:t>
      </w:r>
      <w:r w:rsidRPr="00B27A29">
        <w:rPr>
          <w:rFonts w:eastAsiaTheme="minorEastAsia"/>
          <w:b/>
          <w:color w:val="000000" w:themeColor="text1"/>
          <w:kern w:val="0"/>
          <w:szCs w:val="21"/>
        </w:rPr>
        <w:t>(FOF)C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5455B648" w14:textId="77777777">
        <w:tc>
          <w:tcPr>
            <w:tcW w:w="1290" w:type="dxa"/>
            <w:vAlign w:val="center"/>
          </w:tcPr>
          <w:p w14:paraId="04E994D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阶段</w:t>
            </w:r>
          </w:p>
        </w:tc>
        <w:tc>
          <w:tcPr>
            <w:tcW w:w="1291" w:type="dxa"/>
            <w:vAlign w:val="center"/>
          </w:tcPr>
          <w:p w14:paraId="0FFF8CE5"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9CCD4AD"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2207E67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42203A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47F2167F"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D55EC4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46BC5" w14:paraId="7A5C899A" w14:textId="77777777">
        <w:tc>
          <w:tcPr>
            <w:tcW w:w="1290" w:type="dxa"/>
            <w:vAlign w:val="center"/>
          </w:tcPr>
          <w:p w14:paraId="773ED03B" w14:textId="77777777" w:rsidR="00946BC5" w:rsidRDefault="00876CEF">
            <w:pPr>
              <w:jc w:val="left"/>
            </w:pPr>
            <w:r>
              <w:rPr>
                <w:rFonts w:eastAsiaTheme="minorEastAsia"/>
                <w:color w:val="000000" w:themeColor="text1"/>
                <w:szCs w:val="21"/>
              </w:rPr>
              <w:t>过去三个月</w:t>
            </w:r>
          </w:p>
        </w:tc>
        <w:tc>
          <w:tcPr>
            <w:tcW w:w="1291" w:type="dxa"/>
            <w:vAlign w:val="center"/>
          </w:tcPr>
          <w:p w14:paraId="3FC74CBD" w14:textId="77777777" w:rsidR="00946BC5" w:rsidRDefault="00876CEF">
            <w:pPr>
              <w:jc w:val="right"/>
            </w:pPr>
            <w:r>
              <w:rPr>
                <w:rFonts w:eastAsiaTheme="minorEastAsia"/>
                <w:color w:val="000000" w:themeColor="text1"/>
                <w:szCs w:val="21"/>
              </w:rPr>
              <w:t>1.13%</w:t>
            </w:r>
          </w:p>
        </w:tc>
        <w:tc>
          <w:tcPr>
            <w:tcW w:w="1291" w:type="dxa"/>
            <w:vAlign w:val="center"/>
          </w:tcPr>
          <w:p w14:paraId="5BD7B850" w14:textId="77777777" w:rsidR="00946BC5" w:rsidRDefault="00876CEF">
            <w:pPr>
              <w:jc w:val="right"/>
            </w:pPr>
            <w:r>
              <w:rPr>
                <w:rFonts w:eastAsiaTheme="minorEastAsia"/>
                <w:color w:val="000000" w:themeColor="text1"/>
                <w:szCs w:val="21"/>
              </w:rPr>
              <w:t>0.06%</w:t>
            </w:r>
          </w:p>
        </w:tc>
        <w:tc>
          <w:tcPr>
            <w:tcW w:w="1291" w:type="dxa"/>
            <w:vAlign w:val="center"/>
          </w:tcPr>
          <w:p w14:paraId="7DC6C41A" w14:textId="77777777" w:rsidR="00946BC5" w:rsidRDefault="00876CEF">
            <w:pPr>
              <w:jc w:val="right"/>
            </w:pPr>
            <w:r>
              <w:rPr>
                <w:rFonts w:eastAsiaTheme="minorEastAsia"/>
                <w:color w:val="000000" w:themeColor="text1"/>
                <w:szCs w:val="21"/>
              </w:rPr>
              <w:t>1.51%</w:t>
            </w:r>
          </w:p>
        </w:tc>
        <w:tc>
          <w:tcPr>
            <w:tcW w:w="1291" w:type="dxa"/>
            <w:vAlign w:val="center"/>
          </w:tcPr>
          <w:p w14:paraId="4D5E20FD" w14:textId="77777777" w:rsidR="00946BC5" w:rsidRDefault="00876CEF">
            <w:pPr>
              <w:jc w:val="right"/>
            </w:pPr>
            <w:r>
              <w:rPr>
                <w:rFonts w:eastAsiaTheme="minorEastAsia"/>
                <w:color w:val="000000" w:themeColor="text1"/>
                <w:szCs w:val="21"/>
              </w:rPr>
              <w:t>0.06%</w:t>
            </w:r>
          </w:p>
        </w:tc>
        <w:tc>
          <w:tcPr>
            <w:tcW w:w="1291" w:type="dxa"/>
            <w:vAlign w:val="center"/>
          </w:tcPr>
          <w:p w14:paraId="2F247A61" w14:textId="77777777" w:rsidR="00946BC5" w:rsidRDefault="00876CEF">
            <w:pPr>
              <w:jc w:val="right"/>
            </w:pPr>
            <w:r>
              <w:rPr>
                <w:rFonts w:eastAsiaTheme="minorEastAsia"/>
                <w:color w:val="000000" w:themeColor="text1"/>
                <w:szCs w:val="21"/>
              </w:rPr>
              <w:t>-0.38%</w:t>
            </w:r>
          </w:p>
        </w:tc>
        <w:tc>
          <w:tcPr>
            <w:tcW w:w="1291" w:type="dxa"/>
            <w:vAlign w:val="center"/>
          </w:tcPr>
          <w:p w14:paraId="2577A75E" w14:textId="77777777" w:rsidR="00946BC5" w:rsidRDefault="00876CEF">
            <w:pPr>
              <w:jc w:val="right"/>
            </w:pPr>
            <w:r>
              <w:rPr>
                <w:rFonts w:eastAsiaTheme="minorEastAsia"/>
                <w:color w:val="000000" w:themeColor="text1"/>
                <w:szCs w:val="21"/>
              </w:rPr>
              <w:t>0.00%</w:t>
            </w:r>
          </w:p>
        </w:tc>
      </w:tr>
      <w:tr w:rsidR="00946BC5" w14:paraId="793DA37C" w14:textId="77777777">
        <w:tc>
          <w:tcPr>
            <w:tcW w:w="1290" w:type="dxa"/>
            <w:vAlign w:val="center"/>
          </w:tcPr>
          <w:p w14:paraId="4B17CB96" w14:textId="77777777" w:rsidR="00946BC5" w:rsidRDefault="00876CEF">
            <w:pPr>
              <w:jc w:val="left"/>
            </w:pPr>
            <w:r>
              <w:rPr>
                <w:rFonts w:eastAsiaTheme="minorEastAsia"/>
                <w:color w:val="000000" w:themeColor="text1"/>
                <w:szCs w:val="21"/>
              </w:rPr>
              <w:t>过去六个月</w:t>
            </w:r>
          </w:p>
        </w:tc>
        <w:tc>
          <w:tcPr>
            <w:tcW w:w="1291" w:type="dxa"/>
            <w:vAlign w:val="center"/>
          </w:tcPr>
          <w:p w14:paraId="6AEA1008" w14:textId="77777777" w:rsidR="00946BC5" w:rsidRDefault="00876CEF">
            <w:pPr>
              <w:jc w:val="right"/>
            </w:pPr>
            <w:r>
              <w:rPr>
                <w:rFonts w:eastAsiaTheme="minorEastAsia"/>
                <w:color w:val="000000" w:themeColor="text1"/>
                <w:szCs w:val="21"/>
              </w:rPr>
              <w:t>1.60%</w:t>
            </w:r>
          </w:p>
        </w:tc>
        <w:tc>
          <w:tcPr>
            <w:tcW w:w="1291" w:type="dxa"/>
            <w:vAlign w:val="center"/>
          </w:tcPr>
          <w:p w14:paraId="3075FB3E" w14:textId="77777777" w:rsidR="00946BC5" w:rsidRDefault="00876CEF">
            <w:pPr>
              <w:jc w:val="right"/>
            </w:pPr>
            <w:r>
              <w:rPr>
                <w:rFonts w:eastAsiaTheme="minorEastAsia"/>
                <w:color w:val="000000" w:themeColor="text1"/>
                <w:szCs w:val="21"/>
              </w:rPr>
              <w:t>0.06%</w:t>
            </w:r>
          </w:p>
        </w:tc>
        <w:tc>
          <w:tcPr>
            <w:tcW w:w="1291" w:type="dxa"/>
            <w:vAlign w:val="center"/>
          </w:tcPr>
          <w:p w14:paraId="39344893" w14:textId="77777777" w:rsidR="00946BC5" w:rsidRDefault="00876CEF">
            <w:pPr>
              <w:jc w:val="right"/>
            </w:pPr>
            <w:r>
              <w:rPr>
                <w:rFonts w:eastAsiaTheme="minorEastAsia"/>
                <w:color w:val="000000" w:themeColor="text1"/>
                <w:szCs w:val="21"/>
              </w:rPr>
              <w:t>1.95%</w:t>
            </w:r>
          </w:p>
        </w:tc>
        <w:tc>
          <w:tcPr>
            <w:tcW w:w="1291" w:type="dxa"/>
            <w:vAlign w:val="center"/>
          </w:tcPr>
          <w:p w14:paraId="25D0FB15" w14:textId="77777777" w:rsidR="00946BC5" w:rsidRDefault="00876CEF">
            <w:pPr>
              <w:jc w:val="right"/>
            </w:pPr>
            <w:r>
              <w:rPr>
                <w:rFonts w:eastAsiaTheme="minorEastAsia"/>
                <w:color w:val="000000" w:themeColor="text1"/>
                <w:szCs w:val="21"/>
              </w:rPr>
              <w:t>0.05%</w:t>
            </w:r>
          </w:p>
        </w:tc>
        <w:tc>
          <w:tcPr>
            <w:tcW w:w="1291" w:type="dxa"/>
            <w:vAlign w:val="center"/>
          </w:tcPr>
          <w:p w14:paraId="5D3D19A3" w14:textId="77777777" w:rsidR="00946BC5" w:rsidRDefault="00876CEF">
            <w:pPr>
              <w:jc w:val="right"/>
            </w:pPr>
            <w:r>
              <w:rPr>
                <w:rFonts w:eastAsiaTheme="minorEastAsia"/>
                <w:color w:val="000000" w:themeColor="text1"/>
                <w:szCs w:val="21"/>
              </w:rPr>
              <w:t>-0.35%</w:t>
            </w:r>
          </w:p>
        </w:tc>
        <w:tc>
          <w:tcPr>
            <w:tcW w:w="1291" w:type="dxa"/>
            <w:vAlign w:val="center"/>
          </w:tcPr>
          <w:p w14:paraId="0C0D6739" w14:textId="77777777" w:rsidR="00946BC5" w:rsidRDefault="00876CEF">
            <w:pPr>
              <w:jc w:val="right"/>
            </w:pPr>
            <w:r>
              <w:rPr>
                <w:rFonts w:eastAsiaTheme="minorEastAsia"/>
                <w:color w:val="000000" w:themeColor="text1"/>
                <w:szCs w:val="21"/>
              </w:rPr>
              <w:t>0.01%</w:t>
            </w:r>
          </w:p>
        </w:tc>
      </w:tr>
      <w:tr w:rsidR="00946BC5" w14:paraId="5B4C9D2D" w14:textId="77777777">
        <w:tc>
          <w:tcPr>
            <w:tcW w:w="1290" w:type="dxa"/>
            <w:vAlign w:val="center"/>
          </w:tcPr>
          <w:p w14:paraId="4CB5CB93" w14:textId="77777777" w:rsidR="00946BC5" w:rsidRDefault="00876CEF">
            <w:pPr>
              <w:jc w:val="left"/>
            </w:pPr>
            <w:r>
              <w:rPr>
                <w:rFonts w:eastAsiaTheme="minorEastAsia"/>
                <w:color w:val="000000" w:themeColor="text1"/>
                <w:szCs w:val="21"/>
              </w:rPr>
              <w:t>过去一年</w:t>
            </w:r>
          </w:p>
        </w:tc>
        <w:tc>
          <w:tcPr>
            <w:tcW w:w="1291" w:type="dxa"/>
            <w:vAlign w:val="center"/>
          </w:tcPr>
          <w:p w14:paraId="754FA63C" w14:textId="77777777" w:rsidR="00946BC5" w:rsidRDefault="00876CEF">
            <w:pPr>
              <w:jc w:val="right"/>
            </w:pPr>
            <w:r>
              <w:rPr>
                <w:rFonts w:eastAsiaTheme="minorEastAsia"/>
                <w:color w:val="000000" w:themeColor="text1"/>
                <w:szCs w:val="21"/>
              </w:rPr>
              <w:t>3.16%</w:t>
            </w:r>
          </w:p>
        </w:tc>
        <w:tc>
          <w:tcPr>
            <w:tcW w:w="1291" w:type="dxa"/>
            <w:vAlign w:val="center"/>
          </w:tcPr>
          <w:p w14:paraId="0BA931DA" w14:textId="77777777" w:rsidR="00946BC5" w:rsidRDefault="00876CEF">
            <w:pPr>
              <w:jc w:val="right"/>
            </w:pPr>
            <w:r>
              <w:rPr>
                <w:rFonts w:eastAsiaTheme="minorEastAsia"/>
                <w:color w:val="000000" w:themeColor="text1"/>
                <w:szCs w:val="21"/>
              </w:rPr>
              <w:t>0.09%</w:t>
            </w:r>
          </w:p>
        </w:tc>
        <w:tc>
          <w:tcPr>
            <w:tcW w:w="1291" w:type="dxa"/>
            <w:vAlign w:val="center"/>
          </w:tcPr>
          <w:p w14:paraId="74EA3AF4" w14:textId="77777777" w:rsidR="00946BC5" w:rsidRDefault="00876CEF">
            <w:pPr>
              <w:jc w:val="right"/>
            </w:pPr>
            <w:r>
              <w:rPr>
                <w:rFonts w:eastAsiaTheme="minorEastAsia"/>
                <w:color w:val="000000" w:themeColor="text1"/>
                <w:szCs w:val="21"/>
              </w:rPr>
              <w:t>3.87%</w:t>
            </w:r>
          </w:p>
        </w:tc>
        <w:tc>
          <w:tcPr>
            <w:tcW w:w="1291" w:type="dxa"/>
            <w:vAlign w:val="center"/>
          </w:tcPr>
          <w:p w14:paraId="58E49CC6" w14:textId="77777777" w:rsidR="00946BC5" w:rsidRDefault="00876CEF">
            <w:pPr>
              <w:jc w:val="right"/>
            </w:pPr>
            <w:r>
              <w:rPr>
                <w:rFonts w:eastAsiaTheme="minorEastAsia"/>
                <w:color w:val="000000" w:themeColor="text1"/>
                <w:szCs w:val="21"/>
              </w:rPr>
              <w:t>0.04%</w:t>
            </w:r>
          </w:p>
        </w:tc>
        <w:tc>
          <w:tcPr>
            <w:tcW w:w="1291" w:type="dxa"/>
            <w:vAlign w:val="center"/>
          </w:tcPr>
          <w:p w14:paraId="555F34C4" w14:textId="77777777" w:rsidR="00946BC5" w:rsidRDefault="00876CEF">
            <w:pPr>
              <w:jc w:val="right"/>
            </w:pPr>
            <w:r>
              <w:rPr>
                <w:rFonts w:eastAsiaTheme="minorEastAsia"/>
                <w:color w:val="000000" w:themeColor="text1"/>
                <w:szCs w:val="21"/>
              </w:rPr>
              <w:t>-0.71%</w:t>
            </w:r>
          </w:p>
        </w:tc>
        <w:tc>
          <w:tcPr>
            <w:tcW w:w="1291" w:type="dxa"/>
            <w:vAlign w:val="center"/>
          </w:tcPr>
          <w:p w14:paraId="40781F11" w14:textId="77777777" w:rsidR="00946BC5" w:rsidRDefault="00876CEF">
            <w:pPr>
              <w:jc w:val="right"/>
            </w:pPr>
            <w:r>
              <w:rPr>
                <w:rFonts w:eastAsiaTheme="minorEastAsia"/>
                <w:color w:val="000000" w:themeColor="text1"/>
                <w:szCs w:val="21"/>
              </w:rPr>
              <w:t>0.05%</w:t>
            </w:r>
          </w:p>
        </w:tc>
      </w:tr>
      <w:tr w:rsidR="00946BC5" w14:paraId="2E7D55FA" w14:textId="77777777">
        <w:tc>
          <w:tcPr>
            <w:tcW w:w="1290" w:type="dxa"/>
            <w:vAlign w:val="center"/>
          </w:tcPr>
          <w:p w14:paraId="2536A48F" w14:textId="77777777" w:rsidR="00946BC5" w:rsidRDefault="00876CEF">
            <w:pPr>
              <w:jc w:val="left"/>
            </w:pPr>
            <w:r>
              <w:rPr>
                <w:rFonts w:eastAsiaTheme="minorEastAsia"/>
                <w:color w:val="000000" w:themeColor="text1"/>
                <w:szCs w:val="21"/>
              </w:rPr>
              <w:t>过去三年</w:t>
            </w:r>
          </w:p>
        </w:tc>
        <w:tc>
          <w:tcPr>
            <w:tcW w:w="1291" w:type="dxa"/>
            <w:vAlign w:val="center"/>
          </w:tcPr>
          <w:p w14:paraId="3C53DA4A" w14:textId="77777777" w:rsidR="00946BC5" w:rsidRDefault="00876CEF">
            <w:pPr>
              <w:jc w:val="right"/>
            </w:pPr>
            <w:r>
              <w:rPr>
                <w:rFonts w:eastAsiaTheme="minorEastAsia"/>
                <w:color w:val="000000" w:themeColor="text1"/>
                <w:szCs w:val="21"/>
              </w:rPr>
              <w:t>-</w:t>
            </w:r>
          </w:p>
        </w:tc>
        <w:tc>
          <w:tcPr>
            <w:tcW w:w="1291" w:type="dxa"/>
            <w:vAlign w:val="center"/>
          </w:tcPr>
          <w:p w14:paraId="77EA28A3" w14:textId="77777777" w:rsidR="00946BC5" w:rsidRDefault="00876CEF">
            <w:pPr>
              <w:jc w:val="right"/>
            </w:pPr>
            <w:r>
              <w:rPr>
                <w:rFonts w:eastAsiaTheme="minorEastAsia"/>
                <w:color w:val="000000" w:themeColor="text1"/>
                <w:szCs w:val="21"/>
              </w:rPr>
              <w:t>-</w:t>
            </w:r>
          </w:p>
        </w:tc>
        <w:tc>
          <w:tcPr>
            <w:tcW w:w="1291" w:type="dxa"/>
            <w:vAlign w:val="center"/>
          </w:tcPr>
          <w:p w14:paraId="6D25FAA9" w14:textId="77777777" w:rsidR="00946BC5" w:rsidRDefault="00876CEF">
            <w:pPr>
              <w:jc w:val="right"/>
            </w:pPr>
            <w:r>
              <w:rPr>
                <w:rFonts w:eastAsiaTheme="minorEastAsia"/>
                <w:color w:val="000000" w:themeColor="text1"/>
                <w:szCs w:val="21"/>
              </w:rPr>
              <w:t>-</w:t>
            </w:r>
          </w:p>
        </w:tc>
        <w:tc>
          <w:tcPr>
            <w:tcW w:w="1291" w:type="dxa"/>
            <w:vAlign w:val="center"/>
          </w:tcPr>
          <w:p w14:paraId="650E1290" w14:textId="77777777" w:rsidR="00946BC5" w:rsidRDefault="00876CEF">
            <w:pPr>
              <w:jc w:val="right"/>
            </w:pPr>
            <w:r>
              <w:rPr>
                <w:rFonts w:eastAsiaTheme="minorEastAsia"/>
                <w:color w:val="000000" w:themeColor="text1"/>
                <w:szCs w:val="21"/>
              </w:rPr>
              <w:t>-</w:t>
            </w:r>
          </w:p>
        </w:tc>
        <w:tc>
          <w:tcPr>
            <w:tcW w:w="1291" w:type="dxa"/>
            <w:vAlign w:val="center"/>
          </w:tcPr>
          <w:p w14:paraId="67EB112D" w14:textId="77777777" w:rsidR="00946BC5" w:rsidRDefault="00876CEF">
            <w:pPr>
              <w:jc w:val="right"/>
            </w:pPr>
            <w:r>
              <w:rPr>
                <w:rFonts w:eastAsiaTheme="minorEastAsia"/>
                <w:color w:val="000000" w:themeColor="text1"/>
                <w:szCs w:val="21"/>
              </w:rPr>
              <w:t>-</w:t>
            </w:r>
          </w:p>
        </w:tc>
        <w:tc>
          <w:tcPr>
            <w:tcW w:w="1291" w:type="dxa"/>
            <w:vAlign w:val="center"/>
          </w:tcPr>
          <w:p w14:paraId="3FFED6A5" w14:textId="77777777" w:rsidR="00946BC5" w:rsidRDefault="00876CEF">
            <w:pPr>
              <w:jc w:val="right"/>
            </w:pPr>
            <w:r>
              <w:rPr>
                <w:rFonts w:eastAsiaTheme="minorEastAsia"/>
                <w:color w:val="000000" w:themeColor="text1"/>
                <w:szCs w:val="21"/>
              </w:rPr>
              <w:t>-</w:t>
            </w:r>
          </w:p>
        </w:tc>
      </w:tr>
      <w:tr w:rsidR="00946BC5" w14:paraId="62B637E2" w14:textId="77777777">
        <w:tc>
          <w:tcPr>
            <w:tcW w:w="1290" w:type="dxa"/>
            <w:vAlign w:val="center"/>
          </w:tcPr>
          <w:p w14:paraId="19583017" w14:textId="77777777" w:rsidR="00946BC5" w:rsidRDefault="00876CEF">
            <w:pPr>
              <w:jc w:val="left"/>
            </w:pPr>
            <w:r>
              <w:rPr>
                <w:rFonts w:eastAsiaTheme="minorEastAsia"/>
                <w:color w:val="000000" w:themeColor="text1"/>
                <w:szCs w:val="21"/>
              </w:rPr>
              <w:t>过去五年</w:t>
            </w:r>
          </w:p>
        </w:tc>
        <w:tc>
          <w:tcPr>
            <w:tcW w:w="1291" w:type="dxa"/>
            <w:vAlign w:val="center"/>
          </w:tcPr>
          <w:p w14:paraId="673994C8" w14:textId="77777777" w:rsidR="00946BC5" w:rsidRDefault="00876CEF">
            <w:pPr>
              <w:jc w:val="right"/>
            </w:pPr>
            <w:r>
              <w:rPr>
                <w:rFonts w:eastAsiaTheme="minorEastAsia"/>
                <w:color w:val="000000" w:themeColor="text1"/>
                <w:szCs w:val="21"/>
              </w:rPr>
              <w:t>-</w:t>
            </w:r>
          </w:p>
        </w:tc>
        <w:tc>
          <w:tcPr>
            <w:tcW w:w="1291" w:type="dxa"/>
            <w:vAlign w:val="center"/>
          </w:tcPr>
          <w:p w14:paraId="270D9FDD" w14:textId="77777777" w:rsidR="00946BC5" w:rsidRDefault="00876CEF">
            <w:pPr>
              <w:jc w:val="right"/>
            </w:pPr>
            <w:r>
              <w:rPr>
                <w:rFonts w:eastAsiaTheme="minorEastAsia"/>
                <w:color w:val="000000" w:themeColor="text1"/>
                <w:szCs w:val="21"/>
              </w:rPr>
              <w:t>-</w:t>
            </w:r>
          </w:p>
        </w:tc>
        <w:tc>
          <w:tcPr>
            <w:tcW w:w="1291" w:type="dxa"/>
            <w:vAlign w:val="center"/>
          </w:tcPr>
          <w:p w14:paraId="50BAA7A4" w14:textId="77777777" w:rsidR="00946BC5" w:rsidRDefault="00876CEF">
            <w:pPr>
              <w:jc w:val="right"/>
            </w:pPr>
            <w:r>
              <w:rPr>
                <w:rFonts w:eastAsiaTheme="minorEastAsia"/>
                <w:color w:val="000000" w:themeColor="text1"/>
                <w:szCs w:val="21"/>
              </w:rPr>
              <w:t>-</w:t>
            </w:r>
          </w:p>
        </w:tc>
        <w:tc>
          <w:tcPr>
            <w:tcW w:w="1291" w:type="dxa"/>
            <w:vAlign w:val="center"/>
          </w:tcPr>
          <w:p w14:paraId="23BE2DEC" w14:textId="77777777" w:rsidR="00946BC5" w:rsidRDefault="00876CEF">
            <w:pPr>
              <w:jc w:val="right"/>
            </w:pPr>
            <w:r>
              <w:rPr>
                <w:rFonts w:eastAsiaTheme="minorEastAsia"/>
                <w:color w:val="000000" w:themeColor="text1"/>
                <w:szCs w:val="21"/>
              </w:rPr>
              <w:t>-</w:t>
            </w:r>
          </w:p>
        </w:tc>
        <w:tc>
          <w:tcPr>
            <w:tcW w:w="1291" w:type="dxa"/>
            <w:vAlign w:val="center"/>
          </w:tcPr>
          <w:p w14:paraId="51F48D6D" w14:textId="77777777" w:rsidR="00946BC5" w:rsidRDefault="00876CEF">
            <w:pPr>
              <w:jc w:val="right"/>
            </w:pPr>
            <w:r>
              <w:rPr>
                <w:rFonts w:eastAsiaTheme="minorEastAsia"/>
                <w:color w:val="000000" w:themeColor="text1"/>
                <w:szCs w:val="21"/>
              </w:rPr>
              <w:t>-</w:t>
            </w:r>
          </w:p>
        </w:tc>
        <w:tc>
          <w:tcPr>
            <w:tcW w:w="1291" w:type="dxa"/>
            <w:vAlign w:val="center"/>
          </w:tcPr>
          <w:p w14:paraId="2DE26E82" w14:textId="77777777" w:rsidR="00946BC5" w:rsidRDefault="00876CEF">
            <w:pPr>
              <w:jc w:val="right"/>
            </w:pPr>
            <w:r>
              <w:rPr>
                <w:rFonts w:eastAsiaTheme="minorEastAsia"/>
                <w:color w:val="000000" w:themeColor="text1"/>
                <w:szCs w:val="21"/>
              </w:rPr>
              <w:t>-</w:t>
            </w:r>
          </w:p>
        </w:tc>
      </w:tr>
      <w:tr w:rsidR="00946BC5" w14:paraId="799659A6" w14:textId="77777777">
        <w:tc>
          <w:tcPr>
            <w:tcW w:w="1290" w:type="dxa"/>
            <w:vAlign w:val="center"/>
          </w:tcPr>
          <w:p w14:paraId="038ABDF6" w14:textId="77777777" w:rsidR="00946BC5" w:rsidRDefault="00876CEF">
            <w:pPr>
              <w:jc w:val="left"/>
            </w:pPr>
            <w:r>
              <w:rPr>
                <w:rFonts w:eastAsiaTheme="minorEastAsia"/>
                <w:color w:val="000000" w:themeColor="text1"/>
                <w:szCs w:val="21"/>
              </w:rPr>
              <w:t>自基金合同生效起至今</w:t>
            </w:r>
          </w:p>
        </w:tc>
        <w:tc>
          <w:tcPr>
            <w:tcW w:w="1291" w:type="dxa"/>
            <w:vAlign w:val="center"/>
          </w:tcPr>
          <w:p w14:paraId="7CA62635" w14:textId="77777777" w:rsidR="00946BC5" w:rsidRDefault="00876CEF">
            <w:pPr>
              <w:jc w:val="right"/>
            </w:pPr>
            <w:r>
              <w:rPr>
                <w:rFonts w:eastAsiaTheme="minorEastAsia"/>
                <w:color w:val="000000" w:themeColor="text1"/>
                <w:szCs w:val="21"/>
              </w:rPr>
              <w:t>2.30%</w:t>
            </w:r>
          </w:p>
        </w:tc>
        <w:tc>
          <w:tcPr>
            <w:tcW w:w="1291" w:type="dxa"/>
            <w:vAlign w:val="center"/>
          </w:tcPr>
          <w:p w14:paraId="0D14C707" w14:textId="77777777" w:rsidR="00946BC5" w:rsidRDefault="00876CEF">
            <w:pPr>
              <w:jc w:val="right"/>
            </w:pPr>
            <w:r>
              <w:rPr>
                <w:rFonts w:eastAsiaTheme="minorEastAsia"/>
                <w:color w:val="000000" w:themeColor="text1"/>
                <w:szCs w:val="21"/>
              </w:rPr>
              <w:t>0.08%</w:t>
            </w:r>
          </w:p>
        </w:tc>
        <w:tc>
          <w:tcPr>
            <w:tcW w:w="1291" w:type="dxa"/>
            <w:vAlign w:val="center"/>
          </w:tcPr>
          <w:p w14:paraId="7124101C" w14:textId="77777777" w:rsidR="00946BC5" w:rsidRDefault="00876CEF">
            <w:pPr>
              <w:jc w:val="right"/>
            </w:pPr>
            <w:r>
              <w:rPr>
                <w:rFonts w:eastAsiaTheme="minorEastAsia"/>
                <w:color w:val="000000" w:themeColor="text1"/>
                <w:szCs w:val="21"/>
              </w:rPr>
              <w:t>4.33%</w:t>
            </w:r>
          </w:p>
        </w:tc>
        <w:tc>
          <w:tcPr>
            <w:tcW w:w="1291" w:type="dxa"/>
            <w:vAlign w:val="center"/>
          </w:tcPr>
          <w:p w14:paraId="0F8B07B3" w14:textId="77777777" w:rsidR="00946BC5" w:rsidRDefault="00876CEF">
            <w:pPr>
              <w:jc w:val="right"/>
            </w:pPr>
            <w:r>
              <w:rPr>
                <w:rFonts w:eastAsiaTheme="minorEastAsia"/>
                <w:color w:val="000000" w:themeColor="text1"/>
                <w:szCs w:val="21"/>
              </w:rPr>
              <w:t>0.04%</w:t>
            </w:r>
          </w:p>
        </w:tc>
        <w:tc>
          <w:tcPr>
            <w:tcW w:w="1291" w:type="dxa"/>
            <w:vAlign w:val="center"/>
          </w:tcPr>
          <w:p w14:paraId="63B30583" w14:textId="77777777" w:rsidR="00946BC5" w:rsidRDefault="00876CEF">
            <w:pPr>
              <w:jc w:val="right"/>
            </w:pPr>
            <w:r>
              <w:rPr>
                <w:rFonts w:eastAsiaTheme="minorEastAsia"/>
                <w:color w:val="000000" w:themeColor="text1"/>
                <w:szCs w:val="21"/>
              </w:rPr>
              <w:t>-2.03%</w:t>
            </w:r>
          </w:p>
        </w:tc>
        <w:tc>
          <w:tcPr>
            <w:tcW w:w="1291" w:type="dxa"/>
            <w:vAlign w:val="center"/>
          </w:tcPr>
          <w:p w14:paraId="65E7683A" w14:textId="77777777" w:rsidR="00946BC5" w:rsidRDefault="00876CEF">
            <w:pPr>
              <w:jc w:val="right"/>
            </w:pPr>
            <w:r>
              <w:rPr>
                <w:rFonts w:eastAsiaTheme="minorEastAsia"/>
                <w:color w:val="000000" w:themeColor="text1"/>
                <w:szCs w:val="21"/>
              </w:rPr>
              <w:t>0.04%</w:t>
            </w:r>
          </w:p>
        </w:tc>
      </w:tr>
    </w:tbl>
    <w:p w14:paraId="17FA3AAE"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75A9E4F9"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个月持有期债券型发起</w:t>
      </w:r>
      <w:proofErr w:type="gramStart"/>
      <w:r w:rsidRPr="00B27A29">
        <w:rPr>
          <w:rFonts w:eastAsiaTheme="minorEastAsia"/>
          <w:color w:val="000000" w:themeColor="text1"/>
          <w:szCs w:val="21"/>
        </w:rPr>
        <w:t>式基金</w:t>
      </w:r>
      <w:proofErr w:type="gramEnd"/>
      <w:r w:rsidRPr="00B27A29">
        <w:rPr>
          <w:rFonts w:eastAsiaTheme="minorEastAsia"/>
          <w:color w:val="000000" w:themeColor="text1"/>
          <w:szCs w:val="21"/>
        </w:rPr>
        <w:t>中基金</w:t>
      </w:r>
      <w:r w:rsidRPr="00B27A29">
        <w:rPr>
          <w:rFonts w:eastAsiaTheme="minorEastAsia"/>
          <w:color w:val="000000" w:themeColor="text1"/>
          <w:szCs w:val="21"/>
        </w:rPr>
        <w:t>(FOF)</w:t>
      </w:r>
    </w:p>
    <w:p w14:paraId="11C21467"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5D957547"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49C11808"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(FOF)A</w:t>
      </w:r>
      <w:r w:rsidRPr="00B27A29">
        <w:rPr>
          <w:rFonts w:eastAsiaTheme="minorEastAsia"/>
          <w:color w:val="000000" w:themeColor="text1"/>
          <w:szCs w:val="21"/>
        </w:rPr>
        <w:t>：</w:t>
      </w:r>
    </w:p>
    <w:p w14:paraId="0FC3D2AF"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56A4BFA" wp14:editId="29F1654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6764D00"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(FOF)C</w:t>
      </w:r>
      <w:r w:rsidRPr="00B27A29">
        <w:rPr>
          <w:rFonts w:eastAsiaTheme="minorEastAsia"/>
          <w:color w:val="000000" w:themeColor="text1"/>
          <w:szCs w:val="21"/>
        </w:rPr>
        <w:t>：</w:t>
      </w:r>
    </w:p>
    <w:p w14:paraId="6374F980"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2CC62144" wp14:editId="47F6FF73">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994910C" w14:textId="77777777" w:rsidR="00946BC5" w:rsidRDefault="00876CE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14:paraId="738D424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proofErr w:type="gramStart"/>
      <w:r w:rsidRPr="00B27A29">
        <w:rPr>
          <w:rFonts w:eastAsiaTheme="minorEastAsia"/>
          <w:color w:val="000000" w:themeColor="text1"/>
          <w:szCs w:val="21"/>
        </w:rPr>
        <w:t>个</w:t>
      </w:r>
      <w:proofErr w:type="gramEnd"/>
      <w:r w:rsidRPr="00B27A29">
        <w:rPr>
          <w:rFonts w:eastAsiaTheme="minorEastAsia"/>
          <w:color w:val="000000" w:themeColor="text1"/>
          <w:szCs w:val="21"/>
        </w:rPr>
        <w:t>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0D33FA6E" w14:textId="77777777" w:rsidR="005E6DF3" w:rsidRPr="00B27A29" w:rsidRDefault="005E6DF3">
      <w:pPr>
        <w:tabs>
          <w:tab w:val="left" w:pos="1800"/>
        </w:tabs>
        <w:spacing w:line="288" w:lineRule="auto"/>
        <w:rPr>
          <w:rFonts w:eastAsiaTheme="minorEastAsia"/>
          <w:color w:val="000000" w:themeColor="text1"/>
          <w:szCs w:val="21"/>
        </w:rPr>
      </w:pPr>
    </w:p>
    <w:p w14:paraId="1E1B0BA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0E99E5C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2FF278F4" w14:textId="77777777">
        <w:tc>
          <w:tcPr>
            <w:tcW w:w="952" w:type="dxa"/>
            <w:vMerge w:val="restart"/>
            <w:vAlign w:val="center"/>
          </w:tcPr>
          <w:p w14:paraId="41109EF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35AE5E5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7D66F55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71DE14F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6FD7415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45B968CE" w14:textId="77777777">
        <w:tc>
          <w:tcPr>
            <w:tcW w:w="952" w:type="dxa"/>
            <w:vMerge/>
            <w:vAlign w:val="center"/>
          </w:tcPr>
          <w:p w14:paraId="0416F41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7F9F132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14AFE37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3AB5392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555E2B2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18A9D0BC"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946BC5" w14:paraId="1FF2A0CD" w14:textId="77777777">
        <w:tc>
          <w:tcPr>
            <w:tcW w:w="952" w:type="dxa"/>
            <w:vAlign w:val="center"/>
          </w:tcPr>
          <w:p w14:paraId="74F67CA0" w14:textId="77777777" w:rsidR="00946BC5" w:rsidRDefault="00876CEF">
            <w:pPr>
              <w:jc w:val="center"/>
            </w:pPr>
            <w:r>
              <w:rPr>
                <w:rFonts w:eastAsiaTheme="minorEastAsia"/>
                <w:color w:val="000000" w:themeColor="text1"/>
                <w:szCs w:val="21"/>
              </w:rPr>
              <w:t>吴春杰</w:t>
            </w:r>
          </w:p>
        </w:tc>
        <w:tc>
          <w:tcPr>
            <w:tcW w:w="930" w:type="dxa"/>
            <w:vAlign w:val="center"/>
          </w:tcPr>
          <w:p w14:paraId="2F180581" w14:textId="77777777" w:rsidR="00946BC5" w:rsidRDefault="00876CEF">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4797F79C" w14:textId="77777777" w:rsidR="00946BC5" w:rsidRDefault="00876CEF">
            <w:pPr>
              <w:jc w:val="center"/>
            </w:pPr>
            <w:r>
              <w:rPr>
                <w:rFonts w:eastAsiaTheme="minorEastAsia"/>
                <w:color w:val="000000" w:themeColor="text1"/>
                <w:szCs w:val="21"/>
              </w:rPr>
              <w:t>2023-08-08</w:t>
            </w:r>
          </w:p>
        </w:tc>
        <w:tc>
          <w:tcPr>
            <w:tcW w:w="1309" w:type="dxa"/>
            <w:vAlign w:val="center"/>
          </w:tcPr>
          <w:p w14:paraId="2C02FC08" w14:textId="77777777" w:rsidR="00946BC5" w:rsidRDefault="00876CEF">
            <w:pPr>
              <w:jc w:val="center"/>
            </w:pPr>
            <w:r>
              <w:rPr>
                <w:rFonts w:eastAsiaTheme="minorEastAsia"/>
                <w:color w:val="000000" w:themeColor="text1"/>
                <w:szCs w:val="21"/>
              </w:rPr>
              <w:t>-</w:t>
            </w:r>
          </w:p>
        </w:tc>
        <w:tc>
          <w:tcPr>
            <w:tcW w:w="1254" w:type="dxa"/>
            <w:vAlign w:val="center"/>
          </w:tcPr>
          <w:p w14:paraId="098B8904" w14:textId="77777777" w:rsidR="00946BC5" w:rsidRDefault="00876CEF">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14:paraId="49140437" w14:textId="77777777" w:rsidR="00946BC5" w:rsidRDefault="00876CEF">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r w:rsidR="00946BC5" w14:paraId="76209619" w14:textId="77777777">
        <w:tc>
          <w:tcPr>
            <w:tcW w:w="952" w:type="dxa"/>
            <w:vAlign w:val="center"/>
          </w:tcPr>
          <w:p w14:paraId="3A0FA4C0" w14:textId="77777777" w:rsidR="00946BC5" w:rsidRDefault="00876CEF">
            <w:pPr>
              <w:jc w:val="center"/>
            </w:pPr>
            <w:r>
              <w:rPr>
                <w:rFonts w:eastAsiaTheme="minorEastAsia"/>
                <w:color w:val="000000" w:themeColor="text1"/>
                <w:szCs w:val="21"/>
              </w:rPr>
              <w:t>恩学海</w:t>
            </w:r>
          </w:p>
        </w:tc>
        <w:tc>
          <w:tcPr>
            <w:tcW w:w="930" w:type="dxa"/>
            <w:vAlign w:val="center"/>
          </w:tcPr>
          <w:p w14:paraId="05303025" w14:textId="77777777" w:rsidR="00946BC5" w:rsidRDefault="00876CEF">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经理、资产配置</w:t>
            </w:r>
            <w:r>
              <w:rPr>
                <w:rFonts w:eastAsiaTheme="minorEastAsia"/>
                <w:color w:val="000000" w:themeColor="text1"/>
                <w:szCs w:val="21"/>
              </w:rPr>
              <w:lastRenderedPageBreak/>
              <w:t>及退休金管理首席投资官</w:t>
            </w:r>
          </w:p>
        </w:tc>
        <w:tc>
          <w:tcPr>
            <w:tcW w:w="1210" w:type="dxa"/>
            <w:vAlign w:val="center"/>
          </w:tcPr>
          <w:p w14:paraId="24B3BF7A" w14:textId="77777777" w:rsidR="00946BC5" w:rsidRDefault="00876CEF">
            <w:pPr>
              <w:jc w:val="center"/>
            </w:pPr>
            <w:r>
              <w:rPr>
                <w:rFonts w:eastAsiaTheme="minorEastAsia"/>
                <w:color w:val="000000" w:themeColor="text1"/>
                <w:szCs w:val="21"/>
              </w:rPr>
              <w:lastRenderedPageBreak/>
              <w:t>2023-08-08</w:t>
            </w:r>
          </w:p>
        </w:tc>
        <w:tc>
          <w:tcPr>
            <w:tcW w:w="1309" w:type="dxa"/>
            <w:vAlign w:val="center"/>
          </w:tcPr>
          <w:p w14:paraId="1EC58277" w14:textId="77777777" w:rsidR="00946BC5" w:rsidRDefault="00876CEF">
            <w:pPr>
              <w:jc w:val="center"/>
            </w:pPr>
            <w:r>
              <w:rPr>
                <w:rFonts w:eastAsiaTheme="minorEastAsia"/>
                <w:color w:val="000000" w:themeColor="text1"/>
                <w:szCs w:val="21"/>
              </w:rPr>
              <w:t>-</w:t>
            </w:r>
          </w:p>
        </w:tc>
        <w:tc>
          <w:tcPr>
            <w:tcW w:w="1254" w:type="dxa"/>
            <w:vAlign w:val="center"/>
          </w:tcPr>
          <w:p w14:paraId="1A2ACC3A" w14:textId="77777777" w:rsidR="00946BC5" w:rsidRDefault="00876CEF">
            <w:pPr>
              <w:jc w:val="center"/>
            </w:pPr>
            <w:r>
              <w:rPr>
                <w:rFonts w:eastAsiaTheme="minorEastAsia"/>
                <w:color w:val="000000" w:themeColor="text1"/>
                <w:szCs w:val="21"/>
              </w:rPr>
              <w:t>30</w:t>
            </w:r>
            <w:r>
              <w:rPr>
                <w:rFonts w:eastAsiaTheme="minorEastAsia"/>
                <w:color w:val="000000" w:themeColor="text1"/>
                <w:szCs w:val="21"/>
              </w:rPr>
              <w:t>年</w:t>
            </w:r>
          </w:p>
        </w:tc>
        <w:tc>
          <w:tcPr>
            <w:tcW w:w="3276" w:type="dxa"/>
            <w:vAlign w:val="center"/>
          </w:tcPr>
          <w:p w14:paraId="76E97B00" w14:textId="77777777" w:rsidR="00946BC5" w:rsidRDefault="00876CEF">
            <w:r>
              <w:rPr>
                <w:rFonts w:eastAsiaTheme="minorEastAsia"/>
                <w:color w:val="000000" w:themeColor="text1"/>
                <w:szCs w:val="21"/>
              </w:rPr>
              <w:t>恩学海先生曾就职于通用数据公司。自</w:t>
            </w:r>
            <w:r>
              <w:rPr>
                <w:rFonts w:eastAsiaTheme="minorEastAsia"/>
                <w:color w:val="000000" w:themeColor="text1"/>
                <w:szCs w:val="21"/>
              </w:rPr>
              <w:t>1994</w:t>
            </w:r>
            <w:r>
              <w:rPr>
                <w:rFonts w:eastAsiaTheme="minorEastAsia"/>
                <w:color w:val="000000" w:themeColor="text1"/>
                <w:szCs w:val="21"/>
              </w:rPr>
              <w:t>年至</w:t>
            </w:r>
            <w:r>
              <w:rPr>
                <w:rFonts w:eastAsiaTheme="minorEastAsia"/>
                <w:color w:val="000000" w:themeColor="text1"/>
                <w:szCs w:val="21"/>
              </w:rPr>
              <w:t>2017</w:t>
            </w:r>
            <w:r>
              <w:rPr>
                <w:rFonts w:eastAsiaTheme="minorEastAsia"/>
                <w:color w:val="000000" w:themeColor="text1"/>
                <w:szCs w:val="21"/>
              </w:rPr>
              <w:t>年就职于美国富达投资集团，先后于资本市场部任高级程序设计和系统分析员、</w:t>
            </w:r>
            <w:r>
              <w:rPr>
                <w:rFonts w:eastAsiaTheme="minorEastAsia"/>
                <w:color w:val="000000" w:themeColor="text1"/>
                <w:szCs w:val="21"/>
              </w:rPr>
              <w:lastRenderedPageBreak/>
              <w:t>项目经理；于资产管理服务部任高级量化分析师；于战略顾问部、全球资产配置</w:t>
            </w:r>
            <w:proofErr w:type="gramStart"/>
            <w:r>
              <w:rPr>
                <w:rFonts w:eastAsiaTheme="minorEastAsia"/>
                <w:color w:val="000000" w:themeColor="text1"/>
                <w:szCs w:val="21"/>
              </w:rPr>
              <w:t>任基金</w:t>
            </w:r>
            <w:proofErr w:type="gramEnd"/>
            <w:r>
              <w:rPr>
                <w:rFonts w:eastAsiaTheme="minorEastAsia"/>
                <w:color w:val="000000" w:themeColor="text1"/>
                <w:szCs w:val="21"/>
              </w:rPr>
              <w:t>经理、基金策略师；自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月加入摩根基金管理（中国）有限公司（原上投摩根基金管理有限公司），现任资产配置及退休金管理首席投资官。</w:t>
            </w:r>
          </w:p>
        </w:tc>
      </w:tr>
    </w:tbl>
    <w:p w14:paraId="5B2B3AE3" w14:textId="77777777" w:rsidR="00946BC5" w:rsidRDefault="00876C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247EEF68" w14:textId="77777777" w:rsidR="00946BC5" w:rsidRDefault="00876CE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恩学海先生、吴春杰女士为本基金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经理，其任职日期指本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r>
        <w:rPr>
          <w:rFonts w:eastAsiaTheme="minorEastAsia"/>
          <w:color w:val="000000" w:themeColor="text1"/>
          <w:szCs w:val="21"/>
        </w:rPr>
        <w:t xml:space="preserve"> </w:t>
      </w:r>
    </w:p>
    <w:p w14:paraId="34B3339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59CDD96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491B1AB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2FDBC7F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1D929257"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1B04DE03" w14:textId="77777777" w:rsidR="00946BC5" w:rsidRDefault="00876CE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4C5DABB" w14:textId="77777777" w:rsidR="00946BC5" w:rsidRDefault="00876CE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5564EFE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C54650F"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6CB5B8C1" w14:textId="77777777" w:rsidR="00946BC5" w:rsidRDefault="00876CE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w:t>
      </w:r>
      <w:r>
        <w:rPr>
          <w:rFonts w:eastAsiaTheme="minorEastAsia"/>
          <w:color w:val="000000" w:themeColor="text1"/>
          <w:szCs w:val="21"/>
        </w:rPr>
        <w:lastRenderedPageBreak/>
        <w:t>和利益输送的异常交易行为。</w:t>
      </w:r>
    </w:p>
    <w:p w14:paraId="127DA8D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79C2388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2B00AF9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545D5EEA" w14:textId="77777777" w:rsidR="00946BC5" w:rsidRDefault="00876CEF">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年四季度，国内权益市场走势以震荡为主，区间中证</w:t>
      </w:r>
      <w:r>
        <w:rPr>
          <w:rFonts w:eastAsiaTheme="minorEastAsia"/>
          <w:color w:val="000000" w:themeColor="text1"/>
          <w:szCs w:val="21"/>
        </w:rPr>
        <w:t>800</w:t>
      </w:r>
      <w:r>
        <w:rPr>
          <w:rFonts w:eastAsiaTheme="minorEastAsia"/>
          <w:color w:val="000000" w:themeColor="text1"/>
          <w:szCs w:val="21"/>
        </w:rPr>
        <w:t>涨跌幅为</w:t>
      </w:r>
      <w:r>
        <w:rPr>
          <w:rFonts w:eastAsiaTheme="minorEastAsia"/>
          <w:color w:val="000000" w:themeColor="text1"/>
          <w:szCs w:val="21"/>
        </w:rPr>
        <w:t>-1.6%</w:t>
      </w:r>
      <w:r>
        <w:rPr>
          <w:rFonts w:eastAsiaTheme="minorEastAsia"/>
          <w:color w:val="000000" w:themeColor="text1"/>
          <w:szCs w:val="21"/>
        </w:rPr>
        <w:t>。三季度末，</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日金融部门的国新办发布会及</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日的政治局会议，政策面释放了稳股市、稳房市、</w:t>
      </w:r>
      <w:proofErr w:type="gramStart"/>
      <w:r>
        <w:rPr>
          <w:rFonts w:eastAsiaTheme="minorEastAsia"/>
          <w:color w:val="000000" w:themeColor="text1"/>
          <w:szCs w:val="21"/>
        </w:rPr>
        <w:t>稳经济</w:t>
      </w:r>
      <w:proofErr w:type="gramEnd"/>
      <w:r>
        <w:rPr>
          <w:rFonts w:eastAsiaTheme="minorEastAsia"/>
          <w:color w:val="000000" w:themeColor="text1"/>
          <w:szCs w:val="21"/>
        </w:rPr>
        <w:t>的信号，</w:t>
      </w:r>
      <w:r>
        <w:rPr>
          <w:rFonts w:eastAsiaTheme="minorEastAsia"/>
          <w:color w:val="000000" w:themeColor="text1"/>
          <w:szCs w:val="21"/>
        </w:rPr>
        <w:t>A</w:t>
      </w:r>
      <w:proofErr w:type="gramStart"/>
      <w:r>
        <w:rPr>
          <w:rFonts w:eastAsiaTheme="minorEastAsia"/>
          <w:color w:val="000000" w:themeColor="text1"/>
          <w:szCs w:val="21"/>
        </w:rPr>
        <w:t>股经历</w:t>
      </w:r>
      <w:proofErr w:type="gramEnd"/>
      <w:r>
        <w:rPr>
          <w:rFonts w:eastAsiaTheme="minorEastAsia"/>
          <w:color w:val="000000" w:themeColor="text1"/>
          <w:szCs w:val="21"/>
        </w:rPr>
        <w:t>快速上涨后，四季度进入对</w:t>
      </w:r>
      <w:proofErr w:type="gramStart"/>
      <w:r>
        <w:rPr>
          <w:rFonts w:eastAsiaTheme="minorEastAsia"/>
          <w:color w:val="000000" w:themeColor="text1"/>
          <w:szCs w:val="21"/>
        </w:rPr>
        <w:t>具体稳增长</w:t>
      </w:r>
      <w:proofErr w:type="gramEnd"/>
      <w:r>
        <w:rPr>
          <w:rFonts w:eastAsiaTheme="minorEastAsia"/>
          <w:color w:val="000000" w:themeColor="text1"/>
          <w:szCs w:val="21"/>
        </w:rPr>
        <w:t>政策力度、政策效果的观察期。国内债券方面，在适度宽松的货币政策基调下，市场对降准、降息持有较高期待，国债收益率曲线整体下移，截至季末，</w:t>
      </w:r>
      <w:r>
        <w:rPr>
          <w:rFonts w:eastAsiaTheme="minorEastAsia"/>
          <w:color w:val="000000" w:themeColor="text1"/>
          <w:szCs w:val="21"/>
        </w:rPr>
        <w:t>10</w:t>
      </w:r>
      <w:r>
        <w:rPr>
          <w:rFonts w:eastAsiaTheme="minorEastAsia"/>
          <w:color w:val="000000" w:themeColor="text1"/>
          <w:szCs w:val="21"/>
        </w:rPr>
        <w:t>年期国债本季度下行</w:t>
      </w:r>
      <w:r>
        <w:rPr>
          <w:rFonts w:eastAsiaTheme="minorEastAsia"/>
          <w:color w:val="000000" w:themeColor="text1"/>
          <w:szCs w:val="21"/>
        </w:rPr>
        <w:t>48BP</w:t>
      </w:r>
      <w:r>
        <w:rPr>
          <w:rFonts w:eastAsiaTheme="minorEastAsia"/>
          <w:color w:val="000000" w:themeColor="text1"/>
          <w:szCs w:val="21"/>
        </w:rPr>
        <w:t>至</w:t>
      </w:r>
      <w:r>
        <w:rPr>
          <w:rFonts w:eastAsiaTheme="minorEastAsia"/>
          <w:color w:val="000000" w:themeColor="text1"/>
          <w:szCs w:val="21"/>
        </w:rPr>
        <w:t>1.68%</w:t>
      </w:r>
      <w:r>
        <w:rPr>
          <w:rFonts w:eastAsiaTheme="minorEastAsia"/>
          <w:color w:val="000000" w:themeColor="text1"/>
          <w:szCs w:val="21"/>
        </w:rPr>
        <w:t>。</w:t>
      </w:r>
    </w:p>
    <w:p w14:paraId="1D0F2B26" w14:textId="77777777" w:rsidR="00946BC5" w:rsidRDefault="00876CEF">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海外方面，美股延续小幅反弹。美国大选落定，胜选者主张更大力度的减税政策、放松监管政策或将有利于美股盈利增长，</w:t>
      </w:r>
      <w:proofErr w:type="gramStart"/>
      <w:r>
        <w:rPr>
          <w:rFonts w:eastAsiaTheme="minorEastAsia"/>
          <w:color w:val="000000" w:themeColor="text1"/>
          <w:szCs w:val="21"/>
        </w:rPr>
        <w:t>标普</w:t>
      </w:r>
      <w:proofErr w:type="gramEnd"/>
      <w:r>
        <w:rPr>
          <w:rFonts w:eastAsiaTheme="minorEastAsia"/>
          <w:color w:val="000000" w:themeColor="text1"/>
          <w:szCs w:val="21"/>
        </w:rPr>
        <w:t>500</w:t>
      </w:r>
      <w:r>
        <w:rPr>
          <w:rFonts w:eastAsiaTheme="minorEastAsia"/>
          <w:color w:val="000000" w:themeColor="text1"/>
          <w:szCs w:val="21"/>
        </w:rPr>
        <w:t>指数季度涨跌幅为</w:t>
      </w:r>
      <w:r>
        <w:rPr>
          <w:rFonts w:eastAsiaTheme="minorEastAsia"/>
          <w:color w:val="000000" w:themeColor="text1"/>
          <w:szCs w:val="21"/>
        </w:rPr>
        <w:t>2.1%</w:t>
      </w:r>
      <w:r>
        <w:rPr>
          <w:rFonts w:eastAsiaTheme="minorEastAsia"/>
          <w:color w:val="000000" w:themeColor="text1"/>
          <w:szCs w:val="21"/>
        </w:rPr>
        <w:t>。在随后</w:t>
      </w:r>
      <w:r>
        <w:rPr>
          <w:rFonts w:eastAsiaTheme="minorEastAsia"/>
          <w:color w:val="000000" w:themeColor="text1"/>
          <w:szCs w:val="21"/>
        </w:rPr>
        <w:t>12</w:t>
      </w:r>
      <w:r>
        <w:rPr>
          <w:rFonts w:eastAsiaTheme="minorEastAsia"/>
          <w:color w:val="000000" w:themeColor="text1"/>
          <w:szCs w:val="21"/>
        </w:rPr>
        <w:t>月议</w:t>
      </w:r>
      <w:proofErr w:type="gramStart"/>
      <w:r>
        <w:rPr>
          <w:rFonts w:eastAsiaTheme="minorEastAsia"/>
          <w:color w:val="000000" w:themeColor="text1"/>
          <w:szCs w:val="21"/>
        </w:rPr>
        <w:t>息会议</w:t>
      </w:r>
      <w:proofErr w:type="gramEnd"/>
      <w:r>
        <w:rPr>
          <w:rFonts w:eastAsiaTheme="minorEastAsia"/>
          <w:color w:val="000000" w:themeColor="text1"/>
          <w:szCs w:val="21"/>
        </w:rPr>
        <w:t>上，美联储虽延续降息</w:t>
      </w:r>
      <w:r>
        <w:rPr>
          <w:rFonts w:eastAsiaTheme="minorEastAsia"/>
          <w:color w:val="000000" w:themeColor="text1"/>
          <w:szCs w:val="21"/>
        </w:rPr>
        <w:t>25BP</w:t>
      </w:r>
      <w:r>
        <w:rPr>
          <w:rFonts w:eastAsiaTheme="minorEastAsia"/>
          <w:color w:val="000000" w:themeColor="text1"/>
          <w:szCs w:val="21"/>
        </w:rPr>
        <w:t>，但对后续降息节奏偏谨慎，亦反映了大选对美国未来经济前景可能发生的潜在影响的预期变化，截至季末，</w:t>
      </w:r>
      <w:proofErr w:type="gramStart"/>
      <w:r>
        <w:rPr>
          <w:rFonts w:eastAsiaTheme="minorEastAsia"/>
          <w:color w:val="000000" w:themeColor="text1"/>
          <w:szCs w:val="21"/>
        </w:rPr>
        <w:t>10</w:t>
      </w:r>
      <w:r>
        <w:rPr>
          <w:rFonts w:eastAsiaTheme="minorEastAsia"/>
          <w:color w:val="000000" w:themeColor="text1"/>
          <w:szCs w:val="21"/>
        </w:rPr>
        <w:t>年期美债</w:t>
      </w:r>
      <w:proofErr w:type="gramEnd"/>
      <w:r>
        <w:rPr>
          <w:rFonts w:eastAsiaTheme="minorEastAsia"/>
          <w:color w:val="000000" w:themeColor="text1"/>
          <w:szCs w:val="21"/>
        </w:rPr>
        <w:t>收益率季度大幅上行</w:t>
      </w:r>
      <w:r>
        <w:rPr>
          <w:rFonts w:eastAsiaTheme="minorEastAsia"/>
          <w:color w:val="000000" w:themeColor="text1"/>
          <w:szCs w:val="21"/>
        </w:rPr>
        <w:t>77BP</w:t>
      </w:r>
      <w:r>
        <w:rPr>
          <w:rFonts w:eastAsiaTheme="minorEastAsia"/>
          <w:color w:val="000000" w:themeColor="text1"/>
          <w:szCs w:val="21"/>
        </w:rPr>
        <w:t>至</w:t>
      </w:r>
      <w:r>
        <w:rPr>
          <w:rFonts w:eastAsiaTheme="minorEastAsia"/>
          <w:color w:val="000000" w:themeColor="text1"/>
          <w:szCs w:val="21"/>
        </w:rPr>
        <w:t>4.58%</w:t>
      </w:r>
      <w:r>
        <w:rPr>
          <w:rFonts w:eastAsiaTheme="minorEastAsia"/>
          <w:color w:val="000000" w:themeColor="text1"/>
          <w:szCs w:val="21"/>
        </w:rPr>
        <w:t>。</w:t>
      </w:r>
    </w:p>
    <w:p w14:paraId="69F7191C" w14:textId="77777777" w:rsidR="00946BC5" w:rsidRDefault="00876CEF">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四季度，基金</w:t>
      </w:r>
      <w:r>
        <w:rPr>
          <w:rFonts w:eastAsiaTheme="minorEastAsia"/>
          <w:color w:val="000000" w:themeColor="text1"/>
          <w:szCs w:val="21"/>
        </w:rPr>
        <w:t>A</w:t>
      </w:r>
      <w:r>
        <w:rPr>
          <w:rFonts w:eastAsiaTheme="minorEastAsia"/>
          <w:color w:val="000000" w:themeColor="text1"/>
          <w:szCs w:val="21"/>
        </w:rPr>
        <w:t>份额累计收益率</w:t>
      </w:r>
      <w:r>
        <w:rPr>
          <w:rFonts w:eastAsiaTheme="minorEastAsia"/>
          <w:color w:val="000000" w:themeColor="text1"/>
          <w:szCs w:val="21"/>
        </w:rPr>
        <w:t>1.18%</w:t>
      </w:r>
      <w:r>
        <w:rPr>
          <w:rFonts w:eastAsiaTheme="minorEastAsia"/>
          <w:color w:val="000000" w:themeColor="text1"/>
          <w:szCs w:val="21"/>
        </w:rPr>
        <w:t>，</w:t>
      </w:r>
      <w:r>
        <w:rPr>
          <w:rFonts w:eastAsiaTheme="minorEastAsia"/>
          <w:color w:val="000000" w:themeColor="text1"/>
          <w:szCs w:val="21"/>
        </w:rPr>
        <w:t>C</w:t>
      </w:r>
      <w:r>
        <w:rPr>
          <w:rFonts w:eastAsiaTheme="minorEastAsia"/>
          <w:color w:val="000000" w:themeColor="text1"/>
          <w:szCs w:val="21"/>
        </w:rPr>
        <w:t>份额累计收益率</w:t>
      </w:r>
      <w:r>
        <w:rPr>
          <w:rFonts w:eastAsiaTheme="minorEastAsia"/>
          <w:color w:val="000000" w:themeColor="text1"/>
          <w:szCs w:val="21"/>
        </w:rPr>
        <w:t>1.13%</w:t>
      </w:r>
      <w:r>
        <w:rPr>
          <w:rFonts w:eastAsiaTheme="minorEastAsia"/>
          <w:color w:val="000000" w:themeColor="text1"/>
          <w:szCs w:val="21"/>
        </w:rPr>
        <w:t>。组合围绕业绩比较基准运作，结合战术资产配置观点进行多元化配置，结构上阶段性超配国内权益</w:t>
      </w:r>
      <w:proofErr w:type="gramStart"/>
      <w:r>
        <w:rPr>
          <w:rFonts w:eastAsiaTheme="minorEastAsia"/>
          <w:color w:val="000000" w:themeColor="text1"/>
          <w:szCs w:val="21"/>
        </w:rPr>
        <w:t>具正贡献</w:t>
      </w:r>
      <w:proofErr w:type="gramEnd"/>
      <w:r>
        <w:rPr>
          <w:rFonts w:eastAsiaTheme="minorEastAsia"/>
          <w:color w:val="000000" w:themeColor="text1"/>
          <w:szCs w:val="21"/>
        </w:rPr>
        <w:t>，海外权益、黄金等多元资产丰富收益来源。</w:t>
      </w:r>
    </w:p>
    <w:p w14:paraId="478B2BE0" w14:textId="77777777" w:rsidR="00946BC5" w:rsidRDefault="00876CEF">
      <w:pPr>
        <w:spacing w:line="360" w:lineRule="auto"/>
        <w:ind w:firstLineChars="200" w:firstLine="420"/>
        <w:rPr>
          <w:rFonts w:eastAsiaTheme="minorEastAsia"/>
          <w:color w:val="000000" w:themeColor="text1"/>
          <w:szCs w:val="21"/>
        </w:rPr>
      </w:pPr>
      <w:r>
        <w:rPr>
          <w:rFonts w:eastAsiaTheme="minorEastAsia"/>
          <w:color w:val="000000" w:themeColor="text1"/>
          <w:szCs w:val="21"/>
        </w:rPr>
        <w:t>从全球宏观变化来讲，美联储降息周期的开启叠加美国大选结束，市场对于基准情形经济</w:t>
      </w:r>
      <w:r>
        <w:rPr>
          <w:rFonts w:eastAsiaTheme="minorEastAsia"/>
          <w:color w:val="000000" w:themeColor="text1"/>
          <w:szCs w:val="21"/>
        </w:rPr>
        <w:t>“</w:t>
      </w:r>
      <w:r>
        <w:rPr>
          <w:rFonts w:eastAsiaTheme="minorEastAsia"/>
          <w:color w:val="000000" w:themeColor="text1"/>
          <w:szCs w:val="21"/>
        </w:rPr>
        <w:t>软着陆</w:t>
      </w:r>
      <w:r>
        <w:rPr>
          <w:rFonts w:eastAsiaTheme="minorEastAsia"/>
          <w:color w:val="000000" w:themeColor="text1"/>
          <w:szCs w:val="21"/>
        </w:rPr>
        <w:t>”</w:t>
      </w:r>
      <w:r>
        <w:rPr>
          <w:rFonts w:eastAsiaTheme="minorEastAsia"/>
          <w:color w:val="000000" w:themeColor="text1"/>
          <w:szCs w:val="21"/>
        </w:rPr>
        <w:t>的信心逐步上升，从而支持对风险资产的配置，发达市场债券有利的配置时点有所延后。</w:t>
      </w:r>
    </w:p>
    <w:p w14:paraId="411F0F02" w14:textId="77777777" w:rsidR="00946BC5" w:rsidRDefault="00876CEF">
      <w:pPr>
        <w:spacing w:line="360" w:lineRule="auto"/>
        <w:ind w:firstLineChars="200" w:firstLine="420"/>
        <w:rPr>
          <w:rFonts w:eastAsiaTheme="minorEastAsia"/>
          <w:color w:val="000000" w:themeColor="text1"/>
          <w:szCs w:val="21"/>
        </w:rPr>
      </w:pPr>
      <w:r>
        <w:rPr>
          <w:rFonts w:eastAsiaTheme="minorEastAsia"/>
          <w:color w:val="000000" w:themeColor="text1"/>
          <w:szCs w:val="21"/>
        </w:rPr>
        <w:t>国内权益市场方面，三季度以来，国内宏观经济政策开始积极调整，</w:t>
      </w:r>
      <w:r>
        <w:rPr>
          <w:rFonts w:eastAsiaTheme="minorEastAsia"/>
          <w:color w:val="000000" w:themeColor="text1"/>
          <w:szCs w:val="21"/>
        </w:rPr>
        <w:t>11</w:t>
      </w:r>
      <w:r>
        <w:rPr>
          <w:rFonts w:eastAsiaTheme="minorEastAsia"/>
          <w:color w:val="000000" w:themeColor="text1"/>
          <w:szCs w:val="21"/>
        </w:rPr>
        <w:t>月初</w:t>
      </w:r>
      <w:r>
        <w:rPr>
          <w:rFonts w:eastAsiaTheme="minorEastAsia"/>
          <w:color w:val="000000" w:themeColor="text1"/>
          <w:szCs w:val="21"/>
        </w:rPr>
        <w:t>12</w:t>
      </w:r>
      <w:proofErr w:type="gramStart"/>
      <w:r>
        <w:rPr>
          <w:rFonts w:eastAsiaTheme="minorEastAsia"/>
          <w:color w:val="000000" w:themeColor="text1"/>
          <w:szCs w:val="21"/>
        </w:rPr>
        <w:t>万亿</w:t>
      </w:r>
      <w:proofErr w:type="gramEnd"/>
      <w:r>
        <w:rPr>
          <w:rFonts w:eastAsiaTheme="minorEastAsia"/>
          <w:color w:val="000000" w:themeColor="text1"/>
          <w:szCs w:val="21"/>
        </w:rPr>
        <w:t>地方财政债务置换方案出台、四季度货币政策表述转为</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，总体起到了稳定资本市场信心的效果。一方面，</w:t>
      </w:r>
      <w:r>
        <w:rPr>
          <w:rFonts w:eastAsiaTheme="minorEastAsia"/>
          <w:color w:val="000000" w:themeColor="text1"/>
          <w:szCs w:val="21"/>
        </w:rPr>
        <w:t>A</w:t>
      </w:r>
      <w:r>
        <w:rPr>
          <w:rFonts w:eastAsiaTheme="minorEastAsia"/>
          <w:color w:val="000000" w:themeColor="text1"/>
          <w:szCs w:val="21"/>
        </w:rPr>
        <w:t>股成交量持续处在较高水平，市场活跃度较好；另一方面，市场增量资金来源扩展，央行创设的互换便利工具逐步落地，以中证</w:t>
      </w:r>
      <w:r>
        <w:rPr>
          <w:rFonts w:eastAsiaTheme="minorEastAsia"/>
          <w:color w:val="000000" w:themeColor="text1"/>
          <w:szCs w:val="21"/>
        </w:rPr>
        <w:t>A500</w:t>
      </w:r>
      <w:r>
        <w:rPr>
          <w:rFonts w:eastAsiaTheme="minorEastAsia"/>
          <w:color w:val="000000" w:themeColor="text1"/>
          <w:szCs w:val="21"/>
        </w:rPr>
        <w:t>指数为代表</w:t>
      </w:r>
      <w:proofErr w:type="gramStart"/>
      <w:r>
        <w:rPr>
          <w:rFonts w:eastAsiaTheme="minorEastAsia"/>
          <w:color w:val="000000" w:themeColor="text1"/>
          <w:szCs w:val="21"/>
        </w:rPr>
        <w:t>的宽基</w:t>
      </w:r>
      <w:proofErr w:type="gramEnd"/>
      <w:r>
        <w:rPr>
          <w:rFonts w:eastAsiaTheme="minorEastAsia"/>
          <w:color w:val="000000" w:themeColor="text1"/>
          <w:szCs w:val="21"/>
        </w:rPr>
        <w:t>ETF</w:t>
      </w:r>
      <w:r>
        <w:rPr>
          <w:rFonts w:eastAsiaTheme="minorEastAsia"/>
          <w:color w:val="000000" w:themeColor="text1"/>
          <w:szCs w:val="21"/>
        </w:rPr>
        <w:t>基金批量新发，同时，高风险偏好的两融资金余额呈现上升趋势。结构上，已经出台的</w:t>
      </w:r>
      <w:r>
        <w:rPr>
          <w:rFonts w:eastAsiaTheme="minorEastAsia"/>
          <w:color w:val="000000" w:themeColor="text1"/>
          <w:szCs w:val="21"/>
        </w:rPr>
        <w:t>“</w:t>
      </w:r>
      <w:r>
        <w:rPr>
          <w:rFonts w:eastAsiaTheme="minorEastAsia"/>
          <w:color w:val="000000" w:themeColor="text1"/>
          <w:szCs w:val="21"/>
        </w:rPr>
        <w:t>以旧换新</w:t>
      </w:r>
      <w:r>
        <w:rPr>
          <w:rFonts w:eastAsiaTheme="minorEastAsia"/>
          <w:color w:val="000000" w:themeColor="text1"/>
          <w:szCs w:val="21"/>
        </w:rPr>
        <w:t>”</w:t>
      </w:r>
      <w:r>
        <w:rPr>
          <w:rFonts w:eastAsiaTheme="minorEastAsia"/>
          <w:color w:val="000000" w:themeColor="text1"/>
          <w:szCs w:val="21"/>
        </w:rPr>
        <w:t>补贴中对于拉动以家电、汽车为代表的消费品起到了较好的效果，预计</w:t>
      </w:r>
      <w:r>
        <w:rPr>
          <w:rFonts w:eastAsiaTheme="minorEastAsia"/>
          <w:color w:val="000000" w:themeColor="text1"/>
          <w:szCs w:val="21"/>
        </w:rPr>
        <w:t>2025</w:t>
      </w:r>
      <w:r>
        <w:rPr>
          <w:rFonts w:eastAsiaTheme="minorEastAsia"/>
          <w:color w:val="000000" w:themeColor="text1"/>
          <w:szCs w:val="21"/>
        </w:rPr>
        <w:t>年内需消费政策仍将是稳定经济增长的有力抓手。同时，与中长期经济结构调整方向相匹配的科技成长方向，也有望受益于相关产业的支持性政策。目前，我们对高风险资产持中性</w:t>
      </w:r>
      <w:proofErr w:type="gramStart"/>
      <w:r>
        <w:rPr>
          <w:rFonts w:eastAsiaTheme="minorEastAsia"/>
          <w:color w:val="000000" w:themeColor="text1"/>
          <w:szCs w:val="21"/>
        </w:rPr>
        <w:t>偏积极</w:t>
      </w:r>
      <w:proofErr w:type="gramEnd"/>
      <w:r>
        <w:rPr>
          <w:rFonts w:eastAsiaTheme="minorEastAsia"/>
          <w:color w:val="000000" w:themeColor="text1"/>
          <w:szCs w:val="21"/>
        </w:rPr>
        <w:t>的看法，后续关注春节前后市场流动性的变化、</w:t>
      </w:r>
      <w:r>
        <w:rPr>
          <w:rFonts w:eastAsiaTheme="minorEastAsia"/>
          <w:color w:val="000000" w:themeColor="text1"/>
          <w:szCs w:val="21"/>
        </w:rPr>
        <w:t>3</w:t>
      </w:r>
      <w:r>
        <w:rPr>
          <w:rFonts w:eastAsiaTheme="minorEastAsia"/>
          <w:color w:val="000000" w:themeColor="text1"/>
          <w:szCs w:val="21"/>
        </w:rPr>
        <w:t>月初两会制定的经济工作目标、财政政策的发力方向，跟踪评估政策对经济基本面的影响，进而评估是否调整投资组合。港股方面，与国内经济复苏密切相关，部分港股上市企业盈利</w:t>
      </w:r>
      <w:r>
        <w:rPr>
          <w:rFonts w:eastAsiaTheme="minorEastAsia"/>
          <w:color w:val="000000" w:themeColor="text1"/>
          <w:szCs w:val="21"/>
        </w:rPr>
        <w:lastRenderedPageBreak/>
        <w:t>预期有所改善，同时有望受益于海外流动性环境改善，估值具吸引力。</w:t>
      </w:r>
    </w:p>
    <w:p w14:paraId="5F8FA96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对于国内债券来讲，托底经济增长的政策在发力中，内外利差仍为负值，国内债相对</w:t>
      </w:r>
      <w:r w:rsidRPr="00B27A29">
        <w:rPr>
          <w:rFonts w:eastAsiaTheme="minorEastAsia"/>
          <w:color w:val="000000" w:themeColor="text1"/>
          <w:szCs w:val="21"/>
        </w:rPr>
        <w:t>A</w:t>
      </w:r>
      <w:r w:rsidRPr="00B27A29">
        <w:rPr>
          <w:rFonts w:eastAsiaTheme="minorEastAsia"/>
          <w:color w:val="000000" w:themeColor="text1"/>
          <w:szCs w:val="21"/>
        </w:rPr>
        <w:t>股股息率所反映的估值亦较贵。但考虑到当前处在地方政府化</w:t>
      </w:r>
      <w:proofErr w:type="gramStart"/>
      <w:r w:rsidRPr="00B27A29">
        <w:rPr>
          <w:rFonts w:eastAsiaTheme="minorEastAsia"/>
          <w:color w:val="000000" w:themeColor="text1"/>
          <w:szCs w:val="21"/>
        </w:rPr>
        <w:t>债进程</w:t>
      </w:r>
      <w:proofErr w:type="gramEnd"/>
      <w:r w:rsidRPr="00B27A29">
        <w:rPr>
          <w:rFonts w:eastAsiaTheme="minorEastAsia"/>
          <w:color w:val="000000" w:themeColor="text1"/>
          <w:szCs w:val="21"/>
        </w:rPr>
        <w:t>中，实际利率高位下，货币政策为支持性的基调，国内债券的风险相对可控。考虑四季度债券收益率的大幅下行反映出对于潜在的降准、降息已有较大程度的抢跑，且年初将进入新</w:t>
      </w:r>
      <w:proofErr w:type="gramStart"/>
      <w:r w:rsidRPr="00B27A29">
        <w:rPr>
          <w:rFonts w:eastAsiaTheme="minorEastAsia"/>
          <w:color w:val="000000" w:themeColor="text1"/>
          <w:szCs w:val="21"/>
        </w:rPr>
        <w:t>一轮稳增长</w:t>
      </w:r>
      <w:proofErr w:type="gramEnd"/>
      <w:r w:rsidRPr="00B27A29">
        <w:rPr>
          <w:rFonts w:eastAsiaTheme="minorEastAsia"/>
          <w:color w:val="000000" w:themeColor="text1"/>
          <w:szCs w:val="21"/>
        </w:rPr>
        <w:t>政策验证期，长久期利率的波动或有上升，</w:t>
      </w:r>
      <w:proofErr w:type="gramStart"/>
      <w:r w:rsidRPr="00B27A29">
        <w:rPr>
          <w:rFonts w:eastAsiaTheme="minorEastAsia"/>
          <w:color w:val="000000" w:themeColor="text1"/>
          <w:szCs w:val="21"/>
        </w:rPr>
        <w:t>后续仍</w:t>
      </w:r>
      <w:proofErr w:type="gramEnd"/>
      <w:r w:rsidRPr="00B27A29">
        <w:rPr>
          <w:rFonts w:eastAsiaTheme="minorEastAsia"/>
          <w:color w:val="000000" w:themeColor="text1"/>
          <w:szCs w:val="21"/>
        </w:rPr>
        <w:t>以中短债策略为主。</w:t>
      </w:r>
    </w:p>
    <w:p w14:paraId="2561A610"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2E2C73A7" w14:textId="77777777" w:rsidR="00946BC5" w:rsidRDefault="00876CE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本报告期摩根双季鑫</w:t>
      </w:r>
      <w:r>
        <w:rPr>
          <w:rFonts w:eastAsiaTheme="minorEastAsia"/>
          <w:color w:val="000000" w:themeColor="text1"/>
          <w:szCs w:val="21"/>
        </w:rPr>
        <w:t>6</w:t>
      </w:r>
      <w:r>
        <w:rPr>
          <w:rFonts w:eastAsiaTheme="minorEastAsia"/>
          <w:color w:val="000000" w:themeColor="text1"/>
          <w:szCs w:val="21"/>
        </w:rPr>
        <w:t>个月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:1.18%</w:t>
      </w:r>
      <w:r>
        <w:rPr>
          <w:rFonts w:eastAsiaTheme="minorEastAsia"/>
          <w:color w:val="000000" w:themeColor="text1"/>
          <w:szCs w:val="21"/>
        </w:rPr>
        <w:t>，同期业绩比较基准收益率为</w:t>
      </w:r>
      <w:r>
        <w:rPr>
          <w:rFonts w:eastAsiaTheme="minorEastAsia"/>
          <w:color w:val="000000" w:themeColor="text1"/>
          <w:szCs w:val="21"/>
        </w:rPr>
        <w:t>:1.51%</w:t>
      </w:r>
    </w:p>
    <w:p w14:paraId="7A5D9E3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:1.13%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:1.51%</w:t>
      </w:r>
      <w:r w:rsidRPr="00B27A29">
        <w:rPr>
          <w:rFonts w:eastAsiaTheme="minorEastAsia"/>
          <w:color w:val="000000" w:themeColor="text1"/>
          <w:szCs w:val="21"/>
        </w:rPr>
        <w:t>。</w:t>
      </w:r>
    </w:p>
    <w:p w14:paraId="748B87EF" w14:textId="77777777" w:rsidR="005E6DF3" w:rsidRPr="00B27A29" w:rsidRDefault="005E6DF3">
      <w:pPr>
        <w:spacing w:line="360" w:lineRule="auto"/>
        <w:ind w:firstLineChars="200" w:firstLine="420"/>
        <w:rPr>
          <w:rFonts w:eastAsiaTheme="minorEastAsia"/>
          <w:color w:val="000000" w:themeColor="text1"/>
          <w:szCs w:val="21"/>
        </w:rPr>
      </w:pPr>
    </w:p>
    <w:p w14:paraId="27EAC1A7"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7413F7CF"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3D16BFBA" w14:textId="77777777" w:rsidR="005E6DF3" w:rsidRPr="00B27A29" w:rsidRDefault="005E6DF3">
      <w:pPr>
        <w:spacing w:line="360" w:lineRule="auto"/>
        <w:ind w:firstLineChars="200" w:firstLine="420"/>
        <w:rPr>
          <w:rFonts w:eastAsiaTheme="minorEastAsia"/>
          <w:color w:val="000000" w:themeColor="text1"/>
          <w:szCs w:val="21"/>
        </w:rPr>
      </w:pPr>
    </w:p>
    <w:p w14:paraId="2CC6226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4822AF78" w14:textId="77777777"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14:paraId="674A2ADB" w14:textId="77777777" w:rsidTr="00342FE7">
        <w:tc>
          <w:tcPr>
            <w:tcW w:w="720" w:type="dxa"/>
            <w:vAlign w:val="center"/>
          </w:tcPr>
          <w:p w14:paraId="75B27791"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14:paraId="5AA1E1DF"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14:paraId="0F630CF2"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14:paraId="65F446BA"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14:paraId="66B752A6" w14:textId="77777777" w:rsidTr="00342FE7">
        <w:tc>
          <w:tcPr>
            <w:tcW w:w="720" w:type="dxa"/>
            <w:vAlign w:val="center"/>
          </w:tcPr>
          <w:p w14:paraId="235AF2DF"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14:paraId="73240A48"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14:paraId="48AB71FA"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74406D8B"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21734D3C" w14:textId="77777777" w:rsidTr="00342FE7">
        <w:tc>
          <w:tcPr>
            <w:tcW w:w="720" w:type="dxa"/>
            <w:vAlign w:val="center"/>
          </w:tcPr>
          <w:p w14:paraId="21EA8C8A"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3E1E42A1"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14:paraId="29EEF2AE"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4EE0CF08"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329747FD" w14:textId="77777777" w:rsidTr="00342FE7">
        <w:tc>
          <w:tcPr>
            <w:tcW w:w="720" w:type="dxa"/>
            <w:vAlign w:val="center"/>
          </w:tcPr>
          <w:p w14:paraId="5F66BCC7"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14:paraId="03651129"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14:paraId="575016D4"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16,504,620.80</w:t>
            </w:r>
          </w:p>
        </w:tc>
        <w:tc>
          <w:tcPr>
            <w:tcW w:w="2801" w:type="dxa"/>
            <w:vAlign w:val="center"/>
          </w:tcPr>
          <w:p w14:paraId="3688A10D"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90.11</w:t>
            </w:r>
          </w:p>
        </w:tc>
      </w:tr>
      <w:tr w:rsidR="006336AE" w:rsidRPr="007B5F21" w14:paraId="6CED5248" w14:textId="77777777" w:rsidTr="00342FE7">
        <w:tc>
          <w:tcPr>
            <w:tcW w:w="720" w:type="dxa"/>
            <w:vAlign w:val="center"/>
          </w:tcPr>
          <w:p w14:paraId="70B18DB3"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14:paraId="6695EF3B"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14:paraId="21079728"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908,934.41</w:t>
            </w:r>
          </w:p>
        </w:tc>
        <w:tc>
          <w:tcPr>
            <w:tcW w:w="2801" w:type="dxa"/>
            <w:vAlign w:val="center"/>
          </w:tcPr>
          <w:p w14:paraId="3B3EA283"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4.96</w:t>
            </w:r>
          </w:p>
        </w:tc>
      </w:tr>
      <w:tr w:rsidR="006336AE" w:rsidRPr="007B5F21" w14:paraId="1DCDD9C6" w14:textId="77777777" w:rsidTr="00342FE7">
        <w:tc>
          <w:tcPr>
            <w:tcW w:w="720" w:type="dxa"/>
            <w:vAlign w:val="center"/>
          </w:tcPr>
          <w:p w14:paraId="677A7410"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5FC376D5"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14:paraId="68B2AE3B"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908,934.41</w:t>
            </w:r>
          </w:p>
        </w:tc>
        <w:tc>
          <w:tcPr>
            <w:tcW w:w="2801" w:type="dxa"/>
            <w:vAlign w:val="center"/>
          </w:tcPr>
          <w:p w14:paraId="29D2FA02"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4.96</w:t>
            </w:r>
          </w:p>
        </w:tc>
      </w:tr>
      <w:tr w:rsidR="006336AE" w:rsidRPr="007B5F21" w14:paraId="1B82F87B" w14:textId="77777777" w:rsidTr="00342FE7">
        <w:tc>
          <w:tcPr>
            <w:tcW w:w="720" w:type="dxa"/>
            <w:vAlign w:val="center"/>
          </w:tcPr>
          <w:p w14:paraId="7D28397F"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0B32C2AA" w14:textId="77777777"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14:paraId="35629B3F"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2EA8F2A"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7CD755A1" w14:textId="77777777" w:rsidTr="00342FE7">
        <w:tc>
          <w:tcPr>
            <w:tcW w:w="720" w:type="dxa"/>
            <w:vAlign w:val="center"/>
          </w:tcPr>
          <w:p w14:paraId="0A833F55"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14:paraId="68215FA4" w14:textId="77777777"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14:paraId="635F0685"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4F8A0464"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160DE998" w14:textId="77777777" w:rsidTr="00342FE7">
        <w:tc>
          <w:tcPr>
            <w:tcW w:w="720" w:type="dxa"/>
            <w:vAlign w:val="center"/>
          </w:tcPr>
          <w:p w14:paraId="6BFCF181"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14:paraId="61C9D0FB"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w:t>
            </w:r>
            <w:proofErr w:type="gramStart"/>
            <w:r w:rsidRPr="007B5F21">
              <w:rPr>
                <w:rFonts w:eastAsiaTheme="minorEastAsia"/>
                <w:color w:val="000000" w:themeColor="text1"/>
                <w:sz w:val="24"/>
              </w:rPr>
              <w:t>品投资</w:t>
            </w:r>
            <w:proofErr w:type="gramEnd"/>
          </w:p>
        </w:tc>
        <w:tc>
          <w:tcPr>
            <w:tcW w:w="2552" w:type="dxa"/>
            <w:vAlign w:val="center"/>
          </w:tcPr>
          <w:p w14:paraId="16631569"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72392A05"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0A9D2382" w14:textId="77777777" w:rsidTr="00342FE7">
        <w:tc>
          <w:tcPr>
            <w:tcW w:w="720" w:type="dxa"/>
            <w:vAlign w:val="center"/>
          </w:tcPr>
          <w:p w14:paraId="2EC735BA"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14:paraId="2B64DB51"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14:paraId="573E757C"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122E05B1"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32BD525D" w14:textId="77777777" w:rsidTr="00342FE7">
        <w:tc>
          <w:tcPr>
            <w:tcW w:w="720" w:type="dxa"/>
            <w:vAlign w:val="center"/>
          </w:tcPr>
          <w:p w14:paraId="4967DB49"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30546E0A"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14:paraId="320E4C67"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6995CBEE"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77A0577B" w14:textId="77777777" w:rsidTr="00342FE7">
        <w:tc>
          <w:tcPr>
            <w:tcW w:w="720" w:type="dxa"/>
            <w:vAlign w:val="center"/>
          </w:tcPr>
          <w:p w14:paraId="240D78A7"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lastRenderedPageBreak/>
              <w:t>7</w:t>
            </w:r>
          </w:p>
        </w:tc>
        <w:tc>
          <w:tcPr>
            <w:tcW w:w="2824" w:type="dxa"/>
            <w:vAlign w:val="center"/>
          </w:tcPr>
          <w:p w14:paraId="33DA615B"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14:paraId="5BD5ACDC"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841,387.28</w:t>
            </w:r>
          </w:p>
        </w:tc>
        <w:tc>
          <w:tcPr>
            <w:tcW w:w="2801" w:type="dxa"/>
            <w:vAlign w:val="center"/>
          </w:tcPr>
          <w:p w14:paraId="2F5554BB"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4.59</w:t>
            </w:r>
          </w:p>
        </w:tc>
      </w:tr>
      <w:tr w:rsidR="006336AE" w:rsidRPr="007B5F21" w14:paraId="21C77F10" w14:textId="77777777" w:rsidTr="00342FE7">
        <w:tc>
          <w:tcPr>
            <w:tcW w:w="720" w:type="dxa"/>
            <w:vAlign w:val="center"/>
          </w:tcPr>
          <w:p w14:paraId="5D4909CF"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14:paraId="560A3B6A" w14:textId="77777777"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14:paraId="61963CF4"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61,154.19</w:t>
            </w:r>
          </w:p>
        </w:tc>
        <w:tc>
          <w:tcPr>
            <w:tcW w:w="2801" w:type="dxa"/>
            <w:vAlign w:val="center"/>
          </w:tcPr>
          <w:p w14:paraId="5BAD489C"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0.33</w:t>
            </w:r>
          </w:p>
        </w:tc>
      </w:tr>
      <w:tr w:rsidR="006336AE" w:rsidRPr="007B5F21" w14:paraId="6412C36B" w14:textId="77777777" w:rsidTr="00342FE7">
        <w:tc>
          <w:tcPr>
            <w:tcW w:w="720" w:type="dxa"/>
            <w:vAlign w:val="center"/>
          </w:tcPr>
          <w:p w14:paraId="7D623BFC"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14:paraId="3CA43513" w14:textId="77777777"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14:paraId="0294DD91"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18,316,096.68</w:t>
            </w:r>
          </w:p>
        </w:tc>
        <w:tc>
          <w:tcPr>
            <w:tcW w:w="2801" w:type="dxa"/>
            <w:vAlign w:val="center"/>
          </w:tcPr>
          <w:p w14:paraId="2404B7FA"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14:paraId="3EDFC94C" w14:textId="77777777"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14:paraId="2A3A31E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1598C408"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14:paraId="20A5365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14:paraId="7D222308"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14:paraId="21A6E70A" w14:textId="77777777"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0"/>
    <w:p w14:paraId="1AFA2B4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5E5C6475" w14:textId="77777777">
        <w:tc>
          <w:tcPr>
            <w:tcW w:w="817" w:type="dxa"/>
            <w:vAlign w:val="center"/>
          </w:tcPr>
          <w:p w14:paraId="0A5BD31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7FBDA99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2A20D5D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48B8388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2FBB6967" w14:textId="77777777">
        <w:tc>
          <w:tcPr>
            <w:tcW w:w="817" w:type="dxa"/>
            <w:vAlign w:val="center"/>
          </w:tcPr>
          <w:p w14:paraId="1986D42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64862C2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0A59507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908,934.41</w:t>
            </w:r>
          </w:p>
        </w:tc>
        <w:tc>
          <w:tcPr>
            <w:tcW w:w="1616" w:type="dxa"/>
            <w:vAlign w:val="center"/>
          </w:tcPr>
          <w:p w14:paraId="1F703C0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4.99</w:t>
            </w:r>
          </w:p>
        </w:tc>
      </w:tr>
      <w:tr w:rsidR="005E6DF3" w:rsidRPr="00B27A29" w14:paraId="10A982F0" w14:textId="77777777">
        <w:tc>
          <w:tcPr>
            <w:tcW w:w="817" w:type="dxa"/>
            <w:vAlign w:val="center"/>
          </w:tcPr>
          <w:p w14:paraId="43C7693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541D145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7AA1220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2A2F54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631D9B3" w14:textId="77777777">
        <w:tc>
          <w:tcPr>
            <w:tcW w:w="817" w:type="dxa"/>
            <w:vAlign w:val="center"/>
          </w:tcPr>
          <w:p w14:paraId="5210DD3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6C048C3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0584A52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CC17EF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D1A58EE" w14:textId="77777777">
        <w:tc>
          <w:tcPr>
            <w:tcW w:w="817" w:type="dxa"/>
            <w:vAlign w:val="center"/>
          </w:tcPr>
          <w:p w14:paraId="3179726F"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1B27CDF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611534B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593AB2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9BA0438" w14:textId="77777777">
        <w:tc>
          <w:tcPr>
            <w:tcW w:w="817" w:type="dxa"/>
            <w:vAlign w:val="center"/>
          </w:tcPr>
          <w:p w14:paraId="46D260C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0FD8771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7E5E307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E75D6A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9AEB639" w14:textId="77777777">
        <w:tc>
          <w:tcPr>
            <w:tcW w:w="817" w:type="dxa"/>
            <w:vAlign w:val="center"/>
          </w:tcPr>
          <w:p w14:paraId="4040899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06EA8CD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6F29F60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7D0A09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F37D9C4" w14:textId="77777777">
        <w:tc>
          <w:tcPr>
            <w:tcW w:w="817" w:type="dxa"/>
            <w:vAlign w:val="center"/>
          </w:tcPr>
          <w:p w14:paraId="1E9186F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4FF39EE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5023D05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8FCA44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5A5315" w14:textId="77777777">
        <w:tc>
          <w:tcPr>
            <w:tcW w:w="817" w:type="dxa"/>
            <w:vAlign w:val="center"/>
          </w:tcPr>
          <w:p w14:paraId="7CAA0C1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229ED10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41C5F15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1C8F48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6E3F3AF" w14:textId="77777777">
        <w:tc>
          <w:tcPr>
            <w:tcW w:w="817" w:type="dxa"/>
            <w:vAlign w:val="center"/>
          </w:tcPr>
          <w:p w14:paraId="25323D9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1372D34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3721294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E3A8A9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3347C73" w14:textId="77777777">
        <w:tc>
          <w:tcPr>
            <w:tcW w:w="817" w:type="dxa"/>
            <w:vAlign w:val="center"/>
          </w:tcPr>
          <w:p w14:paraId="2208743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395E39C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6EDAF65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129FF5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E0D56AE" w14:textId="77777777">
        <w:tc>
          <w:tcPr>
            <w:tcW w:w="817" w:type="dxa"/>
            <w:vAlign w:val="center"/>
          </w:tcPr>
          <w:p w14:paraId="2F97203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53BADE8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42F7BC0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908,934.41</w:t>
            </w:r>
          </w:p>
        </w:tc>
        <w:tc>
          <w:tcPr>
            <w:tcW w:w="1616" w:type="dxa"/>
            <w:vAlign w:val="center"/>
          </w:tcPr>
          <w:p w14:paraId="34F45FD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4.99</w:t>
            </w:r>
          </w:p>
        </w:tc>
      </w:tr>
    </w:tbl>
    <w:p w14:paraId="00C3250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4442B648" w14:textId="77777777">
        <w:tc>
          <w:tcPr>
            <w:tcW w:w="1504" w:type="dxa"/>
            <w:vAlign w:val="center"/>
          </w:tcPr>
          <w:p w14:paraId="59716DB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6F8BDBD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637D361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55912E1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3DA19CA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7C04191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946BC5" w14:paraId="00F34F39" w14:textId="77777777">
        <w:tc>
          <w:tcPr>
            <w:tcW w:w="1504" w:type="dxa"/>
            <w:vAlign w:val="center"/>
          </w:tcPr>
          <w:p w14:paraId="4E57D3FA" w14:textId="77777777" w:rsidR="00946BC5" w:rsidRDefault="00876CEF">
            <w:pPr>
              <w:jc w:val="center"/>
            </w:pPr>
            <w:r>
              <w:rPr>
                <w:rFonts w:eastAsiaTheme="minorEastAsia"/>
                <w:color w:val="000000" w:themeColor="text1"/>
                <w:szCs w:val="21"/>
              </w:rPr>
              <w:lastRenderedPageBreak/>
              <w:t>1</w:t>
            </w:r>
          </w:p>
        </w:tc>
        <w:tc>
          <w:tcPr>
            <w:tcW w:w="1504" w:type="dxa"/>
            <w:vAlign w:val="center"/>
          </w:tcPr>
          <w:p w14:paraId="1A6C0646" w14:textId="77777777" w:rsidR="00946BC5" w:rsidRDefault="00876CEF">
            <w:pPr>
              <w:jc w:val="center"/>
            </w:pPr>
            <w:r>
              <w:rPr>
                <w:rFonts w:eastAsiaTheme="minorEastAsia"/>
                <w:color w:val="000000" w:themeColor="text1"/>
                <w:szCs w:val="21"/>
              </w:rPr>
              <w:t>019749</w:t>
            </w:r>
          </w:p>
        </w:tc>
        <w:tc>
          <w:tcPr>
            <w:tcW w:w="1504" w:type="dxa"/>
            <w:vAlign w:val="center"/>
          </w:tcPr>
          <w:p w14:paraId="3D3966D9" w14:textId="77777777" w:rsidR="00946BC5" w:rsidRDefault="00876CEF">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15</w:t>
            </w:r>
          </w:p>
        </w:tc>
        <w:tc>
          <w:tcPr>
            <w:tcW w:w="1503" w:type="dxa"/>
            <w:vAlign w:val="center"/>
          </w:tcPr>
          <w:p w14:paraId="5E2B6E3E" w14:textId="77777777" w:rsidR="00946BC5" w:rsidRDefault="00876CEF">
            <w:pPr>
              <w:jc w:val="right"/>
            </w:pPr>
            <w:r>
              <w:rPr>
                <w:rFonts w:eastAsiaTheme="minorEastAsia"/>
                <w:color w:val="000000" w:themeColor="text1"/>
                <w:szCs w:val="21"/>
              </w:rPr>
              <w:t>5,000</w:t>
            </w:r>
          </w:p>
        </w:tc>
        <w:tc>
          <w:tcPr>
            <w:tcW w:w="1503" w:type="dxa"/>
            <w:vAlign w:val="center"/>
          </w:tcPr>
          <w:p w14:paraId="43313171" w14:textId="77777777" w:rsidR="00946BC5" w:rsidRDefault="00876CEF">
            <w:pPr>
              <w:jc w:val="right"/>
            </w:pPr>
            <w:r>
              <w:rPr>
                <w:rFonts w:eastAsiaTheme="minorEastAsia"/>
                <w:color w:val="000000" w:themeColor="text1"/>
                <w:szCs w:val="21"/>
              </w:rPr>
              <w:t>503,880.82</w:t>
            </w:r>
          </w:p>
        </w:tc>
        <w:tc>
          <w:tcPr>
            <w:tcW w:w="1503" w:type="dxa"/>
            <w:vAlign w:val="center"/>
          </w:tcPr>
          <w:p w14:paraId="51428BA0" w14:textId="77777777" w:rsidR="00946BC5" w:rsidRDefault="00876CEF">
            <w:pPr>
              <w:jc w:val="right"/>
            </w:pPr>
            <w:r>
              <w:rPr>
                <w:rFonts w:eastAsiaTheme="minorEastAsia"/>
                <w:color w:val="000000" w:themeColor="text1"/>
                <w:szCs w:val="21"/>
              </w:rPr>
              <w:t>2.77</w:t>
            </w:r>
          </w:p>
        </w:tc>
      </w:tr>
      <w:tr w:rsidR="00946BC5" w14:paraId="1DBB698E" w14:textId="77777777">
        <w:tc>
          <w:tcPr>
            <w:tcW w:w="1504" w:type="dxa"/>
            <w:vAlign w:val="center"/>
          </w:tcPr>
          <w:p w14:paraId="1132E5DF" w14:textId="77777777" w:rsidR="00946BC5" w:rsidRDefault="00876CEF">
            <w:pPr>
              <w:jc w:val="center"/>
            </w:pPr>
            <w:r>
              <w:rPr>
                <w:rFonts w:eastAsiaTheme="minorEastAsia"/>
                <w:color w:val="000000" w:themeColor="text1"/>
                <w:szCs w:val="21"/>
              </w:rPr>
              <w:t>2</w:t>
            </w:r>
          </w:p>
        </w:tc>
        <w:tc>
          <w:tcPr>
            <w:tcW w:w="1504" w:type="dxa"/>
            <w:vAlign w:val="center"/>
          </w:tcPr>
          <w:p w14:paraId="68A95D46" w14:textId="77777777" w:rsidR="00946BC5" w:rsidRDefault="00876CEF">
            <w:pPr>
              <w:jc w:val="center"/>
            </w:pPr>
            <w:r>
              <w:rPr>
                <w:rFonts w:eastAsiaTheme="minorEastAsia"/>
                <w:color w:val="000000" w:themeColor="text1"/>
                <w:szCs w:val="21"/>
              </w:rPr>
              <w:t>019740</w:t>
            </w:r>
          </w:p>
        </w:tc>
        <w:tc>
          <w:tcPr>
            <w:tcW w:w="1504" w:type="dxa"/>
            <w:vAlign w:val="center"/>
          </w:tcPr>
          <w:p w14:paraId="446C33CA" w14:textId="77777777" w:rsidR="00946BC5" w:rsidRDefault="00876CEF">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09</w:t>
            </w:r>
          </w:p>
        </w:tc>
        <w:tc>
          <w:tcPr>
            <w:tcW w:w="1503" w:type="dxa"/>
            <w:vAlign w:val="center"/>
          </w:tcPr>
          <w:p w14:paraId="060B9704" w14:textId="77777777" w:rsidR="00946BC5" w:rsidRDefault="00876CEF">
            <w:pPr>
              <w:jc w:val="right"/>
            </w:pPr>
            <w:r>
              <w:rPr>
                <w:rFonts w:eastAsiaTheme="minorEastAsia"/>
                <w:color w:val="000000" w:themeColor="text1"/>
                <w:szCs w:val="21"/>
              </w:rPr>
              <w:t>4,000</w:t>
            </w:r>
          </w:p>
        </w:tc>
        <w:tc>
          <w:tcPr>
            <w:tcW w:w="1503" w:type="dxa"/>
            <w:vAlign w:val="center"/>
          </w:tcPr>
          <w:p w14:paraId="05AD24A3" w14:textId="77777777" w:rsidR="00946BC5" w:rsidRDefault="00876CEF">
            <w:pPr>
              <w:jc w:val="right"/>
            </w:pPr>
            <w:r>
              <w:rPr>
                <w:rFonts w:eastAsiaTheme="minorEastAsia"/>
                <w:color w:val="000000" w:themeColor="text1"/>
                <w:szCs w:val="21"/>
              </w:rPr>
              <w:t>405,053.59</w:t>
            </w:r>
          </w:p>
        </w:tc>
        <w:tc>
          <w:tcPr>
            <w:tcW w:w="1503" w:type="dxa"/>
            <w:vAlign w:val="center"/>
          </w:tcPr>
          <w:p w14:paraId="5E632CD2" w14:textId="77777777" w:rsidR="00946BC5" w:rsidRDefault="00876CEF">
            <w:pPr>
              <w:jc w:val="right"/>
            </w:pPr>
            <w:r>
              <w:rPr>
                <w:rFonts w:eastAsiaTheme="minorEastAsia"/>
                <w:color w:val="000000" w:themeColor="text1"/>
                <w:szCs w:val="21"/>
              </w:rPr>
              <w:t>2.22</w:t>
            </w:r>
          </w:p>
        </w:tc>
      </w:tr>
    </w:tbl>
    <w:p w14:paraId="39CD2A5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0EDDA5C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682D347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294247B1"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6EC52D4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1D68320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4152FF0B"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280F290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68A6D2AE"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62ED39D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41D01A9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6799AD09"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0D900E5C"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6A839BF6"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079F9220" w14:textId="77777777">
        <w:tc>
          <w:tcPr>
            <w:tcW w:w="1110" w:type="dxa"/>
            <w:vAlign w:val="center"/>
          </w:tcPr>
          <w:p w14:paraId="5603239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5178BE3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2026B2A1"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5E9AD49C" w14:textId="77777777">
        <w:tc>
          <w:tcPr>
            <w:tcW w:w="1110" w:type="dxa"/>
            <w:vAlign w:val="center"/>
          </w:tcPr>
          <w:p w14:paraId="0FB57B9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4054136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7478EFF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1,467.21</w:t>
            </w:r>
          </w:p>
        </w:tc>
      </w:tr>
      <w:tr w:rsidR="005E6DF3" w:rsidRPr="00B27A29" w14:paraId="19239C20" w14:textId="77777777">
        <w:tc>
          <w:tcPr>
            <w:tcW w:w="1110" w:type="dxa"/>
            <w:vAlign w:val="center"/>
          </w:tcPr>
          <w:p w14:paraId="74DB448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1ADFEEE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1BDD702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A694AE3" w14:textId="77777777">
        <w:tc>
          <w:tcPr>
            <w:tcW w:w="1110" w:type="dxa"/>
            <w:vAlign w:val="center"/>
          </w:tcPr>
          <w:p w14:paraId="06292DF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74D4913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19D34E2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2.11</w:t>
            </w:r>
          </w:p>
        </w:tc>
      </w:tr>
      <w:tr w:rsidR="005E6DF3" w:rsidRPr="00B27A29" w14:paraId="71923EFC" w14:textId="77777777">
        <w:tc>
          <w:tcPr>
            <w:tcW w:w="1110" w:type="dxa"/>
            <w:vAlign w:val="center"/>
          </w:tcPr>
          <w:p w14:paraId="146ACCD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60404C6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1DC033D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0D0A7BE" w14:textId="77777777">
        <w:tc>
          <w:tcPr>
            <w:tcW w:w="1110" w:type="dxa"/>
            <w:vAlign w:val="center"/>
          </w:tcPr>
          <w:p w14:paraId="12872F0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6722EAB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4194496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59,684.87</w:t>
            </w:r>
          </w:p>
        </w:tc>
      </w:tr>
      <w:tr w:rsidR="005E6DF3" w:rsidRPr="00B27A29" w14:paraId="0818D4EC" w14:textId="77777777">
        <w:tc>
          <w:tcPr>
            <w:tcW w:w="1110" w:type="dxa"/>
            <w:vAlign w:val="center"/>
          </w:tcPr>
          <w:p w14:paraId="0FC00E2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55EA9CE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2491CAA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7D0C7FF" w14:textId="77777777">
        <w:tc>
          <w:tcPr>
            <w:tcW w:w="1110" w:type="dxa"/>
            <w:vAlign w:val="center"/>
          </w:tcPr>
          <w:p w14:paraId="3BAD0A3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2761" w:type="dxa"/>
            <w:vAlign w:val="center"/>
          </w:tcPr>
          <w:p w14:paraId="786CFD4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083E445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CF2D7BF" w14:textId="77777777">
        <w:tc>
          <w:tcPr>
            <w:tcW w:w="1110" w:type="dxa"/>
            <w:vAlign w:val="center"/>
          </w:tcPr>
          <w:p w14:paraId="7F956E4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22B4A88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07B2444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035E2C3" w14:textId="77777777">
        <w:tc>
          <w:tcPr>
            <w:tcW w:w="1110" w:type="dxa"/>
            <w:vAlign w:val="center"/>
          </w:tcPr>
          <w:p w14:paraId="6B4BA6C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504B26A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6E17557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61,154.19</w:t>
            </w:r>
          </w:p>
        </w:tc>
      </w:tr>
    </w:tbl>
    <w:p w14:paraId="7E491F7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5649F7A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6EAE4AE2"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2F7BA70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35C48DBE"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507E7AB4" w14:textId="77777777"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14:paraId="1F362C93" w14:textId="77777777" w:rsidR="00C45886" w:rsidRDefault="00C45886" w:rsidP="00C45886">
      <w:pPr>
        <w:spacing w:before="29" w:line="288" w:lineRule="auto"/>
        <w:ind w:firstLineChars="200" w:firstLine="480"/>
        <w:rPr>
          <w:color w:val="000000"/>
          <w:sz w:val="24"/>
        </w:rPr>
      </w:pPr>
    </w:p>
    <w:p w14:paraId="7C58CD6E" w14:textId="77777777" w:rsidR="00C45886" w:rsidRDefault="00C45886" w:rsidP="00C45886">
      <w:pPr>
        <w:spacing w:before="29" w:line="288" w:lineRule="auto"/>
        <w:ind w:firstLineChars="200" w:firstLine="480"/>
        <w:rPr>
          <w:color w:val="000000"/>
          <w:sz w:val="24"/>
        </w:rPr>
      </w:pPr>
    </w:p>
    <w:p w14:paraId="75CDE07B" w14:textId="77777777"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14:paraId="7629C1B2" w14:textId="77777777"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14:paraId="07C31046" w14:textId="77777777" w:rsidTr="00342FE7">
        <w:tc>
          <w:tcPr>
            <w:tcW w:w="452" w:type="pct"/>
            <w:vAlign w:val="center"/>
          </w:tcPr>
          <w:p w14:paraId="3AF8C2F9"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14:paraId="745CA74A"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14:paraId="218AC41C"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14:paraId="63923452"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14:paraId="7AEE18EF"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14:paraId="1B3F7F4A"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14:paraId="6E02F41A" w14:textId="77777777"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14:paraId="025B6875" w14:textId="77777777"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946BC5" w14:paraId="2B3530E7" w14:textId="77777777">
        <w:tc>
          <w:tcPr>
            <w:tcW w:w="817" w:type="dxa"/>
            <w:vAlign w:val="center"/>
          </w:tcPr>
          <w:p w14:paraId="6153F0A6" w14:textId="77777777" w:rsidR="00946BC5" w:rsidRDefault="00876CEF">
            <w:pPr>
              <w:jc w:val="center"/>
            </w:pPr>
            <w:r>
              <w:rPr>
                <w:sz w:val="24"/>
              </w:rPr>
              <w:t>1</w:t>
            </w:r>
          </w:p>
        </w:tc>
        <w:tc>
          <w:tcPr>
            <w:tcW w:w="1133" w:type="dxa"/>
            <w:vAlign w:val="center"/>
          </w:tcPr>
          <w:p w14:paraId="6C43E902" w14:textId="77777777" w:rsidR="00946BC5" w:rsidRDefault="00876CEF">
            <w:pPr>
              <w:jc w:val="center"/>
            </w:pPr>
            <w:r>
              <w:rPr>
                <w:sz w:val="24"/>
              </w:rPr>
              <w:t>006965</w:t>
            </w:r>
          </w:p>
        </w:tc>
        <w:tc>
          <w:tcPr>
            <w:tcW w:w="1135" w:type="dxa"/>
            <w:vAlign w:val="center"/>
          </w:tcPr>
          <w:p w14:paraId="044EE50C" w14:textId="77777777" w:rsidR="00946BC5" w:rsidRDefault="00876CEF">
            <w:pPr>
              <w:jc w:val="center"/>
            </w:pPr>
            <w:r>
              <w:rPr>
                <w:sz w:val="24"/>
              </w:rPr>
              <w:t>财通安瑞短</w:t>
            </w:r>
            <w:proofErr w:type="gramStart"/>
            <w:r>
              <w:rPr>
                <w:sz w:val="24"/>
              </w:rPr>
              <w:t>债</w:t>
            </w:r>
            <w:proofErr w:type="gramEnd"/>
            <w:r>
              <w:rPr>
                <w:sz w:val="24"/>
              </w:rPr>
              <w:t>债券</w:t>
            </w:r>
            <w:r>
              <w:rPr>
                <w:sz w:val="24"/>
              </w:rPr>
              <w:t>A</w:t>
            </w:r>
          </w:p>
        </w:tc>
        <w:tc>
          <w:tcPr>
            <w:tcW w:w="1135" w:type="dxa"/>
            <w:vAlign w:val="center"/>
          </w:tcPr>
          <w:p w14:paraId="61B59F73" w14:textId="77777777" w:rsidR="00946BC5" w:rsidRDefault="00876CEF">
            <w:pPr>
              <w:jc w:val="center"/>
            </w:pPr>
            <w:r>
              <w:rPr>
                <w:sz w:val="24"/>
              </w:rPr>
              <w:t>契约型开放式</w:t>
            </w:r>
          </w:p>
        </w:tc>
        <w:tc>
          <w:tcPr>
            <w:tcW w:w="1133" w:type="dxa"/>
            <w:vAlign w:val="center"/>
          </w:tcPr>
          <w:p w14:paraId="0FB2F16C" w14:textId="77777777" w:rsidR="00946BC5" w:rsidRDefault="00876CEF">
            <w:pPr>
              <w:jc w:val="center"/>
            </w:pPr>
            <w:r>
              <w:rPr>
                <w:sz w:val="24"/>
              </w:rPr>
              <w:t>1,316,208.79</w:t>
            </w:r>
          </w:p>
        </w:tc>
        <w:tc>
          <w:tcPr>
            <w:tcW w:w="1276" w:type="dxa"/>
            <w:vAlign w:val="center"/>
          </w:tcPr>
          <w:p w14:paraId="5EE46C43" w14:textId="77777777" w:rsidR="00946BC5" w:rsidRDefault="00876CEF">
            <w:pPr>
              <w:jc w:val="center"/>
            </w:pPr>
            <w:r>
              <w:rPr>
                <w:sz w:val="24"/>
              </w:rPr>
              <w:t>1,584,188.90</w:t>
            </w:r>
          </w:p>
        </w:tc>
        <w:tc>
          <w:tcPr>
            <w:tcW w:w="1135" w:type="dxa"/>
            <w:vAlign w:val="center"/>
          </w:tcPr>
          <w:p w14:paraId="7C1A30BC" w14:textId="77777777" w:rsidR="00946BC5" w:rsidRDefault="00876CEF">
            <w:pPr>
              <w:jc w:val="center"/>
            </w:pPr>
            <w:r>
              <w:rPr>
                <w:sz w:val="24"/>
              </w:rPr>
              <w:t>8.70%</w:t>
            </w:r>
          </w:p>
        </w:tc>
        <w:tc>
          <w:tcPr>
            <w:tcW w:w="1272" w:type="dxa"/>
            <w:vAlign w:val="center"/>
          </w:tcPr>
          <w:p w14:paraId="13CC99CE" w14:textId="77777777" w:rsidR="00946BC5" w:rsidRDefault="00876CEF">
            <w:pPr>
              <w:jc w:val="center"/>
            </w:pPr>
            <w:r>
              <w:rPr>
                <w:sz w:val="24"/>
              </w:rPr>
              <w:t>否</w:t>
            </w:r>
          </w:p>
        </w:tc>
      </w:tr>
      <w:tr w:rsidR="00946BC5" w14:paraId="354471D7" w14:textId="77777777">
        <w:tc>
          <w:tcPr>
            <w:tcW w:w="817" w:type="dxa"/>
            <w:vAlign w:val="center"/>
          </w:tcPr>
          <w:p w14:paraId="32A1E92F" w14:textId="77777777" w:rsidR="00946BC5" w:rsidRDefault="00876CEF">
            <w:pPr>
              <w:jc w:val="center"/>
            </w:pPr>
            <w:r>
              <w:rPr>
                <w:sz w:val="24"/>
              </w:rPr>
              <w:t>2</w:t>
            </w:r>
          </w:p>
        </w:tc>
        <w:tc>
          <w:tcPr>
            <w:tcW w:w="1133" w:type="dxa"/>
            <w:vAlign w:val="center"/>
          </w:tcPr>
          <w:p w14:paraId="087B6CB2" w14:textId="77777777" w:rsidR="00946BC5" w:rsidRDefault="00876CEF">
            <w:pPr>
              <w:jc w:val="center"/>
            </w:pPr>
            <w:r>
              <w:rPr>
                <w:sz w:val="24"/>
              </w:rPr>
              <w:t>012247</w:t>
            </w:r>
          </w:p>
        </w:tc>
        <w:tc>
          <w:tcPr>
            <w:tcW w:w="1135" w:type="dxa"/>
            <w:vAlign w:val="center"/>
          </w:tcPr>
          <w:p w14:paraId="02059A1F" w14:textId="77777777" w:rsidR="00946BC5" w:rsidRDefault="00876CEF">
            <w:pPr>
              <w:jc w:val="center"/>
            </w:pPr>
            <w:r>
              <w:rPr>
                <w:sz w:val="24"/>
              </w:rPr>
              <w:t>博时月月享</w:t>
            </w:r>
            <w:r>
              <w:rPr>
                <w:sz w:val="24"/>
              </w:rPr>
              <w:t>30</w:t>
            </w:r>
            <w:r>
              <w:rPr>
                <w:sz w:val="24"/>
              </w:rPr>
              <w:t>天持有期短债</w:t>
            </w:r>
            <w:r>
              <w:rPr>
                <w:sz w:val="24"/>
              </w:rPr>
              <w:t>C</w:t>
            </w:r>
          </w:p>
        </w:tc>
        <w:tc>
          <w:tcPr>
            <w:tcW w:w="1135" w:type="dxa"/>
            <w:vAlign w:val="center"/>
          </w:tcPr>
          <w:p w14:paraId="2BF6463E" w14:textId="77777777" w:rsidR="00946BC5" w:rsidRDefault="00876CEF">
            <w:pPr>
              <w:jc w:val="center"/>
            </w:pPr>
            <w:r>
              <w:rPr>
                <w:sz w:val="24"/>
              </w:rPr>
              <w:t>契约型开放式</w:t>
            </w:r>
          </w:p>
        </w:tc>
        <w:tc>
          <w:tcPr>
            <w:tcW w:w="1133" w:type="dxa"/>
            <w:vAlign w:val="center"/>
          </w:tcPr>
          <w:p w14:paraId="21F18E19" w14:textId="77777777" w:rsidR="00946BC5" w:rsidRDefault="00876CEF">
            <w:pPr>
              <w:jc w:val="center"/>
            </w:pPr>
            <w:r>
              <w:rPr>
                <w:sz w:val="24"/>
              </w:rPr>
              <w:t>1,433,827.00</w:t>
            </w:r>
          </w:p>
        </w:tc>
        <w:tc>
          <w:tcPr>
            <w:tcW w:w="1276" w:type="dxa"/>
            <w:vAlign w:val="center"/>
          </w:tcPr>
          <w:p w14:paraId="4AE509D5" w14:textId="77777777" w:rsidR="00946BC5" w:rsidRDefault="00876CEF">
            <w:pPr>
              <w:jc w:val="center"/>
            </w:pPr>
            <w:r>
              <w:rPr>
                <w:sz w:val="24"/>
              </w:rPr>
              <w:t>1,573,194.98</w:t>
            </w:r>
          </w:p>
        </w:tc>
        <w:tc>
          <w:tcPr>
            <w:tcW w:w="1135" w:type="dxa"/>
            <w:vAlign w:val="center"/>
          </w:tcPr>
          <w:p w14:paraId="4FB7056C" w14:textId="77777777" w:rsidR="00946BC5" w:rsidRDefault="00876CEF">
            <w:pPr>
              <w:jc w:val="center"/>
            </w:pPr>
            <w:r>
              <w:rPr>
                <w:sz w:val="24"/>
              </w:rPr>
              <w:t>8.64%</w:t>
            </w:r>
          </w:p>
        </w:tc>
        <w:tc>
          <w:tcPr>
            <w:tcW w:w="1272" w:type="dxa"/>
            <w:vAlign w:val="center"/>
          </w:tcPr>
          <w:p w14:paraId="3B57E04B" w14:textId="77777777" w:rsidR="00946BC5" w:rsidRDefault="00876CEF">
            <w:pPr>
              <w:jc w:val="center"/>
            </w:pPr>
            <w:r>
              <w:rPr>
                <w:sz w:val="24"/>
              </w:rPr>
              <w:t>否</w:t>
            </w:r>
          </w:p>
        </w:tc>
      </w:tr>
      <w:tr w:rsidR="00946BC5" w14:paraId="5D99A123" w14:textId="77777777">
        <w:tc>
          <w:tcPr>
            <w:tcW w:w="817" w:type="dxa"/>
            <w:vAlign w:val="center"/>
          </w:tcPr>
          <w:p w14:paraId="1DD021B8" w14:textId="77777777" w:rsidR="00946BC5" w:rsidRDefault="00876CEF">
            <w:pPr>
              <w:jc w:val="center"/>
            </w:pPr>
            <w:r>
              <w:rPr>
                <w:sz w:val="24"/>
              </w:rPr>
              <w:t>3</w:t>
            </w:r>
          </w:p>
        </w:tc>
        <w:tc>
          <w:tcPr>
            <w:tcW w:w="1133" w:type="dxa"/>
            <w:vAlign w:val="center"/>
          </w:tcPr>
          <w:p w14:paraId="54AA56CD" w14:textId="77777777" w:rsidR="00946BC5" w:rsidRDefault="00876CEF">
            <w:pPr>
              <w:jc w:val="center"/>
            </w:pPr>
            <w:r>
              <w:rPr>
                <w:sz w:val="24"/>
              </w:rPr>
              <w:t>003949</w:t>
            </w:r>
          </w:p>
        </w:tc>
        <w:tc>
          <w:tcPr>
            <w:tcW w:w="1135" w:type="dxa"/>
            <w:vAlign w:val="center"/>
          </w:tcPr>
          <w:p w14:paraId="25D0D0D7" w14:textId="77777777" w:rsidR="00946BC5" w:rsidRDefault="00876CEF">
            <w:pPr>
              <w:jc w:val="center"/>
            </w:pPr>
            <w:proofErr w:type="gramStart"/>
            <w:r>
              <w:rPr>
                <w:sz w:val="24"/>
              </w:rPr>
              <w:t>兴全稳泰</w:t>
            </w:r>
            <w:proofErr w:type="gramEnd"/>
            <w:r>
              <w:rPr>
                <w:sz w:val="24"/>
              </w:rPr>
              <w:t>债券</w:t>
            </w:r>
            <w:r>
              <w:rPr>
                <w:sz w:val="24"/>
              </w:rPr>
              <w:t>A</w:t>
            </w:r>
          </w:p>
        </w:tc>
        <w:tc>
          <w:tcPr>
            <w:tcW w:w="1135" w:type="dxa"/>
            <w:vAlign w:val="center"/>
          </w:tcPr>
          <w:p w14:paraId="56E87DD4" w14:textId="77777777" w:rsidR="00946BC5" w:rsidRDefault="00876CEF">
            <w:pPr>
              <w:jc w:val="center"/>
            </w:pPr>
            <w:r>
              <w:rPr>
                <w:sz w:val="24"/>
              </w:rPr>
              <w:t>契约型开放式</w:t>
            </w:r>
          </w:p>
        </w:tc>
        <w:tc>
          <w:tcPr>
            <w:tcW w:w="1133" w:type="dxa"/>
            <w:vAlign w:val="center"/>
          </w:tcPr>
          <w:p w14:paraId="303010EC" w14:textId="77777777" w:rsidR="00946BC5" w:rsidRDefault="00876CEF">
            <w:pPr>
              <w:jc w:val="center"/>
            </w:pPr>
            <w:r>
              <w:rPr>
                <w:sz w:val="24"/>
              </w:rPr>
              <w:t>1,313,752.05</w:t>
            </w:r>
          </w:p>
        </w:tc>
        <w:tc>
          <w:tcPr>
            <w:tcW w:w="1276" w:type="dxa"/>
            <w:vAlign w:val="center"/>
          </w:tcPr>
          <w:p w14:paraId="3F05FE95" w14:textId="77777777" w:rsidR="00946BC5" w:rsidRDefault="00876CEF">
            <w:pPr>
              <w:jc w:val="center"/>
            </w:pPr>
            <w:r>
              <w:rPr>
                <w:sz w:val="24"/>
              </w:rPr>
              <w:t>1,563,496.31</w:t>
            </w:r>
          </w:p>
        </w:tc>
        <w:tc>
          <w:tcPr>
            <w:tcW w:w="1135" w:type="dxa"/>
            <w:vAlign w:val="center"/>
          </w:tcPr>
          <w:p w14:paraId="64047397" w14:textId="77777777" w:rsidR="00946BC5" w:rsidRDefault="00876CEF">
            <w:pPr>
              <w:jc w:val="center"/>
            </w:pPr>
            <w:r>
              <w:rPr>
                <w:sz w:val="24"/>
              </w:rPr>
              <w:t>8.59%</w:t>
            </w:r>
          </w:p>
        </w:tc>
        <w:tc>
          <w:tcPr>
            <w:tcW w:w="1272" w:type="dxa"/>
            <w:vAlign w:val="center"/>
          </w:tcPr>
          <w:p w14:paraId="19D3636A" w14:textId="77777777" w:rsidR="00946BC5" w:rsidRDefault="00876CEF">
            <w:pPr>
              <w:jc w:val="center"/>
            </w:pPr>
            <w:r>
              <w:rPr>
                <w:sz w:val="24"/>
              </w:rPr>
              <w:t>否</w:t>
            </w:r>
          </w:p>
        </w:tc>
      </w:tr>
      <w:tr w:rsidR="00946BC5" w14:paraId="239A877B" w14:textId="77777777">
        <w:tc>
          <w:tcPr>
            <w:tcW w:w="817" w:type="dxa"/>
            <w:vAlign w:val="center"/>
          </w:tcPr>
          <w:p w14:paraId="69C7AE6E" w14:textId="77777777" w:rsidR="00946BC5" w:rsidRDefault="00876CEF">
            <w:pPr>
              <w:jc w:val="center"/>
            </w:pPr>
            <w:r>
              <w:rPr>
                <w:sz w:val="24"/>
              </w:rPr>
              <w:t>4</w:t>
            </w:r>
          </w:p>
        </w:tc>
        <w:tc>
          <w:tcPr>
            <w:tcW w:w="1133" w:type="dxa"/>
            <w:vAlign w:val="center"/>
          </w:tcPr>
          <w:p w14:paraId="2C7B8F53" w14:textId="77777777" w:rsidR="00946BC5" w:rsidRDefault="00876CEF">
            <w:pPr>
              <w:jc w:val="center"/>
            </w:pPr>
            <w:r>
              <w:rPr>
                <w:sz w:val="24"/>
              </w:rPr>
              <w:t>270048</w:t>
            </w:r>
          </w:p>
        </w:tc>
        <w:tc>
          <w:tcPr>
            <w:tcW w:w="1135" w:type="dxa"/>
            <w:vAlign w:val="center"/>
          </w:tcPr>
          <w:p w14:paraId="1B362312" w14:textId="77777777" w:rsidR="00946BC5" w:rsidRDefault="00876CEF">
            <w:pPr>
              <w:jc w:val="center"/>
            </w:pPr>
            <w:r>
              <w:rPr>
                <w:sz w:val="24"/>
              </w:rPr>
              <w:t>广发纯</w:t>
            </w:r>
            <w:proofErr w:type="gramStart"/>
            <w:r>
              <w:rPr>
                <w:sz w:val="24"/>
              </w:rPr>
              <w:t>债</w:t>
            </w:r>
            <w:proofErr w:type="gramEnd"/>
            <w:r>
              <w:rPr>
                <w:sz w:val="24"/>
              </w:rPr>
              <w:t>债券</w:t>
            </w:r>
            <w:r>
              <w:rPr>
                <w:sz w:val="24"/>
              </w:rPr>
              <w:t>A</w:t>
            </w:r>
          </w:p>
        </w:tc>
        <w:tc>
          <w:tcPr>
            <w:tcW w:w="1135" w:type="dxa"/>
            <w:vAlign w:val="center"/>
          </w:tcPr>
          <w:p w14:paraId="06EC1AB2" w14:textId="77777777" w:rsidR="00946BC5" w:rsidRDefault="00876CEF">
            <w:pPr>
              <w:jc w:val="center"/>
            </w:pPr>
            <w:r>
              <w:rPr>
                <w:sz w:val="24"/>
              </w:rPr>
              <w:t>契约型开放式</w:t>
            </w:r>
          </w:p>
        </w:tc>
        <w:tc>
          <w:tcPr>
            <w:tcW w:w="1133" w:type="dxa"/>
            <w:vAlign w:val="center"/>
          </w:tcPr>
          <w:p w14:paraId="2AC8D823" w14:textId="77777777" w:rsidR="00946BC5" w:rsidRDefault="00876CEF">
            <w:pPr>
              <w:jc w:val="center"/>
            </w:pPr>
            <w:r>
              <w:rPr>
                <w:sz w:val="24"/>
              </w:rPr>
              <w:t>1,234,741.94</w:t>
            </w:r>
          </w:p>
        </w:tc>
        <w:tc>
          <w:tcPr>
            <w:tcW w:w="1276" w:type="dxa"/>
            <w:vAlign w:val="center"/>
          </w:tcPr>
          <w:p w14:paraId="76187667" w14:textId="77777777" w:rsidR="00946BC5" w:rsidRDefault="00876CEF">
            <w:pPr>
              <w:jc w:val="center"/>
            </w:pPr>
            <w:r>
              <w:rPr>
                <w:sz w:val="24"/>
              </w:rPr>
              <w:t>1,548,736.82</w:t>
            </w:r>
          </w:p>
        </w:tc>
        <w:tc>
          <w:tcPr>
            <w:tcW w:w="1135" w:type="dxa"/>
            <w:vAlign w:val="center"/>
          </w:tcPr>
          <w:p w14:paraId="23833665" w14:textId="77777777" w:rsidR="00946BC5" w:rsidRDefault="00876CEF">
            <w:pPr>
              <w:jc w:val="center"/>
            </w:pPr>
            <w:r>
              <w:rPr>
                <w:sz w:val="24"/>
              </w:rPr>
              <w:t>8.51%</w:t>
            </w:r>
          </w:p>
        </w:tc>
        <w:tc>
          <w:tcPr>
            <w:tcW w:w="1272" w:type="dxa"/>
            <w:vAlign w:val="center"/>
          </w:tcPr>
          <w:p w14:paraId="7BCA8699" w14:textId="77777777" w:rsidR="00946BC5" w:rsidRDefault="00876CEF">
            <w:pPr>
              <w:jc w:val="center"/>
            </w:pPr>
            <w:r>
              <w:rPr>
                <w:sz w:val="24"/>
              </w:rPr>
              <w:t>否</w:t>
            </w:r>
          </w:p>
        </w:tc>
      </w:tr>
      <w:tr w:rsidR="00946BC5" w14:paraId="2A6D4197" w14:textId="77777777">
        <w:tc>
          <w:tcPr>
            <w:tcW w:w="817" w:type="dxa"/>
            <w:vAlign w:val="center"/>
          </w:tcPr>
          <w:p w14:paraId="7A4C42BC" w14:textId="77777777" w:rsidR="00946BC5" w:rsidRDefault="00876CEF">
            <w:pPr>
              <w:jc w:val="center"/>
            </w:pPr>
            <w:r>
              <w:rPr>
                <w:sz w:val="24"/>
              </w:rPr>
              <w:lastRenderedPageBreak/>
              <w:t>5</w:t>
            </w:r>
          </w:p>
        </w:tc>
        <w:tc>
          <w:tcPr>
            <w:tcW w:w="1133" w:type="dxa"/>
            <w:vAlign w:val="center"/>
          </w:tcPr>
          <w:p w14:paraId="5AA92A52" w14:textId="77777777" w:rsidR="00946BC5" w:rsidRDefault="00876CEF">
            <w:pPr>
              <w:jc w:val="center"/>
            </w:pPr>
            <w:r>
              <w:rPr>
                <w:sz w:val="24"/>
              </w:rPr>
              <w:t>015825</w:t>
            </w:r>
          </w:p>
        </w:tc>
        <w:tc>
          <w:tcPr>
            <w:tcW w:w="1135" w:type="dxa"/>
            <w:vAlign w:val="center"/>
          </w:tcPr>
          <w:p w14:paraId="26C967BA" w14:textId="77777777" w:rsidR="00946BC5" w:rsidRDefault="00876CEF">
            <w:pPr>
              <w:jc w:val="center"/>
            </w:pPr>
            <w:r>
              <w:rPr>
                <w:sz w:val="24"/>
              </w:rPr>
              <w:t>国泰中证同业存单</w:t>
            </w:r>
            <w:r>
              <w:rPr>
                <w:sz w:val="24"/>
              </w:rPr>
              <w:t>AAA</w:t>
            </w:r>
            <w:r>
              <w:rPr>
                <w:sz w:val="24"/>
              </w:rPr>
              <w:t>指数</w:t>
            </w:r>
            <w:r>
              <w:rPr>
                <w:sz w:val="24"/>
              </w:rPr>
              <w:t>7</w:t>
            </w:r>
            <w:r>
              <w:rPr>
                <w:sz w:val="24"/>
              </w:rPr>
              <w:t>天持有期</w:t>
            </w:r>
          </w:p>
        </w:tc>
        <w:tc>
          <w:tcPr>
            <w:tcW w:w="1135" w:type="dxa"/>
            <w:vAlign w:val="center"/>
          </w:tcPr>
          <w:p w14:paraId="179D1F8B" w14:textId="77777777" w:rsidR="00946BC5" w:rsidRDefault="00876CEF">
            <w:pPr>
              <w:jc w:val="center"/>
            </w:pPr>
            <w:r>
              <w:rPr>
                <w:sz w:val="24"/>
              </w:rPr>
              <w:t>契约型开放式</w:t>
            </w:r>
          </w:p>
        </w:tc>
        <w:tc>
          <w:tcPr>
            <w:tcW w:w="1133" w:type="dxa"/>
            <w:vAlign w:val="center"/>
          </w:tcPr>
          <w:p w14:paraId="01CFCA3A" w14:textId="77777777" w:rsidR="00946BC5" w:rsidRDefault="00876CEF">
            <w:pPr>
              <w:jc w:val="center"/>
            </w:pPr>
            <w:r>
              <w:rPr>
                <w:sz w:val="24"/>
              </w:rPr>
              <w:t>1,381,651.15</w:t>
            </w:r>
          </w:p>
        </w:tc>
        <w:tc>
          <w:tcPr>
            <w:tcW w:w="1276" w:type="dxa"/>
            <w:vAlign w:val="center"/>
          </w:tcPr>
          <w:p w14:paraId="1B8DC56D" w14:textId="77777777" w:rsidR="00946BC5" w:rsidRDefault="00876CEF">
            <w:pPr>
              <w:jc w:val="center"/>
            </w:pPr>
            <w:r>
              <w:rPr>
                <w:sz w:val="24"/>
              </w:rPr>
              <w:t>1,458,470.95</w:t>
            </w:r>
          </w:p>
        </w:tc>
        <w:tc>
          <w:tcPr>
            <w:tcW w:w="1135" w:type="dxa"/>
            <w:vAlign w:val="center"/>
          </w:tcPr>
          <w:p w14:paraId="28DB9C7A" w14:textId="77777777" w:rsidR="00946BC5" w:rsidRDefault="00876CEF">
            <w:pPr>
              <w:jc w:val="center"/>
            </w:pPr>
            <w:r>
              <w:rPr>
                <w:sz w:val="24"/>
              </w:rPr>
              <w:t>8.01%</w:t>
            </w:r>
          </w:p>
        </w:tc>
        <w:tc>
          <w:tcPr>
            <w:tcW w:w="1272" w:type="dxa"/>
            <w:vAlign w:val="center"/>
          </w:tcPr>
          <w:p w14:paraId="0C0EAF71" w14:textId="77777777" w:rsidR="00946BC5" w:rsidRDefault="00876CEF">
            <w:pPr>
              <w:jc w:val="center"/>
            </w:pPr>
            <w:r>
              <w:rPr>
                <w:sz w:val="24"/>
              </w:rPr>
              <w:t>否</w:t>
            </w:r>
          </w:p>
        </w:tc>
      </w:tr>
      <w:tr w:rsidR="00946BC5" w14:paraId="4AB6C790" w14:textId="77777777">
        <w:tc>
          <w:tcPr>
            <w:tcW w:w="817" w:type="dxa"/>
            <w:vAlign w:val="center"/>
          </w:tcPr>
          <w:p w14:paraId="3C7A18E5" w14:textId="77777777" w:rsidR="00946BC5" w:rsidRDefault="00876CEF">
            <w:pPr>
              <w:jc w:val="center"/>
            </w:pPr>
            <w:r>
              <w:rPr>
                <w:sz w:val="24"/>
              </w:rPr>
              <w:t>6</w:t>
            </w:r>
          </w:p>
        </w:tc>
        <w:tc>
          <w:tcPr>
            <w:tcW w:w="1133" w:type="dxa"/>
            <w:vAlign w:val="center"/>
          </w:tcPr>
          <w:p w14:paraId="3319D745" w14:textId="77777777" w:rsidR="00946BC5" w:rsidRDefault="00876CEF">
            <w:pPr>
              <w:jc w:val="center"/>
            </w:pPr>
            <w:r>
              <w:rPr>
                <w:sz w:val="24"/>
              </w:rPr>
              <w:t>110053</w:t>
            </w:r>
          </w:p>
        </w:tc>
        <w:tc>
          <w:tcPr>
            <w:tcW w:w="1135" w:type="dxa"/>
            <w:vAlign w:val="center"/>
          </w:tcPr>
          <w:p w14:paraId="01642FE3" w14:textId="77777777" w:rsidR="00946BC5" w:rsidRDefault="00876CEF">
            <w:pPr>
              <w:jc w:val="center"/>
            </w:pPr>
            <w:r>
              <w:rPr>
                <w:sz w:val="24"/>
              </w:rPr>
              <w:t>易方达安源中短</w:t>
            </w:r>
            <w:proofErr w:type="gramStart"/>
            <w:r>
              <w:rPr>
                <w:sz w:val="24"/>
              </w:rPr>
              <w:t>债</w:t>
            </w:r>
            <w:proofErr w:type="gramEnd"/>
            <w:r>
              <w:rPr>
                <w:sz w:val="24"/>
              </w:rPr>
              <w:t>债券</w:t>
            </w:r>
            <w:r>
              <w:rPr>
                <w:sz w:val="24"/>
              </w:rPr>
              <w:t>A</w:t>
            </w:r>
          </w:p>
        </w:tc>
        <w:tc>
          <w:tcPr>
            <w:tcW w:w="1135" w:type="dxa"/>
            <w:vAlign w:val="center"/>
          </w:tcPr>
          <w:p w14:paraId="7B8DC551" w14:textId="77777777" w:rsidR="00946BC5" w:rsidRDefault="00876CEF">
            <w:pPr>
              <w:jc w:val="center"/>
            </w:pPr>
            <w:r>
              <w:rPr>
                <w:sz w:val="24"/>
              </w:rPr>
              <w:t>契约型开放式</w:t>
            </w:r>
          </w:p>
        </w:tc>
        <w:tc>
          <w:tcPr>
            <w:tcW w:w="1133" w:type="dxa"/>
            <w:vAlign w:val="center"/>
          </w:tcPr>
          <w:p w14:paraId="08D7BAED" w14:textId="77777777" w:rsidR="00946BC5" w:rsidRDefault="00876CEF">
            <w:pPr>
              <w:jc w:val="center"/>
            </w:pPr>
            <w:r>
              <w:rPr>
                <w:sz w:val="24"/>
              </w:rPr>
              <w:t>1,401,804.32</w:t>
            </w:r>
          </w:p>
        </w:tc>
        <w:tc>
          <w:tcPr>
            <w:tcW w:w="1276" w:type="dxa"/>
            <w:vAlign w:val="center"/>
          </w:tcPr>
          <w:p w14:paraId="572AD6E9" w14:textId="77777777" w:rsidR="00946BC5" w:rsidRDefault="00876CEF">
            <w:pPr>
              <w:jc w:val="center"/>
            </w:pPr>
            <w:r>
              <w:rPr>
                <w:sz w:val="24"/>
              </w:rPr>
              <w:t>1,447,503.14</w:t>
            </w:r>
          </w:p>
        </w:tc>
        <w:tc>
          <w:tcPr>
            <w:tcW w:w="1135" w:type="dxa"/>
            <w:vAlign w:val="center"/>
          </w:tcPr>
          <w:p w14:paraId="2183870E" w14:textId="77777777" w:rsidR="00946BC5" w:rsidRDefault="00876CEF">
            <w:pPr>
              <w:jc w:val="center"/>
            </w:pPr>
            <w:r>
              <w:rPr>
                <w:sz w:val="24"/>
              </w:rPr>
              <w:t>7.95%</w:t>
            </w:r>
          </w:p>
        </w:tc>
        <w:tc>
          <w:tcPr>
            <w:tcW w:w="1272" w:type="dxa"/>
            <w:vAlign w:val="center"/>
          </w:tcPr>
          <w:p w14:paraId="4DE0F8D4" w14:textId="77777777" w:rsidR="00946BC5" w:rsidRDefault="00876CEF">
            <w:pPr>
              <w:jc w:val="center"/>
            </w:pPr>
            <w:r>
              <w:rPr>
                <w:sz w:val="24"/>
              </w:rPr>
              <w:t>否</w:t>
            </w:r>
          </w:p>
        </w:tc>
      </w:tr>
      <w:tr w:rsidR="00946BC5" w14:paraId="2507C3A1" w14:textId="77777777">
        <w:tc>
          <w:tcPr>
            <w:tcW w:w="817" w:type="dxa"/>
            <w:vAlign w:val="center"/>
          </w:tcPr>
          <w:p w14:paraId="6112C464" w14:textId="77777777" w:rsidR="00946BC5" w:rsidRDefault="00876CEF">
            <w:pPr>
              <w:jc w:val="center"/>
            </w:pPr>
            <w:r>
              <w:rPr>
                <w:sz w:val="24"/>
              </w:rPr>
              <w:t>7</w:t>
            </w:r>
          </w:p>
        </w:tc>
        <w:tc>
          <w:tcPr>
            <w:tcW w:w="1133" w:type="dxa"/>
            <w:vAlign w:val="center"/>
          </w:tcPr>
          <w:p w14:paraId="28050B71" w14:textId="77777777" w:rsidR="00946BC5" w:rsidRDefault="00876CEF">
            <w:pPr>
              <w:jc w:val="center"/>
            </w:pPr>
            <w:r>
              <w:rPr>
                <w:sz w:val="24"/>
              </w:rPr>
              <w:t>000032</w:t>
            </w:r>
          </w:p>
        </w:tc>
        <w:tc>
          <w:tcPr>
            <w:tcW w:w="1135" w:type="dxa"/>
            <w:vAlign w:val="center"/>
          </w:tcPr>
          <w:p w14:paraId="6494C318" w14:textId="77777777" w:rsidR="00946BC5" w:rsidRDefault="00876CEF">
            <w:pPr>
              <w:jc w:val="center"/>
            </w:pPr>
            <w:r>
              <w:rPr>
                <w:sz w:val="24"/>
              </w:rPr>
              <w:t>易方达信用</w:t>
            </w:r>
            <w:proofErr w:type="gramStart"/>
            <w:r>
              <w:rPr>
                <w:sz w:val="24"/>
              </w:rPr>
              <w:t>债</w:t>
            </w:r>
            <w:proofErr w:type="gramEnd"/>
            <w:r>
              <w:rPr>
                <w:sz w:val="24"/>
              </w:rPr>
              <w:t>债券</w:t>
            </w:r>
            <w:r>
              <w:rPr>
                <w:sz w:val="24"/>
              </w:rPr>
              <w:t>A</w:t>
            </w:r>
          </w:p>
        </w:tc>
        <w:tc>
          <w:tcPr>
            <w:tcW w:w="1135" w:type="dxa"/>
            <w:vAlign w:val="center"/>
          </w:tcPr>
          <w:p w14:paraId="3A0D4FC7" w14:textId="77777777" w:rsidR="00946BC5" w:rsidRDefault="00876CEF">
            <w:pPr>
              <w:jc w:val="center"/>
            </w:pPr>
            <w:r>
              <w:rPr>
                <w:sz w:val="24"/>
              </w:rPr>
              <w:t>契约型开放式</w:t>
            </w:r>
          </w:p>
        </w:tc>
        <w:tc>
          <w:tcPr>
            <w:tcW w:w="1133" w:type="dxa"/>
            <w:vAlign w:val="center"/>
          </w:tcPr>
          <w:p w14:paraId="2BBA59E3" w14:textId="77777777" w:rsidR="00946BC5" w:rsidRDefault="00876CEF">
            <w:pPr>
              <w:jc w:val="center"/>
            </w:pPr>
            <w:r>
              <w:rPr>
                <w:sz w:val="24"/>
              </w:rPr>
              <w:t>957,622.34</w:t>
            </w:r>
          </w:p>
        </w:tc>
        <w:tc>
          <w:tcPr>
            <w:tcW w:w="1276" w:type="dxa"/>
            <w:vAlign w:val="center"/>
          </w:tcPr>
          <w:p w14:paraId="27173614" w14:textId="77777777" w:rsidR="00946BC5" w:rsidRDefault="00876CEF">
            <w:pPr>
              <w:jc w:val="center"/>
            </w:pPr>
            <w:r>
              <w:rPr>
                <w:sz w:val="24"/>
              </w:rPr>
              <w:t>1,097,722.49</w:t>
            </w:r>
          </w:p>
        </w:tc>
        <w:tc>
          <w:tcPr>
            <w:tcW w:w="1135" w:type="dxa"/>
            <w:vAlign w:val="center"/>
          </w:tcPr>
          <w:p w14:paraId="40826439" w14:textId="77777777" w:rsidR="00946BC5" w:rsidRDefault="00876CEF">
            <w:pPr>
              <w:jc w:val="center"/>
            </w:pPr>
            <w:r>
              <w:rPr>
                <w:sz w:val="24"/>
              </w:rPr>
              <w:t>6.03%</w:t>
            </w:r>
          </w:p>
        </w:tc>
        <w:tc>
          <w:tcPr>
            <w:tcW w:w="1272" w:type="dxa"/>
            <w:vAlign w:val="center"/>
          </w:tcPr>
          <w:p w14:paraId="654BB912" w14:textId="77777777" w:rsidR="00946BC5" w:rsidRDefault="00876CEF">
            <w:pPr>
              <w:jc w:val="center"/>
            </w:pPr>
            <w:r>
              <w:rPr>
                <w:sz w:val="24"/>
              </w:rPr>
              <w:t>否</w:t>
            </w:r>
          </w:p>
        </w:tc>
      </w:tr>
      <w:tr w:rsidR="00946BC5" w14:paraId="090726AD" w14:textId="77777777">
        <w:tc>
          <w:tcPr>
            <w:tcW w:w="817" w:type="dxa"/>
            <w:vAlign w:val="center"/>
          </w:tcPr>
          <w:p w14:paraId="35E8B408" w14:textId="77777777" w:rsidR="00946BC5" w:rsidRDefault="00876CEF">
            <w:pPr>
              <w:jc w:val="center"/>
            </w:pPr>
            <w:r>
              <w:rPr>
                <w:sz w:val="24"/>
              </w:rPr>
              <w:t>8</w:t>
            </w:r>
          </w:p>
        </w:tc>
        <w:tc>
          <w:tcPr>
            <w:tcW w:w="1133" w:type="dxa"/>
            <w:vAlign w:val="center"/>
          </w:tcPr>
          <w:p w14:paraId="3B4F67C1" w14:textId="77777777" w:rsidR="00946BC5" w:rsidRDefault="00876CEF">
            <w:pPr>
              <w:jc w:val="center"/>
            </w:pPr>
            <w:r>
              <w:rPr>
                <w:sz w:val="24"/>
              </w:rPr>
              <w:t>014437</w:t>
            </w:r>
          </w:p>
        </w:tc>
        <w:tc>
          <w:tcPr>
            <w:tcW w:w="1135" w:type="dxa"/>
            <w:vAlign w:val="center"/>
          </w:tcPr>
          <w:p w14:paraId="704C3093" w14:textId="77777777" w:rsidR="00946BC5" w:rsidRDefault="00876CEF">
            <w:pPr>
              <w:jc w:val="center"/>
            </w:pPr>
            <w:r>
              <w:rPr>
                <w:sz w:val="24"/>
              </w:rPr>
              <w:t>鹏华中证同业存单</w:t>
            </w:r>
            <w:r>
              <w:rPr>
                <w:sz w:val="24"/>
              </w:rPr>
              <w:t>AAA</w:t>
            </w:r>
            <w:r>
              <w:rPr>
                <w:sz w:val="24"/>
              </w:rPr>
              <w:t>指数</w:t>
            </w:r>
            <w:r>
              <w:rPr>
                <w:sz w:val="24"/>
              </w:rPr>
              <w:t>7</w:t>
            </w:r>
            <w:r>
              <w:rPr>
                <w:sz w:val="24"/>
              </w:rPr>
              <w:t>天持有期</w:t>
            </w:r>
          </w:p>
        </w:tc>
        <w:tc>
          <w:tcPr>
            <w:tcW w:w="1135" w:type="dxa"/>
            <w:vAlign w:val="center"/>
          </w:tcPr>
          <w:p w14:paraId="35F072F6" w14:textId="77777777" w:rsidR="00946BC5" w:rsidRDefault="00876CEF">
            <w:pPr>
              <w:jc w:val="center"/>
            </w:pPr>
            <w:r>
              <w:rPr>
                <w:sz w:val="24"/>
              </w:rPr>
              <w:t>契约型开放式</w:t>
            </w:r>
          </w:p>
        </w:tc>
        <w:tc>
          <w:tcPr>
            <w:tcW w:w="1133" w:type="dxa"/>
            <w:vAlign w:val="center"/>
          </w:tcPr>
          <w:p w14:paraId="64770F12" w14:textId="77777777" w:rsidR="00946BC5" w:rsidRDefault="00876CEF">
            <w:pPr>
              <w:jc w:val="center"/>
            </w:pPr>
            <w:r>
              <w:rPr>
                <w:sz w:val="24"/>
              </w:rPr>
              <w:t>942,897.66</w:t>
            </w:r>
          </w:p>
        </w:tc>
        <w:tc>
          <w:tcPr>
            <w:tcW w:w="1276" w:type="dxa"/>
            <w:vAlign w:val="center"/>
          </w:tcPr>
          <w:p w14:paraId="468A1F39" w14:textId="77777777" w:rsidR="00946BC5" w:rsidRDefault="00876CEF">
            <w:pPr>
              <w:jc w:val="center"/>
            </w:pPr>
            <w:r>
              <w:rPr>
                <w:sz w:val="24"/>
              </w:rPr>
              <w:t>1,016,632.26</w:t>
            </w:r>
          </w:p>
        </w:tc>
        <w:tc>
          <w:tcPr>
            <w:tcW w:w="1135" w:type="dxa"/>
            <w:vAlign w:val="center"/>
          </w:tcPr>
          <w:p w14:paraId="3BDCA6F2" w14:textId="77777777" w:rsidR="00946BC5" w:rsidRDefault="00876CEF">
            <w:pPr>
              <w:jc w:val="center"/>
            </w:pPr>
            <w:r>
              <w:rPr>
                <w:sz w:val="24"/>
              </w:rPr>
              <w:t>5.58%</w:t>
            </w:r>
          </w:p>
        </w:tc>
        <w:tc>
          <w:tcPr>
            <w:tcW w:w="1272" w:type="dxa"/>
            <w:vAlign w:val="center"/>
          </w:tcPr>
          <w:p w14:paraId="1AFD7892" w14:textId="77777777" w:rsidR="00946BC5" w:rsidRDefault="00876CEF">
            <w:pPr>
              <w:jc w:val="center"/>
            </w:pPr>
            <w:r>
              <w:rPr>
                <w:sz w:val="24"/>
              </w:rPr>
              <w:t>否</w:t>
            </w:r>
          </w:p>
        </w:tc>
      </w:tr>
      <w:tr w:rsidR="00946BC5" w14:paraId="251792F1" w14:textId="77777777">
        <w:tc>
          <w:tcPr>
            <w:tcW w:w="817" w:type="dxa"/>
            <w:vAlign w:val="center"/>
          </w:tcPr>
          <w:p w14:paraId="72635FB6" w14:textId="77777777" w:rsidR="00946BC5" w:rsidRDefault="00876CEF">
            <w:pPr>
              <w:jc w:val="center"/>
            </w:pPr>
            <w:r>
              <w:rPr>
                <w:sz w:val="24"/>
              </w:rPr>
              <w:t>9</w:t>
            </w:r>
          </w:p>
        </w:tc>
        <w:tc>
          <w:tcPr>
            <w:tcW w:w="1133" w:type="dxa"/>
            <w:vAlign w:val="center"/>
          </w:tcPr>
          <w:p w14:paraId="695BB10A" w14:textId="77777777" w:rsidR="00946BC5" w:rsidRDefault="00876CEF">
            <w:pPr>
              <w:jc w:val="center"/>
            </w:pPr>
            <w:r>
              <w:rPr>
                <w:sz w:val="24"/>
              </w:rPr>
              <w:t>003863</w:t>
            </w:r>
          </w:p>
        </w:tc>
        <w:tc>
          <w:tcPr>
            <w:tcW w:w="1135" w:type="dxa"/>
            <w:vAlign w:val="center"/>
          </w:tcPr>
          <w:p w14:paraId="7DA3CA6F" w14:textId="77777777" w:rsidR="00946BC5" w:rsidRDefault="00876CEF">
            <w:pPr>
              <w:jc w:val="center"/>
            </w:pPr>
            <w:r>
              <w:rPr>
                <w:sz w:val="24"/>
              </w:rPr>
              <w:t>招商招</w:t>
            </w:r>
            <w:proofErr w:type="gramStart"/>
            <w:r>
              <w:rPr>
                <w:sz w:val="24"/>
              </w:rPr>
              <w:t>祥纯债</w:t>
            </w:r>
            <w:proofErr w:type="gramEnd"/>
            <w:r>
              <w:rPr>
                <w:sz w:val="24"/>
              </w:rPr>
              <w:t>A</w:t>
            </w:r>
          </w:p>
        </w:tc>
        <w:tc>
          <w:tcPr>
            <w:tcW w:w="1135" w:type="dxa"/>
            <w:vAlign w:val="center"/>
          </w:tcPr>
          <w:p w14:paraId="0F9A038E" w14:textId="77777777" w:rsidR="00946BC5" w:rsidRDefault="00876CEF">
            <w:pPr>
              <w:jc w:val="center"/>
            </w:pPr>
            <w:r>
              <w:rPr>
                <w:sz w:val="24"/>
              </w:rPr>
              <w:t>契约型开放式</w:t>
            </w:r>
          </w:p>
        </w:tc>
        <w:tc>
          <w:tcPr>
            <w:tcW w:w="1133" w:type="dxa"/>
            <w:vAlign w:val="center"/>
          </w:tcPr>
          <w:p w14:paraId="2287228C" w14:textId="77777777" w:rsidR="00946BC5" w:rsidRDefault="00876CEF">
            <w:pPr>
              <w:jc w:val="center"/>
            </w:pPr>
            <w:r>
              <w:rPr>
                <w:sz w:val="24"/>
              </w:rPr>
              <w:t>869,208.85</w:t>
            </w:r>
          </w:p>
        </w:tc>
        <w:tc>
          <w:tcPr>
            <w:tcW w:w="1276" w:type="dxa"/>
            <w:vAlign w:val="center"/>
          </w:tcPr>
          <w:p w14:paraId="35452509" w14:textId="77777777" w:rsidR="00946BC5" w:rsidRDefault="00876CEF">
            <w:pPr>
              <w:jc w:val="center"/>
            </w:pPr>
            <w:r>
              <w:rPr>
                <w:sz w:val="24"/>
              </w:rPr>
              <w:t>1,013,758.28</w:t>
            </w:r>
          </w:p>
        </w:tc>
        <w:tc>
          <w:tcPr>
            <w:tcW w:w="1135" w:type="dxa"/>
            <w:vAlign w:val="center"/>
          </w:tcPr>
          <w:p w14:paraId="38AA8B62" w14:textId="77777777" w:rsidR="00946BC5" w:rsidRDefault="00876CEF">
            <w:pPr>
              <w:jc w:val="center"/>
            </w:pPr>
            <w:r>
              <w:rPr>
                <w:sz w:val="24"/>
              </w:rPr>
              <w:t>5.57%</w:t>
            </w:r>
          </w:p>
        </w:tc>
        <w:tc>
          <w:tcPr>
            <w:tcW w:w="1272" w:type="dxa"/>
            <w:vAlign w:val="center"/>
          </w:tcPr>
          <w:p w14:paraId="01B20286" w14:textId="77777777" w:rsidR="00946BC5" w:rsidRDefault="00876CEF">
            <w:pPr>
              <w:jc w:val="center"/>
            </w:pPr>
            <w:r>
              <w:rPr>
                <w:sz w:val="24"/>
              </w:rPr>
              <w:t>否</w:t>
            </w:r>
          </w:p>
        </w:tc>
      </w:tr>
      <w:tr w:rsidR="00946BC5" w14:paraId="0D6A9757" w14:textId="77777777">
        <w:tc>
          <w:tcPr>
            <w:tcW w:w="817" w:type="dxa"/>
            <w:vAlign w:val="center"/>
          </w:tcPr>
          <w:p w14:paraId="146CED3D" w14:textId="77777777" w:rsidR="00946BC5" w:rsidRDefault="00876CEF">
            <w:pPr>
              <w:jc w:val="center"/>
            </w:pPr>
            <w:r>
              <w:rPr>
                <w:sz w:val="24"/>
              </w:rPr>
              <w:t>10</w:t>
            </w:r>
          </w:p>
        </w:tc>
        <w:tc>
          <w:tcPr>
            <w:tcW w:w="1133" w:type="dxa"/>
            <w:vAlign w:val="center"/>
          </w:tcPr>
          <w:p w14:paraId="31D604CB" w14:textId="77777777" w:rsidR="00946BC5" w:rsidRDefault="00876CEF">
            <w:pPr>
              <w:jc w:val="center"/>
            </w:pPr>
            <w:r>
              <w:rPr>
                <w:sz w:val="24"/>
              </w:rPr>
              <w:t>004388</w:t>
            </w:r>
          </w:p>
        </w:tc>
        <w:tc>
          <w:tcPr>
            <w:tcW w:w="1135" w:type="dxa"/>
            <w:vAlign w:val="center"/>
          </w:tcPr>
          <w:p w14:paraId="7A82AC18" w14:textId="77777777" w:rsidR="00946BC5" w:rsidRDefault="00876CEF">
            <w:pPr>
              <w:jc w:val="center"/>
            </w:pPr>
            <w:r>
              <w:rPr>
                <w:sz w:val="24"/>
              </w:rPr>
              <w:t>鹏</w:t>
            </w:r>
            <w:proofErr w:type="gramStart"/>
            <w:r>
              <w:rPr>
                <w:sz w:val="24"/>
              </w:rPr>
              <w:t>华丰享债券</w:t>
            </w:r>
            <w:proofErr w:type="gramEnd"/>
          </w:p>
        </w:tc>
        <w:tc>
          <w:tcPr>
            <w:tcW w:w="1135" w:type="dxa"/>
            <w:vAlign w:val="center"/>
          </w:tcPr>
          <w:p w14:paraId="02111872" w14:textId="77777777" w:rsidR="00946BC5" w:rsidRDefault="00876CEF">
            <w:pPr>
              <w:jc w:val="center"/>
            </w:pPr>
            <w:r>
              <w:rPr>
                <w:sz w:val="24"/>
              </w:rPr>
              <w:t>契约型开放式</w:t>
            </w:r>
          </w:p>
        </w:tc>
        <w:tc>
          <w:tcPr>
            <w:tcW w:w="1133" w:type="dxa"/>
            <w:vAlign w:val="center"/>
          </w:tcPr>
          <w:p w14:paraId="64E38D7A" w14:textId="77777777" w:rsidR="00946BC5" w:rsidRDefault="00876CEF">
            <w:pPr>
              <w:jc w:val="center"/>
            </w:pPr>
            <w:r>
              <w:rPr>
                <w:sz w:val="24"/>
              </w:rPr>
              <w:t>777,697.39</w:t>
            </w:r>
          </w:p>
        </w:tc>
        <w:tc>
          <w:tcPr>
            <w:tcW w:w="1276" w:type="dxa"/>
            <w:vAlign w:val="center"/>
          </w:tcPr>
          <w:p w14:paraId="08B766C7" w14:textId="77777777" w:rsidR="00946BC5" w:rsidRDefault="00876CEF">
            <w:pPr>
              <w:jc w:val="center"/>
            </w:pPr>
            <w:r>
              <w:rPr>
                <w:sz w:val="24"/>
              </w:rPr>
              <w:t>982,931.73</w:t>
            </w:r>
          </w:p>
        </w:tc>
        <w:tc>
          <w:tcPr>
            <w:tcW w:w="1135" w:type="dxa"/>
            <w:vAlign w:val="center"/>
          </w:tcPr>
          <w:p w14:paraId="7EEEA885" w14:textId="77777777" w:rsidR="00946BC5" w:rsidRDefault="00876CEF">
            <w:pPr>
              <w:jc w:val="center"/>
            </w:pPr>
            <w:r>
              <w:rPr>
                <w:sz w:val="24"/>
              </w:rPr>
              <w:t>5.40%</w:t>
            </w:r>
          </w:p>
        </w:tc>
        <w:tc>
          <w:tcPr>
            <w:tcW w:w="1272" w:type="dxa"/>
            <w:vAlign w:val="center"/>
          </w:tcPr>
          <w:p w14:paraId="24C3FA6B" w14:textId="77777777" w:rsidR="00946BC5" w:rsidRDefault="00876CEF">
            <w:pPr>
              <w:jc w:val="center"/>
            </w:pPr>
            <w:r>
              <w:rPr>
                <w:sz w:val="24"/>
              </w:rPr>
              <w:t>否</w:t>
            </w:r>
          </w:p>
        </w:tc>
      </w:tr>
    </w:tbl>
    <w:p w14:paraId="4D3CAE7C" w14:textId="77777777"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14:paraId="52F8762C" w14:textId="77777777" w:rsidTr="00342FE7">
        <w:tc>
          <w:tcPr>
            <w:tcW w:w="3012" w:type="dxa"/>
            <w:vAlign w:val="center"/>
          </w:tcPr>
          <w:p w14:paraId="2BFEA8A2" w14:textId="77777777"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14:paraId="639823AB" w14:textId="77777777" w:rsidR="00C45886" w:rsidRPr="00575270" w:rsidRDefault="00C45886" w:rsidP="00342FE7">
            <w:pPr>
              <w:spacing w:line="276" w:lineRule="auto"/>
              <w:jc w:val="center"/>
              <w:rPr>
                <w:sz w:val="24"/>
              </w:rPr>
            </w:pPr>
            <w:r w:rsidRPr="00575270">
              <w:rPr>
                <w:sz w:val="24"/>
              </w:rPr>
              <w:t>本期费用</w:t>
            </w:r>
          </w:p>
        </w:tc>
        <w:tc>
          <w:tcPr>
            <w:tcW w:w="3012" w:type="dxa"/>
            <w:vAlign w:val="center"/>
          </w:tcPr>
          <w:p w14:paraId="5E9D48A3" w14:textId="77777777"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14:paraId="00458743" w14:textId="77777777" w:rsidTr="00342FE7">
        <w:tc>
          <w:tcPr>
            <w:tcW w:w="3012" w:type="dxa"/>
            <w:vAlign w:val="center"/>
          </w:tcPr>
          <w:p w14:paraId="20DA5179"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14:paraId="7274607A"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59.95</w:t>
            </w:r>
          </w:p>
        </w:tc>
        <w:tc>
          <w:tcPr>
            <w:tcW w:w="3012" w:type="dxa"/>
            <w:vAlign w:val="center"/>
          </w:tcPr>
          <w:p w14:paraId="75A61A22"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14:paraId="1E6837C9" w14:textId="77777777" w:rsidTr="00342FE7">
        <w:tc>
          <w:tcPr>
            <w:tcW w:w="3012" w:type="dxa"/>
            <w:vAlign w:val="center"/>
          </w:tcPr>
          <w:p w14:paraId="0662C107"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14:paraId="1593D90D"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542.26</w:t>
            </w:r>
          </w:p>
        </w:tc>
        <w:tc>
          <w:tcPr>
            <w:tcW w:w="3012" w:type="dxa"/>
            <w:vAlign w:val="center"/>
          </w:tcPr>
          <w:p w14:paraId="63FA8FB6"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14:paraId="1F8001AF" w14:textId="77777777" w:rsidTr="00342FE7">
        <w:tc>
          <w:tcPr>
            <w:tcW w:w="3012" w:type="dxa"/>
            <w:vAlign w:val="center"/>
          </w:tcPr>
          <w:p w14:paraId="1F30E327"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14:paraId="31870D6F"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2,312.44</w:t>
            </w:r>
          </w:p>
        </w:tc>
        <w:tc>
          <w:tcPr>
            <w:tcW w:w="3012" w:type="dxa"/>
            <w:vAlign w:val="center"/>
          </w:tcPr>
          <w:p w14:paraId="251B32FE"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14:paraId="4B8D709A" w14:textId="77777777" w:rsidTr="00342FE7">
        <w:tc>
          <w:tcPr>
            <w:tcW w:w="3012" w:type="dxa"/>
            <w:vAlign w:val="center"/>
          </w:tcPr>
          <w:p w14:paraId="0CCD4E06"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14:paraId="3B36FF8A" w14:textId="2D822C55" w:rsidR="00C45886" w:rsidRPr="00575270" w:rsidRDefault="00876CEF" w:rsidP="00342FE7">
            <w:pPr>
              <w:adjustRightInd w:val="0"/>
              <w:snapToGrid w:val="0"/>
              <w:spacing w:beforeLines="50" w:before="156" w:line="276" w:lineRule="auto"/>
              <w:jc w:val="right"/>
              <w:rPr>
                <w:rFonts w:eastAsiaTheme="minorEastAsia"/>
                <w:color w:val="000000" w:themeColor="text1"/>
                <w:sz w:val="24"/>
              </w:rPr>
            </w:pPr>
            <w:r w:rsidRPr="00876CEF">
              <w:rPr>
                <w:rFonts w:eastAsiaTheme="minorEastAsia"/>
                <w:color w:val="000000" w:themeColor="text1"/>
                <w:sz w:val="24"/>
              </w:rPr>
              <w:t>13,213.78</w:t>
            </w:r>
          </w:p>
        </w:tc>
        <w:tc>
          <w:tcPr>
            <w:tcW w:w="3012" w:type="dxa"/>
            <w:vAlign w:val="center"/>
          </w:tcPr>
          <w:p w14:paraId="47F63649"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1,641.13</w:t>
            </w:r>
          </w:p>
        </w:tc>
      </w:tr>
      <w:tr w:rsidR="00C45886" w:rsidRPr="00575270" w14:paraId="66601065" w14:textId="77777777" w:rsidTr="00342FE7">
        <w:tc>
          <w:tcPr>
            <w:tcW w:w="3012" w:type="dxa"/>
            <w:vAlign w:val="center"/>
          </w:tcPr>
          <w:p w14:paraId="0C2594DF"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14:paraId="18CCE915" w14:textId="75EB7305" w:rsidR="00C45886" w:rsidRPr="00575270" w:rsidRDefault="00876CEF" w:rsidP="00342FE7">
            <w:pPr>
              <w:adjustRightInd w:val="0"/>
              <w:snapToGrid w:val="0"/>
              <w:spacing w:beforeLines="50" w:before="156" w:line="276" w:lineRule="auto"/>
              <w:jc w:val="right"/>
              <w:rPr>
                <w:rFonts w:eastAsiaTheme="minorEastAsia"/>
                <w:color w:val="000000" w:themeColor="text1"/>
                <w:sz w:val="24"/>
              </w:rPr>
            </w:pPr>
            <w:r w:rsidRPr="00876CEF">
              <w:rPr>
                <w:rFonts w:eastAsiaTheme="minorEastAsia"/>
                <w:color w:val="000000" w:themeColor="text1"/>
                <w:sz w:val="24"/>
              </w:rPr>
              <w:t>3,502.19</w:t>
            </w:r>
          </w:p>
        </w:tc>
        <w:tc>
          <w:tcPr>
            <w:tcW w:w="3012" w:type="dxa"/>
            <w:vAlign w:val="center"/>
          </w:tcPr>
          <w:p w14:paraId="08169BB4"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92.22</w:t>
            </w:r>
          </w:p>
        </w:tc>
      </w:tr>
      <w:tr w:rsidR="00946BC5" w14:paraId="25EDC40C" w14:textId="77777777">
        <w:tc>
          <w:tcPr>
            <w:tcW w:w="3012" w:type="dxa"/>
            <w:vAlign w:val="center"/>
          </w:tcPr>
          <w:p w14:paraId="0E61E1E3" w14:textId="77777777" w:rsidR="00946BC5" w:rsidRDefault="00876CEF">
            <w:pPr>
              <w:jc w:val="left"/>
            </w:pPr>
            <w:r>
              <w:rPr>
                <w:rFonts w:eastAsiaTheme="minorEastAsia"/>
                <w:color w:val="000000" w:themeColor="text1"/>
                <w:sz w:val="24"/>
              </w:rPr>
              <w:lastRenderedPageBreak/>
              <w:t>当期交易基金产生的交易费（元）</w:t>
            </w:r>
          </w:p>
        </w:tc>
        <w:tc>
          <w:tcPr>
            <w:tcW w:w="3012" w:type="dxa"/>
            <w:vAlign w:val="center"/>
          </w:tcPr>
          <w:p w14:paraId="5C238A38" w14:textId="77777777" w:rsidR="00946BC5" w:rsidRDefault="00876CEF">
            <w:pPr>
              <w:jc w:val="right"/>
            </w:pPr>
            <w:r>
              <w:rPr>
                <w:rFonts w:eastAsiaTheme="minorEastAsia"/>
                <w:color w:val="000000" w:themeColor="text1"/>
                <w:sz w:val="24"/>
              </w:rPr>
              <w:t>50.18</w:t>
            </w:r>
          </w:p>
        </w:tc>
        <w:tc>
          <w:tcPr>
            <w:tcW w:w="3012" w:type="dxa"/>
            <w:vAlign w:val="center"/>
          </w:tcPr>
          <w:p w14:paraId="5A7A6E7E" w14:textId="77777777" w:rsidR="00946BC5" w:rsidRDefault="00876CEF">
            <w:pPr>
              <w:jc w:val="right"/>
            </w:pPr>
            <w:r>
              <w:rPr>
                <w:rFonts w:eastAsiaTheme="minorEastAsia"/>
                <w:color w:val="000000" w:themeColor="text1"/>
                <w:sz w:val="24"/>
              </w:rPr>
              <w:t>2.52</w:t>
            </w:r>
          </w:p>
        </w:tc>
      </w:tr>
      <w:tr w:rsidR="00946BC5" w14:paraId="52876FA5" w14:textId="77777777">
        <w:tc>
          <w:tcPr>
            <w:tcW w:w="3012" w:type="dxa"/>
            <w:vAlign w:val="center"/>
          </w:tcPr>
          <w:p w14:paraId="2D86C5E5" w14:textId="77777777" w:rsidR="00946BC5" w:rsidRDefault="00876CEF">
            <w:pPr>
              <w:jc w:val="left"/>
            </w:pPr>
            <w:r>
              <w:rPr>
                <w:rFonts w:eastAsiaTheme="minorEastAsia"/>
                <w:color w:val="000000" w:themeColor="text1"/>
                <w:sz w:val="24"/>
              </w:rPr>
              <w:t>当期交易基金产生的转换费（元）</w:t>
            </w:r>
          </w:p>
        </w:tc>
        <w:tc>
          <w:tcPr>
            <w:tcW w:w="3012" w:type="dxa"/>
            <w:vAlign w:val="center"/>
          </w:tcPr>
          <w:p w14:paraId="2662AB40" w14:textId="77777777" w:rsidR="00946BC5" w:rsidRDefault="00876CEF">
            <w:pPr>
              <w:jc w:val="right"/>
            </w:pPr>
            <w:r>
              <w:rPr>
                <w:rFonts w:eastAsiaTheme="minorEastAsia"/>
                <w:color w:val="000000" w:themeColor="text1"/>
                <w:sz w:val="24"/>
              </w:rPr>
              <w:t>222.98</w:t>
            </w:r>
          </w:p>
        </w:tc>
        <w:tc>
          <w:tcPr>
            <w:tcW w:w="3012" w:type="dxa"/>
            <w:vAlign w:val="center"/>
          </w:tcPr>
          <w:p w14:paraId="32506D8C" w14:textId="77777777" w:rsidR="00946BC5" w:rsidRDefault="00876CEF">
            <w:pPr>
              <w:jc w:val="right"/>
            </w:pPr>
            <w:r>
              <w:rPr>
                <w:rFonts w:eastAsiaTheme="minorEastAsia"/>
                <w:color w:val="000000" w:themeColor="text1"/>
                <w:sz w:val="24"/>
              </w:rPr>
              <w:t>-</w:t>
            </w:r>
          </w:p>
        </w:tc>
      </w:tr>
    </w:tbl>
    <w:p w14:paraId="30D2FA57" w14:textId="77777777" w:rsidR="005E6DF3" w:rsidRPr="00C45886" w:rsidRDefault="005E6DF3">
      <w:pPr>
        <w:spacing w:line="360" w:lineRule="auto"/>
        <w:ind w:firstLineChars="200" w:firstLine="420"/>
        <w:rPr>
          <w:rFonts w:eastAsiaTheme="minorEastAsia"/>
          <w:color w:val="000000" w:themeColor="text1"/>
          <w:szCs w:val="21"/>
        </w:rPr>
      </w:pPr>
    </w:p>
    <w:p w14:paraId="28DA9693" w14:textId="77777777"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14:paraId="64CF5D5E"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0DFE111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23DC26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1658C34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14:paraId="6648B2B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(FOF)C</w:t>
            </w:r>
          </w:p>
        </w:tc>
      </w:tr>
      <w:tr w:rsidR="005E6DF3" w:rsidRPr="00B27A29" w14:paraId="7D2FCFC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6E29909"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E15EDE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11,999,113.76</w:t>
            </w:r>
          </w:p>
        </w:tc>
        <w:tc>
          <w:tcPr>
            <w:tcW w:w="2367" w:type="dxa"/>
            <w:tcBorders>
              <w:top w:val="single" w:sz="8" w:space="0" w:color="000000"/>
              <w:left w:val="single" w:sz="8" w:space="0" w:color="000000"/>
              <w:bottom w:val="single" w:sz="8" w:space="0" w:color="000000"/>
              <w:right w:val="single" w:sz="8" w:space="0" w:color="000000"/>
            </w:tcBorders>
            <w:vAlign w:val="center"/>
          </w:tcPr>
          <w:p w14:paraId="4A536AA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7,009,723.30</w:t>
            </w:r>
          </w:p>
        </w:tc>
      </w:tr>
      <w:tr w:rsidR="005E6DF3" w:rsidRPr="00B27A29" w14:paraId="65F0A0D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E41EA5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1C7F38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154,073.76</w:t>
            </w:r>
          </w:p>
        </w:tc>
        <w:tc>
          <w:tcPr>
            <w:tcW w:w="2367" w:type="dxa"/>
            <w:tcBorders>
              <w:top w:val="single" w:sz="8" w:space="0" w:color="000000"/>
              <w:left w:val="single" w:sz="8" w:space="0" w:color="000000"/>
              <w:bottom w:val="single" w:sz="8" w:space="0" w:color="000000"/>
              <w:right w:val="single" w:sz="8" w:space="0" w:color="000000"/>
            </w:tcBorders>
            <w:vAlign w:val="center"/>
          </w:tcPr>
          <w:p w14:paraId="5ED67FC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140,776.81</w:t>
            </w:r>
          </w:p>
        </w:tc>
      </w:tr>
      <w:tr w:rsidR="005E6DF3" w:rsidRPr="00B27A29" w14:paraId="623C2D6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B56ACF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735A82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1,528,970.88</w:t>
            </w:r>
          </w:p>
        </w:tc>
        <w:tc>
          <w:tcPr>
            <w:tcW w:w="2367" w:type="dxa"/>
            <w:tcBorders>
              <w:top w:val="single" w:sz="8" w:space="0" w:color="000000"/>
              <w:left w:val="single" w:sz="8" w:space="0" w:color="000000"/>
              <w:bottom w:val="single" w:sz="8" w:space="0" w:color="000000"/>
              <w:right w:val="single" w:sz="8" w:space="0" w:color="000000"/>
            </w:tcBorders>
            <w:vAlign w:val="center"/>
          </w:tcPr>
          <w:p w14:paraId="508039F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13,960.50</w:t>
            </w:r>
          </w:p>
        </w:tc>
      </w:tr>
      <w:tr w:rsidR="005E6DF3" w:rsidRPr="00B27A29" w14:paraId="09D0F9C1"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9A72B4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D35031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55C536B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AAC4F2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10A0A7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940A7F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10,624,216.64</w:t>
            </w:r>
          </w:p>
        </w:tc>
        <w:tc>
          <w:tcPr>
            <w:tcW w:w="2367" w:type="dxa"/>
            <w:tcBorders>
              <w:top w:val="single" w:sz="8" w:space="0" w:color="000000"/>
              <w:left w:val="single" w:sz="8" w:space="0" w:color="000000"/>
              <w:bottom w:val="single" w:sz="8" w:space="0" w:color="000000"/>
              <w:right w:val="single" w:sz="8" w:space="0" w:color="000000"/>
            </w:tcBorders>
            <w:vAlign w:val="center"/>
          </w:tcPr>
          <w:p w14:paraId="70795B3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7,136,539.61</w:t>
            </w:r>
          </w:p>
        </w:tc>
      </w:tr>
    </w:tbl>
    <w:p w14:paraId="3F664C3C" w14:textId="77777777"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w:t>
      </w:r>
      <w:proofErr w:type="gramStart"/>
      <w:r w:rsidR="005C671B" w:rsidRPr="00B27A29">
        <w:rPr>
          <w:color w:val="000000"/>
          <w:sz w:val="21"/>
          <w:szCs w:val="21"/>
          <w:shd w:val="clear" w:color="auto" w:fill="FFFFFF"/>
        </w:rPr>
        <w:t>固有资金</w:t>
      </w:r>
      <w:proofErr w:type="gramEnd"/>
      <w:r w:rsidR="005C671B" w:rsidRPr="00B27A29">
        <w:rPr>
          <w:color w:val="000000"/>
          <w:sz w:val="21"/>
          <w:szCs w:val="21"/>
          <w:shd w:val="clear" w:color="auto" w:fill="FFFFFF"/>
        </w:rPr>
        <w:t>投资本基金情况</w:t>
      </w:r>
    </w:p>
    <w:p w14:paraId="5287805F" w14:textId="77777777"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14:paraId="3354AFE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4D602500"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2ED004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6930184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(FOF)A</w:t>
            </w:r>
          </w:p>
        </w:tc>
        <w:tc>
          <w:tcPr>
            <w:tcW w:w="2693" w:type="dxa"/>
            <w:tcBorders>
              <w:top w:val="single" w:sz="8" w:space="0" w:color="000000"/>
              <w:left w:val="single" w:sz="8" w:space="0" w:color="000000"/>
              <w:bottom w:val="single" w:sz="8" w:space="0" w:color="000000"/>
              <w:right w:val="single" w:sz="8" w:space="0" w:color="000000"/>
            </w:tcBorders>
            <w:vAlign w:val="center"/>
          </w:tcPr>
          <w:p w14:paraId="751F508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(FOF)C</w:t>
            </w:r>
          </w:p>
        </w:tc>
      </w:tr>
      <w:tr w:rsidR="005E6DF3" w:rsidRPr="00B27A29" w14:paraId="34271BD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C785D6B"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0A4CBB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10,000,388.89</w:t>
            </w:r>
          </w:p>
        </w:tc>
        <w:tc>
          <w:tcPr>
            <w:tcW w:w="2693" w:type="dxa"/>
            <w:tcBorders>
              <w:top w:val="single" w:sz="8" w:space="0" w:color="000000"/>
              <w:left w:val="single" w:sz="8" w:space="0" w:color="000000"/>
              <w:bottom w:val="single" w:sz="8" w:space="0" w:color="000000"/>
              <w:right w:val="single" w:sz="8" w:space="0" w:color="000000"/>
            </w:tcBorders>
            <w:vAlign w:val="center"/>
          </w:tcPr>
          <w:p w14:paraId="3D279FB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162B4C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B636084"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E7A9341"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0F6FDC4A"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57988922"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2BE5BCF"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BD4F76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6424172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77FB11E5"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1D1BB04"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6003DE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10,000,388.89</w:t>
            </w:r>
          </w:p>
        </w:tc>
        <w:tc>
          <w:tcPr>
            <w:tcW w:w="2693" w:type="dxa"/>
            <w:tcBorders>
              <w:top w:val="single" w:sz="8" w:space="0" w:color="000000"/>
              <w:left w:val="single" w:sz="8" w:space="0" w:color="000000"/>
              <w:bottom w:val="single" w:sz="8" w:space="0" w:color="000000"/>
              <w:right w:val="single" w:sz="8" w:space="0" w:color="000000"/>
            </w:tcBorders>
            <w:vAlign w:val="center"/>
          </w:tcPr>
          <w:p w14:paraId="4252A7C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9DB7A28"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5EA7C84"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3FB7DDBF"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56.31</w:t>
            </w:r>
          </w:p>
        </w:tc>
        <w:tc>
          <w:tcPr>
            <w:tcW w:w="2693" w:type="dxa"/>
            <w:tcBorders>
              <w:top w:val="single" w:sz="8" w:space="0" w:color="000000"/>
              <w:left w:val="single" w:sz="8" w:space="0" w:color="000000"/>
              <w:bottom w:val="single" w:sz="8" w:space="0" w:color="000000"/>
              <w:right w:val="single" w:sz="8" w:space="0" w:color="000000"/>
            </w:tcBorders>
            <w:vAlign w:val="center"/>
          </w:tcPr>
          <w:p w14:paraId="0BC2C3BA"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03EA243B"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8.2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487C9AC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无。</w:t>
      </w:r>
    </w:p>
    <w:p w14:paraId="6F4B096D" w14:textId="77777777" w:rsidR="005E6DF3" w:rsidRPr="00B27A29" w:rsidRDefault="005C671B">
      <w:pPr>
        <w:pStyle w:val="1"/>
        <w:spacing w:beforeLines="100" w:before="312" w:afterLines="100" w:after="312" w:line="360" w:lineRule="auto"/>
        <w:jc w:val="center"/>
        <w:rPr>
          <w:rFonts w:eastAsiaTheme="minorEastAsia"/>
          <w:b w:val="0"/>
          <w:color w:val="000000" w:themeColor="text1"/>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报告期末发起</w:t>
      </w:r>
      <w:proofErr w:type="gramStart"/>
      <w:r w:rsidRPr="00B27A29">
        <w:rPr>
          <w:rFonts w:eastAsiaTheme="minorEastAsia"/>
          <w:color w:val="000000" w:themeColor="text1"/>
          <w:kern w:val="0"/>
          <w:sz w:val="21"/>
          <w:szCs w:val="21"/>
        </w:rPr>
        <w:t>式基金</w:t>
      </w:r>
      <w:proofErr w:type="gramEnd"/>
      <w:r w:rsidRPr="00B27A29">
        <w:rPr>
          <w:rFonts w:eastAsiaTheme="minorEastAsia"/>
          <w:color w:val="000000" w:themeColor="text1"/>
          <w:kern w:val="0"/>
          <w:sz w:val="21"/>
          <w:szCs w:val="21"/>
        </w:rPr>
        <w:t>发起资金持有份额情况</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5E6DF3" w:rsidRPr="00B27A29" w14:paraId="755773E4" w14:textId="77777777">
        <w:trPr>
          <w:trHeight w:val="543"/>
        </w:trPr>
        <w:tc>
          <w:tcPr>
            <w:tcW w:w="2391" w:type="dxa"/>
            <w:tcBorders>
              <w:top w:val="single" w:sz="4" w:space="0" w:color="auto"/>
              <w:left w:val="single" w:sz="4" w:space="0" w:color="auto"/>
              <w:bottom w:val="single" w:sz="4" w:space="0" w:color="auto"/>
              <w:right w:val="single" w:sz="4" w:space="0" w:color="auto"/>
            </w:tcBorders>
            <w:vAlign w:val="center"/>
          </w:tcPr>
          <w:p w14:paraId="2CB596D5" w14:textId="77777777"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t>项目</w:t>
            </w:r>
          </w:p>
        </w:tc>
        <w:tc>
          <w:tcPr>
            <w:tcW w:w="1157" w:type="dxa"/>
            <w:tcBorders>
              <w:top w:val="single" w:sz="4" w:space="0" w:color="auto"/>
              <w:left w:val="single" w:sz="4" w:space="0" w:color="auto"/>
              <w:bottom w:val="single" w:sz="4" w:space="0" w:color="auto"/>
              <w:right w:val="single" w:sz="4" w:space="0" w:color="auto"/>
            </w:tcBorders>
            <w:vAlign w:val="center"/>
          </w:tcPr>
          <w:p w14:paraId="4D682326"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持有份额总数</w:t>
            </w:r>
          </w:p>
        </w:tc>
        <w:tc>
          <w:tcPr>
            <w:tcW w:w="1314" w:type="dxa"/>
            <w:tcBorders>
              <w:top w:val="single" w:sz="4" w:space="0" w:color="auto"/>
              <w:left w:val="single" w:sz="4" w:space="0" w:color="auto"/>
              <w:bottom w:val="single" w:sz="4" w:space="0" w:color="auto"/>
              <w:right w:val="single" w:sz="4" w:space="0" w:color="auto"/>
            </w:tcBorders>
            <w:vAlign w:val="center"/>
          </w:tcPr>
          <w:p w14:paraId="2F19445E"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tcPr>
          <w:p w14:paraId="7760A2A3"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发起份额总数</w:t>
            </w:r>
          </w:p>
        </w:tc>
        <w:tc>
          <w:tcPr>
            <w:tcW w:w="1458" w:type="dxa"/>
            <w:tcBorders>
              <w:top w:val="single" w:sz="4" w:space="0" w:color="auto"/>
              <w:left w:val="single" w:sz="4" w:space="0" w:color="auto"/>
              <w:bottom w:val="single" w:sz="4" w:space="0" w:color="auto"/>
              <w:right w:val="single" w:sz="4" w:space="0" w:color="auto"/>
            </w:tcBorders>
            <w:vAlign w:val="center"/>
          </w:tcPr>
          <w:p w14:paraId="514C34E9"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tcPr>
          <w:p w14:paraId="7396A57C" w14:textId="77777777"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t>发起份额承诺持有期限</w:t>
            </w:r>
          </w:p>
        </w:tc>
      </w:tr>
      <w:tr w:rsidR="005E6DF3" w:rsidRPr="00B27A29" w14:paraId="4BB3D61E" w14:textId="77777777">
        <w:tc>
          <w:tcPr>
            <w:tcW w:w="2391" w:type="dxa"/>
            <w:tcBorders>
              <w:top w:val="single" w:sz="4" w:space="0" w:color="auto"/>
              <w:left w:val="single" w:sz="4" w:space="0" w:color="auto"/>
              <w:bottom w:val="single" w:sz="4" w:space="0" w:color="auto"/>
              <w:right w:val="single" w:sz="4" w:space="0" w:color="auto"/>
            </w:tcBorders>
            <w:vAlign w:val="center"/>
          </w:tcPr>
          <w:p w14:paraId="3705D6C2"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w:t>
            </w:r>
            <w:proofErr w:type="gramStart"/>
            <w:r w:rsidRPr="00B27A29">
              <w:rPr>
                <w:rFonts w:eastAsiaTheme="minorEastAsia"/>
                <w:color w:val="000000" w:themeColor="text1"/>
                <w:szCs w:val="21"/>
              </w:rPr>
              <w:t>固有资金</w:t>
            </w:r>
            <w:proofErr w:type="gramEnd"/>
          </w:p>
        </w:tc>
        <w:tc>
          <w:tcPr>
            <w:tcW w:w="1157" w:type="dxa"/>
            <w:tcBorders>
              <w:top w:val="single" w:sz="4" w:space="0" w:color="auto"/>
              <w:left w:val="single" w:sz="4" w:space="0" w:color="auto"/>
              <w:bottom w:val="single" w:sz="4" w:space="0" w:color="auto"/>
              <w:right w:val="single" w:sz="4" w:space="0" w:color="auto"/>
            </w:tcBorders>
            <w:vAlign w:val="center"/>
          </w:tcPr>
          <w:p w14:paraId="760C9DBA"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10,000,388.89</w:t>
            </w:r>
          </w:p>
        </w:tc>
        <w:tc>
          <w:tcPr>
            <w:tcW w:w="1314" w:type="dxa"/>
            <w:tcBorders>
              <w:top w:val="single" w:sz="4" w:space="0" w:color="auto"/>
              <w:left w:val="single" w:sz="4" w:space="0" w:color="auto"/>
              <w:bottom w:val="single" w:sz="4" w:space="0" w:color="auto"/>
              <w:right w:val="single" w:sz="4" w:space="0" w:color="auto"/>
            </w:tcBorders>
            <w:vAlign w:val="center"/>
          </w:tcPr>
          <w:p w14:paraId="5D0BCCD3"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56.31%</w:t>
            </w:r>
          </w:p>
        </w:tc>
        <w:tc>
          <w:tcPr>
            <w:tcW w:w="1065" w:type="dxa"/>
            <w:tcBorders>
              <w:top w:val="single" w:sz="4" w:space="0" w:color="auto"/>
              <w:left w:val="single" w:sz="4" w:space="0" w:color="auto"/>
              <w:bottom w:val="single" w:sz="4" w:space="0" w:color="auto"/>
              <w:right w:val="single" w:sz="4" w:space="0" w:color="auto"/>
            </w:tcBorders>
            <w:vAlign w:val="center"/>
          </w:tcPr>
          <w:p w14:paraId="28BD95FE"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10,000,388.89</w:t>
            </w:r>
          </w:p>
        </w:tc>
        <w:tc>
          <w:tcPr>
            <w:tcW w:w="1458" w:type="dxa"/>
            <w:tcBorders>
              <w:top w:val="single" w:sz="4" w:space="0" w:color="auto"/>
              <w:left w:val="single" w:sz="4" w:space="0" w:color="auto"/>
              <w:bottom w:val="single" w:sz="4" w:space="0" w:color="auto"/>
              <w:right w:val="single" w:sz="4" w:space="0" w:color="auto"/>
            </w:tcBorders>
            <w:vAlign w:val="center"/>
          </w:tcPr>
          <w:p w14:paraId="0C2FF4DD"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56.31%</w:t>
            </w:r>
          </w:p>
        </w:tc>
        <w:tc>
          <w:tcPr>
            <w:tcW w:w="1495" w:type="dxa"/>
            <w:tcBorders>
              <w:top w:val="single" w:sz="4" w:space="0" w:color="auto"/>
              <w:left w:val="single" w:sz="4" w:space="0" w:color="auto"/>
              <w:bottom w:val="single" w:sz="4" w:space="0" w:color="auto"/>
              <w:right w:val="single" w:sz="4" w:space="0" w:color="auto"/>
            </w:tcBorders>
            <w:vAlign w:val="center"/>
          </w:tcPr>
          <w:p w14:paraId="26D16F9E"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r w:rsidR="005E6DF3" w:rsidRPr="00B27A29" w14:paraId="532EA082" w14:textId="77777777">
        <w:trPr>
          <w:trHeight w:val="790"/>
        </w:trPr>
        <w:tc>
          <w:tcPr>
            <w:tcW w:w="2391" w:type="dxa"/>
            <w:tcBorders>
              <w:top w:val="single" w:sz="4" w:space="0" w:color="auto"/>
              <w:left w:val="single" w:sz="4" w:space="0" w:color="auto"/>
              <w:bottom w:val="single" w:sz="4" w:space="0" w:color="auto"/>
              <w:right w:val="single" w:sz="4" w:space="0" w:color="auto"/>
            </w:tcBorders>
            <w:vAlign w:val="center"/>
          </w:tcPr>
          <w:p w14:paraId="4D2A0EF2"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tcPr>
          <w:p w14:paraId="618C2FC8"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5A11EBA3"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7C89C033"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4B9F6B9F"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3DF09FC8"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9F4A12D" w14:textId="77777777">
        <w:tc>
          <w:tcPr>
            <w:tcW w:w="2391" w:type="dxa"/>
            <w:tcBorders>
              <w:top w:val="single" w:sz="4" w:space="0" w:color="auto"/>
              <w:left w:val="single" w:sz="4" w:space="0" w:color="auto"/>
              <w:bottom w:val="single" w:sz="4" w:space="0" w:color="auto"/>
              <w:right w:val="single" w:sz="4" w:space="0" w:color="auto"/>
            </w:tcBorders>
            <w:vAlign w:val="center"/>
          </w:tcPr>
          <w:p w14:paraId="3ED087CC"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tcPr>
          <w:p w14:paraId="60F67E84"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6B606CE3"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6D3E1F9F"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03500AFB"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30C1E82C"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E315CD6" w14:textId="77777777">
        <w:tc>
          <w:tcPr>
            <w:tcW w:w="2391" w:type="dxa"/>
            <w:tcBorders>
              <w:top w:val="single" w:sz="4" w:space="0" w:color="auto"/>
              <w:left w:val="single" w:sz="4" w:space="0" w:color="auto"/>
              <w:bottom w:val="single" w:sz="4" w:space="0" w:color="auto"/>
              <w:right w:val="single" w:sz="4" w:space="0" w:color="auto"/>
            </w:tcBorders>
            <w:vAlign w:val="center"/>
          </w:tcPr>
          <w:p w14:paraId="58D806E0"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w:t>
            </w:r>
            <w:proofErr w:type="gramStart"/>
            <w:r w:rsidRPr="00B27A29">
              <w:rPr>
                <w:rFonts w:eastAsiaTheme="minorEastAsia"/>
                <w:color w:val="000000" w:themeColor="text1"/>
                <w:szCs w:val="21"/>
              </w:rPr>
              <w:t>人股东</w:t>
            </w:r>
            <w:proofErr w:type="gramEnd"/>
          </w:p>
        </w:tc>
        <w:tc>
          <w:tcPr>
            <w:tcW w:w="1157" w:type="dxa"/>
            <w:tcBorders>
              <w:top w:val="single" w:sz="4" w:space="0" w:color="auto"/>
              <w:left w:val="single" w:sz="4" w:space="0" w:color="auto"/>
              <w:bottom w:val="single" w:sz="4" w:space="0" w:color="auto"/>
              <w:right w:val="single" w:sz="4" w:space="0" w:color="auto"/>
            </w:tcBorders>
            <w:vAlign w:val="center"/>
          </w:tcPr>
          <w:p w14:paraId="728C9CCF"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17689E73"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23934EF6"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6548FB26"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3BD7BB18"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6BCC0FC" w14:textId="77777777">
        <w:tc>
          <w:tcPr>
            <w:tcW w:w="2391" w:type="dxa"/>
            <w:tcBorders>
              <w:top w:val="single" w:sz="4" w:space="0" w:color="auto"/>
              <w:left w:val="single" w:sz="4" w:space="0" w:color="auto"/>
              <w:bottom w:val="single" w:sz="4" w:space="0" w:color="auto"/>
              <w:right w:val="single" w:sz="4" w:space="0" w:color="auto"/>
            </w:tcBorders>
            <w:vAlign w:val="center"/>
          </w:tcPr>
          <w:p w14:paraId="26C364C5"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其他</w:t>
            </w:r>
          </w:p>
        </w:tc>
        <w:tc>
          <w:tcPr>
            <w:tcW w:w="1157" w:type="dxa"/>
            <w:tcBorders>
              <w:top w:val="single" w:sz="4" w:space="0" w:color="auto"/>
              <w:left w:val="single" w:sz="4" w:space="0" w:color="auto"/>
              <w:bottom w:val="single" w:sz="4" w:space="0" w:color="auto"/>
              <w:right w:val="single" w:sz="4" w:space="0" w:color="auto"/>
            </w:tcBorders>
            <w:vAlign w:val="center"/>
          </w:tcPr>
          <w:p w14:paraId="30FDAA0A"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0E711E9F"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24B07D33"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21BFD34A"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5719757B"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5A20E3C" w14:textId="77777777">
        <w:tc>
          <w:tcPr>
            <w:tcW w:w="2391" w:type="dxa"/>
            <w:tcBorders>
              <w:top w:val="single" w:sz="4" w:space="0" w:color="auto"/>
              <w:left w:val="single" w:sz="4" w:space="0" w:color="auto"/>
              <w:bottom w:val="single" w:sz="4" w:space="0" w:color="auto"/>
              <w:right w:val="single" w:sz="4" w:space="0" w:color="auto"/>
            </w:tcBorders>
            <w:vAlign w:val="center"/>
          </w:tcPr>
          <w:p w14:paraId="12443A19"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合计</w:t>
            </w:r>
          </w:p>
        </w:tc>
        <w:tc>
          <w:tcPr>
            <w:tcW w:w="1157" w:type="dxa"/>
            <w:tcBorders>
              <w:top w:val="single" w:sz="4" w:space="0" w:color="auto"/>
              <w:left w:val="single" w:sz="4" w:space="0" w:color="auto"/>
              <w:bottom w:val="single" w:sz="4" w:space="0" w:color="auto"/>
              <w:right w:val="single" w:sz="4" w:space="0" w:color="auto"/>
            </w:tcBorders>
            <w:vAlign w:val="center"/>
          </w:tcPr>
          <w:p w14:paraId="5E758D8C"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10,000,388.89</w:t>
            </w:r>
          </w:p>
        </w:tc>
        <w:tc>
          <w:tcPr>
            <w:tcW w:w="1314" w:type="dxa"/>
            <w:tcBorders>
              <w:top w:val="single" w:sz="4" w:space="0" w:color="auto"/>
              <w:left w:val="single" w:sz="4" w:space="0" w:color="auto"/>
              <w:bottom w:val="single" w:sz="4" w:space="0" w:color="auto"/>
              <w:right w:val="single" w:sz="4" w:space="0" w:color="auto"/>
            </w:tcBorders>
            <w:vAlign w:val="center"/>
          </w:tcPr>
          <w:p w14:paraId="5EC4241A"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56.31%</w:t>
            </w:r>
          </w:p>
        </w:tc>
        <w:tc>
          <w:tcPr>
            <w:tcW w:w="1065" w:type="dxa"/>
            <w:tcBorders>
              <w:top w:val="single" w:sz="4" w:space="0" w:color="auto"/>
              <w:left w:val="single" w:sz="4" w:space="0" w:color="auto"/>
              <w:bottom w:val="single" w:sz="4" w:space="0" w:color="auto"/>
              <w:right w:val="single" w:sz="4" w:space="0" w:color="auto"/>
            </w:tcBorders>
            <w:vAlign w:val="center"/>
          </w:tcPr>
          <w:p w14:paraId="25A9D708"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10,000,388.89</w:t>
            </w:r>
          </w:p>
        </w:tc>
        <w:tc>
          <w:tcPr>
            <w:tcW w:w="1458" w:type="dxa"/>
            <w:tcBorders>
              <w:top w:val="single" w:sz="4" w:space="0" w:color="auto"/>
              <w:left w:val="single" w:sz="4" w:space="0" w:color="auto"/>
              <w:bottom w:val="single" w:sz="4" w:space="0" w:color="auto"/>
              <w:right w:val="single" w:sz="4" w:space="0" w:color="auto"/>
            </w:tcBorders>
            <w:vAlign w:val="center"/>
          </w:tcPr>
          <w:p w14:paraId="7FAB22B9"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56.31%</w:t>
            </w:r>
          </w:p>
        </w:tc>
        <w:tc>
          <w:tcPr>
            <w:tcW w:w="1495" w:type="dxa"/>
            <w:tcBorders>
              <w:top w:val="single" w:sz="4" w:space="0" w:color="auto"/>
              <w:left w:val="single" w:sz="4" w:space="0" w:color="auto"/>
              <w:bottom w:val="single" w:sz="4" w:space="0" w:color="auto"/>
              <w:right w:val="single" w:sz="4" w:space="0" w:color="auto"/>
            </w:tcBorders>
            <w:vAlign w:val="center"/>
          </w:tcPr>
          <w:p w14:paraId="636004B9"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bl>
    <w:p w14:paraId="65091C9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§10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影响投资者决策的其他重要信息</w:t>
      </w:r>
    </w:p>
    <w:p w14:paraId="299BA6F3"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10.1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3CA535FC" w14:textId="77777777">
        <w:tc>
          <w:tcPr>
            <w:tcW w:w="993" w:type="dxa"/>
            <w:vMerge w:val="restart"/>
            <w:vAlign w:val="center"/>
          </w:tcPr>
          <w:p w14:paraId="5360920A"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3ACF7AB3"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44A3028A"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420E9731" w14:textId="77777777">
        <w:tc>
          <w:tcPr>
            <w:tcW w:w="993" w:type="dxa"/>
            <w:vMerge/>
            <w:vAlign w:val="center"/>
          </w:tcPr>
          <w:p w14:paraId="2914D3D3"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1F0EFFE0"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1D7AED06"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0FE3BEF2"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2F21137F"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22F5B0DA"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468E5A23"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5E24BA5E"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946BC5" w14:paraId="18FC0FC1" w14:textId="77777777">
        <w:tc>
          <w:tcPr>
            <w:tcW w:w="993" w:type="dxa"/>
            <w:vAlign w:val="center"/>
          </w:tcPr>
          <w:p w14:paraId="44CB13FC" w14:textId="77777777" w:rsidR="00946BC5" w:rsidRDefault="00876CEF">
            <w:r>
              <w:rPr>
                <w:bCs/>
                <w:color w:val="000000"/>
                <w:kern w:val="0"/>
                <w:szCs w:val="21"/>
              </w:rPr>
              <w:t>机构</w:t>
            </w:r>
          </w:p>
        </w:tc>
        <w:tc>
          <w:tcPr>
            <w:tcW w:w="992" w:type="dxa"/>
            <w:vAlign w:val="center"/>
          </w:tcPr>
          <w:p w14:paraId="3DCA7494" w14:textId="77777777" w:rsidR="00946BC5" w:rsidRDefault="00876CEF">
            <w:pPr>
              <w:jc w:val="center"/>
            </w:pPr>
            <w:r>
              <w:rPr>
                <w:color w:val="000000"/>
                <w:kern w:val="0"/>
                <w:szCs w:val="21"/>
              </w:rPr>
              <w:t>1</w:t>
            </w:r>
          </w:p>
        </w:tc>
        <w:tc>
          <w:tcPr>
            <w:tcW w:w="1843" w:type="dxa"/>
            <w:vAlign w:val="center"/>
          </w:tcPr>
          <w:p w14:paraId="1AE716ED" w14:textId="77777777" w:rsidR="00946BC5" w:rsidRDefault="00876CEF">
            <w:pPr>
              <w:jc w:val="center"/>
            </w:pPr>
            <w:r>
              <w:rPr>
                <w:color w:val="000000"/>
                <w:kern w:val="0"/>
                <w:szCs w:val="21"/>
              </w:rPr>
              <w:t>20241001-20241231</w:t>
            </w:r>
          </w:p>
        </w:tc>
        <w:tc>
          <w:tcPr>
            <w:tcW w:w="851" w:type="dxa"/>
            <w:vAlign w:val="center"/>
          </w:tcPr>
          <w:p w14:paraId="2E674EAD" w14:textId="77777777" w:rsidR="00946BC5" w:rsidRDefault="00876CEF">
            <w:pPr>
              <w:jc w:val="center"/>
            </w:pPr>
            <w:r>
              <w:rPr>
                <w:color w:val="000000"/>
                <w:kern w:val="0"/>
                <w:szCs w:val="21"/>
              </w:rPr>
              <w:t>10,000,388.89</w:t>
            </w:r>
          </w:p>
        </w:tc>
        <w:tc>
          <w:tcPr>
            <w:tcW w:w="850" w:type="dxa"/>
            <w:vAlign w:val="center"/>
          </w:tcPr>
          <w:p w14:paraId="4C420EC0" w14:textId="77777777" w:rsidR="00946BC5" w:rsidRDefault="00876CEF">
            <w:pPr>
              <w:jc w:val="center"/>
            </w:pPr>
            <w:r>
              <w:rPr>
                <w:color w:val="000000"/>
                <w:kern w:val="0"/>
                <w:szCs w:val="21"/>
              </w:rPr>
              <w:t>0.00</w:t>
            </w:r>
          </w:p>
        </w:tc>
        <w:tc>
          <w:tcPr>
            <w:tcW w:w="1134" w:type="dxa"/>
            <w:vAlign w:val="center"/>
          </w:tcPr>
          <w:p w14:paraId="1D3CB5AB" w14:textId="77777777" w:rsidR="00946BC5" w:rsidRDefault="00876CEF">
            <w:pPr>
              <w:jc w:val="center"/>
            </w:pPr>
            <w:r>
              <w:rPr>
                <w:color w:val="000000"/>
                <w:kern w:val="0"/>
                <w:szCs w:val="21"/>
              </w:rPr>
              <w:t>0.00</w:t>
            </w:r>
          </w:p>
        </w:tc>
        <w:tc>
          <w:tcPr>
            <w:tcW w:w="1419" w:type="dxa"/>
            <w:vAlign w:val="center"/>
          </w:tcPr>
          <w:p w14:paraId="3D121366" w14:textId="77777777" w:rsidR="00946BC5" w:rsidRDefault="00876CEF">
            <w:pPr>
              <w:jc w:val="center"/>
            </w:pPr>
            <w:r>
              <w:rPr>
                <w:color w:val="000000"/>
                <w:kern w:val="0"/>
                <w:szCs w:val="21"/>
              </w:rPr>
              <w:t>10,000,388.89</w:t>
            </w:r>
          </w:p>
        </w:tc>
        <w:tc>
          <w:tcPr>
            <w:tcW w:w="1130" w:type="dxa"/>
            <w:vAlign w:val="center"/>
          </w:tcPr>
          <w:p w14:paraId="797F0552" w14:textId="77777777" w:rsidR="00946BC5" w:rsidRDefault="00876CEF">
            <w:pPr>
              <w:jc w:val="center"/>
            </w:pPr>
            <w:r>
              <w:rPr>
                <w:color w:val="000000"/>
                <w:kern w:val="0"/>
                <w:szCs w:val="21"/>
              </w:rPr>
              <w:t>56.31%</w:t>
            </w:r>
          </w:p>
        </w:tc>
      </w:tr>
      <w:tr w:rsidR="005E6DF3" w:rsidRPr="00B27A29" w14:paraId="0FF61894" w14:textId="77777777">
        <w:tc>
          <w:tcPr>
            <w:tcW w:w="9212" w:type="dxa"/>
            <w:gridSpan w:val="8"/>
            <w:vAlign w:val="center"/>
          </w:tcPr>
          <w:p w14:paraId="18F5276C"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44D0A8EB" w14:textId="77777777">
        <w:tc>
          <w:tcPr>
            <w:tcW w:w="9212" w:type="dxa"/>
            <w:gridSpan w:val="8"/>
            <w:vAlign w:val="center"/>
          </w:tcPr>
          <w:p w14:paraId="6F199E09"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13ED1DB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§11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14:paraId="0A997688"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11.1</w:t>
      </w:r>
      <w:r w:rsidRPr="00B27A29">
        <w:rPr>
          <w:rFonts w:eastAsiaTheme="minorEastAsia"/>
          <w:b/>
          <w:bCs/>
          <w:color w:val="000000" w:themeColor="text1"/>
          <w:kern w:val="0"/>
          <w:szCs w:val="21"/>
        </w:rPr>
        <w:t>备查文件目录</w:t>
      </w:r>
    </w:p>
    <w:p w14:paraId="3C6507B6" w14:textId="77777777" w:rsidR="00946BC5" w:rsidRDefault="00876CEF">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14:paraId="0AE5B5D3" w14:textId="77777777" w:rsidR="00946BC5" w:rsidRDefault="00876CEF">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（二）摩根双季鑫</w:t>
      </w:r>
      <w:r>
        <w:rPr>
          <w:rFonts w:eastAsiaTheme="minorEastAsia"/>
          <w:color w:val="000000" w:themeColor="text1"/>
          <w:szCs w:val="21"/>
        </w:rPr>
        <w:t>6</w:t>
      </w:r>
      <w:r>
        <w:rPr>
          <w:rFonts w:eastAsiaTheme="minorEastAsia"/>
          <w:color w:val="000000" w:themeColor="text1"/>
          <w:szCs w:val="21"/>
        </w:rPr>
        <w:t>个月持有期债券型发起</w:t>
      </w:r>
      <w:proofErr w:type="gramStart"/>
      <w:r>
        <w:rPr>
          <w:rFonts w:eastAsiaTheme="minorEastAsia"/>
          <w:color w:val="000000" w:themeColor="text1"/>
          <w:szCs w:val="21"/>
        </w:rPr>
        <w:t>式基金</w:t>
      </w:r>
      <w:proofErr w:type="gramEnd"/>
      <w:r>
        <w:rPr>
          <w:rFonts w:eastAsiaTheme="minorEastAsia"/>
          <w:color w:val="000000" w:themeColor="text1"/>
          <w:szCs w:val="21"/>
        </w:rPr>
        <w:t>中基金</w:t>
      </w:r>
      <w:r>
        <w:rPr>
          <w:rFonts w:eastAsiaTheme="minorEastAsia"/>
          <w:color w:val="000000" w:themeColor="text1"/>
          <w:szCs w:val="21"/>
        </w:rPr>
        <w:t>(FOF)</w:t>
      </w:r>
      <w:r>
        <w:rPr>
          <w:rFonts w:eastAsiaTheme="minorEastAsia"/>
          <w:color w:val="000000" w:themeColor="text1"/>
          <w:szCs w:val="21"/>
        </w:rPr>
        <w:t>基金合同</w:t>
      </w:r>
    </w:p>
    <w:p w14:paraId="297D17ED" w14:textId="77777777" w:rsidR="00946BC5" w:rsidRDefault="00876CEF">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（三）摩根双季鑫</w:t>
      </w:r>
      <w:r>
        <w:rPr>
          <w:rFonts w:eastAsiaTheme="minorEastAsia"/>
          <w:color w:val="000000" w:themeColor="text1"/>
          <w:szCs w:val="21"/>
        </w:rPr>
        <w:t>6</w:t>
      </w:r>
      <w:r>
        <w:rPr>
          <w:rFonts w:eastAsiaTheme="minorEastAsia"/>
          <w:color w:val="000000" w:themeColor="text1"/>
          <w:szCs w:val="21"/>
        </w:rPr>
        <w:t>个月持有期债券型发起</w:t>
      </w:r>
      <w:proofErr w:type="gramStart"/>
      <w:r>
        <w:rPr>
          <w:rFonts w:eastAsiaTheme="minorEastAsia"/>
          <w:color w:val="000000" w:themeColor="text1"/>
          <w:szCs w:val="21"/>
        </w:rPr>
        <w:t>式基金</w:t>
      </w:r>
      <w:proofErr w:type="gramEnd"/>
      <w:r>
        <w:rPr>
          <w:rFonts w:eastAsiaTheme="minorEastAsia"/>
          <w:color w:val="000000" w:themeColor="text1"/>
          <w:szCs w:val="21"/>
        </w:rPr>
        <w:t>中基金</w:t>
      </w:r>
      <w:r>
        <w:rPr>
          <w:rFonts w:eastAsiaTheme="minorEastAsia"/>
          <w:color w:val="000000" w:themeColor="text1"/>
          <w:szCs w:val="21"/>
        </w:rPr>
        <w:t>(FOF)</w:t>
      </w:r>
      <w:r>
        <w:rPr>
          <w:rFonts w:eastAsiaTheme="minorEastAsia"/>
          <w:color w:val="000000" w:themeColor="text1"/>
          <w:szCs w:val="21"/>
        </w:rPr>
        <w:t>托管协议</w:t>
      </w:r>
    </w:p>
    <w:p w14:paraId="3F0BA262" w14:textId="77777777" w:rsidR="00946BC5" w:rsidRDefault="00876CE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（四）法律意见书</w:t>
      </w:r>
    </w:p>
    <w:p w14:paraId="3C6167C9" w14:textId="77777777" w:rsidR="00946BC5" w:rsidRDefault="00876CEF">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14:paraId="7FD77038" w14:textId="77777777" w:rsidR="00946BC5" w:rsidRDefault="00876CEF">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14:paraId="06F90B42" w14:textId="77777777" w:rsidR="00946BC5" w:rsidRDefault="00876CEF">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14:paraId="1B31A0A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14:paraId="59ECA039"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11.2</w:t>
      </w:r>
      <w:r w:rsidRPr="00B27A29">
        <w:rPr>
          <w:rFonts w:eastAsiaTheme="minorEastAsia"/>
          <w:b/>
          <w:bCs/>
          <w:color w:val="000000" w:themeColor="text1"/>
          <w:kern w:val="0"/>
          <w:szCs w:val="21"/>
        </w:rPr>
        <w:t>存放地点</w:t>
      </w:r>
    </w:p>
    <w:p w14:paraId="65CB931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4DD66771"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11.3</w:t>
      </w:r>
      <w:r w:rsidRPr="00B27A29">
        <w:rPr>
          <w:rFonts w:eastAsiaTheme="minorEastAsia"/>
          <w:b/>
          <w:bCs/>
          <w:color w:val="000000" w:themeColor="text1"/>
          <w:kern w:val="0"/>
          <w:szCs w:val="21"/>
        </w:rPr>
        <w:t>查阅方式</w:t>
      </w:r>
    </w:p>
    <w:p w14:paraId="354B399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21ECF9AC" w14:textId="77777777" w:rsidR="005E6DF3" w:rsidRPr="00B27A29" w:rsidRDefault="005E6DF3">
      <w:pPr>
        <w:spacing w:line="360" w:lineRule="auto"/>
        <w:ind w:left="840"/>
        <w:jc w:val="right"/>
        <w:rPr>
          <w:rFonts w:eastAsiaTheme="minorEastAsia"/>
          <w:color w:val="000000" w:themeColor="text1"/>
          <w:szCs w:val="21"/>
        </w:rPr>
      </w:pPr>
    </w:p>
    <w:p w14:paraId="1B330E95" w14:textId="77777777" w:rsidR="005E6DF3" w:rsidRPr="00B27A29" w:rsidRDefault="005E6DF3">
      <w:pPr>
        <w:spacing w:line="360" w:lineRule="auto"/>
        <w:ind w:left="840"/>
        <w:jc w:val="center"/>
        <w:rPr>
          <w:rFonts w:eastAsiaTheme="minorEastAsia"/>
          <w:b/>
          <w:color w:val="000000" w:themeColor="text1"/>
          <w:szCs w:val="21"/>
        </w:rPr>
      </w:pPr>
    </w:p>
    <w:p w14:paraId="10C32E77"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2ADA57E2"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DCACB" w14:textId="77777777" w:rsidR="00045D1A" w:rsidRDefault="00045D1A">
      <w:r>
        <w:separator/>
      </w:r>
    </w:p>
  </w:endnote>
  <w:endnote w:type="continuationSeparator" w:id="0">
    <w:p w14:paraId="5A6ABD1D" w14:textId="77777777" w:rsidR="00045D1A" w:rsidRDefault="000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3D2D"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45886">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C45886">
      <w:rPr>
        <w:noProof/>
        <w:kern w:val="0"/>
        <w:szCs w:val="21"/>
      </w:rPr>
      <w:t>30</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2440"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1786F10"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6B15"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45886">
      <w:rPr>
        <w:rStyle w:val="af6"/>
        <w:noProof/>
      </w:rPr>
      <w:t>25</w:t>
    </w:r>
    <w:r>
      <w:rPr>
        <w:rStyle w:val="af6"/>
      </w:rPr>
      <w:fldChar w:fldCharType="end"/>
    </w:r>
  </w:p>
  <w:p w14:paraId="01D2BCF0"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2BF22" w14:textId="77777777" w:rsidR="00045D1A" w:rsidRDefault="00045D1A">
      <w:r>
        <w:separator/>
      </w:r>
    </w:p>
  </w:footnote>
  <w:footnote w:type="continuationSeparator" w:id="0">
    <w:p w14:paraId="1344236B" w14:textId="77777777" w:rsidR="00045D1A" w:rsidRDefault="0004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4834" w14:textId="77777777" w:rsidR="005C671B" w:rsidRDefault="005C671B">
    <w:pPr>
      <w:pStyle w:val="af"/>
      <w:pBdr>
        <w:bottom w:val="single" w:sz="6" w:space="0" w:color="auto"/>
      </w:pBdr>
      <w:jc w:val="right"/>
    </w:pPr>
    <w:r>
      <w:t>摩根双季鑫</w:t>
    </w:r>
    <w:r>
      <w:t>6</w:t>
    </w:r>
    <w:r>
      <w:t>个月持有期债券型发起</w:t>
    </w:r>
    <w:proofErr w:type="gramStart"/>
    <w:r>
      <w:t>式基金</w:t>
    </w:r>
    <w:proofErr w:type="gramEnd"/>
    <w:r>
      <w:t>中基金</w:t>
    </w:r>
    <w:r>
      <w:t>(FOF)2024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5D1A"/>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2C84"/>
    <w:rsid w:val="003570C8"/>
    <w:rsid w:val="00360D91"/>
    <w:rsid w:val="00367770"/>
    <w:rsid w:val="00370BEA"/>
    <w:rsid w:val="003710B5"/>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4F4B"/>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6CEF"/>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46BC5"/>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1100"/>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49A"/>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2EB"/>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1290F8"/>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0B1E6-01B0-4820-BC37-348B8868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36</TotalTime>
  <Pages>16</Pages>
  <Words>1368</Words>
  <Characters>7800</Characters>
  <Application>Microsoft Office Word</Application>
  <DocSecurity>0</DocSecurity>
  <Lines>65</Lines>
  <Paragraphs>18</Paragraphs>
  <ScaleCrop>false</ScaleCrop>
  <Company>TRT. Ltd. Co.</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227</cp:revision>
  <cp:lastPrinted>2007-07-19T00:46:00Z</cp:lastPrinted>
  <dcterms:created xsi:type="dcterms:W3CDTF">2013-06-21T06:56:00Z</dcterms:created>
  <dcterms:modified xsi:type="dcterms:W3CDTF">2025-01-21T06:34:00Z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