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6" w:rsidRPr="00A3398F" w:rsidRDefault="00397616" w:rsidP="00397616">
      <w:pPr>
        <w:autoSpaceDE w:val="0"/>
        <w:autoSpaceDN w:val="0"/>
        <w:adjustRightInd w:val="0"/>
        <w:spacing w:line="360" w:lineRule="auto"/>
        <w:jc w:val="left"/>
        <w:rPr>
          <w:rFonts w:eastAsiaTheme="minorEastAsia" w:hint="eastAsia"/>
          <w:color w:val="000000" w:themeColor="text1"/>
          <w:kern w:val="0"/>
          <w:sz w:val="24"/>
        </w:rPr>
      </w:pPr>
      <w:bookmarkStart w:id="0" w:name="_GoBack"/>
      <w:bookmarkEnd w:id="0"/>
    </w:p>
    <w:p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rsidR="00F22F00" w:rsidRPr="00A3398F" w:rsidRDefault="00F22F00" w:rsidP="00F22F00">
      <w:pPr>
        <w:autoSpaceDE w:val="0"/>
        <w:autoSpaceDN w:val="0"/>
        <w:adjustRightInd w:val="0"/>
        <w:spacing w:line="360" w:lineRule="auto"/>
        <w:jc w:val="left"/>
        <w:rPr>
          <w:rFonts w:eastAsiaTheme="minorEastAsia"/>
          <w:color w:val="000000" w:themeColor="text1"/>
          <w:kern w:val="0"/>
          <w:sz w:val="24"/>
        </w:rPr>
      </w:pPr>
    </w:p>
    <w:p w:rsidR="00F22F00" w:rsidRPr="00A3398F" w:rsidRDefault="00F22F00" w:rsidP="00506D57">
      <w:pPr>
        <w:spacing w:line="360" w:lineRule="auto"/>
        <w:jc w:val="center"/>
        <w:rPr>
          <w:rFonts w:eastAsiaTheme="minorEastAsia"/>
          <w:b/>
          <w:color w:val="000000" w:themeColor="text1"/>
          <w:sz w:val="36"/>
          <w:szCs w:val="36"/>
        </w:rPr>
      </w:pPr>
      <w:r w:rsidRPr="00A3398F">
        <w:rPr>
          <w:rFonts w:eastAsiaTheme="minorEastAsia"/>
          <w:b/>
          <w:color w:val="000000" w:themeColor="text1"/>
          <w:sz w:val="36"/>
          <w:szCs w:val="36"/>
        </w:rPr>
        <w:t>摩根恒生科技交易型开放式指数证券投资基金发起式联接基金</w:t>
      </w:r>
      <w:r w:rsidRPr="00A3398F">
        <w:rPr>
          <w:rFonts w:eastAsiaTheme="minorEastAsia"/>
          <w:b/>
          <w:color w:val="000000" w:themeColor="text1"/>
          <w:sz w:val="36"/>
          <w:szCs w:val="36"/>
        </w:rPr>
        <w:t>(QDII)</w:t>
      </w:r>
    </w:p>
    <w:p w:rsidR="00F22F00" w:rsidRPr="00A3398F" w:rsidRDefault="00F22F00" w:rsidP="00506D57">
      <w:pPr>
        <w:spacing w:line="360" w:lineRule="auto"/>
        <w:jc w:val="center"/>
        <w:rPr>
          <w:rFonts w:eastAsiaTheme="minorEastAsia"/>
          <w:b/>
          <w:color w:val="000000" w:themeColor="text1"/>
          <w:sz w:val="36"/>
          <w:szCs w:val="36"/>
        </w:rPr>
      </w:pPr>
      <w:r w:rsidRPr="00A3398F">
        <w:rPr>
          <w:rFonts w:eastAsiaTheme="minorEastAsia"/>
          <w:b/>
          <w:color w:val="000000" w:themeColor="text1"/>
          <w:sz w:val="36"/>
          <w:szCs w:val="36"/>
        </w:rPr>
        <w:t>2023</w:t>
      </w:r>
      <w:r w:rsidRPr="00A3398F">
        <w:rPr>
          <w:rFonts w:eastAsiaTheme="minorEastAsia"/>
          <w:b/>
          <w:color w:val="000000" w:themeColor="text1"/>
          <w:sz w:val="36"/>
          <w:szCs w:val="36"/>
        </w:rPr>
        <w:t>年第</w:t>
      </w:r>
      <w:r w:rsidRPr="00A3398F">
        <w:rPr>
          <w:rFonts w:eastAsiaTheme="minorEastAsia"/>
          <w:b/>
          <w:color w:val="000000" w:themeColor="text1"/>
          <w:sz w:val="36"/>
          <w:szCs w:val="36"/>
        </w:rPr>
        <w:t>4</w:t>
      </w:r>
      <w:r w:rsidRPr="00A3398F">
        <w:rPr>
          <w:rFonts w:eastAsiaTheme="minorEastAsia"/>
          <w:b/>
          <w:color w:val="000000" w:themeColor="text1"/>
          <w:sz w:val="36"/>
          <w:szCs w:val="36"/>
        </w:rPr>
        <w:t>季度报告</w:t>
      </w:r>
    </w:p>
    <w:p w:rsidR="00397616" w:rsidRPr="00A3398F" w:rsidRDefault="00623556" w:rsidP="00506D57">
      <w:pPr>
        <w:spacing w:line="360" w:lineRule="auto"/>
        <w:jc w:val="center"/>
        <w:rPr>
          <w:rFonts w:eastAsiaTheme="minorEastAsia"/>
          <w:b/>
          <w:color w:val="000000" w:themeColor="text1"/>
          <w:sz w:val="24"/>
        </w:rPr>
      </w:pPr>
      <w:r w:rsidRPr="00A3398F">
        <w:rPr>
          <w:rFonts w:eastAsiaTheme="minorEastAsia"/>
          <w:b/>
          <w:color w:val="000000" w:themeColor="text1"/>
          <w:sz w:val="24"/>
        </w:rPr>
        <w:t>2023</w:t>
      </w:r>
      <w:r w:rsidRPr="00A3398F">
        <w:rPr>
          <w:rFonts w:eastAsiaTheme="minorEastAsia"/>
          <w:b/>
          <w:color w:val="000000" w:themeColor="text1"/>
          <w:sz w:val="24"/>
        </w:rPr>
        <w:t>年</w:t>
      </w:r>
      <w:r w:rsidRPr="00A3398F">
        <w:rPr>
          <w:rFonts w:eastAsiaTheme="minorEastAsia"/>
          <w:b/>
          <w:color w:val="000000" w:themeColor="text1"/>
          <w:sz w:val="24"/>
        </w:rPr>
        <w:t>12</w:t>
      </w:r>
      <w:r w:rsidRPr="00A3398F">
        <w:rPr>
          <w:rFonts w:eastAsiaTheme="minorEastAsia"/>
          <w:b/>
          <w:color w:val="000000" w:themeColor="text1"/>
          <w:sz w:val="24"/>
        </w:rPr>
        <w:t>月</w:t>
      </w:r>
      <w:r w:rsidRPr="00A3398F">
        <w:rPr>
          <w:rFonts w:eastAsiaTheme="minorEastAsia"/>
          <w:b/>
          <w:color w:val="000000" w:themeColor="text1"/>
          <w:sz w:val="24"/>
        </w:rPr>
        <w:t>31</w:t>
      </w:r>
      <w:r w:rsidRPr="00A3398F">
        <w:rPr>
          <w:rFonts w:eastAsiaTheme="minorEastAsia"/>
          <w:b/>
          <w:color w:val="000000" w:themeColor="text1"/>
          <w:sz w:val="24"/>
        </w:rPr>
        <w:t>日</w:t>
      </w: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826B12">
      <w:pPr>
        <w:spacing w:line="288" w:lineRule="auto"/>
        <w:ind w:firstLineChars="900" w:firstLine="2168"/>
        <w:rPr>
          <w:rFonts w:eastAsiaTheme="minorEastAsia"/>
          <w:b/>
          <w:color w:val="000000" w:themeColor="text1"/>
          <w:sz w:val="24"/>
        </w:rPr>
      </w:pPr>
    </w:p>
    <w:p w:rsidR="007D1292" w:rsidRPr="00A3398F" w:rsidRDefault="007D1292" w:rsidP="00506D57">
      <w:pPr>
        <w:spacing w:line="360" w:lineRule="auto"/>
        <w:ind w:firstLineChars="900" w:firstLine="2168"/>
        <w:rPr>
          <w:rFonts w:eastAsiaTheme="minorEastAsia"/>
          <w:b/>
          <w:color w:val="000000" w:themeColor="text1"/>
          <w:sz w:val="24"/>
        </w:rPr>
      </w:pPr>
      <w:r w:rsidRPr="00A3398F">
        <w:rPr>
          <w:rFonts w:eastAsiaTheme="minorEastAsia"/>
          <w:b/>
          <w:color w:val="000000" w:themeColor="text1"/>
          <w:sz w:val="24"/>
        </w:rPr>
        <w:t>基金管理人：摩根基金管理（中国）有限公司</w:t>
      </w:r>
    </w:p>
    <w:p w:rsidR="007D1292" w:rsidRPr="00A3398F" w:rsidRDefault="007D1292" w:rsidP="00506D57">
      <w:pPr>
        <w:spacing w:line="360" w:lineRule="auto"/>
        <w:ind w:firstLineChars="900" w:firstLine="2168"/>
        <w:rPr>
          <w:rFonts w:eastAsiaTheme="minorEastAsia"/>
          <w:b/>
          <w:color w:val="000000" w:themeColor="text1"/>
          <w:sz w:val="24"/>
        </w:rPr>
      </w:pPr>
      <w:r w:rsidRPr="00A3398F">
        <w:rPr>
          <w:rFonts w:eastAsiaTheme="minorEastAsia"/>
          <w:b/>
          <w:color w:val="000000" w:themeColor="text1"/>
          <w:sz w:val="24"/>
        </w:rPr>
        <w:t>基金托管人：中国工商银行股份有限公司</w:t>
      </w:r>
    </w:p>
    <w:p w:rsidR="007D1292" w:rsidRPr="00A3398F" w:rsidRDefault="007D1292" w:rsidP="00506D57">
      <w:pPr>
        <w:spacing w:line="360" w:lineRule="auto"/>
        <w:ind w:firstLineChars="900" w:firstLine="2168"/>
        <w:rPr>
          <w:rFonts w:eastAsiaTheme="minorEastAsia"/>
          <w:b/>
          <w:color w:val="000000" w:themeColor="text1"/>
          <w:sz w:val="24"/>
        </w:rPr>
        <w:sectPr w:rsidR="007D1292" w:rsidRPr="00A3398F" w:rsidSect="00B918B8">
          <w:headerReference w:type="default" r:id="rId7"/>
          <w:footerReference w:type="default" r:id="rId8"/>
          <w:pgSz w:w="11926" w:h="15840"/>
          <w:pgMar w:top="1418" w:right="1418" w:bottom="851" w:left="1418" w:header="851" w:footer="992" w:gutter="0"/>
          <w:cols w:space="720"/>
          <w:noEndnote/>
        </w:sectPr>
      </w:pPr>
      <w:r w:rsidRPr="00A3398F">
        <w:rPr>
          <w:rFonts w:eastAsiaTheme="minorEastAsia"/>
          <w:b/>
          <w:color w:val="000000" w:themeColor="text1"/>
          <w:sz w:val="24"/>
        </w:rPr>
        <w:t>报告送出日期：</w:t>
      </w:r>
      <w:r w:rsidR="00CB44DE" w:rsidRPr="00A3398F">
        <w:rPr>
          <w:rFonts w:eastAsiaTheme="minorEastAsia"/>
          <w:b/>
          <w:color w:val="000000" w:themeColor="text1"/>
          <w:sz w:val="24"/>
        </w:rPr>
        <w:t>二〇二四年一月二十二日</w:t>
      </w:r>
    </w:p>
    <w:p w:rsidR="0076518F" w:rsidRPr="00A3398F" w:rsidRDefault="0076518F" w:rsidP="009E705F">
      <w:pPr>
        <w:pStyle w:val="1"/>
        <w:spacing w:beforeLines="100" w:before="312" w:afterLines="100" w:after="312" w:line="360" w:lineRule="auto"/>
        <w:jc w:val="center"/>
        <w:rPr>
          <w:rFonts w:eastAsiaTheme="minorEastAsia"/>
          <w:b w:val="0"/>
          <w:color w:val="000000" w:themeColor="text1"/>
          <w:kern w:val="0"/>
          <w:sz w:val="24"/>
          <w:szCs w:val="24"/>
        </w:rPr>
      </w:pPr>
      <w:r w:rsidRPr="00A3398F">
        <w:rPr>
          <w:rFonts w:eastAsiaTheme="minorEastAsia"/>
          <w:color w:val="000000" w:themeColor="text1"/>
          <w:kern w:val="0"/>
          <w:sz w:val="24"/>
          <w:szCs w:val="24"/>
        </w:rPr>
        <w:lastRenderedPageBreak/>
        <w:t xml:space="preserve">§1  </w:t>
      </w:r>
      <w:r w:rsidRPr="00A3398F">
        <w:rPr>
          <w:rFonts w:eastAsiaTheme="minorEastAsia"/>
          <w:color w:val="000000" w:themeColor="text1"/>
          <w:kern w:val="0"/>
          <w:sz w:val="24"/>
          <w:szCs w:val="24"/>
        </w:rPr>
        <w:t>重要提示</w:t>
      </w:r>
    </w:p>
    <w:p w:rsidR="0018319B" w:rsidRDefault="00EF558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18319B" w:rsidRDefault="00EF558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基金托管人中国工商银行股份有限公司根据本基金合同规定，于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18319B" w:rsidRDefault="00EF558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18319B" w:rsidRDefault="00EF558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18319B" w:rsidRDefault="00EF558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7D1292" w:rsidRPr="00A3398F" w:rsidRDefault="007D1292" w:rsidP="006669C9">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本报告期自</w:t>
      </w:r>
      <w:r w:rsidRPr="00A3398F">
        <w:rPr>
          <w:rFonts w:eastAsiaTheme="minorEastAsia"/>
          <w:color w:val="000000" w:themeColor="text1"/>
          <w:szCs w:val="21"/>
        </w:rPr>
        <w:t>2023</w:t>
      </w:r>
      <w:r w:rsidRPr="00A3398F">
        <w:rPr>
          <w:rFonts w:eastAsiaTheme="minorEastAsia"/>
          <w:color w:val="000000" w:themeColor="text1"/>
          <w:szCs w:val="21"/>
        </w:rPr>
        <w:t>年</w:t>
      </w:r>
      <w:r w:rsidRPr="00A3398F">
        <w:rPr>
          <w:rFonts w:eastAsiaTheme="minorEastAsia"/>
          <w:color w:val="000000" w:themeColor="text1"/>
          <w:szCs w:val="21"/>
        </w:rPr>
        <w:t>10</w:t>
      </w:r>
      <w:r w:rsidRPr="00A3398F">
        <w:rPr>
          <w:rFonts w:eastAsiaTheme="minorEastAsia"/>
          <w:color w:val="000000" w:themeColor="text1"/>
          <w:szCs w:val="21"/>
        </w:rPr>
        <w:t>月</w:t>
      </w:r>
      <w:r w:rsidRPr="00A3398F">
        <w:rPr>
          <w:rFonts w:eastAsiaTheme="minorEastAsia"/>
          <w:color w:val="000000" w:themeColor="text1"/>
          <w:szCs w:val="21"/>
        </w:rPr>
        <w:t>1</w:t>
      </w:r>
      <w:r w:rsidRPr="00A3398F">
        <w:rPr>
          <w:rFonts w:eastAsiaTheme="minorEastAsia"/>
          <w:color w:val="000000" w:themeColor="text1"/>
          <w:szCs w:val="21"/>
        </w:rPr>
        <w:t>日起至</w:t>
      </w:r>
      <w:r w:rsidRPr="00A3398F">
        <w:rPr>
          <w:rFonts w:eastAsiaTheme="minorEastAsia"/>
          <w:color w:val="000000" w:themeColor="text1"/>
          <w:szCs w:val="21"/>
        </w:rPr>
        <w:t>12</w:t>
      </w:r>
      <w:r w:rsidRPr="00A3398F">
        <w:rPr>
          <w:rFonts w:eastAsiaTheme="minorEastAsia"/>
          <w:color w:val="000000" w:themeColor="text1"/>
          <w:szCs w:val="21"/>
        </w:rPr>
        <w:t>月</w:t>
      </w:r>
      <w:r w:rsidRPr="00A3398F">
        <w:rPr>
          <w:rFonts w:eastAsiaTheme="minorEastAsia"/>
          <w:color w:val="000000" w:themeColor="text1"/>
          <w:szCs w:val="21"/>
        </w:rPr>
        <w:t>31</w:t>
      </w:r>
      <w:r w:rsidRPr="00A3398F">
        <w:rPr>
          <w:rFonts w:eastAsiaTheme="minorEastAsia"/>
          <w:color w:val="000000" w:themeColor="text1"/>
          <w:szCs w:val="21"/>
        </w:rPr>
        <w:t>日止。</w:t>
      </w:r>
    </w:p>
    <w:p w:rsidR="007651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§2  </w:t>
      </w:r>
      <w:r w:rsidRPr="00A3398F">
        <w:rPr>
          <w:rFonts w:eastAsiaTheme="minorEastAsia"/>
          <w:color w:val="000000" w:themeColor="text1"/>
          <w:kern w:val="0"/>
          <w:sz w:val="24"/>
          <w:szCs w:val="24"/>
        </w:rPr>
        <w:t>基金产品概况</w:t>
      </w:r>
    </w:p>
    <w:p w:rsidR="000364FB" w:rsidRPr="000364FB" w:rsidRDefault="000364FB" w:rsidP="000364FB">
      <w:pPr>
        <w:pStyle w:val="2"/>
        <w:keepNext w:val="0"/>
        <w:keepLines w:val="0"/>
        <w:spacing w:before="0" w:after="0"/>
        <w:rPr>
          <w:rFonts w:asciiTheme="minorEastAsia" w:eastAsiaTheme="minorEastAsia" w:hAnsiTheme="minorEastAsia"/>
          <w:color w:val="000000" w:themeColor="text1"/>
          <w:szCs w:val="24"/>
        </w:rPr>
      </w:pPr>
      <w:bookmarkStart w:id="1" w:name="_Toc245193810"/>
      <w:r w:rsidRPr="0077262D">
        <w:rPr>
          <w:rFonts w:asciiTheme="minorEastAsia" w:eastAsiaTheme="minorEastAsia" w:hAnsiTheme="minorEastAsia" w:hint="eastAsia"/>
          <w:color w:val="000000" w:themeColor="text1"/>
          <w:szCs w:val="24"/>
        </w:rPr>
        <w:t>2.1基金产品概况</w:t>
      </w:r>
      <w:bookmarkEnd w:id="1"/>
    </w:p>
    <w:tbl>
      <w:tblPr>
        <w:tblW w:w="84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0"/>
        <w:gridCol w:w="2780"/>
        <w:gridCol w:w="2663"/>
      </w:tblGrid>
      <w:tr w:rsidR="008277FF" w:rsidRPr="00A3398F" w:rsidTr="003376D5">
        <w:tc>
          <w:tcPr>
            <w:tcW w:w="2980" w:type="dxa"/>
            <w:vAlign w:val="center"/>
          </w:tcPr>
          <w:p w:rsidR="00363E15" w:rsidRPr="00A3398F" w:rsidRDefault="00363E15"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基金简称</w:t>
            </w:r>
          </w:p>
        </w:tc>
        <w:tc>
          <w:tcPr>
            <w:tcW w:w="5443" w:type="dxa"/>
            <w:gridSpan w:val="2"/>
            <w:vAlign w:val="center"/>
          </w:tcPr>
          <w:p w:rsidR="00363E15" w:rsidRPr="00A3398F" w:rsidRDefault="00363E15"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摩根恒生科技</w:t>
            </w:r>
            <w:r w:rsidRPr="00A3398F">
              <w:rPr>
                <w:rFonts w:eastAsiaTheme="minorEastAsia"/>
                <w:color w:val="000000" w:themeColor="text1"/>
                <w:kern w:val="0"/>
                <w:szCs w:val="21"/>
              </w:rPr>
              <w:t>ETF</w:t>
            </w:r>
            <w:r w:rsidRPr="00A3398F">
              <w:rPr>
                <w:rFonts w:eastAsiaTheme="minorEastAsia"/>
                <w:color w:val="000000" w:themeColor="text1"/>
                <w:kern w:val="0"/>
                <w:szCs w:val="21"/>
              </w:rPr>
              <w:t>发起式联接</w:t>
            </w:r>
            <w:r w:rsidRPr="00A3398F">
              <w:rPr>
                <w:rFonts w:eastAsiaTheme="minorEastAsia"/>
                <w:color w:val="000000" w:themeColor="text1"/>
                <w:kern w:val="0"/>
                <w:szCs w:val="21"/>
              </w:rPr>
              <w:t>(QDII)</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基金主代码</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018577</w:t>
            </w:r>
          </w:p>
        </w:tc>
      </w:tr>
      <w:tr w:rsidR="008277FF" w:rsidRPr="00A3398F" w:rsidTr="003376D5">
        <w:tc>
          <w:tcPr>
            <w:tcW w:w="2980" w:type="dxa"/>
            <w:vAlign w:val="center"/>
          </w:tcPr>
          <w:p w:rsidR="005837E4" w:rsidRPr="00A3398F" w:rsidRDefault="005837E4"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交易代码</w:t>
            </w:r>
          </w:p>
        </w:tc>
        <w:tc>
          <w:tcPr>
            <w:tcW w:w="5443" w:type="dxa"/>
            <w:gridSpan w:val="2"/>
            <w:vAlign w:val="center"/>
          </w:tcPr>
          <w:p w:rsidR="005837E4" w:rsidRPr="00A3398F" w:rsidRDefault="005837E4"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018577</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基金运作方式</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契约型开放式</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基金合同生效日</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2023</w:t>
            </w:r>
            <w:r w:rsidRPr="00A3398F">
              <w:rPr>
                <w:rFonts w:eastAsiaTheme="minorEastAsia"/>
                <w:color w:val="000000" w:themeColor="text1"/>
                <w:kern w:val="0"/>
                <w:szCs w:val="21"/>
              </w:rPr>
              <w:t>年</w:t>
            </w:r>
            <w:r w:rsidRPr="00A3398F">
              <w:rPr>
                <w:rFonts w:eastAsiaTheme="minorEastAsia"/>
                <w:color w:val="000000" w:themeColor="text1"/>
                <w:kern w:val="0"/>
                <w:szCs w:val="21"/>
              </w:rPr>
              <w:t>7</w:t>
            </w:r>
            <w:r w:rsidRPr="00A3398F">
              <w:rPr>
                <w:rFonts w:eastAsiaTheme="minorEastAsia"/>
                <w:color w:val="000000" w:themeColor="text1"/>
                <w:kern w:val="0"/>
                <w:szCs w:val="21"/>
              </w:rPr>
              <w:t>月</w:t>
            </w:r>
            <w:r w:rsidRPr="00A3398F">
              <w:rPr>
                <w:rFonts w:eastAsiaTheme="minorEastAsia"/>
                <w:color w:val="000000" w:themeColor="text1"/>
                <w:kern w:val="0"/>
                <w:szCs w:val="21"/>
              </w:rPr>
              <w:t>18</w:t>
            </w:r>
            <w:r w:rsidRPr="00A3398F">
              <w:rPr>
                <w:rFonts w:eastAsiaTheme="minorEastAsia"/>
                <w:color w:val="000000" w:themeColor="text1"/>
                <w:kern w:val="0"/>
                <w:szCs w:val="21"/>
              </w:rPr>
              <w:t>日</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报告期末基金份额总额</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37,880,431.09</w:t>
            </w:r>
            <w:r w:rsidRPr="00A3398F">
              <w:rPr>
                <w:rFonts w:eastAsiaTheme="minorEastAsia"/>
                <w:color w:val="000000" w:themeColor="text1"/>
                <w:kern w:val="0"/>
                <w:szCs w:val="21"/>
              </w:rPr>
              <w:t>份</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投资目标</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通过对目标</w:t>
            </w:r>
            <w:r w:rsidRPr="00A3398F">
              <w:rPr>
                <w:rFonts w:eastAsiaTheme="minorEastAsia"/>
                <w:color w:val="000000" w:themeColor="text1"/>
                <w:kern w:val="0"/>
                <w:szCs w:val="21"/>
              </w:rPr>
              <w:t>ETF</w:t>
            </w:r>
            <w:r w:rsidRPr="00A3398F">
              <w:rPr>
                <w:rFonts w:eastAsiaTheme="minorEastAsia"/>
                <w:color w:val="000000" w:themeColor="text1"/>
                <w:kern w:val="0"/>
                <w:szCs w:val="21"/>
              </w:rPr>
              <w:t>基金份额的投资，追求跟踪标的指数，获得与指数收益相似的回报。</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投资策略</w:t>
            </w:r>
          </w:p>
        </w:tc>
        <w:tc>
          <w:tcPr>
            <w:tcW w:w="5443" w:type="dxa"/>
            <w:gridSpan w:val="2"/>
            <w:vAlign w:val="center"/>
          </w:tcPr>
          <w:p w:rsidR="0018319B" w:rsidRDefault="00EF558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本基金为摩根恒生科技交易型开放式指数证券投资基金</w:t>
            </w:r>
            <w:r>
              <w:rPr>
                <w:rFonts w:eastAsiaTheme="minorEastAsia"/>
                <w:color w:val="000000" w:themeColor="text1"/>
                <w:kern w:val="0"/>
                <w:szCs w:val="21"/>
              </w:rPr>
              <w:t>(QDII)</w:t>
            </w:r>
            <w:r>
              <w:rPr>
                <w:rFonts w:eastAsiaTheme="minorEastAsia"/>
                <w:color w:val="000000" w:themeColor="text1"/>
                <w:kern w:val="0"/>
                <w:szCs w:val="21"/>
              </w:rPr>
              <w:t>的联接基金，通过将基金资产主要投资于目标</w:t>
            </w:r>
            <w:r>
              <w:rPr>
                <w:rFonts w:eastAsiaTheme="minorEastAsia"/>
                <w:color w:val="000000" w:themeColor="text1"/>
                <w:kern w:val="0"/>
                <w:szCs w:val="21"/>
              </w:rPr>
              <w:t>ETF</w:t>
            </w:r>
            <w:r>
              <w:rPr>
                <w:rFonts w:eastAsiaTheme="minorEastAsia"/>
                <w:color w:val="000000" w:themeColor="text1"/>
                <w:kern w:val="0"/>
                <w:szCs w:val="21"/>
              </w:rPr>
              <w:t>基金份额，以实现对标的指数的跟踪。本基金力争日均跟踪偏离度的绝对值不超过</w:t>
            </w:r>
            <w:r>
              <w:rPr>
                <w:rFonts w:eastAsiaTheme="minorEastAsia"/>
                <w:color w:val="000000" w:themeColor="text1"/>
                <w:kern w:val="0"/>
                <w:szCs w:val="21"/>
              </w:rPr>
              <w:t>0.35%</w:t>
            </w:r>
            <w:r>
              <w:rPr>
                <w:rFonts w:eastAsiaTheme="minorEastAsia"/>
                <w:color w:val="000000" w:themeColor="text1"/>
                <w:kern w:val="0"/>
                <w:szCs w:val="21"/>
              </w:rPr>
              <w:t>，年跟踪误差不超过</w:t>
            </w:r>
            <w:r>
              <w:rPr>
                <w:rFonts w:eastAsiaTheme="minorEastAsia"/>
                <w:color w:val="000000" w:themeColor="text1"/>
                <w:kern w:val="0"/>
                <w:szCs w:val="21"/>
              </w:rPr>
              <w:t>4%</w:t>
            </w:r>
            <w:r>
              <w:rPr>
                <w:rFonts w:eastAsiaTheme="minorEastAsia"/>
                <w:color w:val="000000" w:themeColor="text1"/>
                <w:kern w:val="0"/>
                <w:szCs w:val="21"/>
              </w:rPr>
              <w:t>。</w:t>
            </w:r>
            <w:r>
              <w:rPr>
                <w:rFonts w:eastAsiaTheme="minorEastAsia"/>
                <w:color w:val="000000" w:themeColor="text1"/>
                <w:kern w:val="0"/>
                <w:szCs w:val="21"/>
              </w:rPr>
              <w:lastRenderedPageBreak/>
              <w:t>如因标的指数编制规则调整或其他因素导致跟踪误差超过上述范围，基金管理人应采取合理措施避免跟踪误差进一步扩大。</w:t>
            </w:r>
          </w:p>
          <w:p w:rsidR="0018319B" w:rsidRDefault="00EF558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基金也可以通过买入标的指数成份股来跟踪标的指数。为了提高投资效率，基金还可以根据风险管理原则，少量投资于股指期货、股票期权和其他经中国证监会允许的衍生工具等。</w:t>
            </w:r>
          </w:p>
          <w:p w:rsidR="0018319B" w:rsidRDefault="00EF558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、目标</w:t>
            </w:r>
            <w:r>
              <w:rPr>
                <w:rFonts w:eastAsiaTheme="minorEastAsia"/>
                <w:color w:val="000000" w:themeColor="text1"/>
                <w:kern w:val="0"/>
                <w:szCs w:val="21"/>
              </w:rPr>
              <w:t>ETF</w:t>
            </w:r>
            <w:r>
              <w:rPr>
                <w:rFonts w:eastAsiaTheme="minorEastAsia"/>
                <w:color w:val="000000" w:themeColor="text1"/>
                <w:kern w:val="0"/>
                <w:szCs w:val="21"/>
              </w:rPr>
              <w:t>投资策略</w:t>
            </w:r>
          </w:p>
          <w:p w:rsidR="0018319B" w:rsidRDefault="00EF558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为了实现追踪误差最小化，本基金投资于目标</w:t>
            </w:r>
            <w:r>
              <w:rPr>
                <w:rFonts w:eastAsiaTheme="minorEastAsia"/>
                <w:color w:val="000000" w:themeColor="text1"/>
                <w:kern w:val="0"/>
                <w:szCs w:val="21"/>
              </w:rPr>
              <w:t>ETF</w:t>
            </w:r>
            <w:r>
              <w:rPr>
                <w:rFonts w:eastAsiaTheme="minorEastAsia"/>
                <w:color w:val="000000" w:themeColor="text1"/>
                <w:kern w:val="0"/>
                <w:szCs w:val="21"/>
              </w:rPr>
              <w:t>基金份额的比例不低于基金资产净值的</w:t>
            </w:r>
            <w:r>
              <w:rPr>
                <w:rFonts w:eastAsiaTheme="minorEastAsia"/>
                <w:color w:val="000000" w:themeColor="text1"/>
                <w:kern w:val="0"/>
                <w:szCs w:val="21"/>
              </w:rPr>
              <w:t>90%</w:t>
            </w:r>
            <w:r>
              <w:rPr>
                <w:rFonts w:eastAsiaTheme="minorEastAsia"/>
                <w:color w:val="000000" w:themeColor="text1"/>
                <w:kern w:val="0"/>
                <w:szCs w:val="21"/>
              </w:rPr>
              <w:t>。本基金主要通过申购、赎回或二级市场买卖的方式投资于目标</w:t>
            </w:r>
            <w:r>
              <w:rPr>
                <w:rFonts w:eastAsiaTheme="minorEastAsia"/>
                <w:color w:val="000000" w:themeColor="text1"/>
                <w:kern w:val="0"/>
                <w:szCs w:val="21"/>
              </w:rPr>
              <w:t>ETF</w:t>
            </w:r>
            <w:r>
              <w:rPr>
                <w:rFonts w:eastAsiaTheme="minorEastAsia"/>
                <w:color w:val="000000" w:themeColor="text1"/>
                <w:kern w:val="0"/>
                <w:szCs w:val="21"/>
              </w:rPr>
              <w:t>。当目标</w:t>
            </w:r>
            <w:r>
              <w:rPr>
                <w:rFonts w:eastAsiaTheme="minorEastAsia"/>
                <w:color w:val="000000" w:themeColor="text1"/>
                <w:kern w:val="0"/>
                <w:szCs w:val="21"/>
              </w:rPr>
              <w:t>ETF</w:t>
            </w:r>
            <w:r>
              <w:rPr>
                <w:rFonts w:eastAsiaTheme="minorEastAsia"/>
                <w:color w:val="000000" w:themeColor="text1"/>
                <w:kern w:val="0"/>
                <w:szCs w:val="21"/>
              </w:rPr>
              <w:t>申购、赎回或交易模式进行了变更或调整，本基金也将作相应的变更或调整，无须召开基金份额持有人大会。本基金在综合考虑合规、风险、效率、成本等因素的基础上，决定采用申赎的方式或二级市场交易的方式进行目标</w:t>
            </w:r>
            <w:r>
              <w:rPr>
                <w:rFonts w:eastAsiaTheme="minorEastAsia"/>
                <w:color w:val="000000" w:themeColor="text1"/>
                <w:kern w:val="0"/>
                <w:szCs w:val="21"/>
              </w:rPr>
              <w:t>ETF</w:t>
            </w:r>
            <w:r>
              <w:rPr>
                <w:rFonts w:eastAsiaTheme="minorEastAsia"/>
                <w:color w:val="000000" w:themeColor="text1"/>
                <w:kern w:val="0"/>
                <w:szCs w:val="21"/>
              </w:rPr>
              <w:t>的买卖。本基金还可适度参与目标</w:t>
            </w:r>
            <w:r>
              <w:rPr>
                <w:rFonts w:eastAsiaTheme="minorEastAsia"/>
                <w:color w:val="000000" w:themeColor="text1"/>
                <w:kern w:val="0"/>
                <w:szCs w:val="21"/>
              </w:rPr>
              <w:t>ETF</w:t>
            </w:r>
            <w:r>
              <w:rPr>
                <w:rFonts w:eastAsiaTheme="minorEastAsia"/>
                <w:color w:val="000000" w:themeColor="text1"/>
                <w:kern w:val="0"/>
                <w:szCs w:val="21"/>
              </w:rPr>
              <w:t>基金份额交易和申购、赎回之间的套利，以增强基金收益。</w:t>
            </w:r>
          </w:p>
          <w:p w:rsidR="0018319B" w:rsidRDefault="00EF558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本基金可以基金资产特殊申购目标</w:t>
            </w:r>
            <w:r>
              <w:rPr>
                <w:rFonts w:eastAsiaTheme="minorEastAsia"/>
                <w:color w:val="000000" w:themeColor="text1"/>
                <w:kern w:val="0"/>
                <w:szCs w:val="21"/>
              </w:rPr>
              <w:t>ETF</w:t>
            </w:r>
            <w:r>
              <w:rPr>
                <w:rFonts w:eastAsiaTheme="minorEastAsia"/>
                <w:color w:val="000000" w:themeColor="text1"/>
                <w:kern w:val="0"/>
                <w:szCs w:val="21"/>
              </w:rPr>
              <w:t>份额，以进行基金建仓。</w:t>
            </w:r>
          </w:p>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2</w:t>
            </w:r>
            <w:r w:rsidRPr="00A3398F">
              <w:rPr>
                <w:rFonts w:eastAsiaTheme="minorEastAsia"/>
                <w:color w:val="000000" w:themeColor="text1"/>
                <w:kern w:val="0"/>
                <w:szCs w:val="21"/>
              </w:rPr>
              <w:t>、其他投资策略包括股票投资策略、港股通标的股票投资策略、金融衍生品投资策略、债券投资策略、可转换债券和可交换债券投资策略、资产支持证券投资策略、存托凭证投资策略、证券公司短期公司债券投资策略、融资及转融通证券出借策略。</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lastRenderedPageBreak/>
              <w:t>业绩比较基准</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经估值汇率调整的恒生科技指数收益率</w:t>
            </w:r>
            <w:r w:rsidRPr="00A3398F">
              <w:rPr>
                <w:rFonts w:eastAsiaTheme="minorEastAsia"/>
                <w:color w:val="000000" w:themeColor="text1"/>
                <w:kern w:val="0"/>
                <w:szCs w:val="21"/>
              </w:rPr>
              <w:t>×95%</w:t>
            </w:r>
            <w:r w:rsidRPr="00A3398F">
              <w:rPr>
                <w:rFonts w:eastAsiaTheme="minorEastAsia"/>
                <w:color w:val="000000" w:themeColor="text1"/>
                <w:kern w:val="0"/>
                <w:szCs w:val="21"/>
              </w:rPr>
              <w:t>＋活期存款利率（税后）</w:t>
            </w:r>
            <w:r w:rsidRPr="00A3398F">
              <w:rPr>
                <w:rFonts w:eastAsiaTheme="minorEastAsia"/>
                <w:color w:val="000000" w:themeColor="text1"/>
                <w:kern w:val="0"/>
                <w:szCs w:val="21"/>
              </w:rPr>
              <w:t>×5%</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风险收益特征</w:t>
            </w:r>
          </w:p>
        </w:tc>
        <w:tc>
          <w:tcPr>
            <w:tcW w:w="5443" w:type="dxa"/>
            <w:gridSpan w:val="2"/>
            <w:vAlign w:val="center"/>
          </w:tcPr>
          <w:p w:rsidR="0018319B" w:rsidRDefault="00EF558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w:t>
            </w:r>
            <w:r>
              <w:rPr>
                <w:rFonts w:eastAsiaTheme="minorEastAsia"/>
                <w:color w:val="000000" w:themeColor="text1"/>
                <w:kern w:val="0"/>
                <w:szCs w:val="21"/>
              </w:rPr>
              <w:t>ETF</w:t>
            </w:r>
            <w:r>
              <w:rPr>
                <w:rFonts w:eastAsiaTheme="minorEastAsia"/>
                <w:color w:val="000000" w:themeColor="text1"/>
                <w:kern w:val="0"/>
                <w:szCs w:val="21"/>
              </w:rPr>
              <w:t>联接基金，具有与目标</w:t>
            </w:r>
            <w:r>
              <w:rPr>
                <w:rFonts w:eastAsiaTheme="minorEastAsia"/>
                <w:color w:val="000000" w:themeColor="text1"/>
                <w:kern w:val="0"/>
                <w:szCs w:val="21"/>
              </w:rPr>
              <w:t>ETF</w:t>
            </w:r>
            <w:r>
              <w:rPr>
                <w:rFonts w:eastAsiaTheme="minorEastAsia"/>
                <w:color w:val="000000" w:themeColor="text1"/>
                <w:kern w:val="0"/>
                <w:szCs w:val="21"/>
              </w:rPr>
              <w:t>相似的风险收益特征。目标</w:t>
            </w:r>
            <w:r>
              <w:rPr>
                <w:rFonts w:eastAsiaTheme="minorEastAsia"/>
                <w:color w:val="000000" w:themeColor="text1"/>
                <w:kern w:val="0"/>
                <w:szCs w:val="21"/>
              </w:rPr>
              <w:t>ETF</w:t>
            </w:r>
            <w:r>
              <w:rPr>
                <w:rFonts w:eastAsiaTheme="minorEastAsia"/>
                <w:color w:val="000000" w:themeColor="text1"/>
                <w:kern w:val="0"/>
                <w:szCs w:val="21"/>
              </w:rPr>
              <w:t>为股票型指数基金，因此本基金的预期风险和预期收益高于货币市场基金、债券型基金和混合型</w:t>
            </w:r>
            <w:r>
              <w:rPr>
                <w:rFonts w:eastAsiaTheme="minorEastAsia"/>
                <w:color w:val="000000" w:themeColor="text1"/>
                <w:kern w:val="0"/>
                <w:szCs w:val="21"/>
              </w:rPr>
              <w:lastRenderedPageBreak/>
              <w:t>基金，且具有与标的指数以及标的指数所代表的股票市场相似的风险收益特征。</w:t>
            </w:r>
          </w:p>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本基金可投资于境外证券，除了需要承担与境内证券投资基金类似的市场波动风险等一般投资风险之外，本基金还面临汇率风险等境外证券市场投资所面临的特别投资风险。</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lastRenderedPageBreak/>
              <w:t>基金管理人</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摩根基金管理（中国）有限公司</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基金托管人</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中国工商银行股份有限公司</w:t>
            </w:r>
          </w:p>
        </w:tc>
      </w:tr>
      <w:tr w:rsidR="00070DD6" w:rsidRPr="00A3398F" w:rsidTr="00845292">
        <w:tblPrEx>
          <w:tblLook w:val="0000" w:firstRow="0" w:lastRow="0" w:firstColumn="0" w:lastColumn="0" w:noHBand="0" w:noVBand="0"/>
        </w:tblPrEx>
        <w:trPr>
          <w:trHeight w:val="866"/>
        </w:trPr>
        <w:tc>
          <w:tcPr>
            <w:tcW w:w="2980" w:type="dxa"/>
          </w:tcPr>
          <w:p w:rsidR="00070DD6" w:rsidRPr="00A3398F" w:rsidRDefault="00070DD6" w:rsidP="00845292">
            <w:pPr>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szCs w:val="21"/>
              </w:rPr>
              <w:t>下属分级基金的基金简称</w:t>
            </w:r>
          </w:p>
        </w:tc>
        <w:tc>
          <w:tcPr>
            <w:tcW w:w="2780"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摩根恒生科技</w:t>
            </w:r>
            <w:r w:rsidRPr="00A3398F">
              <w:rPr>
                <w:rFonts w:eastAsiaTheme="minorEastAsia"/>
                <w:color w:val="000000" w:themeColor="text1"/>
                <w:szCs w:val="21"/>
              </w:rPr>
              <w:t>ETF</w:t>
            </w:r>
            <w:r w:rsidRPr="00A3398F">
              <w:rPr>
                <w:rFonts w:eastAsiaTheme="minorEastAsia"/>
                <w:color w:val="000000" w:themeColor="text1"/>
                <w:szCs w:val="21"/>
              </w:rPr>
              <w:t>发起式联接</w:t>
            </w:r>
            <w:r w:rsidRPr="00A3398F">
              <w:rPr>
                <w:rFonts w:eastAsiaTheme="minorEastAsia"/>
                <w:color w:val="000000" w:themeColor="text1"/>
                <w:szCs w:val="21"/>
              </w:rPr>
              <w:t>(QDII)A</w:t>
            </w:r>
          </w:p>
        </w:tc>
        <w:tc>
          <w:tcPr>
            <w:tcW w:w="2663"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摩根恒生科技</w:t>
            </w:r>
            <w:r w:rsidRPr="00A3398F">
              <w:rPr>
                <w:rFonts w:eastAsiaTheme="minorEastAsia"/>
                <w:color w:val="000000" w:themeColor="text1"/>
                <w:szCs w:val="21"/>
              </w:rPr>
              <w:t>ETF</w:t>
            </w:r>
            <w:r w:rsidRPr="00A3398F">
              <w:rPr>
                <w:rFonts w:eastAsiaTheme="minorEastAsia"/>
                <w:color w:val="000000" w:themeColor="text1"/>
                <w:szCs w:val="21"/>
              </w:rPr>
              <w:t>发起式联接</w:t>
            </w:r>
            <w:r w:rsidRPr="00A3398F">
              <w:rPr>
                <w:rFonts w:eastAsiaTheme="minorEastAsia"/>
                <w:color w:val="000000" w:themeColor="text1"/>
                <w:szCs w:val="21"/>
              </w:rPr>
              <w:t>(QDII)C</w:t>
            </w:r>
          </w:p>
        </w:tc>
      </w:tr>
      <w:tr w:rsidR="00070DD6" w:rsidRPr="00A3398F" w:rsidTr="00845292">
        <w:tblPrEx>
          <w:tblLook w:val="0000" w:firstRow="0" w:lastRow="0" w:firstColumn="0" w:lastColumn="0" w:noHBand="0" w:noVBand="0"/>
        </w:tblPrEx>
        <w:trPr>
          <w:trHeight w:val="628"/>
        </w:trPr>
        <w:tc>
          <w:tcPr>
            <w:tcW w:w="2980" w:type="dxa"/>
          </w:tcPr>
          <w:p w:rsidR="00070DD6" w:rsidRPr="00A3398F" w:rsidRDefault="00070DD6" w:rsidP="00845292">
            <w:pPr>
              <w:adjustRightInd w:val="0"/>
              <w:spacing w:before="29" w:line="360" w:lineRule="auto"/>
              <w:ind w:left="17"/>
              <w:jc w:val="left"/>
              <w:rPr>
                <w:rFonts w:eastAsiaTheme="minorEastAsia"/>
                <w:color w:val="000000" w:themeColor="text1"/>
                <w:szCs w:val="21"/>
              </w:rPr>
            </w:pPr>
            <w:r w:rsidRPr="00A3398F">
              <w:rPr>
                <w:rFonts w:eastAsiaTheme="minorEastAsia"/>
                <w:color w:val="000000" w:themeColor="text1"/>
                <w:szCs w:val="21"/>
              </w:rPr>
              <w:t>下属分级基金的交易代码</w:t>
            </w:r>
          </w:p>
        </w:tc>
        <w:tc>
          <w:tcPr>
            <w:tcW w:w="2780"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018577</w:t>
            </w:r>
          </w:p>
        </w:tc>
        <w:tc>
          <w:tcPr>
            <w:tcW w:w="2663"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018578</w:t>
            </w:r>
          </w:p>
        </w:tc>
      </w:tr>
      <w:tr w:rsidR="00322A5E" w:rsidRPr="00A3398F" w:rsidTr="0031104D">
        <w:tblPrEx>
          <w:tblLook w:val="0000" w:firstRow="0" w:lastRow="0" w:firstColumn="0" w:lastColumn="0" w:noHBand="0" w:noVBand="0"/>
        </w:tblPrEx>
        <w:trPr>
          <w:trHeight w:val="555"/>
        </w:trPr>
        <w:tc>
          <w:tcPr>
            <w:tcW w:w="2980" w:type="dxa"/>
            <w:vAlign w:val="center"/>
          </w:tcPr>
          <w:p w:rsidR="00322A5E" w:rsidRPr="00A3398F" w:rsidRDefault="00322A5E" w:rsidP="00845292">
            <w:pPr>
              <w:adjustRightInd w:val="0"/>
              <w:spacing w:before="29" w:line="360" w:lineRule="auto"/>
              <w:ind w:left="17"/>
              <w:rPr>
                <w:rFonts w:eastAsiaTheme="minorEastAsia"/>
                <w:color w:val="000000" w:themeColor="text1"/>
                <w:szCs w:val="21"/>
              </w:rPr>
            </w:pPr>
            <w:r w:rsidRPr="00A3398F">
              <w:rPr>
                <w:rFonts w:eastAsiaTheme="minorEastAsia"/>
                <w:color w:val="000000" w:themeColor="text1"/>
                <w:szCs w:val="21"/>
              </w:rPr>
              <w:t>报告期末下属分级基金的份额总额</w:t>
            </w:r>
          </w:p>
        </w:tc>
        <w:tc>
          <w:tcPr>
            <w:tcW w:w="2780" w:type="dxa"/>
            <w:vAlign w:val="center"/>
          </w:tcPr>
          <w:p w:rsidR="00322A5E" w:rsidRPr="00A3398F" w:rsidRDefault="00322A5E" w:rsidP="00845292">
            <w:pPr>
              <w:rPr>
                <w:rFonts w:eastAsiaTheme="minorEastAsia"/>
                <w:color w:val="000000" w:themeColor="text1"/>
                <w:szCs w:val="21"/>
              </w:rPr>
            </w:pPr>
            <w:r w:rsidRPr="00A3398F">
              <w:rPr>
                <w:rFonts w:eastAsiaTheme="minorEastAsia"/>
                <w:color w:val="000000" w:themeColor="text1"/>
                <w:szCs w:val="21"/>
              </w:rPr>
              <w:t>3,844,490.35</w:t>
            </w:r>
            <w:r w:rsidRPr="00A3398F">
              <w:rPr>
                <w:rFonts w:eastAsiaTheme="minorEastAsia"/>
                <w:color w:val="000000" w:themeColor="text1"/>
                <w:kern w:val="0"/>
                <w:szCs w:val="21"/>
              </w:rPr>
              <w:t>份</w:t>
            </w:r>
          </w:p>
        </w:tc>
        <w:tc>
          <w:tcPr>
            <w:tcW w:w="2663" w:type="dxa"/>
            <w:vAlign w:val="center"/>
          </w:tcPr>
          <w:p w:rsidR="00322A5E" w:rsidRPr="00A3398F" w:rsidRDefault="00322A5E" w:rsidP="00845292">
            <w:pPr>
              <w:rPr>
                <w:rFonts w:eastAsiaTheme="minorEastAsia"/>
                <w:color w:val="000000" w:themeColor="text1"/>
                <w:szCs w:val="21"/>
              </w:rPr>
            </w:pPr>
            <w:r w:rsidRPr="00A3398F">
              <w:rPr>
                <w:rFonts w:eastAsiaTheme="minorEastAsia"/>
                <w:color w:val="000000" w:themeColor="text1"/>
                <w:szCs w:val="21"/>
              </w:rPr>
              <w:t>34,035,940.74</w:t>
            </w:r>
            <w:r w:rsidRPr="00A3398F">
              <w:rPr>
                <w:rFonts w:eastAsiaTheme="minorEastAsia"/>
                <w:color w:val="000000" w:themeColor="text1"/>
                <w:kern w:val="0"/>
                <w:szCs w:val="21"/>
              </w:rPr>
              <w:t>份</w:t>
            </w:r>
          </w:p>
        </w:tc>
      </w:tr>
    </w:tbl>
    <w:p w:rsidR="000364FB" w:rsidRDefault="000364FB" w:rsidP="000364FB">
      <w:pPr>
        <w:pStyle w:val="2"/>
        <w:keepNext w:val="0"/>
        <w:keepLines w:val="0"/>
        <w:spacing w:before="0" w:after="0"/>
        <w:rPr>
          <w:rFonts w:asciiTheme="minorEastAsia" w:eastAsiaTheme="minorEastAsia" w:hAnsiTheme="minorEastAsia"/>
          <w:color w:val="000000" w:themeColor="text1"/>
          <w:szCs w:val="24"/>
        </w:rPr>
      </w:pPr>
      <w:r w:rsidRPr="0077262D">
        <w:rPr>
          <w:rFonts w:asciiTheme="minorEastAsia" w:eastAsiaTheme="minorEastAsia" w:hAnsiTheme="minorEastAsia" w:hint="eastAsia"/>
          <w:color w:val="000000" w:themeColor="text1"/>
          <w:szCs w:val="24"/>
        </w:rPr>
        <w:t>2.1.1目标基金基本情况</w:t>
      </w:r>
    </w:p>
    <w:tbl>
      <w:tblPr>
        <w:tblW w:w="8460" w:type="dxa"/>
        <w:tblInd w:w="108" w:type="dxa"/>
        <w:tblLayout w:type="fixed"/>
        <w:tblLook w:val="0000" w:firstRow="0" w:lastRow="0" w:firstColumn="0" w:lastColumn="0" w:noHBand="0" w:noVBand="0"/>
      </w:tblPr>
      <w:tblGrid>
        <w:gridCol w:w="2724"/>
        <w:gridCol w:w="5736"/>
      </w:tblGrid>
      <w:tr w:rsidR="000364FB" w:rsidRPr="00DE3C5A" w:rsidTr="00982AC4">
        <w:tc>
          <w:tcPr>
            <w:tcW w:w="2724" w:type="dxa"/>
            <w:tcBorders>
              <w:top w:val="single" w:sz="8" w:space="0" w:color="000000"/>
              <w:left w:val="single" w:sz="8" w:space="0" w:color="000000"/>
              <w:bottom w:val="single" w:sz="8" w:space="0" w:color="000000"/>
              <w:right w:val="single" w:sz="8" w:space="0" w:color="000000"/>
            </w:tcBorders>
            <w:vAlign w:val="center"/>
          </w:tcPr>
          <w:p w:rsidR="000364FB" w:rsidRPr="00DE3C5A" w:rsidRDefault="000364FB" w:rsidP="00982AC4">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Cs w:val="21"/>
              </w:rPr>
            </w:pPr>
            <w:r w:rsidRPr="00DE3C5A">
              <w:rPr>
                <w:rFonts w:asciiTheme="minorEastAsia" w:eastAsiaTheme="minorEastAsia" w:hAnsiTheme="minorEastAsia" w:cs="Arial" w:hint="eastAsia"/>
                <w:color w:val="000000" w:themeColor="text1"/>
                <w:kern w:val="0"/>
                <w:szCs w:val="21"/>
              </w:rPr>
              <w:t>基金名称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0364FB" w:rsidRPr="00DE3C5A" w:rsidRDefault="000364FB" w:rsidP="00982AC4">
            <w:pPr>
              <w:jc w:val="left"/>
              <w:rPr>
                <w:rFonts w:asciiTheme="minorEastAsia" w:eastAsiaTheme="minorEastAsia" w:hAnsiTheme="minorEastAsia"/>
                <w:color w:val="000000" w:themeColor="text1"/>
                <w:szCs w:val="21"/>
              </w:rPr>
            </w:pPr>
            <w:r w:rsidRPr="00DE3C5A">
              <w:rPr>
                <w:rFonts w:asciiTheme="minorEastAsia" w:eastAsiaTheme="minorEastAsia" w:hAnsiTheme="minorEastAsia" w:hint="eastAsia"/>
                <w:color w:val="000000" w:themeColor="text1"/>
                <w:szCs w:val="21"/>
              </w:rPr>
              <w:t>摩根恒生科技交易型开放式指数证券投资基金(QDII)</w:t>
            </w:r>
          </w:p>
        </w:tc>
      </w:tr>
      <w:tr w:rsidR="000364FB" w:rsidRPr="00DE3C5A" w:rsidTr="00982AC4">
        <w:tc>
          <w:tcPr>
            <w:tcW w:w="2724" w:type="dxa"/>
            <w:tcBorders>
              <w:top w:val="single" w:sz="8" w:space="0" w:color="000000"/>
              <w:left w:val="single" w:sz="8" w:space="0" w:color="000000"/>
              <w:bottom w:val="single" w:sz="8" w:space="0" w:color="000000"/>
              <w:right w:val="single" w:sz="8" w:space="0" w:color="000000"/>
            </w:tcBorders>
            <w:vAlign w:val="center"/>
          </w:tcPr>
          <w:p w:rsidR="000364FB" w:rsidRPr="00DE3C5A" w:rsidRDefault="000364FB" w:rsidP="00982AC4">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Cs w:val="21"/>
              </w:rPr>
            </w:pPr>
            <w:r w:rsidRPr="00DE3C5A">
              <w:rPr>
                <w:rFonts w:asciiTheme="minorEastAsia" w:eastAsiaTheme="minorEastAsia" w:hAnsiTheme="minorEastAsia" w:cs="Arial" w:hint="eastAsia"/>
                <w:color w:val="000000" w:themeColor="text1"/>
                <w:kern w:val="0"/>
                <w:szCs w:val="21"/>
              </w:rPr>
              <w:t>基金主代码</w:t>
            </w:r>
          </w:p>
        </w:tc>
        <w:tc>
          <w:tcPr>
            <w:tcW w:w="5736" w:type="dxa"/>
            <w:tcBorders>
              <w:top w:val="single" w:sz="8" w:space="0" w:color="000000"/>
              <w:left w:val="single" w:sz="8" w:space="0" w:color="000000"/>
              <w:bottom w:val="single" w:sz="8" w:space="0" w:color="000000"/>
              <w:right w:val="single" w:sz="8" w:space="0" w:color="000000"/>
            </w:tcBorders>
            <w:vAlign w:val="center"/>
          </w:tcPr>
          <w:p w:rsidR="000364FB" w:rsidRPr="00DE3C5A" w:rsidRDefault="000364FB" w:rsidP="00982AC4">
            <w:pPr>
              <w:jc w:val="left"/>
              <w:rPr>
                <w:rFonts w:asciiTheme="minorEastAsia" w:eastAsiaTheme="minorEastAsia" w:hAnsiTheme="minorEastAsia" w:cs="宋体"/>
                <w:color w:val="000000" w:themeColor="text1"/>
                <w:szCs w:val="21"/>
              </w:rPr>
            </w:pPr>
            <w:r w:rsidRPr="00DE3C5A">
              <w:rPr>
                <w:rFonts w:asciiTheme="minorEastAsia" w:eastAsiaTheme="minorEastAsia" w:hAnsiTheme="minorEastAsia" w:hint="eastAsia"/>
                <w:color w:val="000000" w:themeColor="text1"/>
                <w:szCs w:val="21"/>
              </w:rPr>
              <w:t>513890</w:t>
            </w:r>
          </w:p>
        </w:tc>
      </w:tr>
      <w:tr w:rsidR="000364FB" w:rsidRPr="00DE3C5A" w:rsidTr="00982AC4">
        <w:tc>
          <w:tcPr>
            <w:tcW w:w="2724" w:type="dxa"/>
            <w:tcBorders>
              <w:top w:val="single" w:sz="8" w:space="0" w:color="000000"/>
              <w:left w:val="single" w:sz="8" w:space="0" w:color="000000"/>
              <w:bottom w:val="single" w:sz="8" w:space="0" w:color="000000"/>
              <w:right w:val="single" w:sz="8" w:space="0" w:color="000000"/>
            </w:tcBorders>
            <w:vAlign w:val="center"/>
          </w:tcPr>
          <w:p w:rsidR="000364FB" w:rsidRPr="00DE3C5A" w:rsidRDefault="000364FB" w:rsidP="00982AC4">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Cs w:val="21"/>
              </w:rPr>
            </w:pPr>
            <w:r w:rsidRPr="00DE3C5A">
              <w:rPr>
                <w:rFonts w:asciiTheme="minorEastAsia" w:eastAsiaTheme="minorEastAsia" w:hAnsiTheme="minorEastAsia" w:cs="Arial" w:hint="eastAsia"/>
                <w:color w:val="000000" w:themeColor="text1"/>
                <w:kern w:val="0"/>
                <w:szCs w:val="21"/>
              </w:rPr>
              <w:t>基金运作方式</w:t>
            </w:r>
          </w:p>
        </w:tc>
        <w:tc>
          <w:tcPr>
            <w:tcW w:w="5736" w:type="dxa"/>
            <w:tcBorders>
              <w:top w:val="single" w:sz="8" w:space="0" w:color="000000"/>
              <w:left w:val="single" w:sz="8" w:space="0" w:color="000000"/>
              <w:bottom w:val="single" w:sz="8" w:space="0" w:color="000000"/>
              <w:right w:val="single" w:sz="8" w:space="0" w:color="000000"/>
            </w:tcBorders>
            <w:vAlign w:val="center"/>
          </w:tcPr>
          <w:p w:rsidR="000364FB" w:rsidRPr="00DE3C5A" w:rsidRDefault="000364FB" w:rsidP="00982AC4">
            <w:pPr>
              <w:jc w:val="left"/>
              <w:rPr>
                <w:rFonts w:asciiTheme="minorEastAsia" w:eastAsiaTheme="minorEastAsia" w:hAnsiTheme="minorEastAsia" w:cs="宋体"/>
                <w:color w:val="000000" w:themeColor="text1"/>
                <w:szCs w:val="21"/>
              </w:rPr>
            </w:pPr>
            <w:r w:rsidRPr="00DE3C5A">
              <w:rPr>
                <w:rFonts w:asciiTheme="minorEastAsia" w:eastAsiaTheme="minorEastAsia" w:hAnsiTheme="minorEastAsia" w:hint="eastAsia"/>
                <w:color w:val="000000" w:themeColor="text1"/>
                <w:szCs w:val="21"/>
              </w:rPr>
              <w:t>交易型开放式</w:t>
            </w:r>
          </w:p>
        </w:tc>
      </w:tr>
      <w:tr w:rsidR="000364FB" w:rsidRPr="00DE3C5A" w:rsidTr="00982AC4">
        <w:tc>
          <w:tcPr>
            <w:tcW w:w="2724" w:type="dxa"/>
            <w:tcBorders>
              <w:top w:val="single" w:sz="8" w:space="0" w:color="000000"/>
              <w:left w:val="single" w:sz="8" w:space="0" w:color="000000"/>
              <w:bottom w:val="single" w:sz="8" w:space="0" w:color="000000"/>
              <w:right w:val="single" w:sz="8" w:space="0" w:color="000000"/>
            </w:tcBorders>
            <w:vAlign w:val="center"/>
          </w:tcPr>
          <w:p w:rsidR="000364FB" w:rsidRPr="00DE3C5A" w:rsidRDefault="000364FB" w:rsidP="00982AC4">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Cs w:val="21"/>
              </w:rPr>
            </w:pPr>
            <w:r w:rsidRPr="00DE3C5A">
              <w:rPr>
                <w:rFonts w:asciiTheme="minorEastAsia" w:eastAsiaTheme="minorEastAsia" w:hAnsiTheme="minorEastAsia" w:cs="Arial" w:hint="eastAsia"/>
                <w:color w:val="000000" w:themeColor="text1"/>
                <w:kern w:val="0"/>
                <w:szCs w:val="21"/>
              </w:rPr>
              <w:t>基金合同生效日</w:t>
            </w:r>
          </w:p>
        </w:tc>
        <w:tc>
          <w:tcPr>
            <w:tcW w:w="5736" w:type="dxa"/>
            <w:tcBorders>
              <w:top w:val="single" w:sz="8" w:space="0" w:color="000000"/>
              <w:left w:val="single" w:sz="8" w:space="0" w:color="000000"/>
              <w:bottom w:val="single" w:sz="8" w:space="0" w:color="000000"/>
              <w:right w:val="single" w:sz="8" w:space="0" w:color="000000"/>
            </w:tcBorders>
            <w:vAlign w:val="center"/>
          </w:tcPr>
          <w:p w:rsidR="000364FB" w:rsidRPr="00DE3C5A" w:rsidRDefault="000364FB" w:rsidP="00982AC4">
            <w:pPr>
              <w:jc w:val="left"/>
              <w:rPr>
                <w:rFonts w:asciiTheme="minorEastAsia" w:eastAsiaTheme="minorEastAsia" w:hAnsiTheme="minorEastAsia" w:cs="宋体"/>
                <w:color w:val="000000" w:themeColor="text1"/>
                <w:szCs w:val="21"/>
              </w:rPr>
            </w:pPr>
            <w:r w:rsidRPr="00DE3C5A">
              <w:rPr>
                <w:rFonts w:asciiTheme="minorEastAsia" w:eastAsiaTheme="minorEastAsia" w:hAnsiTheme="minorEastAsia" w:hint="eastAsia"/>
                <w:color w:val="000000" w:themeColor="text1"/>
                <w:szCs w:val="21"/>
              </w:rPr>
              <w:t>2021年12月17日</w:t>
            </w:r>
          </w:p>
        </w:tc>
      </w:tr>
      <w:tr w:rsidR="000364FB" w:rsidRPr="00DE3C5A" w:rsidTr="00982AC4">
        <w:tc>
          <w:tcPr>
            <w:tcW w:w="2724" w:type="dxa"/>
            <w:tcBorders>
              <w:top w:val="single" w:sz="8" w:space="0" w:color="000000"/>
              <w:left w:val="single" w:sz="8" w:space="0" w:color="000000"/>
              <w:bottom w:val="single" w:sz="8" w:space="0" w:color="000000"/>
              <w:right w:val="single" w:sz="8" w:space="0" w:color="000000"/>
            </w:tcBorders>
            <w:vAlign w:val="center"/>
          </w:tcPr>
          <w:p w:rsidR="000364FB" w:rsidRPr="00DE3C5A" w:rsidRDefault="000364FB" w:rsidP="00982AC4">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Cs w:val="21"/>
              </w:rPr>
            </w:pPr>
            <w:r w:rsidRPr="00DE3C5A">
              <w:rPr>
                <w:rFonts w:asciiTheme="minorEastAsia" w:eastAsiaTheme="minorEastAsia" w:hAnsiTheme="minorEastAsia" w:cs="Arial" w:hint="eastAsia"/>
                <w:color w:val="000000" w:themeColor="text1"/>
                <w:kern w:val="0"/>
                <w:szCs w:val="21"/>
              </w:rPr>
              <w:t>基金份额上市的证券交易所</w:t>
            </w:r>
          </w:p>
        </w:tc>
        <w:tc>
          <w:tcPr>
            <w:tcW w:w="5736" w:type="dxa"/>
            <w:tcBorders>
              <w:top w:val="single" w:sz="8" w:space="0" w:color="000000"/>
              <w:left w:val="single" w:sz="8" w:space="0" w:color="000000"/>
              <w:bottom w:val="single" w:sz="8" w:space="0" w:color="000000"/>
              <w:right w:val="single" w:sz="8" w:space="0" w:color="000000"/>
            </w:tcBorders>
            <w:vAlign w:val="center"/>
          </w:tcPr>
          <w:p w:rsidR="000364FB" w:rsidRPr="00DE3C5A" w:rsidRDefault="000364FB" w:rsidP="00982AC4">
            <w:pPr>
              <w:jc w:val="left"/>
              <w:rPr>
                <w:rFonts w:asciiTheme="minorEastAsia" w:eastAsiaTheme="minorEastAsia" w:hAnsiTheme="minorEastAsia" w:cs="宋体"/>
                <w:color w:val="000000" w:themeColor="text1"/>
                <w:szCs w:val="21"/>
              </w:rPr>
            </w:pPr>
            <w:r w:rsidRPr="00DE3C5A">
              <w:rPr>
                <w:rFonts w:asciiTheme="minorEastAsia" w:eastAsiaTheme="minorEastAsia" w:hAnsiTheme="minorEastAsia" w:hint="eastAsia"/>
                <w:color w:val="000000" w:themeColor="text1"/>
                <w:szCs w:val="21"/>
              </w:rPr>
              <w:t>上海证券交易所</w:t>
            </w:r>
          </w:p>
        </w:tc>
      </w:tr>
      <w:tr w:rsidR="000364FB" w:rsidRPr="00DE3C5A" w:rsidTr="00982AC4">
        <w:tc>
          <w:tcPr>
            <w:tcW w:w="2724" w:type="dxa"/>
            <w:tcBorders>
              <w:top w:val="single" w:sz="8" w:space="0" w:color="000000"/>
              <w:left w:val="single" w:sz="8" w:space="0" w:color="000000"/>
              <w:bottom w:val="single" w:sz="8" w:space="0" w:color="000000"/>
              <w:right w:val="single" w:sz="8" w:space="0" w:color="000000"/>
            </w:tcBorders>
            <w:vAlign w:val="center"/>
          </w:tcPr>
          <w:p w:rsidR="000364FB" w:rsidRPr="00DE3C5A" w:rsidRDefault="000364FB" w:rsidP="00982AC4">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Cs w:val="21"/>
              </w:rPr>
            </w:pPr>
            <w:r w:rsidRPr="00DE3C5A">
              <w:rPr>
                <w:rFonts w:asciiTheme="minorEastAsia" w:eastAsiaTheme="minorEastAsia" w:hAnsiTheme="minorEastAsia" w:cs="Arial" w:hint="eastAsia"/>
                <w:color w:val="000000" w:themeColor="text1"/>
                <w:kern w:val="0"/>
                <w:szCs w:val="21"/>
              </w:rPr>
              <w:t>上市日期</w:t>
            </w:r>
          </w:p>
        </w:tc>
        <w:tc>
          <w:tcPr>
            <w:tcW w:w="5736" w:type="dxa"/>
            <w:tcBorders>
              <w:top w:val="single" w:sz="8" w:space="0" w:color="000000"/>
              <w:left w:val="single" w:sz="8" w:space="0" w:color="000000"/>
              <w:bottom w:val="single" w:sz="8" w:space="0" w:color="000000"/>
              <w:right w:val="single" w:sz="8" w:space="0" w:color="000000"/>
            </w:tcBorders>
            <w:vAlign w:val="center"/>
          </w:tcPr>
          <w:p w:rsidR="000364FB" w:rsidRPr="00DE3C5A" w:rsidRDefault="000364FB" w:rsidP="00982AC4">
            <w:pPr>
              <w:jc w:val="left"/>
              <w:rPr>
                <w:rFonts w:asciiTheme="minorEastAsia" w:eastAsiaTheme="minorEastAsia" w:hAnsiTheme="minorEastAsia" w:cs="宋体"/>
                <w:color w:val="000000" w:themeColor="text1"/>
                <w:szCs w:val="21"/>
              </w:rPr>
            </w:pPr>
            <w:r w:rsidRPr="00DE3C5A">
              <w:rPr>
                <w:rFonts w:asciiTheme="minorEastAsia" w:eastAsiaTheme="minorEastAsia" w:hAnsiTheme="minorEastAsia" w:hint="eastAsia"/>
                <w:color w:val="000000" w:themeColor="text1"/>
                <w:szCs w:val="21"/>
              </w:rPr>
              <w:t>2022年1月21日</w:t>
            </w:r>
          </w:p>
        </w:tc>
      </w:tr>
      <w:tr w:rsidR="000364FB" w:rsidRPr="00DE3C5A" w:rsidTr="00982AC4">
        <w:tc>
          <w:tcPr>
            <w:tcW w:w="2724" w:type="dxa"/>
            <w:tcBorders>
              <w:top w:val="single" w:sz="8" w:space="0" w:color="000000"/>
              <w:left w:val="single" w:sz="8" w:space="0" w:color="000000"/>
              <w:bottom w:val="single" w:sz="8" w:space="0" w:color="000000"/>
              <w:right w:val="single" w:sz="8" w:space="0" w:color="000000"/>
            </w:tcBorders>
            <w:vAlign w:val="center"/>
          </w:tcPr>
          <w:p w:rsidR="000364FB" w:rsidRPr="00DE3C5A" w:rsidRDefault="000364FB" w:rsidP="00982AC4">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Cs w:val="21"/>
              </w:rPr>
            </w:pPr>
            <w:r w:rsidRPr="00DE3C5A">
              <w:rPr>
                <w:rFonts w:asciiTheme="minorEastAsia" w:eastAsiaTheme="minorEastAsia" w:hAnsiTheme="minorEastAsia" w:cs="Arial" w:hint="eastAsia"/>
                <w:color w:val="000000" w:themeColor="text1"/>
                <w:kern w:val="0"/>
                <w:szCs w:val="21"/>
              </w:rPr>
              <w:t>基金管理人名称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0364FB" w:rsidRPr="00DE3C5A" w:rsidRDefault="000364FB" w:rsidP="00982AC4">
            <w:pPr>
              <w:jc w:val="left"/>
              <w:rPr>
                <w:rFonts w:asciiTheme="minorEastAsia" w:eastAsiaTheme="minorEastAsia" w:hAnsiTheme="minorEastAsia" w:cs="宋体"/>
                <w:color w:val="000000" w:themeColor="text1"/>
                <w:szCs w:val="21"/>
              </w:rPr>
            </w:pPr>
            <w:r w:rsidRPr="00DE3C5A">
              <w:rPr>
                <w:rFonts w:asciiTheme="minorEastAsia" w:eastAsiaTheme="minorEastAsia" w:hAnsiTheme="minorEastAsia" w:hint="eastAsia"/>
                <w:color w:val="000000" w:themeColor="text1"/>
                <w:szCs w:val="21"/>
              </w:rPr>
              <w:t>摩根基金管理（中国）有限公司</w:t>
            </w:r>
          </w:p>
        </w:tc>
      </w:tr>
      <w:tr w:rsidR="000364FB" w:rsidRPr="00DE3C5A" w:rsidTr="00982AC4">
        <w:tc>
          <w:tcPr>
            <w:tcW w:w="2724" w:type="dxa"/>
            <w:tcBorders>
              <w:top w:val="single" w:sz="8" w:space="0" w:color="000000"/>
              <w:left w:val="single" w:sz="8" w:space="0" w:color="000000"/>
              <w:bottom w:val="single" w:sz="8" w:space="0" w:color="000000"/>
              <w:right w:val="single" w:sz="8" w:space="0" w:color="000000"/>
            </w:tcBorders>
            <w:vAlign w:val="center"/>
          </w:tcPr>
          <w:p w:rsidR="000364FB" w:rsidRPr="00DE3C5A" w:rsidRDefault="000364FB" w:rsidP="00982AC4">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Cs w:val="21"/>
              </w:rPr>
            </w:pPr>
            <w:r w:rsidRPr="00DE3C5A">
              <w:rPr>
                <w:rFonts w:asciiTheme="minorEastAsia" w:eastAsiaTheme="minorEastAsia" w:hAnsiTheme="minorEastAsia" w:cs="Arial" w:hint="eastAsia"/>
                <w:color w:val="000000" w:themeColor="text1"/>
                <w:kern w:val="0"/>
                <w:szCs w:val="21"/>
              </w:rPr>
              <w:t>基金托管人名称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0364FB" w:rsidRPr="00DE3C5A" w:rsidRDefault="000364FB" w:rsidP="00982AC4">
            <w:pPr>
              <w:jc w:val="left"/>
              <w:rPr>
                <w:rFonts w:asciiTheme="minorEastAsia" w:eastAsiaTheme="minorEastAsia" w:hAnsiTheme="minorEastAsia" w:cs="宋体"/>
                <w:color w:val="000000" w:themeColor="text1"/>
                <w:szCs w:val="21"/>
              </w:rPr>
            </w:pPr>
            <w:r w:rsidRPr="00DE3C5A">
              <w:rPr>
                <w:rFonts w:asciiTheme="minorEastAsia" w:eastAsiaTheme="minorEastAsia" w:hAnsiTheme="minorEastAsia" w:hint="eastAsia"/>
                <w:color w:val="000000" w:themeColor="text1"/>
                <w:szCs w:val="21"/>
              </w:rPr>
              <w:t>中国工商银行股份有限公司</w:t>
            </w:r>
          </w:p>
        </w:tc>
      </w:tr>
    </w:tbl>
    <w:p w:rsidR="000364FB" w:rsidRPr="006A0AFD" w:rsidRDefault="000364FB" w:rsidP="000364FB">
      <w:pPr>
        <w:pStyle w:val="a0"/>
        <w:ind w:firstLineChars="0" w:firstLine="0"/>
      </w:pPr>
    </w:p>
    <w:p w:rsidR="000364FB" w:rsidRDefault="000364FB" w:rsidP="000364FB">
      <w:pPr>
        <w:pStyle w:val="2"/>
        <w:keepNext w:val="0"/>
        <w:keepLines w:val="0"/>
        <w:spacing w:before="0" w:after="0"/>
        <w:rPr>
          <w:color w:val="000000" w:themeColor="text1"/>
        </w:rPr>
      </w:pPr>
      <w:r w:rsidRPr="0077262D">
        <w:rPr>
          <w:rFonts w:asciiTheme="minorEastAsia" w:eastAsiaTheme="minorEastAsia" w:hAnsiTheme="minorEastAsia" w:hint="eastAsia"/>
          <w:color w:val="000000" w:themeColor="text1"/>
          <w:szCs w:val="24"/>
        </w:rPr>
        <w:t>2.1.2</w:t>
      </w:r>
      <w:r w:rsidRPr="0077262D">
        <w:rPr>
          <w:color w:val="000000" w:themeColor="text1"/>
        </w:rPr>
        <w:t>目标基金产品</w:t>
      </w:r>
      <w:r w:rsidR="00C027C8" w:rsidRPr="00C027C8">
        <w:rPr>
          <w:rFonts w:hint="eastAsia"/>
          <w:color w:val="000000" w:themeColor="text1"/>
        </w:rPr>
        <w:t>说明</w:t>
      </w:r>
    </w:p>
    <w:tbl>
      <w:tblPr>
        <w:tblW w:w="8460" w:type="dxa"/>
        <w:tblInd w:w="108" w:type="dxa"/>
        <w:tblLook w:val="0000" w:firstRow="0" w:lastRow="0" w:firstColumn="0" w:lastColumn="0" w:noHBand="0" w:noVBand="0"/>
      </w:tblPr>
      <w:tblGrid>
        <w:gridCol w:w="2820"/>
        <w:gridCol w:w="5640"/>
      </w:tblGrid>
      <w:tr w:rsidR="000364FB" w:rsidRPr="00DE3C5A" w:rsidTr="00982AC4">
        <w:tc>
          <w:tcPr>
            <w:tcW w:w="2820" w:type="dxa"/>
            <w:tcBorders>
              <w:top w:val="single" w:sz="8" w:space="0" w:color="000000"/>
              <w:left w:val="single" w:sz="8" w:space="0" w:color="000000"/>
              <w:bottom w:val="single" w:sz="8" w:space="0" w:color="000000"/>
              <w:right w:val="single" w:sz="8" w:space="0" w:color="000000"/>
            </w:tcBorders>
            <w:vAlign w:val="center"/>
          </w:tcPr>
          <w:p w:rsidR="000364FB" w:rsidRPr="00DE3C5A" w:rsidRDefault="000364FB" w:rsidP="00982AC4">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Cs w:val="21"/>
              </w:rPr>
            </w:pPr>
            <w:r w:rsidRPr="00DE3C5A">
              <w:rPr>
                <w:rFonts w:asciiTheme="minorEastAsia" w:eastAsiaTheme="minorEastAsia" w:hAnsiTheme="minorEastAsia" w:cs="Arial" w:hint="eastAsia"/>
                <w:color w:val="000000" w:themeColor="text1"/>
                <w:kern w:val="0"/>
                <w:szCs w:val="21"/>
              </w:rPr>
              <w:t>投资目标</w:t>
            </w:r>
          </w:p>
        </w:tc>
        <w:tc>
          <w:tcPr>
            <w:tcW w:w="5640" w:type="dxa"/>
            <w:tcBorders>
              <w:top w:val="single" w:sz="8" w:space="0" w:color="000000"/>
              <w:left w:val="single" w:sz="8" w:space="0" w:color="000000"/>
              <w:bottom w:val="single" w:sz="8" w:space="0" w:color="000000"/>
              <w:right w:val="single" w:sz="8" w:space="0" w:color="000000"/>
            </w:tcBorders>
            <w:vAlign w:val="center"/>
          </w:tcPr>
          <w:p w:rsidR="000364FB" w:rsidRPr="00DE3C5A" w:rsidRDefault="000364FB" w:rsidP="00982AC4">
            <w:pPr>
              <w:jc w:val="left"/>
              <w:rPr>
                <w:rFonts w:asciiTheme="minorEastAsia" w:eastAsiaTheme="minorEastAsia" w:hAnsiTheme="minorEastAsia" w:cs="宋体"/>
                <w:color w:val="000000" w:themeColor="text1"/>
                <w:szCs w:val="21"/>
              </w:rPr>
            </w:pPr>
            <w:r w:rsidRPr="00DE3C5A">
              <w:rPr>
                <w:rFonts w:asciiTheme="minorEastAsia" w:eastAsiaTheme="minorEastAsia" w:hAnsiTheme="minorEastAsia" w:hint="eastAsia"/>
                <w:color w:val="000000" w:themeColor="text1"/>
                <w:szCs w:val="21"/>
              </w:rPr>
              <w:t>本基金采用被动指数化投资，紧密跟踪标的指数，追求跟踪偏离度和跟踪误差最小化。</w:t>
            </w:r>
          </w:p>
        </w:tc>
      </w:tr>
      <w:tr w:rsidR="000364FB" w:rsidRPr="00DE3C5A" w:rsidTr="00982AC4">
        <w:tc>
          <w:tcPr>
            <w:tcW w:w="2820" w:type="dxa"/>
            <w:tcBorders>
              <w:top w:val="single" w:sz="8" w:space="0" w:color="000000"/>
              <w:left w:val="single" w:sz="8" w:space="0" w:color="000000"/>
              <w:bottom w:val="single" w:sz="8" w:space="0" w:color="000000"/>
              <w:right w:val="single" w:sz="8" w:space="0" w:color="000000"/>
            </w:tcBorders>
            <w:vAlign w:val="center"/>
          </w:tcPr>
          <w:p w:rsidR="000364FB" w:rsidRPr="00DE3C5A" w:rsidRDefault="000364FB" w:rsidP="00982AC4">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Cs w:val="21"/>
              </w:rPr>
            </w:pPr>
            <w:r w:rsidRPr="00DE3C5A">
              <w:rPr>
                <w:rFonts w:asciiTheme="minorEastAsia" w:eastAsiaTheme="minorEastAsia" w:hAnsiTheme="minorEastAsia" w:cs="Arial" w:hint="eastAsia"/>
                <w:color w:val="000000" w:themeColor="text1"/>
                <w:kern w:val="0"/>
                <w:szCs w:val="21"/>
              </w:rPr>
              <w:t>投资策略</w:t>
            </w:r>
          </w:p>
        </w:tc>
        <w:tc>
          <w:tcPr>
            <w:tcW w:w="5640" w:type="dxa"/>
            <w:tcBorders>
              <w:top w:val="single" w:sz="8" w:space="0" w:color="000000"/>
              <w:left w:val="single" w:sz="8" w:space="0" w:color="000000"/>
              <w:bottom w:val="single" w:sz="8" w:space="0" w:color="000000"/>
              <w:right w:val="single" w:sz="8" w:space="0" w:color="000000"/>
            </w:tcBorders>
            <w:vAlign w:val="center"/>
          </w:tcPr>
          <w:p w:rsidR="000364FB" w:rsidRPr="00DE3C5A" w:rsidRDefault="000364FB" w:rsidP="00982AC4">
            <w:pPr>
              <w:jc w:val="left"/>
              <w:rPr>
                <w:rFonts w:asciiTheme="minorEastAsia" w:eastAsiaTheme="minorEastAsia" w:hAnsiTheme="minorEastAsia" w:cs="宋体"/>
                <w:color w:val="000000" w:themeColor="text1"/>
                <w:szCs w:val="21"/>
              </w:rPr>
            </w:pPr>
            <w:r w:rsidRPr="00DE3C5A">
              <w:rPr>
                <w:rFonts w:asciiTheme="minorEastAsia" w:eastAsiaTheme="minorEastAsia" w:hAnsiTheme="minorEastAsia" w:hint="eastAsia"/>
                <w:color w:val="000000" w:themeColor="text1"/>
                <w:szCs w:val="21"/>
              </w:rPr>
              <w:t>本基金采用完全复制法，按照成份股在标的指数中的基准权重构建股票资产组合，并配合使用其他合理的投资方法作为完全复制法的补充，构建本基金实际的投资组合，以追求尽</w:t>
            </w:r>
            <w:r w:rsidRPr="00DE3C5A">
              <w:rPr>
                <w:rFonts w:asciiTheme="minorEastAsia" w:eastAsiaTheme="minorEastAsia" w:hAnsiTheme="minorEastAsia" w:hint="eastAsia"/>
                <w:color w:val="000000" w:themeColor="text1"/>
                <w:szCs w:val="21"/>
              </w:rPr>
              <w:lastRenderedPageBreak/>
              <w:t>可能贴近标的指数的表现，有效控制跟踪误差。</w:t>
            </w:r>
          </w:p>
        </w:tc>
      </w:tr>
      <w:tr w:rsidR="000364FB" w:rsidRPr="00DE3C5A" w:rsidTr="00982AC4">
        <w:tc>
          <w:tcPr>
            <w:tcW w:w="2820" w:type="dxa"/>
            <w:tcBorders>
              <w:top w:val="single" w:sz="8" w:space="0" w:color="000000"/>
              <w:left w:val="single" w:sz="8" w:space="0" w:color="000000"/>
              <w:bottom w:val="single" w:sz="8" w:space="0" w:color="000000"/>
              <w:right w:val="single" w:sz="8" w:space="0" w:color="000000"/>
            </w:tcBorders>
            <w:vAlign w:val="center"/>
          </w:tcPr>
          <w:p w:rsidR="000364FB" w:rsidRPr="00DE3C5A" w:rsidRDefault="000364FB" w:rsidP="00982AC4">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Cs w:val="21"/>
              </w:rPr>
            </w:pPr>
            <w:r w:rsidRPr="00DE3C5A">
              <w:rPr>
                <w:rFonts w:asciiTheme="minorEastAsia" w:eastAsiaTheme="minorEastAsia" w:hAnsiTheme="minorEastAsia" w:cs="Arial" w:hint="eastAsia"/>
                <w:color w:val="000000" w:themeColor="text1"/>
                <w:kern w:val="0"/>
                <w:szCs w:val="21"/>
              </w:rPr>
              <w:lastRenderedPageBreak/>
              <w:t>业绩比较基准</w:t>
            </w:r>
          </w:p>
        </w:tc>
        <w:tc>
          <w:tcPr>
            <w:tcW w:w="5640" w:type="dxa"/>
            <w:tcBorders>
              <w:top w:val="single" w:sz="8" w:space="0" w:color="000000"/>
              <w:left w:val="single" w:sz="8" w:space="0" w:color="000000"/>
              <w:bottom w:val="single" w:sz="8" w:space="0" w:color="000000"/>
              <w:right w:val="single" w:sz="8" w:space="0" w:color="000000"/>
            </w:tcBorders>
            <w:vAlign w:val="center"/>
          </w:tcPr>
          <w:p w:rsidR="000364FB" w:rsidRPr="00DE3C5A" w:rsidRDefault="000364FB" w:rsidP="00982AC4">
            <w:pPr>
              <w:jc w:val="left"/>
              <w:rPr>
                <w:rFonts w:asciiTheme="minorEastAsia" w:eastAsiaTheme="minorEastAsia" w:hAnsiTheme="minorEastAsia" w:cs="宋体"/>
                <w:color w:val="000000" w:themeColor="text1"/>
                <w:szCs w:val="21"/>
              </w:rPr>
            </w:pPr>
            <w:r w:rsidRPr="00DE3C5A">
              <w:rPr>
                <w:rFonts w:asciiTheme="minorEastAsia" w:eastAsiaTheme="minorEastAsia" w:hAnsiTheme="minorEastAsia" w:hint="eastAsia"/>
                <w:color w:val="000000" w:themeColor="text1"/>
                <w:szCs w:val="21"/>
              </w:rPr>
              <w:t>本基金的业绩比较基准为经估值汇率调整的恒生科技指数（HSTECH）收益率。本基金标的指数变更的，相应更换基金名称和业绩比较基准，并在履行适当程序后及时公告。</w:t>
            </w:r>
          </w:p>
        </w:tc>
      </w:tr>
      <w:tr w:rsidR="000364FB" w:rsidRPr="00DE3C5A" w:rsidTr="00982AC4">
        <w:tc>
          <w:tcPr>
            <w:tcW w:w="2820" w:type="dxa"/>
            <w:tcBorders>
              <w:top w:val="single" w:sz="8" w:space="0" w:color="000000"/>
              <w:left w:val="single" w:sz="8" w:space="0" w:color="000000"/>
              <w:bottom w:val="single" w:sz="8" w:space="0" w:color="000000"/>
              <w:right w:val="single" w:sz="8" w:space="0" w:color="000000"/>
            </w:tcBorders>
            <w:vAlign w:val="center"/>
          </w:tcPr>
          <w:p w:rsidR="000364FB" w:rsidRPr="00DE3C5A" w:rsidRDefault="000364FB" w:rsidP="00982AC4">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Cs w:val="21"/>
              </w:rPr>
            </w:pPr>
            <w:r w:rsidRPr="00DE3C5A">
              <w:rPr>
                <w:rFonts w:asciiTheme="minorEastAsia" w:eastAsiaTheme="minorEastAsia" w:hAnsiTheme="minorEastAsia" w:cs="Arial" w:hint="eastAsia"/>
                <w:color w:val="000000" w:themeColor="text1"/>
                <w:kern w:val="0"/>
                <w:szCs w:val="21"/>
              </w:rPr>
              <w:t>风险收益特征</w:t>
            </w:r>
          </w:p>
        </w:tc>
        <w:tc>
          <w:tcPr>
            <w:tcW w:w="5640" w:type="dxa"/>
            <w:tcBorders>
              <w:top w:val="single" w:sz="8" w:space="0" w:color="000000"/>
              <w:left w:val="single" w:sz="8" w:space="0" w:color="000000"/>
              <w:bottom w:val="single" w:sz="8" w:space="0" w:color="000000"/>
              <w:right w:val="single" w:sz="8" w:space="0" w:color="000000"/>
            </w:tcBorders>
            <w:vAlign w:val="center"/>
          </w:tcPr>
          <w:p w:rsidR="000364FB" w:rsidRPr="00DE3C5A" w:rsidRDefault="000364FB" w:rsidP="00982AC4">
            <w:pPr>
              <w:jc w:val="left"/>
              <w:rPr>
                <w:rFonts w:asciiTheme="minorEastAsia" w:eastAsiaTheme="minorEastAsia" w:hAnsiTheme="minorEastAsia" w:cs="宋体"/>
                <w:color w:val="000000" w:themeColor="text1"/>
                <w:szCs w:val="21"/>
              </w:rPr>
            </w:pPr>
            <w:r w:rsidRPr="00DE3C5A">
              <w:rPr>
                <w:rFonts w:asciiTheme="minorEastAsia" w:eastAsiaTheme="minorEastAsia" w:hAnsiTheme="minorEastAsia" w:hint="eastAsia"/>
                <w:color w:val="000000" w:themeColor="text1"/>
                <w:szCs w:val="21"/>
              </w:rPr>
              <w:t>本基金属于股票基金，预期风险和收益水平高于混合基金、债券基金和货币市场基金。同时，本基金为指数基金，主要采用完全复制法跟踪标的指数表现，具有与标的指数相似的风险收益特征。 本基金可投资于境外证券，除了需要承担与境内证券投资基金类似的市场波动风险等一般投资风险之外，本基金还面临汇率风险等境外证券市场投资所面临的特别投资风险。</w:t>
            </w:r>
          </w:p>
        </w:tc>
      </w:tr>
    </w:tbl>
    <w:p w:rsidR="000364FB" w:rsidRPr="000364FB" w:rsidRDefault="000364FB" w:rsidP="002236BC">
      <w:pPr>
        <w:autoSpaceDE w:val="0"/>
        <w:autoSpaceDN w:val="0"/>
        <w:adjustRightInd w:val="0"/>
        <w:spacing w:line="360" w:lineRule="auto"/>
        <w:jc w:val="left"/>
        <w:rPr>
          <w:rFonts w:eastAsiaTheme="minorEastAsia"/>
          <w:color w:val="000000" w:themeColor="text1"/>
          <w:szCs w:val="21"/>
        </w:rPr>
      </w:pP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§3  </w:t>
      </w:r>
      <w:r w:rsidRPr="00A3398F">
        <w:rPr>
          <w:rFonts w:eastAsiaTheme="minorEastAsia"/>
          <w:color w:val="000000" w:themeColor="text1"/>
          <w:kern w:val="0"/>
          <w:sz w:val="24"/>
          <w:szCs w:val="24"/>
        </w:rPr>
        <w:t>主要财务指标和基金净值表现</w:t>
      </w:r>
    </w:p>
    <w:p w:rsidR="0076518F" w:rsidRPr="00A3398F" w:rsidRDefault="0076518F" w:rsidP="00506D57">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3.1 </w:t>
      </w:r>
      <w:r w:rsidRPr="00A3398F">
        <w:rPr>
          <w:rFonts w:eastAsiaTheme="minorEastAsia"/>
          <w:b/>
          <w:color w:val="000000" w:themeColor="text1"/>
          <w:kern w:val="0"/>
          <w:sz w:val="24"/>
        </w:rPr>
        <w:t>主要财务指标</w:t>
      </w:r>
    </w:p>
    <w:p w:rsidR="0076518F" w:rsidRPr="00A3398F"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225051" w:rsidRPr="00A3398F" w:rsidTr="00845292">
        <w:tc>
          <w:tcPr>
            <w:tcW w:w="3402" w:type="dxa"/>
            <w:vMerge w:val="restart"/>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主要财务指标</w:t>
            </w:r>
          </w:p>
        </w:tc>
        <w:tc>
          <w:tcPr>
            <w:tcW w:w="4962" w:type="dxa"/>
            <w:gridSpan w:val="2"/>
            <w:vAlign w:val="center"/>
          </w:tcPr>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报告期</w:t>
            </w:r>
          </w:p>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(2023</w:t>
            </w:r>
            <w:r w:rsidRPr="00A3398F">
              <w:rPr>
                <w:rFonts w:eastAsiaTheme="minorEastAsia"/>
                <w:color w:val="000000" w:themeColor="text1"/>
                <w:szCs w:val="21"/>
              </w:rPr>
              <w:t>年</w:t>
            </w:r>
            <w:r w:rsidRPr="00A3398F">
              <w:rPr>
                <w:rFonts w:eastAsiaTheme="minorEastAsia"/>
                <w:color w:val="000000" w:themeColor="text1"/>
                <w:szCs w:val="21"/>
              </w:rPr>
              <w:t>10</w:t>
            </w:r>
            <w:r w:rsidRPr="00A3398F">
              <w:rPr>
                <w:rFonts w:eastAsiaTheme="minorEastAsia"/>
                <w:color w:val="000000" w:themeColor="text1"/>
                <w:szCs w:val="21"/>
              </w:rPr>
              <w:t>月</w:t>
            </w:r>
            <w:r w:rsidRPr="00A3398F">
              <w:rPr>
                <w:rFonts w:eastAsiaTheme="minorEastAsia"/>
                <w:color w:val="000000" w:themeColor="text1"/>
                <w:szCs w:val="21"/>
              </w:rPr>
              <w:t>1</w:t>
            </w:r>
            <w:r w:rsidRPr="00A3398F">
              <w:rPr>
                <w:rFonts w:eastAsiaTheme="minorEastAsia"/>
                <w:color w:val="000000" w:themeColor="text1"/>
                <w:szCs w:val="21"/>
              </w:rPr>
              <w:t>日</w:t>
            </w:r>
            <w:r w:rsidRPr="00A3398F">
              <w:rPr>
                <w:rFonts w:eastAsiaTheme="minorEastAsia"/>
                <w:color w:val="000000" w:themeColor="text1"/>
                <w:szCs w:val="21"/>
              </w:rPr>
              <w:t>-2023</w:t>
            </w:r>
            <w:r w:rsidRPr="00A3398F">
              <w:rPr>
                <w:rFonts w:eastAsiaTheme="minorEastAsia"/>
                <w:color w:val="000000" w:themeColor="text1"/>
                <w:szCs w:val="21"/>
              </w:rPr>
              <w:t>年</w:t>
            </w:r>
            <w:r w:rsidRPr="00A3398F">
              <w:rPr>
                <w:rFonts w:eastAsiaTheme="minorEastAsia"/>
                <w:color w:val="000000" w:themeColor="text1"/>
                <w:szCs w:val="21"/>
              </w:rPr>
              <w:t>12</w:t>
            </w:r>
            <w:r w:rsidRPr="00A3398F">
              <w:rPr>
                <w:rFonts w:eastAsiaTheme="minorEastAsia"/>
                <w:color w:val="000000" w:themeColor="text1"/>
                <w:szCs w:val="21"/>
              </w:rPr>
              <w:t>月</w:t>
            </w:r>
            <w:r w:rsidRPr="00A3398F">
              <w:rPr>
                <w:rFonts w:eastAsiaTheme="minorEastAsia"/>
                <w:color w:val="000000" w:themeColor="text1"/>
                <w:szCs w:val="21"/>
              </w:rPr>
              <w:t>31</w:t>
            </w:r>
            <w:r w:rsidRPr="00A3398F">
              <w:rPr>
                <w:rFonts w:eastAsiaTheme="minorEastAsia"/>
                <w:color w:val="000000" w:themeColor="text1"/>
                <w:szCs w:val="21"/>
              </w:rPr>
              <w:t>日</w:t>
            </w:r>
            <w:r w:rsidRPr="00A3398F">
              <w:rPr>
                <w:rFonts w:eastAsiaTheme="minorEastAsia"/>
                <w:color w:val="000000" w:themeColor="text1"/>
                <w:szCs w:val="21"/>
              </w:rPr>
              <w:t>)</w:t>
            </w:r>
          </w:p>
        </w:tc>
      </w:tr>
      <w:tr w:rsidR="00225051" w:rsidRPr="00A3398F" w:rsidTr="00845292">
        <w:tc>
          <w:tcPr>
            <w:tcW w:w="3402" w:type="dxa"/>
            <w:vMerge/>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p>
        </w:tc>
        <w:tc>
          <w:tcPr>
            <w:tcW w:w="2481" w:type="dxa"/>
            <w:vAlign w:val="center"/>
          </w:tcPr>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摩根恒生科技</w:t>
            </w:r>
            <w:r w:rsidRPr="00A3398F">
              <w:rPr>
                <w:rFonts w:eastAsiaTheme="minorEastAsia"/>
                <w:color w:val="000000" w:themeColor="text1"/>
                <w:szCs w:val="21"/>
              </w:rPr>
              <w:t>ETF</w:t>
            </w:r>
            <w:r w:rsidRPr="00A3398F">
              <w:rPr>
                <w:rFonts w:eastAsiaTheme="minorEastAsia"/>
                <w:color w:val="000000" w:themeColor="text1"/>
                <w:szCs w:val="21"/>
              </w:rPr>
              <w:t>发起式联接</w:t>
            </w:r>
            <w:r w:rsidRPr="00A3398F">
              <w:rPr>
                <w:rFonts w:eastAsiaTheme="minorEastAsia"/>
                <w:color w:val="000000" w:themeColor="text1"/>
                <w:szCs w:val="21"/>
              </w:rPr>
              <w:t>(QDII)A</w:t>
            </w:r>
          </w:p>
        </w:tc>
        <w:tc>
          <w:tcPr>
            <w:tcW w:w="2481" w:type="dxa"/>
            <w:vAlign w:val="center"/>
          </w:tcPr>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摩根恒生科技</w:t>
            </w:r>
            <w:r w:rsidRPr="00A3398F">
              <w:rPr>
                <w:rFonts w:eastAsiaTheme="minorEastAsia"/>
                <w:color w:val="000000" w:themeColor="text1"/>
                <w:szCs w:val="21"/>
              </w:rPr>
              <w:t>ETF</w:t>
            </w:r>
            <w:r w:rsidRPr="00A3398F">
              <w:rPr>
                <w:rFonts w:eastAsiaTheme="minorEastAsia"/>
                <w:color w:val="000000" w:themeColor="text1"/>
                <w:szCs w:val="21"/>
              </w:rPr>
              <w:t>发起式联接</w:t>
            </w:r>
            <w:r w:rsidRPr="00A3398F">
              <w:rPr>
                <w:rFonts w:eastAsiaTheme="minorEastAsia"/>
                <w:color w:val="000000" w:themeColor="text1"/>
                <w:szCs w:val="21"/>
              </w:rPr>
              <w:t>(QDII)C</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1.</w:t>
            </w:r>
            <w:r w:rsidRPr="00A3398F">
              <w:rPr>
                <w:rFonts w:eastAsiaTheme="minorEastAsia"/>
                <w:color w:val="000000" w:themeColor="text1"/>
                <w:kern w:val="0"/>
                <w:szCs w:val="21"/>
              </w:rPr>
              <w:t>本期已实现收益</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-17,049.64</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-186,800.11</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2.</w:t>
            </w:r>
            <w:r w:rsidRPr="00A3398F">
              <w:rPr>
                <w:rFonts w:eastAsiaTheme="minorEastAsia"/>
                <w:color w:val="000000" w:themeColor="text1"/>
                <w:kern w:val="0"/>
                <w:szCs w:val="21"/>
              </w:rPr>
              <w:t>本期利润</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-140,646.60</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-1,123,317.88</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3.</w:t>
            </w:r>
            <w:r w:rsidRPr="00A3398F">
              <w:rPr>
                <w:rFonts w:eastAsiaTheme="minorEastAsia"/>
                <w:color w:val="000000" w:themeColor="text1"/>
                <w:kern w:val="0"/>
                <w:szCs w:val="21"/>
              </w:rPr>
              <w:t>加权平均基金份额本期利润</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-0.0426</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-0.0357</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4.</w:t>
            </w:r>
            <w:r w:rsidRPr="00A3398F">
              <w:rPr>
                <w:rFonts w:eastAsiaTheme="minorEastAsia"/>
                <w:color w:val="000000" w:themeColor="text1"/>
                <w:kern w:val="0"/>
                <w:szCs w:val="21"/>
              </w:rPr>
              <w:t>期末基金资产净值</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3,443,264.52</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30,442,435.33</w:t>
            </w:r>
          </w:p>
        </w:tc>
      </w:tr>
      <w:tr w:rsidR="00225051" w:rsidRPr="00A3398F" w:rsidTr="00845292">
        <w:trPr>
          <w:trHeight w:val="158"/>
        </w:trPr>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5.</w:t>
            </w:r>
            <w:r w:rsidRPr="00A3398F">
              <w:rPr>
                <w:rFonts w:eastAsiaTheme="minorEastAsia"/>
                <w:color w:val="000000" w:themeColor="text1"/>
                <w:kern w:val="0"/>
                <w:szCs w:val="21"/>
              </w:rPr>
              <w:t>期末基金份额净值</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0.8956</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0.8944</w:t>
            </w:r>
          </w:p>
        </w:tc>
      </w:tr>
    </w:tbl>
    <w:p w:rsidR="0018319B" w:rsidRDefault="00EF5580">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本期已实现收益指基金本期利息收入、投资收益、其他收入（不含公允价值变动收益）扣除相关费用后的余额，本期利润为本期已实现收益加上本期公允价值变动收益。</w:t>
      </w:r>
    </w:p>
    <w:p w:rsidR="007D1292" w:rsidRPr="00A3398F" w:rsidRDefault="007D1292"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上述基金业绩指标不包括持有人认购或交易基金的各项费用，计入费用后实际收益水平要低于所列数字。</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3.2 </w:t>
      </w:r>
      <w:r w:rsidRPr="00A3398F">
        <w:rPr>
          <w:rFonts w:eastAsiaTheme="minorEastAsia"/>
          <w:b/>
          <w:color w:val="000000" w:themeColor="text1"/>
          <w:kern w:val="0"/>
          <w:sz w:val="24"/>
        </w:rPr>
        <w:t>基金净值表现</w:t>
      </w: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A3398F">
          <w:rPr>
            <w:rFonts w:eastAsiaTheme="minorEastAsia"/>
            <w:b/>
            <w:color w:val="000000" w:themeColor="text1"/>
            <w:kern w:val="0"/>
            <w:sz w:val="24"/>
          </w:rPr>
          <w:t>3.2.1</w:t>
        </w:r>
      </w:smartTag>
      <w:r w:rsidRPr="00A3398F">
        <w:rPr>
          <w:rFonts w:eastAsiaTheme="minorEastAsia"/>
          <w:b/>
          <w:color w:val="000000" w:themeColor="text1"/>
          <w:kern w:val="0"/>
          <w:sz w:val="24"/>
        </w:rPr>
        <w:t>本报告期基金份额净值增长率及其与同期业绩比较基准收益率的比较</w:t>
      </w:r>
    </w:p>
    <w:p w:rsidR="0065601A" w:rsidRPr="00A3398F" w:rsidRDefault="0065601A" w:rsidP="0065601A">
      <w:pPr>
        <w:spacing w:line="360" w:lineRule="auto"/>
        <w:rPr>
          <w:rFonts w:eastAsiaTheme="minorEastAsia"/>
          <w:b/>
          <w:color w:val="000000" w:themeColor="text1"/>
          <w:szCs w:val="21"/>
        </w:rPr>
      </w:pPr>
      <w:r w:rsidRPr="00A3398F">
        <w:rPr>
          <w:rFonts w:eastAsiaTheme="minorEastAsia"/>
          <w:b/>
          <w:color w:val="000000" w:themeColor="text1"/>
          <w:szCs w:val="21"/>
        </w:rPr>
        <w:lastRenderedPageBreak/>
        <w:t>1</w:t>
      </w:r>
      <w:r w:rsidRPr="00A3398F">
        <w:rPr>
          <w:rFonts w:eastAsiaTheme="minorEastAsia"/>
          <w:b/>
          <w:color w:val="000000" w:themeColor="text1"/>
          <w:szCs w:val="21"/>
        </w:rPr>
        <w:t>、</w:t>
      </w:r>
      <w:r w:rsidRPr="00A3398F">
        <w:rPr>
          <w:rFonts w:eastAsiaTheme="minorEastAsia"/>
          <w:b/>
          <w:color w:val="000000" w:themeColor="text1"/>
          <w:kern w:val="0"/>
          <w:szCs w:val="21"/>
        </w:rPr>
        <w:t>摩根恒生科技</w:t>
      </w:r>
      <w:r w:rsidRPr="00A3398F">
        <w:rPr>
          <w:rFonts w:eastAsiaTheme="minorEastAsia"/>
          <w:b/>
          <w:color w:val="000000" w:themeColor="text1"/>
          <w:kern w:val="0"/>
          <w:szCs w:val="21"/>
        </w:rPr>
        <w:t>ETF</w:t>
      </w:r>
      <w:r w:rsidRPr="00A3398F">
        <w:rPr>
          <w:rFonts w:eastAsiaTheme="minorEastAsia"/>
          <w:b/>
          <w:color w:val="000000" w:themeColor="text1"/>
          <w:kern w:val="0"/>
          <w:szCs w:val="21"/>
        </w:rPr>
        <w:t>发起式联接</w:t>
      </w:r>
      <w:r w:rsidRPr="00A3398F">
        <w:rPr>
          <w:rFonts w:eastAsiaTheme="minorEastAsia"/>
          <w:b/>
          <w:color w:val="000000" w:themeColor="text1"/>
          <w:kern w:val="0"/>
          <w:szCs w:val="21"/>
        </w:rPr>
        <w:t>(QDII)A</w:t>
      </w:r>
      <w:r w:rsidRPr="00A3398F">
        <w:rPr>
          <w:rFonts w:eastAsiaTheme="minorEastAsia"/>
          <w:b/>
          <w:color w:val="000000" w:themeColor="text1"/>
          <w:szCs w:val="21"/>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3398F" w:rsidTr="00845292">
        <w:tc>
          <w:tcPr>
            <w:tcW w:w="1290"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阶段</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净值增长率</w:t>
            </w:r>
            <w:r w:rsidRPr="00A3398F">
              <w:rPr>
                <w:rFonts w:ascii="宋体" w:hAnsi="宋体" w:cs="宋体" w:hint="eastAsia"/>
                <w:color w:val="000000" w:themeColor="text1"/>
                <w:szCs w:val="21"/>
              </w:rPr>
              <w:t>①</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净值增长率标准差</w:t>
            </w:r>
            <w:r w:rsidRPr="00A3398F">
              <w:rPr>
                <w:rFonts w:ascii="宋体" w:hAnsi="宋体" w:cs="宋体" w:hint="eastAsia"/>
                <w:color w:val="000000" w:themeColor="text1"/>
                <w:szCs w:val="21"/>
              </w:rPr>
              <w:t>②</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业绩比较基准收益率标准差</w:t>
            </w:r>
            <w:r w:rsidRPr="00A3398F">
              <w:rPr>
                <w:rFonts w:ascii="宋体" w:hAnsi="宋体" w:cs="宋体" w:hint="eastAsia"/>
                <w:color w:val="000000" w:themeColor="text1"/>
                <w:szCs w:val="21"/>
              </w:rPr>
              <w:t>④</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①</w:t>
            </w:r>
            <w:r w:rsidRPr="00A3398F">
              <w:rPr>
                <w:rFonts w:eastAsiaTheme="minorEastAsia"/>
                <w:color w:val="000000" w:themeColor="text1"/>
                <w:szCs w:val="21"/>
              </w:rPr>
              <w:t>－</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②</w:t>
            </w:r>
            <w:r w:rsidRPr="00A3398F">
              <w:rPr>
                <w:rFonts w:eastAsiaTheme="minorEastAsia"/>
                <w:color w:val="000000" w:themeColor="text1"/>
                <w:szCs w:val="21"/>
              </w:rPr>
              <w:t>－</w:t>
            </w:r>
            <w:r w:rsidRPr="00A3398F">
              <w:rPr>
                <w:rFonts w:ascii="宋体" w:hAnsi="宋体" w:cs="宋体" w:hint="eastAsia"/>
                <w:color w:val="000000" w:themeColor="text1"/>
                <w:szCs w:val="21"/>
              </w:rPr>
              <w:t>④</w:t>
            </w:r>
          </w:p>
        </w:tc>
      </w:tr>
      <w:tr w:rsidR="0018319B">
        <w:tc>
          <w:tcPr>
            <w:tcW w:w="1290" w:type="dxa"/>
            <w:vAlign w:val="center"/>
          </w:tcPr>
          <w:p w:rsidR="0018319B" w:rsidRDefault="00EF5580">
            <w:pPr>
              <w:jc w:val="left"/>
            </w:pPr>
            <w:r>
              <w:rPr>
                <w:rFonts w:eastAsiaTheme="minorEastAsia"/>
                <w:color w:val="000000" w:themeColor="text1"/>
                <w:szCs w:val="21"/>
              </w:rPr>
              <w:t>过去三个月</w:t>
            </w:r>
          </w:p>
        </w:tc>
        <w:tc>
          <w:tcPr>
            <w:tcW w:w="1291" w:type="dxa"/>
            <w:vAlign w:val="center"/>
          </w:tcPr>
          <w:p w:rsidR="0018319B" w:rsidRDefault="00EF5580">
            <w:pPr>
              <w:jc w:val="right"/>
            </w:pPr>
            <w:r>
              <w:rPr>
                <w:rFonts w:eastAsiaTheme="minorEastAsia"/>
                <w:color w:val="000000" w:themeColor="text1"/>
                <w:szCs w:val="21"/>
              </w:rPr>
              <w:t>-4.21%</w:t>
            </w:r>
          </w:p>
        </w:tc>
        <w:tc>
          <w:tcPr>
            <w:tcW w:w="1291" w:type="dxa"/>
            <w:vAlign w:val="center"/>
          </w:tcPr>
          <w:p w:rsidR="0018319B" w:rsidRDefault="00EF5580">
            <w:pPr>
              <w:jc w:val="right"/>
            </w:pPr>
            <w:r>
              <w:rPr>
                <w:rFonts w:eastAsiaTheme="minorEastAsia"/>
                <w:color w:val="000000" w:themeColor="text1"/>
                <w:szCs w:val="21"/>
              </w:rPr>
              <w:t>1.81%</w:t>
            </w:r>
          </w:p>
        </w:tc>
        <w:tc>
          <w:tcPr>
            <w:tcW w:w="1291" w:type="dxa"/>
            <w:vAlign w:val="center"/>
          </w:tcPr>
          <w:p w:rsidR="0018319B" w:rsidRDefault="00EF5580">
            <w:pPr>
              <w:jc w:val="right"/>
            </w:pPr>
            <w:r>
              <w:rPr>
                <w:rFonts w:eastAsiaTheme="minorEastAsia"/>
                <w:color w:val="000000" w:themeColor="text1"/>
                <w:szCs w:val="21"/>
              </w:rPr>
              <w:t>-4.91%</w:t>
            </w:r>
          </w:p>
        </w:tc>
        <w:tc>
          <w:tcPr>
            <w:tcW w:w="1291" w:type="dxa"/>
            <w:vAlign w:val="center"/>
          </w:tcPr>
          <w:p w:rsidR="0018319B" w:rsidRDefault="00EF5580">
            <w:pPr>
              <w:jc w:val="right"/>
            </w:pPr>
            <w:r>
              <w:rPr>
                <w:rFonts w:eastAsiaTheme="minorEastAsia"/>
                <w:color w:val="000000" w:themeColor="text1"/>
                <w:szCs w:val="21"/>
              </w:rPr>
              <w:t>1.87%</w:t>
            </w:r>
          </w:p>
        </w:tc>
        <w:tc>
          <w:tcPr>
            <w:tcW w:w="1291" w:type="dxa"/>
            <w:vAlign w:val="center"/>
          </w:tcPr>
          <w:p w:rsidR="0018319B" w:rsidRDefault="00EF5580">
            <w:pPr>
              <w:jc w:val="right"/>
            </w:pPr>
            <w:r>
              <w:rPr>
                <w:rFonts w:eastAsiaTheme="minorEastAsia"/>
                <w:color w:val="000000" w:themeColor="text1"/>
                <w:szCs w:val="21"/>
              </w:rPr>
              <w:t>0.70%</w:t>
            </w:r>
          </w:p>
        </w:tc>
        <w:tc>
          <w:tcPr>
            <w:tcW w:w="1291" w:type="dxa"/>
            <w:vAlign w:val="center"/>
          </w:tcPr>
          <w:p w:rsidR="0018319B" w:rsidRDefault="00EF5580">
            <w:pPr>
              <w:jc w:val="right"/>
            </w:pPr>
            <w:r>
              <w:rPr>
                <w:rFonts w:eastAsiaTheme="minorEastAsia"/>
                <w:color w:val="000000" w:themeColor="text1"/>
                <w:szCs w:val="21"/>
              </w:rPr>
              <w:t>-0.06%</w:t>
            </w:r>
          </w:p>
        </w:tc>
      </w:tr>
      <w:tr w:rsidR="0018319B">
        <w:tc>
          <w:tcPr>
            <w:tcW w:w="1290" w:type="dxa"/>
            <w:vAlign w:val="center"/>
          </w:tcPr>
          <w:p w:rsidR="0018319B" w:rsidRDefault="00EF5580">
            <w:pPr>
              <w:jc w:val="left"/>
            </w:pPr>
            <w:r>
              <w:rPr>
                <w:rFonts w:eastAsiaTheme="minorEastAsia"/>
                <w:color w:val="000000" w:themeColor="text1"/>
                <w:szCs w:val="21"/>
              </w:rPr>
              <w:t>过去六个月</w:t>
            </w:r>
          </w:p>
        </w:tc>
        <w:tc>
          <w:tcPr>
            <w:tcW w:w="1291" w:type="dxa"/>
            <w:vAlign w:val="center"/>
          </w:tcPr>
          <w:p w:rsidR="0018319B" w:rsidRDefault="00EF5580">
            <w:pPr>
              <w:jc w:val="right"/>
            </w:pPr>
            <w:r>
              <w:rPr>
                <w:rFonts w:eastAsiaTheme="minorEastAsia"/>
                <w:color w:val="000000" w:themeColor="text1"/>
                <w:szCs w:val="21"/>
              </w:rPr>
              <w:t>-</w:t>
            </w:r>
          </w:p>
        </w:tc>
        <w:tc>
          <w:tcPr>
            <w:tcW w:w="1291" w:type="dxa"/>
            <w:vAlign w:val="center"/>
          </w:tcPr>
          <w:p w:rsidR="0018319B" w:rsidRDefault="00EF5580">
            <w:pPr>
              <w:jc w:val="right"/>
            </w:pPr>
            <w:r>
              <w:rPr>
                <w:rFonts w:eastAsiaTheme="minorEastAsia"/>
                <w:color w:val="000000" w:themeColor="text1"/>
                <w:szCs w:val="21"/>
              </w:rPr>
              <w:t>-</w:t>
            </w:r>
          </w:p>
        </w:tc>
        <w:tc>
          <w:tcPr>
            <w:tcW w:w="1291" w:type="dxa"/>
            <w:vAlign w:val="center"/>
          </w:tcPr>
          <w:p w:rsidR="0018319B" w:rsidRDefault="00EF5580">
            <w:pPr>
              <w:jc w:val="right"/>
            </w:pPr>
            <w:r>
              <w:rPr>
                <w:rFonts w:eastAsiaTheme="minorEastAsia"/>
                <w:color w:val="000000" w:themeColor="text1"/>
                <w:szCs w:val="21"/>
              </w:rPr>
              <w:t>-</w:t>
            </w:r>
          </w:p>
        </w:tc>
        <w:tc>
          <w:tcPr>
            <w:tcW w:w="1291" w:type="dxa"/>
            <w:vAlign w:val="center"/>
          </w:tcPr>
          <w:p w:rsidR="0018319B" w:rsidRDefault="00EF5580">
            <w:pPr>
              <w:jc w:val="right"/>
            </w:pPr>
            <w:r>
              <w:rPr>
                <w:rFonts w:eastAsiaTheme="minorEastAsia"/>
                <w:color w:val="000000" w:themeColor="text1"/>
                <w:szCs w:val="21"/>
              </w:rPr>
              <w:t>-</w:t>
            </w:r>
          </w:p>
        </w:tc>
        <w:tc>
          <w:tcPr>
            <w:tcW w:w="1291" w:type="dxa"/>
            <w:vAlign w:val="center"/>
          </w:tcPr>
          <w:p w:rsidR="0018319B" w:rsidRDefault="00EF5580">
            <w:pPr>
              <w:jc w:val="right"/>
            </w:pPr>
            <w:r>
              <w:rPr>
                <w:rFonts w:eastAsiaTheme="minorEastAsia"/>
                <w:color w:val="000000" w:themeColor="text1"/>
                <w:szCs w:val="21"/>
              </w:rPr>
              <w:t>-</w:t>
            </w:r>
          </w:p>
        </w:tc>
        <w:tc>
          <w:tcPr>
            <w:tcW w:w="1291" w:type="dxa"/>
            <w:vAlign w:val="center"/>
          </w:tcPr>
          <w:p w:rsidR="0018319B" w:rsidRDefault="00EF5580">
            <w:pPr>
              <w:jc w:val="right"/>
            </w:pPr>
            <w:r>
              <w:rPr>
                <w:rFonts w:eastAsiaTheme="minorEastAsia"/>
                <w:color w:val="000000" w:themeColor="text1"/>
                <w:szCs w:val="21"/>
              </w:rPr>
              <w:t>-</w:t>
            </w:r>
          </w:p>
        </w:tc>
      </w:tr>
      <w:tr w:rsidR="0018319B">
        <w:tc>
          <w:tcPr>
            <w:tcW w:w="1290" w:type="dxa"/>
            <w:vAlign w:val="center"/>
          </w:tcPr>
          <w:p w:rsidR="0018319B" w:rsidRDefault="00EF5580">
            <w:pPr>
              <w:jc w:val="left"/>
            </w:pPr>
            <w:r>
              <w:rPr>
                <w:rFonts w:eastAsiaTheme="minorEastAsia"/>
                <w:color w:val="000000" w:themeColor="text1"/>
                <w:szCs w:val="21"/>
              </w:rPr>
              <w:t>过去一年</w:t>
            </w:r>
          </w:p>
        </w:tc>
        <w:tc>
          <w:tcPr>
            <w:tcW w:w="1291" w:type="dxa"/>
            <w:vAlign w:val="center"/>
          </w:tcPr>
          <w:p w:rsidR="0018319B" w:rsidRDefault="00EF5580">
            <w:pPr>
              <w:jc w:val="right"/>
            </w:pPr>
            <w:r>
              <w:rPr>
                <w:rFonts w:eastAsiaTheme="minorEastAsia"/>
                <w:color w:val="000000" w:themeColor="text1"/>
                <w:szCs w:val="21"/>
              </w:rPr>
              <w:t>-</w:t>
            </w:r>
          </w:p>
        </w:tc>
        <w:tc>
          <w:tcPr>
            <w:tcW w:w="1291" w:type="dxa"/>
            <w:vAlign w:val="center"/>
          </w:tcPr>
          <w:p w:rsidR="0018319B" w:rsidRDefault="00EF5580">
            <w:pPr>
              <w:jc w:val="right"/>
            </w:pPr>
            <w:r>
              <w:rPr>
                <w:rFonts w:eastAsiaTheme="minorEastAsia"/>
                <w:color w:val="000000" w:themeColor="text1"/>
                <w:szCs w:val="21"/>
              </w:rPr>
              <w:t>-</w:t>
            </w:r>
          </w:p>
        </w:tc>
        <w:tc>
          <w:tcPr>
            <w:tcW w:w="1291" w:type="dxa"/>
            <w:vAlign w:val="center"/>
          </w:tcPr>
          <w:p w:rsidR="0018319B" w:rsidRDefault="00EF5580">
            <w:pPr>
              <w:jc w:val="right"/>
            </w:pPr>
            <w:r>
              <w:rPr>
                <w:rFonts w:eastAsiaTheme="minorEastAsia"/>
                <w:color w:val="000000" w:themeColor="text1"/>
                <w:szCs w:val="21"/>
              </w:rPr>
              <w:t>-</w:t>
            </w:r>
          </w:p>
        </w:tc>
        <w:tc>
          <w:tcPr>
            <w:tcW w:w="1291" w:type="dxa"/>
            <w:vAlign w:val="center"/>
          </w:tcPr>
          <w:p w:rsidR="0018319B" w:rsidRDefault="00EF5580">
            <w:pPr>
              <w:jc w:val="right"/>
            </w:pPr>
            <w:r>
              <w:rPr>
                <w:rFonts w:eastAsiaTheme="minorEastAsia"/>
                <w:color w:val="000000" w:themeColor="text1"/>
                <w:szCs w:val="21"/>
              </w:rPr>
              <w:t>-</w:t>
            </w:r>
          </w:p>
        </w:tc>
        <w:tc>
          <w:tcPr>
            <w:tcW w:w="1291" w:type="dxa"/>
            <w:vAlign w:val="center"/>
          </w:tcPr>
          <w:p w:rsidR="0018319B" w:rsidRDefault="00EF5580">
            <w:pPr>
              <w:jc w:val="right"/>
            </w:pPr>
            <w:r>
              <w:rPr>
                <w:rFonts w:eastAsiaTheme="minorEastAsia"/>
                <w:color w:val="000000" w:themeColor="text1"/>
                <w:szCs w:val="21"/>
              </w:rPr>
              <w:t>-</w:t>
            </w:r>
          </w:p>
        </w:tc>
        <w:tc>
          <w:tcPr>
            <w:tcW w:w="1291" w:type="dxa"/>
            <w:vAlign w:val="center"/>
          </w:tcPr>
          <w:p w:rsidR="0018319B" w:rsidRDefault="00EF5580">
            <w:pPr>
              <w:jc w:val="right"/>
            </w:pPr>
            <w:r>
              <w:rPr>
                <w:rFonts w:eastAsiaTheme="minorEastAsia"/>
                <w:color w:val="000000" w:themeColor="text1"/>
                <w:szCs w:val="21"/>
              </w:rPr>
              <w:t>-</w:t>
            </w:r>
          </w:p>
        </w:tc>
      </w:tr>
      <w:tr w:rsidR="0018319B">
        <w:tc>
          <w:tcPr>
            <w:tcW w:w="1290" w:type="dxa"/>
            <w:vAlign w:val="center"/>
          </w:tcPr>
          <w:p w:rsidR="0018319B" w:rsidRDefault="00EF5580">
            <w:pPr>
              <w:jc w:val="left"/>
            </w:pPr>
            <w:r>
              <w:rPr>
                <w:rFonts w:eastAsiaTheme="minorEastAsia"/>
                <w:color w:val="000000" w:themeColor="text1"/>
                <w:szCs w:val="21"/>
              </w:rPr>
              <w:t>过去三年</w:t>
            </w:r>
          </w:p>
        </w:tc>
        <w:tc>
          <w:tcPr>
            <w:tcW w:w="1291" w:type="dxa"/>
            <w:vAlign w:val="center"/>
          </w:tcPr>
          <w:p w:rsidR="0018319B" w:rsidRDefault="00EF5580">
            <w:pPr>
              <w:jc w:val="right"/>
            </w:pPr>
            <w:r>
              <w:rPr>
                <w:rFonts w:eastAsiaTheme="minorEastAsia"/>
                <w:color w:val="000000" w:themeColor="text1"/>
                <w:szCs w:val="21"/>
              </w:rPr>
              <w:t>-</w:t>
            </w:r>
          </w:p>
        </w:tc>
        <w:tc>
          <w:tcPr>
            <w:tcW w:w="1291" w:type="dxa"/>
            <w:vAlign w:val="center"/>
          </w:tcPr>
          <w:p w:rsidR="0018319B" w:rsidRDefault="00EF5580">
            <w:pPr>
              <w:jc w:val="right"/>
            </w:pPr>
            <w:r>
              <w:rPr>
                <w:rFonts w:eastAsiaTheme="minorEastAsia"/>
                <w:color w:val="000000" w:themeColor="text1"/>
                <w:szCs w:val="21"/>
              </w:rPr>
              <w:t>-</w:t>
            </w:r>
          </w:p>
        </w:tc>
        <w:tc>
          <w:tcPr>
            <w:tcW w:w="1291" w:type="dxa"/>
            <w:vAlign w:val="center"/>
          </w:tcPr>
          <w:p w:rsidR="0018319B" w:rsidRDefault="00EF5580">
            <w:pPr>
              <w:jc w:val="right"/>
            </w:pPr>
            <w:r>
              <w:rPr>
                <w:rFonts w:eastAsiaTheme="minorEastAsia"/>
                <w:color w:val="000000" w:themeColor="text1"/>
                <w:szCs w:val="21"/>
              </w:rPr>
              <w:t>-</w:t>
            </w:r>
          </w:p>
        </w:tc>
        <w:tc>
          <w:tcPr>
            <w:tcW w:w="1291" w:type="dxa"/>
            <w:vAlign w:val="center"/>
          </w:tcPr>
          <w:p w:rsidR="0018319B" w:rsidRDefault="00EF5580">
            <w:pPr>
              <w:jc w:val="right"/>
            </w:pPr>
            <w:r>
              <w:rPr>
                <w:rFonts w:eastAsiaTheme="minorEastAsia"/>
                <w:color w:val="000000" w:themeColor="text1"/>
                <w:szCs w:val="21"/>
              </w:rPr>
              <w:t>-</w:t>
            </w:r>
          </w:p>
        </w:tc>
        <w:tc>
          <w:tcPr>
            <w:tcW w:w="1291" w:type="dxa"/>
            <w:vAlign w:val="center"/>
          </w:tcPr>
          <w:p w:rsidR="0018319B" w:rsidRDefault="00EF5580">
            <w:pPr>
              <w:jc w:val="right"/>
            </w:pPr>
            <w:r>
              <w:rPr>
                <w:rFonts w:eastAsiaTheme="minorEastAsia"/>
                <w:color w:val="000000" w:themeColor="text1"/>
                <w:szCs w:val="21"/>
              </w:rPr>
              <w:t>-</w:t>
            </w:r>
          </w:p>
        </w:tc>
        <w:tc>
          <w:tcPr>
            <w:tcW w:w="1291" w:type="dxa"/>
            <w:vAlign w:val="center"/>
          </w:tcPr>
          <w:p w:rsidR="0018319B" w:rsidRDefault="00EF5580">
            <w:pPr>
              <w:jc w:val="right"/>
            </w:pPr>
            <w:r>
              <w:rPr>
                <w:rFonts w:eastAsiaTheme="minorEastAsia"/>
                <w:color w:val="000000" w:themeColor="text1"/>
                <w:szCs w:val="21"/>
              </w:rPr>
              <w:t>-</w:t>
            </w:r>
          </w:p>
        </w:tc>
      </w:tr>
      <w:tr w:rsidR="0018319B">
        <w:tc>
          <w:tcPr>
            <w:tcW w:w="1290" w:type="dxa"/>
            <w:vAlign w:val="center"/>
          </w:tcPr>
          <w:p w:rsidR="0018319B" w:rsidRDefault="00EF5580">
            <w:pPr>
              <w:jc w:val="left"/>
            </w:pPr>
            <w:r>
              <w:rPr>
                <w:rFonts w:eastAsiaTheme="minorEastAsia"/>
                <w:color w:val="000000" w:themeColor="text1"/>
                <w:szCs w:val="21"/>
              </w:rPr>
              <w:t>过去五年</w:t>
            </w:r>
          </w:p>
        </w:tc>
        <w:tc>
          <w:tcPr>
            <w:tcW w:w="1291" w:type="dxa"/>
            <w:vAlign w:val="center"/>
          </w:tcPr>
          <w:p w:rsidR="0018319B" w:rsidRDefault="00EF5580">
            <w:pPr>
              <w:jc w:val="right"/>
            </w:pPr>
            <w:r>
              <w:rPr>
                <w:rFonts w:eastAsiaTheme="minorEastAsia"/>
                <w:color w:val="000000" w:themeColor="text1"/>
                <w:szCs w:val="21"/>
              </w:rPr>
              <w:t>-</w:t>
            </w:r>
          </w:p>
        </w:tc>
        <w:tc>
          <w:tcPr>
            <w:tcW w:w="1291" w:type="dxa"/>
            <w:vAlign w:val="center"/>
          </w:tcPr>
          <w:p w:rsidR="0018319B" w:rsidRDefault="00EF5580">
            <w:pPr>
              <w:jc w:val="right"/>
            </w:pPr>
            <w:r>
              <w:rPr>
                <w:rFonts w:eastAsiaTheme="minorEastAsia"/>
                <w:color w:val="000000" w:themeColor="text1"/>
                <w:szCs w:val="21"/>
              </w:rPr>
              <w:t>-</w:t>
            </w:r>
          </w:p>
        </w:tc>
        <w:tc>
          <w:tcPr>
            <w:tcW w:w="1291" w:type="dxa"/>
            <w:vAlign w:val="center"/>
          </w:tcPr>
          <w:p w:rsidR="0018319B" w:rsidRDefault="00EF5580">
            <w:pPr>
              <w:jc w:val="right"/>
            </w:pPr>
            <w:r>
              <w:rPr>
                <w:rFonts w:eastAsiaTheme="minorEastAsia"/>
                <w:color w:val="000000" w:themeColor="text1"/>
                <w:szCs w:val="21"/>
              </w:rPr>
              <w:t>-</w:t>
            </w:r>
          </w:p>
        </w:tc>
        <w:tc>
          <w:tcPr>
            <w:tcW w:w="1291" w:type="dxa"/>
            <w:vAlign w:val="center"/>
          </w:tcPr>
          <w:p w:rsidR="0018319B" w:rsidRDefault="00EF5580">
            <w:pPr>
              <w:jc w:val="right"/>
            </w:pPr>
            <w:r>
              <w:rPr>
                <w:rFonts w:eastAsiaTheme="minorEastAsia"/>
                <w:color w:val="000000" w:themeColor="text1"/>
                <w:szCs w:val="21"/>
              </w:rPr>
              <w:t>-</w:t>
            </w:r>
          </w:p>
        </w:tc>
        <w:tc>
          <w:tcPr>
            <w:tcW w:w="1291" w:type="dxa"/>
            <w:vAlign w:val="center"/>
          </w:tcPr>
          <w:p w:rsidR="0018319B" w:rsidRDefault="00EF5580">
            <w:pPr>
              <w:jc w:val="right"/>
            </w:pPr>
            <w:r>
              <w:rPr>
                <w:rFonts w:eastAsiaTheme="minorEastAsia"/>
                <w:color w:val="000000" w:themeColor="text1"/>
                <w:szCs w:val="21"/>
              </w:rPr>
              <w:t>-</w:t>
            </w:r>
          </w:p>
        </w:tc>
        <w:tc>
          <w:tcPr>
            <w:tcW w:w="1291" w:type="dxa"/>
            <w:vAlign w:val="center"/>
          </w:tcPr>
          <w:p w:rsidR="0018319B" w:rsidRDefault="00EF5580">
            <w:pPr>
              <w:jc w:val="right"/>
            </w:pPr>
            <w:r>
              <w:rPr>
                <w:rFonts w:eastAsiaTheme="minorEastAsia"/>
                <w:color w:val="000000" w:themeColor="text1"/>
                <w:szCs w:val="21"/>
              </w:rPr>
              <w:t>-</w:t>
            </w:r>
          </w:p>
        </w:tc>
      </w:tr>
      <w:tr w:rsidR="0018319B">
        <w:tc>
          <w:tcPr>
            <w:tcW w:w="1290" w:type="dxa"/>
            <w:vAlign w:val="center"/>
          </w:tcPr>
          <w:p w:rsidR="0018319B" w:rsidRDefault="00EF5580">
            <w:pPr>
              <w:jc w:val="left"/>
            </w:pPr>
            <w:r>
              <w:rPr>
                <w:rFonts w:eastAsiaTheme="minorEastAsia"/>
                <w:color w:val="000000" w:themeColor="text1"/>
                <w:szCs w:val="21"/>
              </w:rPr>
              <w:t>自基金合同生效起至今</w:t>
            </w:r>
          </w:p>
        </w:tc>
        <w:tc>
          <w:tcPr>
            <w:tcW w:w="1291" w:type="dxa"/>
            <w:vAlign w:val="center"/>
          </w:tcPr>
          <w:p w:rsidR="0018319B" w:rsidRDefault="00EF5580">
            <w:pPr>
              <w:jc w:val="right"/>
            </w:pPr>
            <w:r>
              <w:rPr>
                <w:rFonts w:eastAsiaTheme="minorEastAsia"/>
                <w:color w:val="000000" w:themeColor="text1"/>
                <w:szCs w:val="21"/>
              </w:rPr>
              <w:t>-10.43%</w:t>
            </w:r>
          </w:p>
        </w:tc>
        <w:tc>
          <w:tcPr>
            <w:tcW w:w="1291" w:type="dxa"/>
            <w:vAlign w:val="center"/>
          </w:tcPr>
          <w:p w:rsidR="0018319B" w:rsidRDefault="00EF5580">
            <w:pPr>
              <w:jc w:val="right"/>
            </w:pPr>
            <w:r>
              <w:rPr>
                <w:rFonts w:eastAsiaTheme="minorEastAsia"/>
                <w:color w:val="000000" w:themeColor="text1"/>
                <w:szCs w:val="21"/>
              </w:rPr>
              <w:t>1.74%</w:t>
            </w:r>
          </w:p>
        </w:tc>
        <w:tc>
          <w:tcPr>
            <w:tcW w:w="1291" w:type="dxa"/>
            <w:vAlign w:val="center"/>
          </w:tcPr>
          <w:p w:rsidR="0018319B" w:rsidRDefault="00EF5580">
            <w:pPr>
              <w:jc w:val="right"/>
            </w:pPr>
            <w:r>
              <w:rPr>
                <w:rFonts w:eastAsiaTheme="minorEastAsia"/>
                <w:color w:val="000000" w:themeColor="text1"/>
                <w:szCs w:val="21"/>
              </w:rPr>
              <w:t>-11.03%</w:t>
            </w:r>
          </w:p>
        </w:tc>
        <w:tc>
          <w:tcPr>
            <w:tcW w:w="1291" w:type="dxa"/>
            <w:vAlign w:val="center"/>
          </w:tcPr>
          <w:p w:rsidR="0018319B" w:rsidRDefault="00EF5580">
            <w:pPr>
              <w:jc w:val="right"/>
            </w:pPr>
            <w:r>
              <w:rPr>
                <w:rFonts w:eastAsiaTheme="minorEastAsia"/>
                <w:color w:val="000000" w:themeColor="text1"/>
                <w:szCs w:val="21"/>
              </w:rPr>
              <w:t>1.92%</w:t>
            </w:r>
          </w:p>
        </w:tc>
        <w:tc>
          <w:tcPr>
            <w:tcW w:w="1291" w:type="dxa"/>
            <w:vAlign w:val="center"/>
          </w:tcPr>
          <w:p w:rsidR="0018319B" w:rsidRDefault="00EF5580">
            <w:pPr>
              <w:jc w:val="right"/>
            </w:pPr>
            <w:r>
              <w:rPr>
                <w:rFonts w:eastAsiaTheme="minorEastAsia"/>
                <w:color w:val="000000" w:themeColor="text1"/>
                <w:szCs w:val="21"/>
              </w:rPr>
              <w:t>0.60%</w:t>
            </w:r>
          </w:p>
        </w:tc>
        <w:tc>
          <w:tcPr>
            <w:tcW w:w="1291" w:type="dxa"/>
            <w:vAlign w:val="center"/>
          </w:tcPr>
          <w:p w:rsidR="0018319B" w:rsidRDefault="00EF5580">
            <w:pPr>
              <w:jc w:val="right"/>
            </w:pPr>
            <w:r>
              <w:rPr>
                <w:rFonts w:eastAsiaTheme="minorEastAsia"/>
                <w:color w:val="000000" w:themeColor="text1"/>
                <w:szCs w:val="21"/>
              </w:rPr>
              <w:t>-0.18%</w:t>
            </w:r>
          </w:p>
        </w:tc>
      </w:tr>
    </w:tbl>
    <w:p w:rsidR="0065601A" w:rsidRPr="00A3398F" w:rsidRDefault="0065601A" w:rsidP="009E705F">
      <w:pPr>
        <w:adjustRightInd w:val="0"/>
        <w:spacing w:beforeLines="50" w:before="156" w:line="360" w:lineRule="auto"/>
        <w:rPr>
          <w:rFonts w:eastAsiaTheme="minorEastAsia"/>
          <w:b/>
          <w:color w:val="000000" w:themeColor="text1"/>
          <w:kern w:val="0"/>
          <w:szCs w:val="21"/>
        </w:rPr>
      </w:pPr>
      <w:r w:rsidRPr="00A3398F">
        <w:rPr>
          <w:rFonts w:eastAsiaTheme="minorEastAsia"/>
          <w:b/>
          <w:color w:val="000000" w:themeColor="text1"/>
          <w:szCs w:val="21"/>
        </w:rPr>
        <w:t>2</w:t>
      </w:r>
      <w:r w:rsidRPr="00A3398F">
        <w:rPr>
          <w:rFonts w:eastAsiaTheme="minorEastAsia"/>
          <w:b/>
          <w:color w:val="000000" w:themeColor="text1"/>
          <w:szCs w:val="21"/>
        </w:rPr>
        <w:t>、</w:t>
      </w:r>
      <w:r w:rsidRPr="00A3398F">
        <w:rPr>
          <w:rFonts w:eastAsiaTheme="minorEastAsia"/>
          <w:b/>
          <w:color w:val="000000" w:themeColor="text1"/>
          <w:kern w:val="0"/>
          <w:szCs w:val="21"/>
        </w:rPr>
        <w:t>摩根恒生科技</w:t>
      </w:r>
      <w:r w:rsidRPr="00A3398F">
        <w:rPr>
          <w:rFonts w:eastAsiaTheme="minorEastAsia"/>
          <w:b/>
          <w:color w:val="000000" w:themeColor="text1"/>
          <w:kern w:val="0"/>
          <w:szCs w:val="21"/>
        </w:rPr>
        <w:t>ETF</w:t>
      </w:r>
      <w:r w:rsidRPr="00A3398F">
        <w:rPr>
          <w:rFonts w:eastAsiaTheme="minorEastAsia"/>
          <w:b/>
          <w:color w:val="000000" w:themeColor="text1"/>
          <w:kern w:val="0"/>
          <w:szCs w:val="21"/>
        </w:rPr>
        <w:t>发起式联接</w:t>
      </w:r>
      <w:r w:rsidRPr="00A3398F">
        <w:rPr>
          <w:rFonts w:eastAsiaTheme="minorEastAsia"/>
          <w:b/>
          <w:color w:val="000000" w:themeColor="text1"/>
          <w:kern w:val="0"/>
          <w:szCs w:val="21"/>
        </w:rPr>
        <w:t>(QDII)C</w:t>
      </w:r>
      <w:r w:rsidRPr="00A3398F">
        <w:rPr>
          <w:rFonts w:eastAsiaTheme="minorEastAsia"/>
          <w:b/>
          <w:color w:val="000000" w:themeColor="text1"/>
          <w:kern w:val="0"/>
          <w:szCs w:val="21"/>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3398F" w:rsidTr="00845292">
        <w:tc>
          <w:tcPr>
            <w:tcW w:w="1290"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阶段</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highlight w:val="green"/>
              </w:rPr>
            </w:pPr>
            <w:r w:rsidRPr="00A3398F">
              <w:rPr>
                <w:rFonts w:eastAsiaTheme="minorEastAsia"/>
                <w:color w:val="000000" w:themeColor="text1"/>
                <w:szCs w:val="21"/>
              </w:rPr>
              <w:t>净值增长率</w:t>
            </w:r>
            <w:r w:rsidRPr="00A3398F">
              <w:rPr>
                <w:rFonts w:ascii="宋体" w:hAnsi="宋体" w:cs="宋体" w:hint="eastAsia"/>
                <w:color w:val="000000" w:themeColor="text1"/>
                <w:szCs w:val="21"/>
              </w:rPr>
              <w:t>①</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highlight w:val="green"/>
              </w:rPr>
            </w:pPr>
            <w:r w:rsidRPr="00A3398F">
              <w:rPr>
                <w:rFonts w:eastAsiaTheme="minorEastAsia"/>
                <w:color w:val="000000" w:themeColor="text1"/>
                <w:szCs w:val="21"/>
              </w:rPr>
              <w:t>净值增长率标准差</w:t>
            </w:r>
            <w:r w:rsidRPr="00A3398F">
              <w:rPr>
                <w:rFonts w:ascii="宋体" w:hAnsi="宋体" w:cs="宋体" w:hint="eastAsia"/>
                <w:color w:val="000000" w:themeColor="text1"/>
                <w:szCs w:val="21"/>
              </w:rPr>
              <w:t>②</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业绩比较基准收益率标准差</w:t>
            </w:r>
            <w:r w:rsidRPr="00A3398F">
              <w:rPr>
                <w:rFonts w:ascii="宋体" w:hAnsi="宋体" w:cs="宋体" w:hint="eastAsia"/>
                <w:color w:val="000000" w:themeColor="text1"/>
                <w:szCs w:val="21"/>
              </w:rPr>
              <w:t>④</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①</w:t>
            </w:r>
            <w:r w:rsidRPr="00A3398F">
              <w:rPr>
                <w:rFonts w:eastAsiaTheme="minorEastAsia"/>
                <w:color w:val="000000" w:themeColor="text1"/>
                <w:szCs w:val="21"/>
              </w:rPr>
              <w:t>－</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②</w:t>
            </w:r>
            <w:r w:rsidRPr="00A3398F">
              <w:rPr>
                <w:rFonts w:eastAsiaTheme="minorEastAsia"/>
                <w:color w:val="000000" w:themeColor="text1"/>
                <w:szCs w:val="21"/>
              </w:rPr>
              <w:t>－</w:t>
            </w:r>
            <w:r w:rsidRPr="00A3398F">
              <w:rPr>
                <w:rFonts w:ascii="宋体" w:hAnsi="宋体" w:cs="宋体" w:hint="eastAsia"/>
                <w:color w:val="000000" w:themeColor="text1"/>
                <w:szCs w:val="21"/>
              </w:rPr>
              <w:t>④</w:t>
            </w:r>
          </w:p>
        </w:tc>
      </w:tr>
      <w:tr w:rsidR="0018319B">
        <w:tc>
          <w:tcPr>
            <w:tcW w:w="1290" w:type="dxa"/>
            <w:vAlign w:val="center"/>
          </w:tcPr>
          <w:p w:rsidR="0018319B" w:rsidRDefault="00EF5580">
            <w:pPr>
              <w:jc w:val="left"/>
            </w:pPr>
            <w:r>
              <w:rPr>
                <w:rFonts w:eastAsiaTheme="minorEastAsia"/>
                <w:color w:val="000000" w:themeColor="text1"/>
                <w:szCs w:val="21"/>
              </w:rPr>
              <w:t>过去三个月</w:t>
            </w:r>
          </w:p>
        </w:tc>
        <w:tc>
          <w:tcPr>
            <w:tcW w:w="1291" w:type="dxa"/>
            <w:vAlign w:val="center"/>
          </w:tcPr>
          <w:p w:rsidR="0018319B" w:rsidRDefault="00EF5580">
            <w:pPr>
              <w:jc w:val="right"/>
            </w:pPr>
            <w:r>
              <w:rPr>
                <w:rFonts w:eastAsiaTheme="minorEastAsia"/>
                <w:color w:val="000000" w:themeColor="text1"/>
                <w:szCs w:val="21"/>
              </w:rPr>
              <w:t>-4.28%</w:t>
            </w:r>
          </w:p>
        </w:tc>
        <w:tc>
          <w:tcPr>
            <w:tcW w:w="1291" w:type="dxa"/>
            <w:vAlign w:val="center"/>
          </w:tcPr>
          <w:p w:rsidR="0018319B" w:rsidRDefault="00EF5580">
            <w:pPr>
              <w:jc w:val="right"/>
            </w:pPr>
            <w:r>
              <w:rPr>
                <w:rFonts w:eastAsiaTheme="minorEastAsia"/>
                <w:color w:val="000000" w:themeColor="text1"/>
                <w:szCs w:val="21"/>
              </w:rPr>
              <w:t>1.81%</w:t>
            </w:r>
          </w:p>
        </w:tc>
        <w:tc>
          <w:tcPr>
            <w:tcW w:w="1291" w:type="dxa"/>
            <w:vAlign w:val="center"/>
          </w:tcPr>
          <w:p w:rsidR="0018319B" w:rsidRDefault="00EF5580">
            <w:pPr>
              <w:jc w:val="right"/>
            </w:pPr>
            <w:r>
              <w:rPr>
                <w:rFonts w:eastAsiaTheme="minorEastAsia"/>
                <w:color w:val="000000" w:themeColor="text1"/>
                <w:szCs w:val="21"/>
              </w:rPr>
              <w:t>-4.91%</w:t>
            </w:r>
          </w:p>
        </w:tc>
        <w:tc>
          <w:tcPr>
            <w:tcW w:w="1291" w:type="dxa"/>
            <w:vAlign w:val="center"/>
          </w:tcPr>
          <w:p w:rsidR="0018319B" w:rsidRDefault="00EF5580">
            <w:pPr>
              <w:jc w:val="right"/>
            </w:pPr>
            <w:r>
              <w:rPr>
                <w:rFonts w:eastAsiaTheme="minorEastAsia"/>
                <w:color w:val="000000" w:themeColor="text1"/>
                <w:szCs w:val="21"/>
              </w:rPr>
              <w:t>1.87%</w:t>
            </w:r>
          </w:p>
        </w:tc>
        <w:tc>
          <w:tcPr>
            <w:tcW w:w="1291" w:type="dxa"/>
            <w:vAlign w:val="center"/>
          </w:tcPr>
          <w:p w:rsidR="0018319B" w:rsidRDefault="00EF5580">
            <w:pPr>
              <w:jc w:val="right"/>
            </w:pPr>
            <w:r>
              <w:rPr>
                <w:rFonts w:eastAsiaTheme="minorEastAsia"/>
                <w:color w:val="000000" w:themeColor="text1"/>
                <w:szCs w:val="21"/>
              </w:rPr>
              <w:t>0.63%</w:t>
            </w:r>
          </w:p>
        </w:tc>
        <w:tc>
          <w:tcPr>
            <w:tcW w:w="1291" w:type="dxa"/>
            <w:vAlign w:val="center"/>
          </w:tcPr>
          <w:p w:rsidR="0018319B" w:rsidRDefault="00EF5580">
            <w:pPr>
              <w:jc w:val="right"/>
            </w:pPr>
            <w:r>
              <w:rPr>
                <w:rFonts w:eastAsiaTheme="minorEastAsia"/>
                <w:color w:val="000000" w:themeColor="text1"/>
                <w:szCs w:val="21"/>
              </w:rPr>
              <w:t>-0.06%</w:t>
            </w:r>
          </w:p>
        </w:tc>
      </w:tr>
      <w:tr w:rsidR="0018319B">
        <w:tc>
          <w:tcPr>
            <w:tcW w:w="1290" w:type="dxa"/>
            <w:vAlign w:val="center"/>
          </w:tcPr>
          <w:p w:rsidR="0018319B" w:rsidRDefault="00EF5580">
            <w:pPr>
              <w:jc w:val="left"/>
            </w:pPr>
            <w:r>
              <w:rPr>
                <w:rFonts w:eastAsiaTheme="minorEastAsia"/>
                <w:color w:val="000000" w:themeColor="text1"/>
                <w:szCs w:val="21"/>
              </w:rPr>
              <w:t>过去六个月</w:t>
            </w:r>
          </w:p>
        </w:tc>
        <w:tc>
          <w:tcPr>
            <w:tcW w:w="1291" w:type="dxa"/>
            <w:vAlign w:val="center"/>
          </w:tcPr>
          <w:p w:rsidR="0018319B" w:rsidRDefault="00EF5580">
            <w:pPr>
              <w:jc w:val="right"/>
            </w:pPr>
            <w:r>
              <w:rPr>
                <w:rFonts w:eastAsiaTheme="minorEastAsia"/>
                <w:color w:val="000000" w:themeColor="text1"/>
                <w:szCs w:val="21"/>
              </w:rPr>
              <w:t>-</w:t>
            </w:r>
          </w:p>
        </w:tc>
        <w:tc>
          <w:tcPr>
            <w:tcW w:w="1291" w:type="dxa"/>
            <w:vAlign w:val="center"/>
          </w:tcPr>
          <w:p w:rsidR="0018319B" w:rsidRDefault="00EF5580">
            <w:pPr>
              <w:jc w:val="right"/>
            </w:pPr>
            <w:r>
              <w:rPr>
                <w:rFonts w:eastAsiaTheme="minorEastAsia"/>
                <w:color w:val="000000" w:themeColor="text1"/>
                <w:szCs w:val="21"/>
              </w:rPr>
              <w:t>-</w:t>
            </w:r>
          </w:p>
        </w:tc>
        <w:tc>
          <w:tcPr>
            <w:tcW w:w="1291" w:type="dxa"/>
            <w:vAlign w:val="center"/>
          </w:tcPr>
          <w:p w:rsidR="0018319B" w:rsidRDefault="00EF5580">
            <w:pPr>
              <w:jc w:val="right"/>
            </w:pPr>
            <w:r>
              <w:rPr>
                <w:rFonts w:eastAsiaTheme="minorEastAsia"/>
                <w:color w:val="000000" w:themeColor="text1"/>
                <w:szCs w:val="21"/>
              </w:rPr>
              <w:t>-</w:t>
            </w:r>
          </w:p>
        </w:tc>
        <w:tc>
          <w:tcPr>
            <w:tcW w:w="1291" w:type="dxa"/>
            <w:vAlign w:val="center"/>
          </w:tcPr>
          <w:p w:rsidR="0018319B" w:rsidRDefault="00EF5580">
            <w:pPr>
              <w:jc w:val="right"/>
            </w:pPr>
            <w:r>
              <w:rPr>
                <w:rFonts w:eastAsiaTheme="minorEastAsia"/>
                <w:color w:val="000000" w:themeColor="text1"/>
                <w:szCs w:val="21"/>
              </w:rPr>
              <w:t>-</w:t>
            </w:r>
          </w:p>
        </w:tc>
        <w:tc>
          <w:tcPr>
            <w:tcW w:w="1291" w:type="dxa"/>
            <w:vAlign w:val="center"/>
          </w:tcPr>
          <w:p w:rsidR="0018319B" w:rsidRDefault="00EF5580">
            <w:pPr>
              <w:jc w:val="right"/>
            </w:pPr>
            <w:r>
              <w:rPr>
                <w:rFonts w:eastAsiaTheme="minorEastAsia"/>
                <w:color w:val="000000" w:themeColor="text1"/>
                <w:szCs w:val="21"/>
              </w:rPr>
              <w:t>-</w:t>
            </w:r>
          </w:p>
        </w:tc>
        <w:tc>
          <w:tcPr>
            <w:tcW w:w="1291" w:type="dxa"/>
            <w:vAlign w:val="center"/>
          </w:tcPr>
          <w:p w:rsidR="0018319B" w:rsidRDefault="00EF5580">
            <w:pPr>
              <w:jc w:val="right"/>
            </w:pPr>
            <w:r>
              <w:rPr>
                <w:rFonts w:eastAsiaTheme="minorEastAsia"/>
                <w:color w:val="000000" w:themeColor="text1"/>
                <w:szCs w:val="21"/>
              </w:rPr>
              <w:t>-</w:t>
            </w:r>
          </w:p>
        </w:tc>
      </w:tr>
      <w:tr w:rsidR="0018319B">
        <w:tc>
          <w:tcPr>
            <w:tcW w:w="1290" w:type="dxa"/>
            <w:vAlign w:val="center"/>
          </w:tcPr>
          <w:p w:rsidR="0018319B" w:rsidRDefault="00EF5580">
            <w:pPr>
              <w:jc w:val="left"/>
            </w:pPr>
            <w:r>
              <w:rPr>
                <w:rFonts w:eastAsiaTheme="minorEastAsia"/>
                <w:color w:val="000000" w:themeColor="text1"/>
                <w:szCs w:val="21"/>
              </w:rPr>
              <w:t>过去一年</w:t>
            </w:r>
          </w:p>
        </w:tc>
        <w:tc>
          <w:tcPr>
            <w:tcW w:w="1291" w:type="dxa"/>
            <w:vAlign w:val="center"/>
          </w:tcPr>
          <w:p w:rsidR="0018319B" w:rsidRDefault="00EF5580">
            <w:pPr>
              <w:jc w:val="right"/>
            </w:pPr>
            <w:r>
              <w:rPr>
                <w:rFonts w:eastAsiaTheme="minorEastAsia"/>
                <w:color w:val="000000" w:themeColor="text1"/>
                <w:szCs w:val="21"/>
              </w:rPr>
              <w:t>-</w:t>
            </w:r>
          </w:p>
        </w:tc>
        <w:tc>
          <w:tcPr>
            <w:tcW w:w="1291" w:type="dxa"/>
            <w:vAlign w:val="center"/>
          </w:tcPr>
          <w:p w:rsidR="0018319B" w:rsidRDefault="00EF5580">
            <w:pPr>
              <w:jc w:val="right"/>
            </w:pPr>
            <w:r>
              <w:rPr>
                <w:rFonts w:eastAsiaTheme="minorEastAsia"/>
                <w:color w:val="000000" w:themeColor="text1"/>
                <w:szCs w:val="21"/>
              </w:rPr>
              <w:t>-</w:t>
            </w:r>
          </w:p>
        </w:tc>
        <w:tc>
          <w:tcPr>
            <w:tcW w:w="1291" w:type="dxa"/>
            <w:vAlign w:val="center"/>
          </w:tcPr>
          <w:p w:rsidR="0018319B" w:rsidRDefault="00EF5580">
            <w:pPr>
              <w:jc w:val="right"/>
            </w:pPr>
            <w:r>
              <w:rPr>
                <w:rFonts w:eastAsiaTheme="minorEastAsia"/>
                <w:color w:val="000000" w:themeColor="text1"/>
                <w:szCs w:val="21"/>
              </w:rPr>
              <w:t>-</w:t>
            </w:r>
          </w:p>
        </w:tc>
        <w:tc>
          <w:tcPr>
            <w:tcW w:w="1291" w:type="dxa"/>
            <w:vAlign w:val="center"/>
          </w:tcPr>
          <w:p w:rsidR="0018319B" w:rsidRDefault="00EF5580">
            <w:pPr>
              <w:jc w:val="right"/>
            </w:pPr>
            <w:r>
              <w:rPr>
                <w:rFonts w:eastAsiaTheme="minorEastAsia"/>
                <w:color w:val="000000" w:themeColor="text1"/>
                <w:szCs w:val="21"/>
              </w:rPr>
              <w:t>-</w:t>
            </w:r>
          </w:p>
        </w:tc>
        <w:tc>
          <w:tcPr>
            <w:tcW w:w="1291" w:type="dxa"/>
            <w:vAlign w:val="center"/>
          </w:tcPr>
          <w:p w:rsidR="0018319B" w:rsidRDefault="00EF5580">
            <w:pPr>
              <w:jc w:val="right"/>
            </w:pPr>
            <w:r>
              <w:rPr>
                <w:rFonts w:eastAsiaTheme="minorEastAsia"/>
                <w:color w:val="000000" w:themeColor="text1"/>
                <w:szCs w:val="21"/>
              </w:rPr>
              <w:t>-</w:t>
            </w:r>
          </w:p>
        </w:tc>
        <w:tc>
          <w:tcPr>
            <w:tcW w:w="1291" w:type="dxa"/>
            <w:vAlign w:val="center"/>
          </w:tcPr>
          <w:p w:rsidR="0018319B" w:rsidRDefault="00EF5580">
            <w:pPr>
              <w:jc w:val="right"/>
            </w:pPr>
            <w:r>
              <w:rPr>
                <w:rFonts w:eastAsiaTheme="minorEastAsia"/>
                <w:color w:val="000000" w:themeColor="text1"/>
                <w:szCs w:val="21"/>
              </w:rPr>
              <w:t>-</w:t>
            </w:r>
          </w:p>
        </w:tc>
      </w:tr>
      <w:tr w:rsidR="0018319B">
        <w:tc>
          <w:tcPr>
            <w:tcW w:w="1290" w:type="dxa"/>
            <w:vAlign w:val="center"/>
          </w:tcPr>
          <w:p w:rsidR="0018319B" w:rsidRDefault="00EF5580">
            <w:pPr>
              <w:jc w:val="left"/>
            </w:pPr>
            <w:r>
              <w:rPr>
                <w:rFonts w:eastAsiaTheme="minorEastAsia"/>
                <w:color w:val="000000" w:themeColor="text1"/>
                <w:szCs w:val="21"/>
              </w:rPr>
              <w:t>过去三年</w:t>
            </w:r>
          </w:p>
        </w:tc>
        <w:tc>
          <w:tcPr>
            <w:tcW w:w="1291" w:type="dxa"/>
            <w:vAlign w:val="center"/>
          </w:tcPr>
          <w:p w:rsidR="0018319B" w:rsidRDefault="00EF5580">
            <w:pPr>
              <w:jc w:val="right"/>
            </w:pPr>
            <w:r>
              <w:rPr>
                <w:rFonts w:eastAsiaTheme="minorEastAsia"/>
                <w:color w:val="000000" w:themeColor="text1"/>
                <w:szCs w:val="21"/>
              </w:rPr>
              <w:t>-</w:t>
            </w:r>
          </w:p>
        </w:tc>
        <w:tc>
          <w:tcPr>
            <w:tcW w:w="1291" w:type="dxa"/>
            <w:vAlign w:val="center"/>
          </w:tcPr>
          <w:p w:rsidR="0018319B" w:rsidRDefault="00EF5580">
            <w:pPr>
              <w:jc w:val="right"/>
            </w:pPr>
            <w:r>
              <w:rPr>
                <w:rFonts w:eastAsiaTheme="minorEastAsia"/>
                <w:color w:val="000000" w:themeColor="text1"/>
                <w:szCs w:val="21"/>
              </w:rPr>
              <w:t>-</w:t>
            </w:r>
          </w:p>
        </w:tc>
        <w:tc>
          <w:tcPr>
            <w:tcW w:w="1291" w:type="dxa"/>
            <w:vAlign w:val="center"/>
          </w:tcPr>
          <w:p w:rsidR="0018319B" w:rsidRDefault="00EF5580">
            <w:pPr>
              <w:jc w:val="right"/>
            </w:pPr>
            <w:r>
              <w:rPr>
                <w:rFonts w:eastAsiaTheme="minorEastAsia"/>
                <w:color w:val="000000" w:themeColor="text1"/>
                <w:szCs w:val="21"/>
              </w:rPr>
              <w:t>-</w:t>
            </w:r>
          </w:p>
        </w:tc>
        <w:tc>
          <w:tcPr>
            <w:tcW w:w="1291" w:type="dxa"/>
            <w:vAlign w:val="center"/>
          </w:tcPr>
          <w:p w:rsidR="0018319B" w:rsidRDefault="00EF5580">
            <w:pPr>
              <w:jc w:val="right"/>
            </w:pPr>
            <w:r>
              <w:rPr>
                <w:rFonts w:eastAsiaTheme="minorEastAsia"/>
                <w:color w:val="000000" w:themeColor="text1"/>
                <w:szCs w:val="21"/>
              </w:rPr>
              <w:t>-</w:t>
            </w:r>
          </w:p>
        </w:tc>
        <w:tc>
          <w:tcPr>
            <w:tcW w:w="1291" w:type="dxa"/>
            <w:vAlign w:val="center"/>
          </w:tcPr>
          <w:p w:rsidR="0018319B" w:rsidRDefault="00EF5580">
            <w:pPr>
              <w:jc w:val="right"/>
            </w:pPr>
            <w:r>
              <w:rPr>
                <w:rFonts w:eastAsiaTheme="minorEastAsia"/>
                <w:color w:val="000000" w:themeColor="text1"/>
                <w:szCs w:val="21"/>
              </w:rPr>
              <w:t>-</w:t>
            </w:r>
          </w:p>
        </w:tc>
        <w:tc>
          <w:tcPr>
            <w:tcW w:w="1291" w:type="dxa"/>
            <w:vAlign w:val="center"/>
          </w:tcPr>
          <w:p w:rsidR="0018319B" w:rsidRDefault="00EF5580">
            <w:pPr>
              <w:jc w:val="right"/>
            </w:pPr>
            <w:r>
              <w:rPr>
                <w:rFonts w:eastAsiaTheme="minorEastAsia"/>
                <w:color w:val="000000" w:themeColor="text1"/>
                <w:szCs w:val="21"/>
              </w:rPr>
              <w:t>-</w:t>
            </w:r>
          </w:p>
        </w:tc>
      </w:tr>
      <w:tr w:rsidR="0018319B">
        <w:tc>
          <w:tcPr>
            <w:tcW w:w="1290" w:type="dxa"/>
            <w:vAlign w:val="center"/>
          </w:tcPr>
          <w:p w:rsidR="0018319B" w:rsidRDefault="00EF5580">
            <w:pPr>
              <w:jc w:val="left"/>
            </w:pPr>
            <w:r>
              <w:rPr>
                <w:rFonts w:eastAsiaTheme="minorEastAsia"/>
                <w:color w:val="000000" w:themeColor="text1"/>
                <w:szCs w:val="21"/>
              </w:rPr>
              <w:t>过去五年</w:t>
            </w:r>
          </w:p>
        </w:tc>
        <w:tc>
          <w:tcPr>
            <w:tcW w:w="1291" w:type="dxa"/>
            <w:vAlign w:val="center"/>
          </w:tcPr>
          <w:p w:rsidR="0018319B" w:rsidRDefault="00EF5580">
            <w:pPr>
              <w:jc w:val="right"/>
            </w:pPr>
            <w:r>
              <w:rPr>
                <w:rFonts w:eastAsiaTheme="minorEastAsia"/>
                <w:color w:val="000000" w:themeColor="text1"/>
                <w:szCs w:val="21"/>
              </w:rPr>
              <w:t>-</w:t>
            </w:r>
          </w:p>
        </w:tc>
        <w:tc>
          <w:tcPr>
            <w:tcW w:w="1291" w:type="dxa"/>
            <w:vAlign w:val="center"/>
          </w:tcPr>
          <w:p w:rsidR="0018319B" w:rsidRDefault="00EF5580">
            <w:pPr>
              <w:jc w:val="right"/>
            </w:pPr>
            <w:r>
              <w:rPr>
                <w:rFonts w:eastAsiaTheme="minorEastAsia"/>
                <w:color w:val="000000" w:themeColor="text1"/>
                <w:szCs w:val="21"/>
              </w:rPr>
              <w:t>-</w:t>
            </w:r>
          </w:p>
        </w:tc>
        <w:tc>
          <w:tcPr>
            <w:tcW w:w="1291" w:type="dxa"/>
            <w:vAlign w:val="center"/>
          </w:tcPr>
          <w:p w:rsidR="0018319B" w:rsidRDefault="00EF5580">
            <w:pPr>
              <w:jc w:val="right"/>
            </w:pPr>
            <w:r>
              <w:rPr>
                <w:rFonts w:eastAsiaTheme="minorEastAsia"/>
                <w:color w:val="000000" w:themeColor="text1"/>
                <w:szCs w:val="21"/>
              </w:rPr>
              <w:t>-</w:t>
            </w:r>
          </w:p>
        </w:tc>
        <w:tc>
          <w:tcPr>
            <w:tcW w:w="1291" w:type="dxa"/>
            <w:vAlign w:val="center"/>
          </w:tcPr>
          <w:p w:rsidR="0018319B" w:rsidRDefault="00EF5580">
            <w:pPr>
              <w:jc w:val="right"/>
            </w:pPr>
            <w:r>
              <w:rPr>
                <w:rFonts w:eastAsiaTheme="minorEastAsia"/>
                <w:color w:val="000000" w:themeColor="text1"/>
                <w:szCs w:val="21"/>
              </w:rPr>
              <w:t>-</w:t>
            </w:r>
          </w:p>
        </w:tc>
        <w:tc>
          <w:tcPr>
            <w:tcW w:w="1291" w:type="dxa"/>
            <w:vAlign w:val="center"/>
          </w:tcPr>
          <w:p w:rsidR="0018319B" w:rsidRDefault="00EF5580">
            <w:pPr>
              <w:jc w:val="right"/>
            </w:pPr>
            <w:r>
              <w:rPr>
                <w:rFonts w:eastAsiaTheme="minorEastAsia"/>
                <w:color w:val="000000" w:themeColor="text1"/>
                <w:szCs w:val="21"/>
              </w:rPr>
              <w:t>-</w:t>
            </w:r>
          </w:p>
        </w:tc>
        <w:tc>
          <w:tcPr>
            <w:tcW w:w="1291" w:type="dxa"/>
            <w:vAlign w:val="center"/>
          </w:tcPr>
          <w:p w:rsidR="0018319B" w:rsidRDefault="00EF5580">
            <w:pPr>
              <w:jc w:val="right"/>
            </w:pPr>
            <w:r>
              <w:rPr>
                <w:rFonts w:eastAsiaTheme="minorEastAsia"/>
                <w:color w:val="000000" w:themeColor="text1"/>
                <w:szCs w:val="21"/>
              </w:rPr>
              <w:t>-</w:t>
            </w:r>
          </w:p>
        </w:tc>
      </w:tr>
      <w:tr w:rsidR="0018319B">
        <w:tc>
          <w:tcPr>
            <w:tcW w:w="1290" w:type="dxa"/>
            <w:vAlign w:val="center"/>
          </w:tcPr>
          <w:p w:rsidR="0018319B" w:rsidRDefault="00EF5580">
            <w:pPr>
              <w:jc w:val="left"/>
            </w:pPr>
            <w:r>
              <w:rPr>
                <w:rFonts w:eastAsiaTheme="minorEastAsia"/>
                <w:color w:val="000000" w:themeColor="text1"/>
                <w:szCs w:val="21"/>
              </w:rPr>
              <w:t>自基金合同生效起至今</w:t>
            </w:r>
          </w:p>
        </w:tc>
        <w:tc>
          <w:tcPr>
            <w:tcW w:w="1291" w:type="dxa"/>
            <w:vAlign w:val="center"/>
          </w:tcPr>
          <w:p w:rsidR="0018319B" w:rsidRDefault="00EF5580">
            <w:pPr>
              <w:jc w:val="right"/>
            </w:pPr>
            <w:r>
              <w:rPr>
                <w:rFonts w:eastAsiaTheme="minorEastAsia"/>
                <w:color w:val="000000" w:themeColor="text1"/>
                <w:szCs w:val="21"/>
              </w:rPr>
              <w:t>-10.55%</w:t>
            </w:r>
          </w:p>
        </w:tc>
        <w:tc>
          <w:tcPr>
            <w:tcW w:w="1291" w:type="dxa"/>
            <w:vAlign w:val="center"/>
          </w:tcPr>
          <w:p w:rsidR="0018319B" w:rsidRDefault="00EF5580">
            <w:pPr>
              <w:jc w:val="right"/>
            </w:pPr>
            <w:r>
              <w:rPr>
                <w:rFonts w:eastAsiaTheme="minorEastAsia"/>
                <w:color w:val="000000" w:themeColor="text1"/>
                <w:szCs w:val="21"/>
              </w:rPr>
              <w:t>1.74%</w:t>
            </w:r>
          </w:p>
        </w:tc>
        <w:tc>
          <w:tcPr>
            <w:tcW w:w="1291" w:type="dxa"/>
            <w:vAlign w:val="center"/>
          </w:tcPr>
          <w:p w:rsidR="0018319B" w:rsidRDefault="00EF5580">
            <w:pPr>
              <w:jc w:val="right"/>
            </w:pPr>
            <w:r>
              <w:rPr>
                <w:rFonts w:eastAsiaTheme="minorEastAsia"/>
                <w:color w:val="000000" w:themeColor="text1"/>
                <w:szCs w:val="21"/>
              </w:rPr>
              <w:t>-11.03%</w:t>
            </w:r>
          </w:p>
        </w:tc>
        <w:tc>
          <w:tcPr>
            <w:tcW w:w="1291" w:type="dxa"/>
            <w:vAlign w:val="center"/>
          </w:tcPr>
          <w:p w:rsidR="0018319B" w:rsidRDefault="00EF5580">
            <w:pPr>
              <w:jc w:val="right"/>
            </w:pPr>
            <w:r>
              <w:rPr>
                <w:rFonts w:eastAsiaTheme="minorEastAsia"/>
                <w:color w:val="000000" w:themeColor="text1"/>
                <w:szCs w:val="21"/>
              </w:rPr>
              <w:t>1.92%</w:t>
            </w:r>
          </w:p>
        </w:tc>
        <w:tc>
          <w:tcPr>
            <w:tcW w:w="1291" w:type="dxa"/>
            <w:vAlign w:val="center"/>
          </w:tcPr>
          <w:p w:rsidR="0018319B" w:rsidRDefault="00EF5580">
            <w:pPr>
              <w:jc w:val="right"/>
            </w:pPr>
            <w:r>
              <w:rPr>
                <w:rFonts w:eastAsiaTheme="minorEastAsia"/>
                <w:color w:val="000000" w:themeColor="text1"/>
                <w:szCs w:val="21"/>
              </w:rPr>
              <w:t>0.48%</w:t>
            </w:r>
          </w:p>
        </w:tc>
        <w:tc>
          <w:tcPr>
            <w:tcW w:w="1291" w:type="dxa"/>
            <w:vAlign w:val="center"/>
          </w:tcPr>
          <w:p w:rsidR="0018319B" w:rsidRDefault="00EF5580">
            <w:pPr>
              <w:jc w:val="right"/>
            </w:pPr>
            <w:r>
              <w:rPr>
                <w:rFonts w:eastAsiaTheme="minorEastAsia"/>
                <w:color w:val="000000" w:themeColor="text1"/>
                <w:szCs w:val="21"/>
              </w:rPr>
              <w:t>-0.18%</w:t>
            </w:r>
          </w:p>
        </w:tc>
      </w:tr>
    </w:tbl>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3.2.2</w:t>
      </w:r>
      <w:r w:rsidRPr="00A3398F">
        <w:rPr>
          <w:rFonts w:eastAsiaTheme="minorEastAsia"/>
          <w:b/>
          <w:color w:val="000000" w:themeColor="text1"/>
          <w:kern w:val="0"/>
          <w:sz w:val="24"/>
        </w:rPr>
        <w:t xml:space="preserve">　</w:t>
      </w:r>
      <w:r w:rsidR="009779FD" w:rsidRPr="00A3398F">
        <w:rPr>
          <w:rStyle w:val="afb"/>
          <w:color w:val="000000" w:themeColor="text1"/>
          <w:sz w:val="24"/>
          <w:shd w:val="clear" w:color="auto" w:fill="FFFFFF"/>
        </w:rPr>
        <w:t>自基金合同生效以来</w:t>
      </w:r>
      <w:r w:rsidRPr="00A3398F">
        <w:rPr>
          <w:rFonts w:eastAsiaTheme="minorEastAsia"/>
          <w:b/>
          <w:color w:val="000000" w:themeColor="text1"/>
          <w:kern w:val="0"/>
          <w:sz w:val="24"/>
        </w:rPr>
        <w:t>基金累计</w:t>
      </w:r>
      <w:r w:rsidR="004339D9" w:rsidRPr="00A3398F">
        <w:rPr>
          <w:rFonts w:eastAsiaTheme="minorEastAsia"/>
          <w:b/>
          <w:color w:val="000000" w:themeColor="text1"/>
          <w:kern w:val="0"/>
          <w:sz w:val="24"/>
        </w:rPr>
        <w:t>份额</w:t>
      </w:r>
      <w:r w:rsidRPr="00A3398F">
        <w:rPr>
          <w:rFonts w:eastAsiaTheme="minorEastAsia"/>
          <w:b/>
          <w:color w:val="000000" w:themeColor="text1"/>
          <w:kern w:val="0"/>
          <w:sz w:val="24"/>
        </w:rPr>
        <w:t>净值增长率变动及其与同期业绩比较基准收益率变动的比较</w:t>
      </w:r>
    </w:p>
    <w:p w:rsidR="00A96FD9" w:rsidRPr="00A3398F" w:rsidRDefault="00A96FD9" w:rsidP="00EC4BA3">
      <w:pPr>
        <w:spacing w:line="360" w:lineRule="auto"/>
        <w:jc w:val="center"/>
        <w:rPr>
          <w:rFonts w:eastAsiaTheme="minorEastAsia"/>
          <w:color w:val="000000" w:themeColor="text1"/>
          <w:szCs w:val="21"/>
        </w:rPr>
      </w:pPr>
      <w:r w:rsidRPr="00A3398F">
        <w:rPr>
          <w:rFonts w:eastAsiaTheme="minorEastAsia"/>
          <w:color w:val="000000" w:themeColor="text1"/>
          <w:szCs w:val="21"/>
        </w:rPr>
        <w:t>摩根恒生科技交易型开放式指数证券投资基金发起式联接基金</w:t>
      </w:r>
      <w:r w:rsidRPr="00A3398F">
        <w:rPr>
          <w:rFonts w:eastAsiaTheme="minorEastAsia"/>
          <w:color w:val="000000" w:themeColor="text1"/>
          <w:szCs w:val="21"/>
        </w:rPr>
        <w:t>(QDII)</w:t>
      </w:r>
    </w:p>
    <w:p w:rsidR="00FB39F7" w:rsidRPr="00A3398F" w:rsidRDefault="00FB39F7" w:rsidP="00EC4BA3">
      <w:pPr>
        <w:pStyle w:val="a5"/>
        <w:snapToGrid w:val="0"/>
        <w:spacing w:line="360" w:lineRule="auto"/>
        <w:ind w:firstLine="480"/>
        <w:jc w:val="center"/>
        <w:rPr>
          <w:rFonts w:ascii="Times New Roman" w:eastAsiaTheme="minorEastAsia" w:hAnsi="Times New Roman"/>
          <w:color w:val="000000" w:themeColor="text1"/>
        </w:rPr>
      </w:pPr>
      <w:r w:rsidRPr="00A3398F">
        <w:rPr>
          <w:rFonts w:ascii="Times New Roman" w:eastAsiaTheme="minorEastAsia" w:hAnsi="Times New Roman"/>
          <w:color w:val="000000" w:themeColor="text1"/>
        </w:rPr>
        <w:t>累计</w:t>
      </w:r>
      <w:r w:rsidR="00C67DCB" w:rsidRPr="00A3398F">
        <w:rPr>
          <w:rFonts w:ascii="Times New Roman" w:eastAsiaTheme="minorEastAsia" w:hAnsi="Times New Roman"/>
          <w:color w:val="000000" w:themeColor="text1"/>
        </w:rPr>
        <w:t>份额</w:t>
      </w:r>
      <w:r w:rsidRPr="00A3398F">
        <w:rPr>
          <w:rFonts w:ascii="Times New Roman" w:eastAsiaTheme="minorEastAsia" w:hAnsi="Times New Roman"/>
          <w:color w:val="000000" w:themeColor="text1"/>
        </w:rPr>
        <w:t>净值增长率与业绩比较基准收益率历史走势对比图</w:t>
      </w:r>
    </w:p>
    <w:p w:rsidR="005908C0" w:rsidRPr="00A3398F" w:rsidRDefault="005908C0" w:rsidP="00EC4BA3">
      <w:pPr>
        <w:spacing w:line="360" w:lineRule="auto"/>
        <w:jc w:val="center"/>
        <w:rPr>
          <w:rFonts w:eastAsiaTheme="minorEastAsia"/>
          <w:color w:val="000000" w:themeColor="text1"/>
          <w:szCs w:val="21"/>
        </w:rPr>
      </w:pPr>
      <w:r w:rsidRPr="00A3398F">
        <w:rPr>
          <w:rFonts w:eastAsiaTheme="minorEastAsia"/>
          <w:color w:val="000000" w:themeColor="text1"/>
          <w:kern w:val="0"/>
          <w:szCs w:val="21"/>
        </w:rPr>
        <w:t>（</w:t>
      </w:r>
      <w:r w:rsidR="00623556" w:rsidRPr="00A3398F">
        <w:rPr>
          <w:rFonts w:eastAsiaTheme="minorEastAsia"/>
          <w:color w:val="000000" w:themeColor="text1"/>
          <w:kern w:val="0"/>
          <w:szCs w:val="21"/>
        </w:rPr>
        <w:t>2023</w:t>
      </w:r>
      <w:r w:rsidR="00623556" w:rsidRPr="00A3398F">
        <w:rPr>
          <w:rFonts w:eastAsiaTheme="minorEastAsia"/>
          <w:color w:val="000000" w:themeColor="text1"/>
          <w:kern w:val="0"/>
          <w:szCs w:val="21"/>
        </w:rPr>
        <w:t>年</w:t>
      </w:r>
      <w:r w:rsidR="00623556" w:rsidRPr="00A3398F">
        <w:rPr>
          <w:rFonts w:eastAsiaTheme="minorEastAsia"/>
          <w:color w:val="000000" w:themeColor="text1"/>
          <w:kern w:val="0"/>
          <w:szCs w:val="21"/>
        </w:rPr>
        <w:t>7</w:t>
      </w:r>
      <w:r w:rsidR="00623556" w:rsidRPr="00A3398F">
        <w:rPr>
          <w:rFonts w:eastAsiaTheme="minorEastAsia"/>
          <w:color w:val="000000" w:themeColor="text1"/>
          <w:kern w:val="0"/>
          <w:szCs w:val="21"/>
        </w:rPr>
        <w:t>月</w:t>
      </w:r>
      <w:r w:rsidR="00623556" w:rsidRPr="00A3398F">
        <w:rPr>
          <w:rFonts w:eastAsiaTheme="minorEastAsia"/>
          <w:color w:val="000000" w:themeColor="text1"/>
          <w:kern w:val="0"/>
          <w:szCs w:val="21"/>
        </w:rPr>
        <w:t>18</w:t>
      </w:r>
      <w:r w:rsidR="00623556" w:rsidRPr="00A3398F">
        <w:rPr>
          <w:rFonts w:eastAsiaTheme="minorEastAsia"/>
          <w:color w:val="000000" w:themeColor="text1"/>
          <w:kern w:val="0"/>
          <w:szCs w:val="21"/>
        </w:rPr>
        <w:t>日</w:t>
      </w:r>
      <w:r w:rsidRPr="00A3398F">
        <w:rPr>
          <w:rFonts w:eastAsiaTheme="minorEastAsia"/>
          <w:color w:val="000000" w:themeColor="text1"/>
          <w:kern w:val="0"/>
          <w:szCs w:val="21"/>
        </w:rPr>
        <w:t>至</w:t>
      </w:r>
      <w:r w:rsidRPr="00A3398F">
        <w:rPr>
          <w:rFonts w:eastAsiaTheme="minorEastAsia"/>
          <w:color w:val="000000" w:themeColor="text1"/>
          <w:kern w:val="0"/>
          <w:szCs w:val="21"/>
        </w:rPr>
        <w:t>2023</w:t>
      </w:r>
      <w:r w:rsidRPr="00A3398F">
        <w:rPr>
          <w:rFonts w:eastAsiaTheme="minorEastAsia"/>
          <w:color w:val="000000" w:themeColor="text1"/>
          <w:kern w:val="0"/>
          <w:szCs w:val="21"/>
        </w:rPr>
        <w:t>年</w:t>
      </w:r>
      <w:r w:rsidRPr="00A3398F">
        <w:rPr>
          <w:rFonts w:eastAsiaTheme="minorEastAsia"/>
          <w:color w:val="000000" w:themeColor="text1"/>
          <w:kern w:val="0"/>
          <w:szCs w:val="21"/>
        </w:rPr>
        <w:t>12</w:t>
      </w:r>
      <w:r w:rsidRPr="00A3398F">
        <w:rPr>
          <w:rFonts w:eastAsiaTheme="minorEastAsia"/>
          <w:color w:val="000000" w:themeColor="text1"/>
          <w:kern w:val="0"/>
          <w:szCs w:val="21"/>
        </w:rPr>
        <w:t>月</w:t>
      </w:r>
      <w:r w:rsidRPr="00A3398F">
        <w:rPr>
          <w:rFonts w:eastAsiaTheme="minorEastAsia"/>
          <w:color w:val="000000" w:themeColor="text1"/>
          <w:kern w:val="0"/>
          <w:szCs w:val="21"/>
        </w:rPr>
        <w:t>31</w:t>
      </w:r>
      <w:r w:rsidRPr="00A3398F">
        <w:rPr>
          <w:rFonts w:eastAsiaTheme="minorEastAsia"/>
          <w:color w:val="000000" w:themeColor="text1"/>
          <w:kern w:val="0"/>
          <w:szCs w:val="21"/>
        </w:rPr>
        <w:t>日）</w:t>
      </w:r>
    </w:p>
    <w:p w:rsidR="0065601A" w:rsidRPr="00A3398F" w:rsidRDefault="0065601A" w:rsidP="0065601A">
      <w:pPr>
        <w:snapToGrid w:val="0"/>
        <w:spacing w:line="360" w:lineRule="auto"/>
        <w:rPr>
          <w:rFonts w:eastAsiaTheme="minorEastAsia"/>
          <w:color w:val="000000" w:themeColor="text1"/>
          <w:szCs w:val="21"/>
        </w:rPr>
      </w:pPr>
      <w:r w:rsidRPr="00A3398F">
        <w:rPr>
          <w:rFonts w:eastAsiaTheme="minorEastAsia"/>
          <w:color w:val="000000" w:themeColor="text1"/>
          <w:szCs w:val="21"/>
        </w:rPr>
        <w:t>1</w:t>
      </w:r>
      <w:r w:rsidRPr="00A3398F">
        <w:rPr>
          <w:rFonts w:eastAsiaTheme="minorEastAsia"/>
          <w:color w:val="000000" w:themeColor="text1"/>
          <w:szCs w:val="21"/>
        </w:rPr>
        <w:t>．摩根恒生科技</w:t>
      </w:r>
      <w:r w:rsidRPr="00A3398F">
        <w:rPr>
          <w:rFonts w:eastAsiaTheme="minorEastAsia"/>
          <w:color w:val="000000" w:themeColor="text1"/>
          <w:szCs w:val="21"/>
        </w:rPr>
        <w:t>ETF</w:t>
      </w:r>
      <w:r w:rsidRPr="00A3398F">
        <w:rPr>
          <w:rFonts w:eastAsiaTheme="minorEastAsia"/>
          <w:color w:val="000000" w:themeColor="text1"/>
          <w:szCs w:val="21"/>
        </w:rPr>
        <w:t>发起式联接</w:t>
      </w:r>
      <w:r w:rsidRPr="00A3398F">
        <w:rPr>
          <w:rFonts w:eastAsiaTheme="minorEastAsia"/>
          <w:color w:val="000000" w:themeColor="text1"/>
          <w:szCs w:val="21"/>
        </w:rPr>
        <w:t>(QDII)A</w:t>
      </w:r>
      <w:r w:rsidRPr="00A3398F">
        <w:rPr>
          <w:rFonts w:eastAsiaTheme="minorEastAsia"/>
          <w:color w:val="000000" w:themeColor="text1"/>
          <w:szCs w:val="21"/>
        </w:rPr>
        <w:t>：</w:t>
      </w:r>
    </w:p>
    <w:p w:rsidR="0065601A" w:rsidRPr="00A3398F" w:rsidRDefault="0065601A" w:rsidP="0065601A">
      <w:pPr>
        <w:pStyle w:val="20"/>
        <w:spacing w:line="288" w:lineRule="auto"/>
        <w:ind w:firstLineChars="0" w:firstLine="0"/>
        <w:jc w:val="center"/>
        <w:rPr>
          <w:rFonts w:ascii="Times New Roman" w:eastAsiaTheme="minorEastAsia" w:hAnsi="Times New Roman"/>
          <w:color w:val="000000" w:themeColor="text1"/>
          <w:sz w:val="21"/>
          <w:szCs w:val="21"/>
        </w:rPr>
      </w:pPr>
      <w:r w:rsidRPr="00A3398F">
        <w:rPr>
          <w:rFonts w:ascii="Times New Roman" w:eastAsiaTheme="minorEastAsia" w:hAnsi="Times New Roman"/>
          <w:noProof/>
          <w:color w:val="000000" w:themeColor="text1"/>
          <w:sz w:val="21"/>
          <w:szCs w:val="21"/>
        </w:rPr>
        <w:lastRenderedPageBreak/>
        <w:drawing>
          <wp:inline distT="0" distB="0" distL="0" distR="0" wp14:anchorId="78A4BE9B" wp14:editId="63313FE9">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65601A" w:rsidRPr="00A3398F" w:rsidRDefault="0065601A" w:rsidP="0065601A">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注：本基金合同生效日为</w:t>
      </w:r>
      <w:r w:rsidRPr="00A3398F">
        <w:rPr>
          <w:rFonts w:eastAsiaTheme="minorEastAsia"/>
          <w:color w:val="000000" w:themeColor="text1"/>
          <w:szCs w:val="21"/>
        </w:rPr>
        <w:t>2023</w:t>
      </w:r>
      <w:r w:rsidRPr="00A3398F">
        <w:rPr>
          <w:rFonts w:eastAsiaTheme="minorEastAsia"/>
          <w:color w:val="000000" w:themeColor="text1"/>
          <w:szCs w:val="21"/>
        </w:rPr>
        <w:t>年</w:t>
      </w:r>
      <w:r w:rsidRPr="00A3398F">
        <w:rPr>
          <w:rFonts w:eastAsiaTheme="minorEastAsia"/>
          <w:color w:val="000000" w:themeColor="text1"/>
          <w:szCs w:val="21"/>
        </w:rPr>
        <w:t>7</w:t>
      </w:r>
      <w:r w:rsidRPr="00A3398F">
        <w:rPr>
          <w:rFonts w:eastAsiaTheme="minorEastAsia"/>
          <w:color w:val="000000" w:themeColor="text1"/>
          <w:szCs w:val="21"/>
        </w:rPr>
        <w:t>月</w:t>
      </w:r>
      <w:r w:rsidRPr="00A3398F">
        <w:rPr>
          <w:rFonts w:eastAsiaTheme="minorEastAsia"/>
          <w:color w:val="000000" w:themeColor="text1"/>
          <w:szCs w:val="21"/>
        </w:rPr>
        <w:t>18</w:t>
      </w:r>
      <w:r w:rsidRPr="00A3398F">
        <w:rPr>
          <w:rFonts w:eastAsiaTheme="minorEastAsia"/>
          <w:color w:val="000000" w:themeColor="text1"/>
          <w:szCs w:val="21"/>
        </w:rPr>
        <w:t>日，截至本报告期末本基金合同生效未满一年。本基金建仓期为本基金合同生效日起</w:t>
      </w:r>
      <w:r w:rsidRPr="00A3398F">
        <w:rPr>
          <w:rFonts w:eastAsiaTheme="minorEastAsia"/>
          <w:color w:val="000000" w:themeColor="text1"/>
          <w:szCs w:val="21"/>
        </w:rPr>
        <w:t xml:space="preserve"> 6 </w:t>
      </w:r>
      <w:r w:rsidRPr="00A3398F">
        <w:rPr>
          <w:rFonts w:eastAsiaTheme="minorEastAsia"/>
          <w:color w:val="000000" w:themeColor="text1"/>
          <w:szCs w:val="21"/>
        </w:rPr>
        <w:t>个月，截至本报告期末本基金仍处于建仓期。</w:t>
      </w:r>
    </w:p>
    <w:p w:rsidR="0065601A" w:rsidRPr="00A3398F" w:rsidRDefault="0065601A" w:rsidP="009E705F">
      <w:pPr>
        <w:snapToGrid w:val="0"/>
        <w:spacing w:beforeLines="100" w:before="312" w:line="360" w:lineRule="auto"/>
        <w:rPr>
          <w:rFonts w:eastAsiaTheme="minorEastAsia"/>
          <w:color w:val="000000" w:themeColor="text1"/>
          <w:szCs w:val="21"/>
        </w:rPr>
      </w:pPr>
      <w:r w:rsidRPr="00A3398F">
        <w:rPr>
          <w:rFonts w:eastAsiaTheme="minorEastAsia"/>
          <w:color w:val="000000" w:themeColor="text1"/>
          <w:szCs w:val="21"/>
        </w:rPr>
        <w:t>2</w:t>
      </w:r>
      <w:r w:rsidRPr="00A3398F">
        <w:rPr>
          <w:rFonts w:eastAsiaTheme="minorEastAsia"/>
          <w:color w:val="000000" w:themeColor="text1"/>
          <w:szCs w:val="21"/>
        </w:rPr>
        <w:t>．摩根恒生科技</w:t>
      </w:r>
      <w:r w:rsidRPr="00A3398F">
        <w:rPr>
          <w:rFonts w:eastAsiaTheme="minorEastAsia"/>
          <w:color w:val="000000" w:themeColor="text1"/>
          <w:szCs w:val="21"/>
        </w:rPr>
        <w:t>ETF</w:t>
      </w:r>
      <w:r w:rsidRPr="00A3398F">
        <w:rPr>
          <w:rFonts w:eastAsiaTheme="minorEastAsia"/>
          <w:color w:val="000000" w:themeColor="text1"/>
          <w:szCs w:val="21"/>
        </w:rPr>
        <w:t>发起式联接</w:t>
      </w:r>
      <w:r w:rsidRPr="00A3398F">
        <w:rPr>
          <w:rFonts w:eastAsiaTheme="minorEastAsia"/>
          <w:color w:val="000000" w:themeColor="text1"/>
          <w:szCs w:val="21"/>
        </w:rPr>
        <w:t>(QDII)C</w:t>
      </w:r>
      <w:r w:rsidRPr="00A3398F">
        <w:rPr>
          <w:rFonts w:eastAsiaTheme="minorEastAsia"/>
          <w:color w:val="000000" w:themeColor="text1"/>
          <w:szCs w:val="21"/>
        </w:rPr>
        <w:t>：</w:t>
      </w:r>
    </w:p>
    <w:p w:rsidR="0065601A" w:rsidRPr="00A3398F" w:rsidRDefault="0065601A" w:rsidP="0065601A">
      <w:pPr>
        <w:pStyle w:val="20"/>
        <w:spacing w:line="288" w:lineRule="auto"/>
        <w:ind w:firstLineChars="0" w:firstLine="0"/>
        <w:jc w:val="center"/>
        <w:rPr>
          <w:rFonts w:ascii="Times New Roman" w:eastAsiaTheme="minorEastAsia" w:hAnsi="Times New Roman"/>
          <w:color w:val="000000" w:themeColor="text1"/>
          <w:sz w:val="21"/>
          <w:szCs w:val="21"/>
        </w:rPr>
      </w:pPr>
      <w:r w:rsidRPr="00A3398F">
        <w:rPr>
          <w:rFonts w:ascii="Times New Roman" w:eastAsiaTheme="minorEastAsia" w:hAnsi="Times New Roman"/>
          <w:noProof/>
          <w:color w:val="000000" w:themeColor="text1"/>
          <w:sz w:val="21"/>
          <w:szCs w:val="21"/>
        </w:rPr>
        <w:drawing>
          <wp:inline distT="0" distB="0" distL="0" distR="0" wp14:anchorId="736DCB4C" wp14:editId="561D13E6">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65601A" w:rsidRPr="00A3398F" w:rsidRDefault="0065601A" w:rsidP="0065601A">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注：本基金合同生效日为</w:t>
      </w:r>
      <w:r w:rsidRPr="00A3398F">
        <w:rPr>
          <w:rFonts w:eastAsiaTheme="minorEastAsia"/>
          <w:color w:val="000000" w:themeColor="text1"/>
          <w:szCs w:val="21"/>
        </w:rPr>
        <w:t>2023</w:t>
      </w:r>
      <w:r w:rsidRPr="00A3398F">
        <w:rPr>
          <w:rFonts w:eastAsiaTheme="minorEastAsia"/>
          <w:color w:val="000000" w:themeColor="text1"/>
          <w:szCs w:val="21"/>
        </w:rPr>
        <w:t>年</w:t>
      </w:r>
      <w:r w:rsidRPr="00A3398F">
        <w:rPr>
          <w:rFonts w:eastAsiaTheme="minorEastAsia"/>
          <w:color w:val="000000" w:themeColor="text1"/>
          <w:szCs w:val="21"/>
        </w:rPr>
        <w:t>7</w:t>
      </w:r>
      <w:r w:rsidRPr="00A3398F">
        <w:rPr>
          <w:rFonts w:eastAsiaTheme="minorEastAsia"/>
          <w:color w:val="000000" w:themeColor="text1"/>
          <w:szCs w:val="21"/>
        </w:rPr>
        <w:t>月</w:t>
      </w:r>
      <w:r w:rsidRPr="00A3398F">
        <w:rPr>
          <w:rFonts w:eastAsiaTheme="minorEastAsia"/>
          <w:color w:val="000000" w:themeColor="text1"/>
          <w:szCs w:val="21"/>
        </w:rPr>
        <w:t>18</w:t>
      </w:r>
      <w:r w:rsidRPr="00A3398F">
        <w:rPr>
          <w:rFonts w:eastAsiaTheme="minorEastAsia"/>
          <w:color w:val="000000" w:themeColor="text1"/>
          <w:szCs w:val="21"/>
        </w:rPr>
        <w:t>日，截至本报告期末本基金合同生效未满一年。本基金建仓期为本基金合同生效日起</w:t>
      </w:r>
      <w:r w:rsidRPr="00A3398F">
        <w:rPr>
          <w:rFonts w:eastAsiaTheme="minorEastAsia"/>
          <w:color w:val="000000" w:themeColor="text1"/>
          <w:szCs w:val="21"/>
        </w:rPr>
        <w:t xml:space="preserve"> 6 </w:t>
      </w:r>
      <w:r w:rsidRPr="00A3398F">
        <w:rPr>
          <w:rFonts w:eastAsiaTheme="minorEastAsia"/>
          <w:color w:val="000000" w:themeColor="text1"/>
          <w:szCs w:val="21"/>
        </w:rPr>
        <w:t>个月，截至本报告期末本基金仍处于建仓期。</w:t>
      </w:r>
    </w:p>
    <w:p w:rsidR="00845292" w:rsidRPr="00A3398F" w:rsidRDefault="00845292" w:rsidP="0065601A">
      <w:pPr>
        <w:spacing w:line="360" w:lineRule="auto"/>
        <w:ind w:firstLineChars="200" w:firstLine="420"/>
        <w:rPr>
          <w:rFonts w:eastAsiaTheme="minorEastAsia"/>
          <w:color w:val="000000" w:themeColor="text1"/>
          <w:szCs w:val="21"/>
        </w:rPr>
      </w:pP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lastRenderedPageBreak/>
        <w:t xml:space="preserve">§4  </w:t>
      </w:r>
      <w:r w:rsidRPr="00A3398F">
        <w:rPr>
          <w:rFonts w:eastAsiaTheme="minorEastAsia"/>
          <w:color w:val="000000" w:themeColor="text1"/>
          <w:kern w:val="0"/>
          <w:sz w:val="24"/>
          <w:szCs w:val="24"/>
        </w:rPr>
        <w:t>管理人报告</w:t>
      </w: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4.1 </w:t>
      </w:r>
      <w:r w:rsidRPr="00A3398F">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8277FF" w:rsidRPr="00A3398F" w:rsidTr="00797DD2">
        <w:trPr>
          <w:cantSplit/>
          <w:trHeight w:val="292"/>
        </w:trPr>
        <w:tc>
          <w:tcPr>
            <w:tcW w:w="851" w:type="dxa"/>
            <w:vMerge w:val="restart"/>
            <w:vAlign w:val="center"/>
          </w:tcPr>
          <w:p w:rsidR="007D1292" w:rsidRPr="00A3398F" w:rsidRDefault="007D1292" w:rsidP="00B918B8">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姓名</w:t>
            </w:r>
          </w:p>
        </w:tc>
        <w:tc>
          <w:tcPr>
            <w:tcW w:w="850" w:type="dxa"/>
            <w:vMerge w:val="restart"/>
            <w:vAlign w:val="center"/>
          </w:tcPr>
          <w:p w:rsidR="007D1292" w:rsidRPr="00A3398F" w:rsidRDefault="007D1292" w:rsidP="00B918B8">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职务</w:t>
            </w:r>
          </w:p>
        </w:tc>
        <w:tc>
          <w:tcPr>
            <w:tcW w:w="3119" w:type="dxa"/>
            <w:gridSpan w:val="2"/>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任本基金的基金经理期限</w:t>
            </w:r>
          </w:p>
        </w:tc>
        <w:tc>
          <w:tcPr>
            <w:tcW w:w="1417" w:type="dxa"/>
            <w:vMerge w:val="restart"/>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证券从业年限</w:t>
            </w:r>
          </w:p>
        </w:tc>
        <w:tc>
          <w:tcPr>
            <w:tcW w:w="2694" w:type="dxa"/>
            <w:vMerge w:val="restart"/>
            <w:vAlign w:val="center"/>
          </w:tcPr>
          <w:p w:rsidR="007D1292" w:rsidRPr="00A3398F" w:rsidRDefault="007D1292" w:rsidP="00797DD2">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说明</w:t>
            </w:r>
          </w:p>
        </w:tc>
      </w:tr>
      <w:tr w:rsidR="008277FF" w:rsidRPr="00A3398F" w:rsidTr="00797DD2">
        <w:trPr>
          <w:cantSplit/>
        </w:trPr>
        <w:tc>
          <w:tcPr>
            <w:tcW w:w="851" w:type="dxa"/>
            <w:vMerge/>
            <w:vAlign w:val="center"/>
          </w:tcPr>
          <w:p w:rsidR="007D1292" w:rsidRPr="00A3398F" w:rsidRDefault="007D1292" w:rsidP="00B918B8">
            <w:pPr>
              <w:widowControl/>
              <w:spacing w:line="360" w:lineRule="auto"/>
              <w:jc w:val="left"/>
              <w:rPr>
                <w:rFonts w:eastAsiaTheme="minorEastAsia"/>
                <w:color w:val="000000" w:themeColor="text1"/>
                <w:kern w:val="0"/>
                <w:szCs w:val="21"/>
              </w:rPr>
            </w:pPr>
          </w:p>
        </w:tc>
        <w:tc>
          <w:tcPr>
            <w:tcW w:w="850" w:type="dxa"/>
            <w:vMerge/>
            <w:vAlign w:val="center"/>
          </w:tcPr>
          <w:p w:rsidR="007D1292" w:rsidRPr="00A3398F" w:rsidRDefault="007D1292" w:rsidP="00B918B8">
            <w:pPr>
              <w:widowControl/>
              <w:spacing w:line="360" w:lineRule="auto"/>
              <w:jc w:val="left"/>
              <w:rPr>
                <w:rFonts w:eastAsiaTheme="minorEastAsia"/>
                <w:color w:val="000000" w:themeColor="text1"/>
                <w:kern w:val="0"/>
                <w:szCs w:val="21"/>
              </w:rPr>
            </w:pPr>
          </w:p>
        </w:tc>
        <w:tc>
          <w:tcPr>
            <w:tcW w:w="1560" w:type="dxa"/>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任职日期</w:t>
            </w:r>
          </w:p>
        </w:tc>
        <w:tc>
          <w:tcPr>
            <w:tcW w:w="1559" w:type="dxa"/>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离任日期</w:t>
            </w:r>
          </w:p>
        </w:tc>
        <w:tc>
          <w:tcPr>
            <w:tcW w:w="1417" w:type="dxa"/>
            <w:vMerge/>
            <w:vAlign w:val="center"/>
          </w:tcPr>
          <w:p w:rsidR="007D1292" w:rsidRPr="00A3398F" w:rsidRDefault="007D1292" w:rsidP="00797DD2">
            <w:pPr>
              <w:widowControl/>
              <w:spacing w:line="360" w:lineRule="auto"/>
              <w:jc w:val="center"/>
              <w:rPr>
                <w:rFonts w:eastAsiaTheme="minorEastAsia"/>
                <w:color w:val="000000" w:themeColor="text1"/>
                <w:kern w:val="0"/>
                <w:szCs w:val="21"/>
              </w:rPr>
            </w:pPr>
          </w:p>
        </w:tc>
        <w:tc>
          <w:tcPr>
            <w:tcW w:w="2694" w:type="dxa"/>
            <w:vMerge/>
            <w:vAlign w:val="center"/>
          </w:tcPr>
          <w:p w:rsidR="007D1292" w:rsidRPr="00A3398F" w:rsidRDefault="007D1292" w:rsidP="00797DD2">
            <w:pPr>
              <w:widowControl/>
              <w:spacing w:line="360" w:lineRule="auto"/>
              <w:jc w:val="center"/>
              <w:rPr>
                <w:rFonts w:eastAsiaTheme="minorEastAsia"/>
                <w:color w:val="000000" w:themeColor="text1"/>
                <w:kern w:val="0"/>
                <w:szCs w:val="21"/>
              </w:rPr>
            </w:pPr>
          </w:p>
        </w:tc>
      </w:tr>
      <w:tr w:rsidR="0018319B">
        <w:tc>
          <w:tcPr>
            <w:tcW w:w="851" w:type="dxa"/>
            <w:vAlign w:val="center"/>
          </w:tcPr>
          <w:p w:rsidR="0018319B" w:rsidRDefault="00EF5580">
            <w:pPr>
              <w:jc w:val="center"/>
            </w:pPr>
            <w:r>
              <w:rPr>
                <w:rFonts w:eastAsiaTheme="minorEastAsia"/>
                <w:color w:val="000000" w:themeColor="text1"/>
                <w:szCs w:val="21"/>
              </w:rPr>
              <w:t>毛时超</w:t>
            </w:r>
          </w:p>
        </w:tc>
        <w:tc>
          <w:tcPr>
            <w:tcW w:w="850" w:type="dxa"/>
            <w:vAlign w:val="center"/>
          </w:tcPr>
          <w:p w:rsidR="0018319B" w:rsidRDefault="00EF5580">
            <w:pPr>
              <w:jc w:val="center"/>
            </w:pPr>
            <w:r>
              <w:rPr>
                <w:rFonts w:eastAsiaTheme="minorEastAsia"/>
                <w:color w:val="000000" w:themeColor="text1"/>
                <w:szCs w:val="21"/>
              </w:rPr>
              <w:t>本基金基金经理</w:t>
            </w:r>
          </w:p>
        </w:tc>
        <w:tc>
          <w:tcPr>
            <w:tcW w:w="1560" w:type="dxa"/>
            <w:vAlign w:val="center"/>
          </w:tcPr>
          <w:p w:rsidR="0018319B" w:rsidRDefault="00EF5580">
            <w:pPr>
              <w:jc w:val="center"/>
            </w:pPr>
            <w:r>
              <w:rPr>
                <w:rFonts w:eastAsiaTheme="minorEastAsia"/>
                <w:color w:val="000000" w:themeColor="text1"/>
                <w:szCs w:val="21"/>
              </w:rPr>
              <w:t>2023-07-18</w:t>
            </w:r>
          </w:p>
        </w:tc>
        <w:tc>
          <w:tcPr>
            <w:tcW w:w="1559" w:type="dxa"/>
            <w:vAlign w:val="center"/>
          </w:tcPr>
          <w:p w:rsidR="0018319B" w:rsidRDefault="00EF5580">
            <w:pPr>
              <w:jc w:val="center"/>
            </w:pPr>
            <w:r>
              <w:rPr>
                <w:rFonts w:eastAsiaTheme="minorEastAsia"/>
                <w:color w:val="000000" w:themeColor="text1"/>
                <w:szCs w:val="21"/>
              </w:rPr>
              <w:t>-</w:t>
            </w:r>
          </w:p>
        </w:tc>
        <w:tc>
          <w:tcPr>
            <w:tcW w:w="1417" w:type="dxa"/>
            <w:vAlign w:val="center"/>
          </w:tcPr>
          <w:p w:rsidR="0018319B" w:rsidRDefault="00EF5580">
            <w:pPr>
              <w:jc w:val="center"/>
            </w:pPr>
            <w:r>
              <w:rPr>
                <w:rFonts w:eastAsiaTheme="minorEastAsia"/>
                <w:color w:val="000000" w:themeColor="text1"/>
                <w:szCs w:val="21"/>
              </w:rPr>
              <w:t>8</w:t>
            </w:r>
            <w:r>
              <w:rPr>
                <w:rFonts w:eastAsiaTheme="minorEastAsia"/>
                <w:color w:val="000000" w:themeColor="text1"/>
                <w:szCs w:val="21"/>
              </w:rPr>
              <w:t>年</w:t>
            </w:r>
          </w:p>
        </w:tc>
        <w:tc>
          <w:tcPr>
            <w:tcW w:w="2694" w:type="dxa"/>
            <w:vAlign w:val="center"/>
          </w:tcPr>
          <w:p w:rsidR="0018319B" w:rsidRDefault="00EF5580">
            <w:pPr>
              <w:jc w:val="left"/>
            </w:pPr>
            <w:r>
              <w:rPr>
                <w:rFonts w:eastAsiaTheme="minorEastAsia"/>
                <w:color w:val="000000" w:themeColor="text1"/>
                <w:szCs w:val="21"/>
              </w:rPr>
              <w:t>毛时超先生曾任平安基金管理有限公司量化研究员、基金经理助理、基金经理；自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月加入摩根基金管理（中国）有限公司（原上投摩根基金管理有限公司），现任指数及量化投资部基金经理。</w:t>
            </w:r>
          </w:p>
        </w:tc>
      </w:tr>
    </w:tbl>
    <w:p w:rsidR="0018319B" w:rsidRDefault="00EF5580">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18319B" w:rsidRDefault="00EF5580">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毛时超先生为本基金首任基金经理，其任职日期指本基金基金合同生效之日。</w:t>
      </w:r>
      <w:r>
        <w:rPr>
          <w:rFonts w:eastAsiaTheme="minorEastAsia"/>
          <w:color w:val="000000" w:themeColor="text1"/>
          <w:szCs w:val="21"/>
        </w:rPr>
        <w:t xml:space="preserve"> </w:t>
      </w:r>
    </w:p>
    <w:p w:rsidR="00A47E47" w:rsidRPr="00A3398F" w:rsidRDefault="00A47E47"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 xml:space="preserve">3. </w:t>
      </w:r>
      <w:r w:rsidRPr="00A3398F">
        <w:rPr>
          <w:rFonts w:eastAsiaTheme="minorEastAsia"/>
          <w:color w:val="000000" w:themeColor="text1"/>
          <w:szCs w:val="21"/>
        </w:rPr>
        <w:t>证券从业的含义遵从行业协会《证券业从业人员资格管理办法》的相关规定。</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FB47E0" w:rsidRPr="00A3398F" w:rsidRDefault="00FB47E0"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A70E2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A32FDA" w:rsidRPr="00A3398F">
        <w:rPr>
          <w:rFonts w:eastAsiaTheme="minorEastAsia"/>
          <w:b/>
          <w:color w:val="000000" w:themeColor="text1"/>
          <w:kern w:val="0"/>
          <w:sz w:val="24"/>
        </w:rPr>
        <w:t>2</w:t>
      </w:r>
      <w:r w:rsidR="003508B0" w:rsidRPr="00A3398F">
        <w:rPr>
          <w:b/>
          <w:color w:val="000000"/>
          <w:sz w:val="24"/>
          <w:shd w:val="clear" w:color="auto" w:fill="FFFFFF"/>
        </w:rPr>
        <w:t>管理人对报告期内本基金运作遵规守信情况的说明</w:t>
      </w:r>
    </w:p>
    <w:p w:rsidR="00363E15" w:rsidRPr="00A3398F" w:rsidRDefault="00363E15"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76518F" w:rsidRPr="00A3398F" w:rsidRDefault="0076518F" w:rsidP="00A70E23">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A70E2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A32FDA" w:rsidRPr="00A3398F">
        <w:rPr>
          <w:rFonts w:eastAsiaTheme="minorEastAsia"/>
          <w:b/>
          <w:color w:val="000000" w:themeColor="text1"/>
          <w:kern w:val="0"/>
          <w:sz w:val="24"/>
        </w:rPr>
        <w:t>3</w:t>
      </w:r>
      <w:r w:rsidRPr="00A3398F">
        <w:rPr>
          <w:rFonts w:eastAsiaTheme="minorEastAsia"/>
          <w:b/>
          <w:color w:val="000000" w:themeColor="text1"/>
          <w:kern w:val="0"/>
          <w:sz w:val="24"/>
        </w:rPr>
        <w:t xml:space="preserve"> </w:t>
      </w:r>
      <w:r w:rsidRPr="00A3398F">
        <w:rPr>
          <w:rFonts w:eastAsiaTheme="minorEastAsia"/>
          <w:b/>
          <w:color w:val="000000" w:themeColor="text1"/>
          <w:kern w:val="0"/>
          <w:sz w:val="24"/>
        </w:rPr>
        <w:t>公平交易专项说明</w:t>
      </w:r>
    </w:p>
    <w:p w:rsidR="00AB42E2" w:rsidRPr="00A3398F" w:rsidRDefault="00AB42E2" w:rsidP="00A70E23">
      <w:pPr>
        <w:spacing w:line="360" w:lineRule="auto"/>
        <w:rPr>
          <w:rFonts w:eastAsiaTheme="minorEastAsia"/>
          <w:color w:val="000000" w:themeColor="text1"/>
          <w:sz w:val="24"/>
        </w:rPr>
      </w:pPr>
      <w:r w:rsidRPr="00A3398F">
        <w:rPr>
          <w:rFonts w:eastAsiaTheme="minorEastAsia"/>
          <w:color w:val="000000" w:themeColor="text1"/>
          <w:sz w:val="24"/>
        </w:rPr>
        <w:t>4.</w:t>
      </w:r>
      <w:r w:rsidR="00A32FDA" w:rsidRPr="00A3398F">
        <w:rPr>
          <w:rFonts w:eastAsiaTheme="minorEastAsia"/>
          <w:color w:val="000000" w:themeColor="text1"/>
          <w:sz w:val="24"/>
        </w:rPr>
        <w:t>3.1</w:t>
      </w:r>
      <w:r w:rsidRPr="00A3398F">
        <w:rPr>
          <w:rFonts w:eastAsiaTheme="minorEastAsia"/>
          <w:color w:val="000000" w:themeColor="text1"/>
          <w:sz w:val="24"/>
        </w:rPr>
        <w:t>公平交易制度的执行情况</w:t>
      </w:r>
    </w:p>
    <w:p w:rsidR="0018319B" w:rsidRDefault="00EF558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18319B" w:rsidRDefault="00EF5580">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w:t>
      </w:r>
      <w:r>
        <w:rPr>
          <w:rFonts w:eastAsiaTheme="minorEastAsia"/>
          <w:color w:val="000000" w:themeColor="text1"/>
          <w:szCs w:val="21"/>
        </w:rPr>
        <w:lastRenderedPageBreak/>
        <w:t>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AB42E2" w:rsidRPr="00A3398F" w:rsidRDefault="001F3C28"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AB42E2" w:rsidRPr="00A3398F" w:rsidRDefault="00AB42E2" w:rsidP="00A70E23">
      <w:pPr>
        <w:spacing w:line="360" w:lineRule="auto"/>
        <w:rPr>
          <w:rFonts w:eastAsiaTheme="minorEastAsia"/>
          <w:color w:val="000000" w:themeColor="text1"/>
          <w:sz w:val="24"/>
        </w:rPr>
      </w:pPr>
      <w:r w:rsidRPr="00A3398F">
        <w:rPr>
          <w:rFonts w:eastAsiaTheme="minorEastAsia"/>
          <w:color w:val="000000" w:themeColor="text1"/>
          <w:sz w:val="24"/>
        </w:rPr>
        <w:t>4.</w:t>
      </w:r>
      <w:r w:rsidR="00A32FDA" w:rsidRPr="00A3398F">
        <w:rPr>
          <w:rFonts w:eastAsiaTheme="minorEastAsia"/>
          <w:color w:val="000000" w:themeColor="text1"/>
          <w:sz w:val="24"/>
        </w:rPr>
        <w:t>3</w:t>
      </w:r>
      <w:r w:rsidRPr="00A3398F">
        <w:rPr>
          <w:rFonts w:eastAsiaTheme="minorEastAsia"/>
          <w:color w:val="000000" w:themeColor="text1"/>
          <w:sz w:val="24"/>
        </w:rPr>
        <w:t>.</w:t>
      </w:r>
      <w:r w:rsidR="00A32FDA" w:rsidRPr="00A3398F">
        <w:rPr>
          <w:rFonts w:eastAsiaTheme="minorEastAsia"/>
          <w:color w:val="000000" w:themeColor="text1"/>
          <w:sz w:val="24"/>
        </w:rPr>
        <w:t>2</w:t>
      </w:r>
      <w:r w:rsidRPr="00A3398F">
        <w:rPr>
          <w:rFonts w:eastAsiaTheme="minorEastAsia"/>
          <w:color w:val="000000" w:themeColor="text1"/>
          <w:sz w:val="24"/>
        </w:rPr>
        <w:t>异常交易行为的专项说明</w:t>
      </w:r>
    </w:p>
    <w:p w:rsidR="0018319B" w:rsidRDefault="00EF558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1F3C28" w:rsidRPr="00A3398F" w:rsidRDefault="001F3C28"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所有投资组合参与的交易所公开竞价同日反向交易成交较少的单边交易量超过该证券当日成交量的</w:t>
      </w:r>
      <w:r w:rsidRPr="00A3398F">
        <w:rPr>
          <w:rFonts w:eastAsiaTheme="minorEastAsia"/>
          <w:color w:val="000000" w:themeColor="text1"/>
          <w:szCs w:val="21"/>
        </w:rPr>
        <w:t>5%</w:t>
      </w:r>
      <w:r w:rsidRPr="00A3398F">
        <w:rPr>
          <w:rFonts w:eastAsiaTheme="minorEastAsia"/>
          <w:color w:val="000000" w:themeColor="text1"/>
          <w:szCs w:val="21"/>
        </w:rPr>
        <w:t>的情形：无。</w:t>
      </w:r>
    </w:p>
    <w:p w:rsidR="0076518F" w:rsidRPr="00A3398F" w:rsidRDefault="0076518F" w:rsidP="00A70E23">
      <w:pPr>
        <w:autoSpaceDE w:val="0"/>
        <w:autoSpaceDN w:val="0"/>
        <w:adjustRightInd w:val="0"/>
        <w:spacing w:line="360" w:lineRule="auto"/>
        <w:jc w:val="left"/>
        <w:rPr>
          <w:rFonts w:eastAsiaTheme="minorEastAsia"/>
          <w:color w:val="000000" w:themeColor="text1"/>
          <w:kern w:val="0"/>
          <w:sz w:val="24"/>
        </w:rPr>
      </w:pPr>
    </w:p>
    <w:p w:rsidR="00EF4716" w:rsidRPr="00A3398F" w:rsidRDefault="00EF4716" w:rsidP="00EF4716">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4.4 </w:t>
      </w:r>
      <w:r w:rsidRPr="00A3398F">
        <w:rPr>
          <w:rFonts w:eastAsiaTheme="minorEastAsia"/>
          <w:b/>
          <w:color w:val="000000" w:themeColor="text1"/>
          <w:kern w:val="0"/>
          <w:sz w:val="24"/>
        </w:rPr>
        <w:t>报告期内基金的投资策略和业绩表现说明</w:t>
      </w:r>
    </w:p>
    <w:p w:rsidR="0018319B" w:rsidRDefault="00EF558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报告期内，美国中长期国债收益率从高位回落，但是中国当前宏观经济数据欠佳，本基金跟踪的恒生科技指数，在期初从底部上涨后回落，整体表现一般。</w:t>
      </w:r>
    </w:p>
    <w:p w:rsidR="0018319B" w:rsidRDefault="00EF5580">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本基金采用持有目标</w:t>
      </w:r>
      <w:r>
        <w:rPr>
          <w:rFonts w:eastAsiaTheme="minorEastAsia"/>
          <w:color w:val="000000" w:themeColor="text1"/>
          <w:szCs w:val="21"/>
        </w:rPr>
        <w:t>ETF</w:t>
      </w:r>
      <w:r>
        <w:rPr>
          <w:rFonts w:eastAsiaTheme="minorEastAsia"/>
          <w:color w:val="000000" w:themeColor="text1"/>
          <w:szCs w:val="21"/>
        </w:rPr>
        <w:t>以复制标的指数的投资策略，力争将跟踪误差控制在合理水平。</w:t>
      </w:r>
    </w:p>
    <w:p w:rsidR="0018319B" w:rsidRDefault="00EF5580">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未来，本基金投资跟踪的标的指数估值水平，当前依然处于历史上的较低位置。此外海外货币政策有望放松，投资者悲观情绪预计将会出现改善；随着国内经济温和复苏，标的指数相关公司有望受益于此，或出现一定的复苏反弹性行情。</w:t>
      </w:r>
    </w:p>
    <w:p w:rsidR="0018319B" w:rsidRDefault="00EF558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:-4.21%</w:t>
      </w:r>
      <w:r>
        <w:rPr>
          <w:rFonts w:eastAsiaTheme="minorEastAsia"/>
          <w:color w:val="000000" w:themeColor="text1"/>
          <w:szCs w:val="21"/>
        </w:rPr>
        <w:t>，同期业绩比较基准收益率为</w:t>
      </w:r>
      <w:r>
        <w:rPr>
          <w:rFonts w:eastAsiaTheme="minorEastAsia"/>
          <w:color w:val="000000" w:themeColor="text1"/>
          <w:szCs w:val="21"/>
        </w:rPr>
        <w:t>:-4.91%</w:t>
      </w:r>
    </w:p>
    <w:p w:rsidR="00EF4716" w:rsidRPr="00A3398F" w:rsidRDefault="00EF4716" w:rsidP="00EF4716">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本报告期本基金</w:t>
      </w:r>
      <w:r w:rsidRPr="00A3398F">
        <w:rPr>
          <w:rFonts w:eastAsiaTheme="minorEastAsia"/>
          <w:color w:val="000000" w:themeColor="text1"/>
          <w:szCs w:val="21"/>
        </w:rPr>
        <w:t>C</w:t>
      </w:r>
      <w:r w:rsidRPr="00A3398F">
        <w:rPr>
          <w:rFonts w:eastAsiaTheme="minorEastAsia"/>
          <w:color w:val="000000" w:themeColor="text1"/>
          <w:szCs w:val="21"/>
        </w:rPr>
        <w:t>份额净值增长率为</w:t>
      </w:r>
      <w:r w:rsidRPr="00A3398F">
        <w:rPr>
          <w:rFonts w:eastAsiaTheme="minorEastAsia"/>
          <w:color w:val="000000" w:themeColor="text1"/>
          <w:szCs w:val="21"/>
        </w:rPr>
        <w:t>:-4.28%</w:t>
      </w:r>
      <w:r w:rsidRPr="00A3398F">
        <w:rPr>
          <w:rFonts w:eastAsiaTheme="minorEastAsia"/>
          <w:color w:val="000000" w:themeColor="text1"/>
          <w:szCs w:val="21"/>
        </w:rPr>
        <w:t>，同期业绩比较基准收益率为</w:t>
      </w:r>
      <w:r w:rsidRPr="00A3398F">
        <w:rPr>
          <w:rFonts w:eastAsiaTheme="minorEastAsia"/>
          <w:color w:val="000000" w:themeColor="text1"/>
          <w:szCs w:val="21"/>
        </w:rPr>
        <w:t>:-4.91%</w:t>
      </w:r>
      <w:r w:rsidRPr="00A3398F">
        <w:rPr>
          <w:rFonts w:eastAsiaTheme="minorEastAsia"/>
          <w:color w:val="000000" w:themeColor="text1"/>
          <w:szCs w:val="21"/>
        </w:rPr>
        <w:t>。</w:t>
      </w:r>
    </w:p>
    <w:p w:rsidR="00C736BB" w:rsidRPr="00A3398F" w:rsidRDefault="00C736BB" w:rsidP="00A70E23">
      <w:pPr>
        <w:spacing w:line="360" w:lineRule="auto"/>
        <w:ind w:firstLineChars="200" w:firstLine="480"/>
        <w:rPr>
          <w:rFonts w:eastAsiaTheme="minorEastAsia"/>
          <w:color w:val="000000" w:themeColor="text1"/>
          <w:sz w:val="24"/>
        </w:rPr>
      </w:pPr>
    </w:p>
    <w:p w:rsidR="00D9766F" w:rsidRPr="00A3398F" w:rsidRDefault="00D9766F" w:rsidP="00D9766F">
      <w:pPr>
        <w:spacing w:line="360" w:lineRule="auto"/>
        <w:rPr>
          <w:rFonts w:eastAsiaTheme="minorEastAsia"/>
          <w:color w:val="000000" w:themeColor="text1"/>
          <w:sz w:val="24"/>
        </w:rPr>
      </w:pPr>
      <w:r w:rsidRPr="00A3398F">
        <w:rPr>
          <w:rFonts w:eastAsiaTheme="minorEastAsia"/>
          <w:b/>
          <w:color w:val="000000" w:themeColor="text1"/>
          <w:kern w:val="0"/>
          <w:sz w:val="24"/>
        </w:rPr>
        <w:t>4.5</w:t>
      </w:r>
      <w:r w:rsidRPr="00A3398F">
        <w:rPr>
          <w:rFonts w:eastAsiaTheme="minorEastAsia"/>
          <w:b/>
          <w:color w:val="000000" w:themeColor="text1"/>
          <w:kern w:val="0"/>
          <w:sz w:val="24"/>
        </w:rPr>
        <w:t>报告期内基金持有人数或基金资产净值预警说明</w:t>
      </w:r>
    </w:p>
    <w:p w:rsidR="00D9766F" w:rsidRPr="00A3398F" w:rsidRDefault="00D9766F" w:rsidP="00D9766F">
      <w:pPr>
        <w:spacing w:line="360" w:lineRule="auto"/>
        <w:ind w:firstLineChars="200" w:firstLine="420"/>
        <w:rPr>
          <w:rFonts w:eastAsiaTheme="minorEastAsia"/>
          <w:color w:val="000000" w:themeColor="text1"/>
          <w:szCs w:val="21"/>
        </w:rPr>
      </w:pPr>
      <w:r w:rsidRPr="00A3398F">
        <w:rPr>
          <w:rFonts w:eastAsiaTheme="minorEastAsia"/>
          <w:color w:val="000000" w:themeColor="text1"/>
          <w:kern w:val="0"/>
          <w:szCs w:val="21"/>
        </w:rPr>
        <w:t>无。</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§5  </w:t>
      </w:r>
      <w:r w:rsidRPr="00A3398F">
        <w:rPr>
          <w:rFonts w:eastAsiaTheme="minorEastAsia"/>
          <w:color w:val="000000" w:themeColor="text1"/>
          <w:kern w:val="0"/>
          <w:sz w:val="24"/>
          <w:szCs w:val="24"/>
        </w:rPr>
        <w:t>投资组合报告</w:t>
      </w:r>
    </w:p>
    <w:p w:rsidR="0076518F" w:rsidRPr="00A3398F" w:rsidRDefault="00982AC4"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A3398F" w:rsidTr="00592EFF">
        <w:tc>
          <w:tcPr>
            <w:tcW w:w="851"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序号</w:t>
            </w:r>
          </w:p>
        </w:tc>
        <w:tc>
          <w:tcPr>
            <w:tcW w:w="4253"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项目</w:t>
            </w:r>
          </w:p>
        </w:tc>
        <w:tc>
          <w:tcPr>
            <w:tcW w:w="2835"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金额</w:t>
            </w:r>
            <w:r w:rsidRPr="00A3398F">
              <w:rPr>
                <w:rFonts w:eastAsiaTheme="minorEastAsia"/>
                <w:color w:val="000000" w:themeColor="text1"/>
                <w:szCs w:val="21"/>
              </w:rPr>
              <w:t>(</w:t>
            </w:r>
            <w:r w:rsidR="002655D4" w:rsidRPr="00A3398F">
              <w:rPr>
                <w:rFonts w:eastAsiaTheme="minorEastAsia"/>
                <w:color w:val="000000" w:themeColor="text1"/>
                <w:szCs w:val="21"/>
              </w:rPr>
              <w:t>人民币</w:t>
            </w:r>
            <w:r w:rsidRPr="00A3398F">
              <w:rPr>
                <w:rFonts w:eastAsiaTheme="minorEastAsia"/>
                <w:color w:val="000000" w:themeColor="text1"/>
                <w:szCs w:val="21"/>
              </w:rPr>
              <w:t>元</w:t>
            </w:r>
            <w:r w:rsidRPr="00A3398F">
              <w:rPr>
                <w:rFonts w:eastAsiaTheme="minorEastAsia"/>
                <w:color w:val="000000" w:themeColor="text1"/>
                <w:szCs w:val="21"/>
              </w:rPr>
              <w:t>)</w:t>
            </w:r>
          </w:p>
        </w:tc>
        <w:tc>
          <w:tcPr>
            <w:tcW w:w="1559"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占基金总资产</w:t>
            </w:r>
            <w:r w:rsidRPr="00A3398F">
              <w:rPr>
                <w:rFonts w:eastAsiaTheme="minorEastAsia"/>
                <w:color w:val="000000" w:themeColor="text1"/>
                <w:szCs w:val="21"/>
              </w:rPr>
              <w:lastRenderedPageBreak/>
              <w:t>的比例</w:t>
            </w: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lastRenderedPageBreak/>
              <w:t>1</w:t>
            </w:r>
          </w:p>
        </w:tc>
        <w:tc>
          <w:tcPr>
            <w:tcW w:w="4253" w:type="dxa"/>
            <w:shd w:val="clear" w:color="auto" w:fill="auto"/>
            <w:vAlign w:val="center"/>
          </w:tcPr>
          <w:p w:rsidR="00363E15" w:rsidRPr="00A3398F" w:rsidRDefault="00363E15"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权益投资</w:t>
            </w:r>
          </w:p>
        </w:tc>
        <w:tc>
          <w:tcPr>
            <w:tcW w:w="2835"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363E15" w:rsidRPr="00A3398F" w:rsidRDefault="00363E15"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w:t>
            </w:r>
            <w:r w:rsidR="00E462F4" w:rsidRPr="00A3398F">
              <w:rPr>
                <w:rFonts w:eastAsiaTheme="minorEastAsia"/>
                <w:color w:val="000000" w:themeColor="text1"/>
                <w:szCs w:val="21"/>
              </w:rPr>
              <w:t>普通股</w:t>
            </w:r>
          </w:p>
        </w:tc>
        <w:tc>
          <w:tcPr>
            <w:tcW w:w="2835"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存托凭证</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CE4499" w:rsidRPr="00A3398F"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3398F" w:rsidRDefault="00CE4499"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优先股</w:t>
            </w:r>
          </w:p>
        </w:tc>
        <w:tc>
          <w:tcPr>
            <w:tcW w:w="2835"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CE4499" w:rsidRPr="00A3398F"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3398F" w:rsidRDefault="00CE4499"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房地产信托</w:t>
            </w:r>
          </w:p>
        </w:tc>
        <w:tc>
          <w:tcPr>
            <w:tcW w:w="2835"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adjustRightInd w:val="0"/>
              <w:snapToGrid w:val="0"/>
              <w:spacing w:line="400" w:lineRule="exact"/>
              <w:jc w:val="center"/>
              <w:rPr>
                <w:rFonts w:eastAsiaTheme="minorEastAsia"/>
                <w:color w:val="000000" w:themeColor="text1"/>
                <w:szCs w:val="21"/>
              </w:rPr>
            </w:pPr>
            <w:r w:rsidRPr="00A3398F">
              <w:rPr>
                <w:rFonts w:eastAsiaTheme="minorEastAsia"/>
                <w:color w:val="000000" w:themeColor="text1"/>
                <w:szCs w:val="21"/>
              </w:rPr>
              <w:t>2</w:t>
            </w:r>
          </w:p>
        </w:tc>
        <w:tc>
          <w:tcPr>
            <w:tcW w:w="4253" w:type="dxa"/>
            <w:shd w:val="clear" w:color="auto" w:fill="auto"/>
            <w:vAlign w:val="center"/>
          </w:tcPr>
          <w:p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基金投资</w:t>
            </w:r>
          </w:p>
        </w:tc>
        <w:tc>
          <w:tcPr>
            <w:tcW w:w="2835" w:type="dxa"/>
            <w:shd w:val="clear" w:color="auto" w:fill="auto"/>
            <w:vAlign w:val="center"/>
          </w:tcPr>
          <w:p w:rsidR="00E462F4" w:rsidRPr="00A3398F" w:rsidRDefault="006C4E1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32,719,470.41</w:t>
            </w:r>
          </w:p>
        </w:tc>
        <w:tc>
          <w:tcPr>
            <w:tcW w:w="1559" w:type="dxa"/>
            <w:shd w:val="clear" w:color="auto" w:fill="auto"/>
            <w:vAlign w:val="center"/>
          </w:tcPr>
          <w:p w:rsidR="00E462F4" w:rsidRPr="00A3398F" w:rsidRDefault="006C4E1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92.66</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3</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固定收益投资</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709,938.08</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2.01</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其中：债券</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709,938.08</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2.01</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utoSpaceDE w:val="0"/>
              <w:autoSpaceDN w:val="0"/>
              <w:adjustRightInd w:val="0"/>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资产支持证券</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4</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金融衍生品投资</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其中：远期</w:t>
            </w:r>
          </w:p>
        </w:tc>
        <w:tc>
          <w:tcPr>
            <w:tcW w:w="2835"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Del="00455464" w:rsidRDefault="00E462F4" w:rsidP="00877D98">
            <w:pPr>
              <w:adjustRightInd w:val="0"/>
              <w:snapToGrid w:val="0"/>
              <w:spacing w:line="400" w:lineRule="exact"/>
              <w:ind w:firstLineChars="300" w:firstLine="630"/>
              <w:rPr>
                <w:rFonts w:eastAsiaTheme="minorEastAsia"/>
                <w:color w:val="000000" w:themeColor="text1"/>
                <w:szCs w:val="21"/>
              </w:rPr>
            </w:pPr>
            <w:r w:rsidRPr="00A3398F">
              <w:rPr>
                <w:rFonts w:eastAsiaTheme="minorEastAsia"/>
                <w:color w:val="000000" w:themeColor="text1"/>
                <w:szCs w:val="21"/>
              </w:rPr>
              <w:t>期货</w:t>
            </w:r>
          </w:p>
        </w:tc>
        <w:tc>
          <w:tcPr>
            <w:tcW w:w="2835"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djustRightInd w:val="0"/>
              <w:snapToGrid w:val="0"/>
              <w:spacing w:line="400" w:lineRule="exact"/>
              <w:ind w:firstLineChars="300" w:firstLine="630"/>
              <w:rPr>
                <w:rFonts w:eastAsiaTheme="minorEastAsia"/>
                <w:color w:val="000000" w:themeColor="text1"/>
                <w:szCs w:val="21"/>
              </w:rPr>
            </w:pPr>
            <w:r w:rsidRPr="00A3398F">
              <w:rPr>
                <w:rFonts w:eastAsiaTheme="minorEastAsia"/>
                <w:color w:val="000000" w:themeColor="text1"/>
                <w:szCs w:val="21"/>
              </w:rPr>
              <w:t>期权</w:t>
            </w:r>
          </w:p>
        </w:tc>
        <w:tc>
          <w:tcPr>
            <w:tcW w:w="2835"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djustRightInd w:val="0"/>
              <w:snapToGrid w:val="0"/>
              <w:spacing w:line="400" w:lineRule="exact"/>
              <w:ind w:firstLineChars="298" w:firstLine="626"/>
              <w:rPr>
                <w:rFonts w:eastAsiaTheme="minorEastAsia"/>
                <w:color w:val="000000" w:themeColor="text1"/>
                <w:szCs w:val="21"/>
              </w:rPr>
            </w:pPr>
            <w:r w:rsidRPr="00A3398F">
              <w:rPr>
                <w:rFonts w:eastAsiaTheme="minorEastAsia"/>
                <w:color w:val="000000" w:themeColor="text1"/>
                <w:szCs w:val="21"/>
              </w:rPr>
              <w:t>权证</w:t>
            </w:r>
          </w:p>
        </w:tc>
        <w:tc>
          <w:tcPr>
            <w:tcW w:w="2835" w:type="dxa"/>
            <w:shd w:val="clear" w:color="auto" w:fill="auto"/>
            <w:vAlign w:val="center"/>
          </w:tcPr>
          <w:p w:rsidR="00E462F4" w:rsidRPr="00A3398F" w:rsidRDefault="00664F49"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5</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买入返售金融资产</w:t>
            </w:r>
          </w:p>
        </w:tc>
        <w:tc>
          <w:tcPr>
            <w:tcW w:w="2835" w:type="dxa"/>
            <w:shd w:val="clear" w:color="auto" w:fill="auto"/>
            <w:vAlign w:val="center"/>
          </w:tcPr>
          <w:p w:rsidR="00E462F4" w:rsidRPr="00A3398F" w:rsidRDefault="00E462F4"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其中：买断式回购的买入返售金融资产</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adjustRightInd w:val="0"/>
              <w:snapToGrid w:val="0"/>
              <w:spacing w:line="400" w:lineRule="exact"/>
              <w:jc w:val="center"/>
              <w:rPr>
                <w:rFonts w:eastAsiaTheme="minorEastAsia"/>
                <w:color w:val="000000" w:themeColor="text1"/>
                <w:szCs w:val="21"/>
              </w:rPr>
            </w:pPr>
            <w:r w:rsidRPr="00A3398F">
              <w:rPr>
                <w:rFonts w:eastAsiaTheme="minorEastAsia"/>
                <w:color w:val="000000" w:themeColor="text1"/>
                <w:szCs w:val="21"/>
              </w:rPr>
              <w:t>6</w:t>
            </w:r>
          </w:p>
        </w:tc>
        <w:tc>
          <w:tcPr>
            <w:tcW w:w="4253" w:type="dxa"/>
            <w:shd w:val="clear" w:color="auto" w:fill="auto"/>
            <w:vAlign w:val="center"/>
          </w:tcPr>
          <w:p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货币市场工具</w:t>
            </w:r>
          </w:p>
        </w:tc>
        <w:tc>
          <w:tcPr>
            <w:tcW w:w="2835" w:type="dxa"/>
            <w:shd w:val="clear" w:color="auto" w:fill="auto"/>
            <w:vAlign w:val="center"/>
          </w:tcPr>
          <w:p w:rsidR="00E462F4" w:rsidRPr="00A3398F" w:rsidRDefault="00CE7FC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CE7FC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7</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银行存款和结算备付金合计</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1,593,401.87</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4.51</w:t>
            </w:r>
          </w:p>
        </w:tc>
      </w:tr>
      <w:tr w:rsidR="008277FF" w:rsidRPr="00A3398F" w:rsidTr="00797DD2">
        <w:tc>
          <w:tcPr>
            <w:tcW w:w="851" w:type="dxa"/>
            <w:shd w:val="clear" w:color="auto" w:fill="auto"/>
            <w:vAlign w:val="center"/>
          </w:tcPr>
          <w:p w:rsidR="00E462F4" w:rsidRPr="00A3398F" w:rsidRDefault="00E462F4" w:rsidP="00466B17">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8</w:t>
            </w:r>
          </w:p>
        </w:tc>
        <w:tc>
          <w:tcPr>
            <w:tcW w:w="4253" w:type="dxa"/>
            <w:shd w:val="clear" w:color="auto" w:fill="auto"/>
            <w:vAlign w:val="center"/>
          </w:tcPr>
          <w:p w:rsidR="00E462F4" w:rsidRPr="00A3398F" w:rsidRDefault="00E462F4" w:rsidP="00797DD2">
            <w:pPr>
              <w:rPr>
                <w:rFonts w:eastAsiaTheme="minorEastAsia"/>
                <w:color w:val="000000" w:themeColor="text1"/>
                <w:szCs w:val="21"/>
              </w:rPr>
            </w:pPr>
            <w:r w:rsidRPr="00A3398F">
              <w:rPr>
                <w:rFonts w:eastAsiaTheme="minorEastAsia"/>
                <w:color w:val="000000" w:themeColor="text1"/>
                <w:szCs w:val="21"/>
              </w:rPr>
              <w:t>其他各项资产</w:t>
            </w:r>
          </w:p>
        </w:tc>
        <w:tc>
          <w:tcPr>
            <w:tcW w:w="2835"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287,985.72</w:t>
            </w:r>
          </w:p>
        </w:tc>
        <w:tc>
          <w:tcPr>
            <w:tcW w:w="1559"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0.82</w:t>
            </w:r>
          </w:p>
        </w:tc>
      </w:tr>
      <w:tr w:rsidR="008277FF" w:rsidRPr="00A3398F" w:rsidTr="00797DD2">
        <w:tc>
          <w:tcPr>
            <w:tcW w:w="851" w:type="dxa"/>
            <w:shd w:val="clear" w:color="auto" w:fill="auto"/>
            <w:vAlign w:val="center"/>
          </w:tcPr>
          <w:p w:rsidR="00E462F4" w:rsidRPr="00A3398F" w:rsidRDefault="00E462F4" w:rsidP="00466B17">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9</w:t>
            </w:r>
          </w:p>
        </w:tc>
        <w:tc>
          <w:tcPr>
            <w:tcW w:w="4253" w:type="dxa"/>
            <w:shd w:val="clear" w:color="auto" w:fill="auto"/>
            <w:vAlign w:val="center"/>
          </w:tcPr>
          <w:p w:rsidR="00E462F4" w:rsidRPr="00A3398F" w:rsidRDefault="00E462F4" w:rsidP="00797DD2">
            <w:pPr>
              <w:rPr>
                <w:rFonts w:eastAsiaTheme="minorEastAsia"/>
                <w:color w:val="000000" w:themeColor="text1"/>
                <w:szCs w:val="21"/>
              </w:rPr>
            </w:pPr>
            <w:r w:rsidRPr="00A3398F">
              <w:rPr>
                <w:rFonts w:eastAsiaTheme="minorEastAsia"/>
                <w:color w:val="000000" w:themeColor="text1"/>
                <w:szCs w:val="21"/>
              </w:rPr>
              <w:t>合计</w:t>
            </w:r>
          </w:p>
        </w:tc>
        <w:tc>
          <w:tcPr>
            <w:tcW w:w="2835"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35,310,796.08</w:t>
            </w:r>
          </w:p>
        </w:tc>
        <w:tc>
          <w:tcPr>
            <w:tcW w:w="1559"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100.00</w:t>
            </w:r>
          </w:p>
        </w:tc>
      </w:tr>
    </w:tbl>
    <w:p w:rsidR="002E7AB7" w:rsidRPr="006A0AFD" w:rsidRDefault="00982AC4" w:rsidP="002E7AB7">
      <w:pPr>
        <w:rPr>
          <w:rFonts w:eastAsiaTheme="minorEastAsia"/>
          <w:b/>
          <w:color w:val="000000" w:themeColor="text1"/>
          <w:kern w:val="0"/>
          <w:sz w:val="24"/>
        </w:rPr>
      </w:pPr>
      <w:r w:rsidRPr="00A3398F">
        <w:rPr>
          <w:rFonts w:eastAsiaTheme="minorEastAsia"/>
          <w:b/>
          <w:color w:val="000000" w:themeColor="text1"/>
          <w:kern w:val="0"/>
          <w:sz w:val="24"/>
        </w:rPr>
        <w:t>5.2</w:t>
      </w:r>
      <w:r w:rsidR="002E7AB7" w:rsidRPr="006A0AFD">
        <w:rPr>
          <w:rFonts w:eastAsiaTheme="minorEastAsia" w:hint="eastAsia"/>
          <w:b/>
          <w:color w:val="000000" w:themeColor="text1"/>
          <w:kern w:val="0"/>
          <w:sz w:val="24"/>
        </w:rPr>
        <w:t>期末投资目标基金明细</w:t>
      </w:r>
    </w:p>
    <w:tbl>
      <w:tblPr>
        <w:tblStyle w:val="afa"/>
        <w:tblW w:w="0" w:type="auto"/>
        <w:tblInd w:w="15" w:type="dxa"/>
        <w:tblLook w:val="04A0" w:firstRow="1" w:lastRow="0" w:firstColumn="1" w:lastColumn="0" w:noHBand="0" w:noVBand="1"/>
      </w:tblPr>
      <w:tblGrid>
        <w:gridCol w:w="776"/>
        <w:gridCol w:w="1766"/>
        <w:gridCol w:w="777"/>
        <w:gridCol w:w="909"/>
        <w:gridCol w:w="1774"/>
        <w:gridCol w:w="1424"/>
        <w:gridCol w:w="1087"/>
      </w:tblGrid>
      <w:tr w:rsidR="002E7AB7" w:rsidRPr="0077262D" w:rsidTr="00982AC4">
        <w:tc>
          <w:tcPr>
            <w:tcW w:w="1184" w:type="dxa"/>
            <w:vAlign w:val="center"/>
          </w:tcPr>
          <w:p w:rsidR="002E7AB7" w:rsidRPr="002E7AB7" w:rsidRDefault="002E7AB7" w:rsidP="00982AC4">
            <w:pPr>
              <w:autoSpaceDE w:val="0"/>
              <w:autoSpaceDN w:val="0"/>
              <w:adjustRightInd w:val="0"/>
              <w:spacing w:before="29" w:line="360" w:lineRule="auto"/>
              <w:ind w:left="15"/>
              <w:jc w:val="center"/>
              <w:rPr>
                <w:rFonts w:eastAsiaTheme="minorEastAsia"/>
                <w:color w:val="000000" w:themeColor="text1"/>
                <w:kern w:val="0"/>
                <w:szCs w:val="21"/>
              </w:rPr>
            </w:pPr>
            <w:r w:rsidRPr="002E7AB7">
              <w:rPr>
                <w:rFonts w:eastAsiaTheme="minorEastAsia" w:hint="eastAsia"/>
                <w:color w:val="000000" w:themeColor="text1"/>
                <w:kern w:val="0"/>
                <w:szCs w:val="21"/>
              </w:rPr>
              <w:t>序号</w:t>
            </w:r>
          </w:p>
        </w:tc>
        <w:tc>
          <w:tcPr>
            <w:tcW w:w="1185" w:type="dxa"/>
            <w:vAlign w:val="center"/>
          </w:tcPr>
          <w:p w:rsidR="002E7AB7" w:rsidRPr="002E7AB7" w:rsidRDefault="002E7AB7" w:rsidP="00982AC4">
            <w:pPr>
              <w:autoSpaceDE w:val="0"/>
              <w:autoSpaceDN w:val="0"/>
              <w:adjustRightInd w:val="0"/>
              <w:spacing w:before="29" w:line="360" w:lineRule="auto"/>
              <w:ind w:left="15"/>
              <w:jc w:val="center"/>
              <w:rPr>
                <w:rFonts w:eastAsiaTheme="minorEastAsia"/>
                <w:color w:val="000000" w:themeColor="text1"/>
                <w:kern w:val="0"/>
                <w:szCs w:val="21"/>
              </w:rPr>
            </w:pPr>
            <w:r w:rsidRPr="002E7AB7">
              <w:rPr>
                <w:rFonts w:eastAsiaTheme="minorEastAsia" w:hint="eastAsia"/>
                <w:color w:val="000000" w:themeColor="text1"/>
                <w:kern w:val="0"/>
                <w:szCs w:val="21"/>
              </w:rPr>
              <w:t>基金名称</w:t>
            </w:r>
          </w:p>
        </w:tc>
        <w:tc>
          <w:tcPr>
            <w:tcW w:w="1185" w:type="dxa"/>
            <w:vAlign w:val="center"/>
          </w:tcPr>
          <w:p w:rsidR="002E7AB7" w:rsidRPr="002E7AB7" w:rsidRDefault="002E7AB7" w:rsidP="00982AC4">
            <w:pPr>
              <w:autoSpaceDE w:val="0"/>
              <w:autoSpaceDN w:val="0"/>
              <w:adjustRightInd w:val="0"/>
              <w:spacing w:before="29" w:line="360" w:lineRule="auto"/>
              <w:ind w:left="15"/>
              <w:jc w:val="center"/>
              <w:rPr>
                <w:rFonts w:eastAsiaTheme="minorEastAsia"/>
                <w:color w:val="000000" w:themeColor="text1"/>
                <w:kern w:val="0"/>
                <w:szCs w:val="21"/>
              </w:rPr>
            </w:pPr>
            <w:r w:rsidRPr="002E7AB7">
              <w:rPr>
                <w:rFonts w:eastAsiaTheme="minorEastAsia" w:hint="eastAsia"/>
                <w:color w:val="000000" w:themeColor="text1"/>
                <w:kern w:val="0"/>
                <w:szCs w:val="21"/>
              </w:rPr>
              <w:t>基金类型</w:t>
            </w:r>
          </w:p>
        </w:tc>
        <w:tc>
          <w:tcPr>
            <w:tcW w:w="1185" w:type="dxa"/>
            <w:vAlign w:val="center"/>
          </w:tcPr>
          <w:p w:rsidR="002E7AB7" w:rsidRPr="002E7AB7" w:rsidRDefault="002E7AB7" w:rsidP="00982AC4">
            <w:pPr>
              <w:autoSpaceDE w:val="0"/>
              <w:autoSpaceDN w:val="0"/>
              <w:adjustRightInd w:val="0"/>
              <w:spacing w:before="29" w:line="360" w:lineRule="auto"/>
              <w:ind w:left="15"/>
              <w:jc w:val="center"/>
              <w:rPr>
                <w:rFonts w:eastAsiaTheme="minorEastAsia"/>
                <w:color w:val="000000" w:themeColor="text1"/>
                <w:kern w:val="0"/>
                <w:szCs w:val="21"/>
              </w:rPr>
            </w:pPr>
            <w:r w:rsidRPr="002E7AB7">
              <w:rPr>
                <w:rFonts w:eastAsiaTheme="minorEastAsia" w:hint="eastAsia"/>
                <w:color w:val="000000" w:themeColor="text1"/>
                <w:kern w:val="0"/>
                <w:szCs w:val="21"/>
              </w:rPr>
              <w:t>运作方式</w:t>
            </w:r>
          </w:p>
        </w:tc>
        <w:tc>
          <w:tcPr>
            <w:tcW w:w="1185" w:type="dxa"/>
            <w:vAlign w:val="center"/>
          </w:tcPr>
          <w:p w:rsidR="002E7AB7" w:rsidRPr="002E7AB7" w:rsidRDefault="002E7AB7" w:rsidP="00982AC4">
            <w:pPr>
              <w:autoSpaceDE w:val="0"/>
              <w:autoSpaceDN w:val="0"/>
              <w:adjustRightInd w:val="0"/>
              <w:spacing w:before="29" w:line="360" w:lineRule="auto"/>
              <w:ind w:left="15"/>
              <w:jc w:val="center"/>
              <w:rPr>
                <w:rFonts w:eastAsiaTheme="minorEastAsia"/>
                <w:color w:val="000000" w:themeColor="text1"/>
                <w:kern w:val="0"/>
                <w:szCs w:val="21"/>
              </w:rPr>
            </w:pPr>
            <w:r w:rsidRPr="002E7AB7">
              <w:rPr>
                <w:rFonts w:eastAsiaTheme="minorEastAsia" w:hint="eastAsia"/>
                <w:color w:val="000000" w:themeColor="text1"/>
                <w:kern w:val="0"/>
                <w:szCs w:val="21"/>
              </w:rPr>
              <w:t>管理人</w:t>
            </w:r>
          </w:p>
        </w:tc>
        <w:tc>
          <w:tcPr>
            <w:tcW w:w="1186" w:type="dxa"/>
            <w:vAlign w:val="center"/>
          </w:tcPr>
          <w:p w:rsidR="002E7AB7" w:rsidRPr="002E7AB7" w:rsidRDefault="002E7AB7" w:rsidP="00982AC4">
            <w:pPr>
              <w:autoSpaceDE w:val="0"/>
              <w:autoSpaceDN w:val="0"/>
              <w:adjustRightInd w:val="0"/>
              <w:spacing w:before="29" w:line="360" w:lineRule="auto"/>
              <w:ind w:left="15"/>
              <w:jc w:val="center"/>
              <w:rPr>
                <w:rFonts w:eastAsiaTheme="minorEastAsia"/>
                <w:color w:val="000000" w:themeColor="text1"/>
                <w:kern w:val="0"/>
                <w:szCs w:val="21"/>
              </w:rPr>
            </w:pPr>
            <w:r w:rsidRPr="002E7AB7">
              <w:rPr>
                <w:rFonts w:eastAsiaTheme="minorEastAsia" w:hint="eastAsia"/>
                <w:color w:val="000000" w:themeColor="text1"/>
                <w:kern w:val="0"/>
                <w:szCs w:val="21"/>
              </w:rPr>
              <w:t>公允价值</w:t>
            </w:r>
          </w:p>
        </w:tc>
        <w:tc>
          <w:tcPr>
            <w:tcW w:w="1403" w:type="dxa"/>
            <w:vAlign w:val="center"/>
          </w:tcPr>
          <w:p w:rsidR="002E7AB7" w:rsidRPr="002E7AB7" w:rsidRDefault="002E7AB7" w:rsidP="00982AC4">
            <w:pPr>
              <w:autoSpaceDE w:val="0"/>
              <w:autoSpaceDN w:val="0"/>
              <w:adjustRightInd w:val="0"/>
              <w:spacing w:before="29" w:line="360" w:lineRule="auto"/>
              <w:ind w:left="15"/>
              <w:jc w:val="center"/>
              <w:rPr>
                <w:rFonts w:eastAsiaTheme="minorEastAsia"/>
                <w:color w:val="000000" w:themeColor="text1"/>
                <w:kern w:val="0"/>
                <w:szCs w:val="21"/>
              </w:rPr>
            </w:pPr>
            <w:r w:rsidRPr="002E7AB7">
              <w:rPr>
                <w:rFonts w:eastAsiaTheme="minorEastAsia" w:hint="eastAsia"/>
                <w:color w:val="000000" w:themeColor="text1"/>
                <w:kern w:val="0"/>
                <w:szCs w:val="21"/>
              </w:rPr>
              <w:t>占基金资产净值比例（</w:t>
            </w:r>
            <w:r w:rsidRPr="002E7AB7">
              <w:rPr>
                <w:rFonts w:eastAsiaTheme="minorEastAsia"/>
                <w:color w:val="000000" w:themeColor="text1"/>
                <w:kern w:val="0"/>
                <w:szCs w:val="21"/>
              </w:rPr>
              <w:t>%</w:t>
            </w:r>
            <w:r w:rsidRPr="002E7AB7">
              <w:rPr>
                <w:rFonts w:eastAsiaTheme="minorEastAsia" w:hint="eastAsia"/>
                <w:color w:val="000000" w:themeColor="text1"/>
                <w:kern w:val="0"/>
                <w:szCs w:val="21"/>
              </w:rPr>
              <w:t>）</w:t>
            </w:r>
          </w:p>
        </w:tc>
      </w:tr>
      <w:tr w:rsidR="0018319B">
        <w:tc>
          <w:tcPr>
            <w:tcW w:w="0" w:type="auto"/>
            <w:vAlign w:val="center"/>
          </w:tcPr>
          <w:p w:rsidR="0018319B" w:rsidRDefault="00EF5580">
            <w:pPr>
              <w:jc w:val="center"/>
            </w:pPr>
            <w:r>
              <w:rPr>
                <w:rFonts w:eastAsiaTheme="minorEastAsia"/>
                <w:color w:val="000000" w:themeColor="text1"/>
                <w:szCs w:val="21"/>
              </w:rPr>
              <w:t>1</w:t>
            </w:r>
          </w:p>
        </w:tc>
        <w:tc>
          <w:tcPr>
            <w:tcW w:w="0" w:type="auto"/>
            <w:vAlign w:val="center"/>
          </w:tcPr>
          <w:p w:rsidR="0018319B" w:rsidRDefault="00EF5580">
            <w:pPr>
              <w:jc w:val="center"/>
            </w:pPr>
            <w:r>
              <w:rPr>
                <w:rFonts w:eastAsiaTheme="minorEastAsia"/>
                <w:color w:val="000000" w:themeColor="text1"/>
                <w:szCs w:val="21"/>
              </w:rPr>
              <w:t>摩根恒生科技</w:t>
            </w:r>
            <w:r>
              <w:rPr>
                <w:rFonts w:eastAsiaTheme="minorEastAsia"/>
                <w:color w:val="000000" w:themeColor="text1"/>
                <w:szCs w:val="21"/>
              </w:rPr>
              <w:t>ETF(QDII)</w:t>
            </w:r>
          </w:p>
        </w:tc>
        <w:tc>
          <w:tcPr>
            <w:tcW w:w="0" w:type="auto"/>
            <w:vAlign w:val="center"/>
          </w:tcPr>
          <w:p w:rsidR="0018319B" w:rsidRDefault="00EF5580">
            <w:pPr>
              <w:jc w:val="center"/>
            </w:pPr>
            <w:r>
              <w:rPr>
                <w:rFonts w:eastAsiaTheme="minorEastAsia"/>
                <w:color w:val="000000" w:themeColor="text1"/>
                <w:szCs w:val="21"/>
              </w:rPr>
              <w:t>股票型</w:t>
            </w:r>
          </w:p>
        </w:tc>
        <w:tc>
          <w:tcPr>
            <w:tcW w:w="0" w:type="auto"/>
            <w:vAlign w:val="center"/>
          </w:tcPr>
          <w:p w:rsidR="0018319B" w:rsidRDefault="00EF5580">
            <w:pPr>
              <w:jc w:val="center"/>
            </w:pPr>
            <w:r>
              <w:rPr>
                <w:rFonts w:eastAsiaTheme="minorEastAsia"/>
                <w:color w:val="000000" w:themeColor="text1"/>
                <w:szCs w:val="21"/>
              </w:rPr>
              <w:t>交易型开放式</w:t>
            </w:r>
          </w:p>
        </w:tc>
        <w:tc>
          <w:tcPr>
            <w:tcW w:w="0" w:type="auto"/>
            <w:vAlign w:val="center"/>
          </w:tcPr>
          <w:p w:rsidR="0018319B" w:rsidRDefault="00EF5580">
            <w:pPr>
              <w:jc w:val="center"/>
            </w:pPr>
            <w:r>
              <w:rPr>
                <w:rFonts w:eastAsiaTheme="minorEastAsia"/>
                <w:color w:val="000000" w:themeColor="text1"/>
                <w:szCs w:val="21"/>
              </w:rPr>
              <w:t>摩根基金管理（中国）有限公司</w:t>
            </w:r>
          </w:p>
        </w:tc>
        <w:tc>
          <w:tcPr>
            <w:tcW w:w="0" w:type="auto"/>
            <w:vAlign w:val="center"/>
          </w:tcPr>
          <w:p w:rsidR="0018319B" w:rsidRDefault="00EF5580">
            <w:pPr>
              <w:jc w:val="right"/>
            </w:pPr>
            <w:r>
              <w:rPr>
                <w:rFonts w:eastAsiaTheme="minorEastAsia"/>
                <w:color w:val="000000" w:themeColor="text1"/>
                <w:szCs w:val="21"/>
              </w:rPr>
              <w:t>32,719,470.41</w:t>
            </w:r>
          </w:p>
        </w:tc>
        <w:tc>
          <w:tcPr>
            <w:tcW w:w="0" w:type="auto"/>
            <w:vAlign w:val="center"/>
          </w:tcPr>
          <w:p w:rsidR="0018319B" w:rsidRDefault="00EF5580">
            <w:pPr>
              <w:jc w:val="right"/>
            </w:pPr>
            <w:r>
              <w:rPr>
                <w:rFonts w:eastAsiaTheme="minorEastAsia"/>
                <w:color w:val="000000" w:themeColor="text1"/>
                <w:szCs w:val="21"/>
              </w:rPr>
              <w:t>96.56</w:t>
            </w:r>
          </w:p>
        </w:tc>
      </w:tr>
    </w:tbl>
    <w:p w:rsidR="00F512C0" w:rsidRPr="002E7AB7" w:rsidRDefault="00F512C0" w:rsidP="00363E15">
      <w:pPr>
        <w:autoSpaceDE w:val="0"/>
        <w:autoSpaceDN w:val="0"/>
        <w:adjustRightInd w:val="0"/>
        <w:spacing w:line="360" w:lineRule="auto"/>
        <w:jc w:val="left"/>
        <w:rPr>
          <w:rFonts w:eastAsiaTheme="minorEastAsia"/>
          <w:color w:val="000000" w:themeColor="text1"/>
          <w:szCs w:val="21"/>
        </w:rPr>
      </w:pPr>
    </w:p>
    <w:p w:rsidR="0076518F" w:rsidRPr="00A3398F" w:rsidRDefault="00E963FD"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lastRenderedPageBreak/>
        <w:t>5.3</w:t>
      </w:r>
      <w:r w:rsidR="00A82C02"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报告期末在各个国家（地区）证券市场的股票及存托凭证投资分布</w:t>
      </w:r>
    </w:p>
    <w:p w:rsidR="00363E15" w:rsidRPr="00A3398F" w:rsidRDefault="00363E15" w:rsidP="00363E15">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注：本报告期末本基金未持有股票和存托凭证</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C37E98" w:rsidRPr="00A3398F" w:rsidRDefault="00E963FD"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5.4</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报告期末按行业分类的股票及存托凭证投资组合</w:t>
      </w:r>
    </w:p>
    <w:p w:rsidR="005B6AC7" w:rsidRPr="00A3398F" w:rsidRDefault="000A521D" w:rsidP="008B6A4A">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本基金本报告期末未持有股票及存托凭证。</w:t>
      </w:r>
    </w:p>
    <w:p w:rsidR="000A521D" w:rsidRDefault="000A521D" w:rsidP="008B6A4A">
      <w:pPr>
        <w:autoSpaceDE w:val="0"/>
        <w:autoSpaceDN w:val="0"/>
        <w:adjustRightInd w:val="0"/>
        <w:spacing w:line="360" w:lineRule="auto"/>
        <w:jc w:val="left"/>
        <w:rPr>
          <w:rFonts w:eastAsiaTheme="minorEastAsia"/>
          <w:color w:val="000000" w:themeColor="text1"/>
          <w:sz w:val="24"/>
        </w:rPr>
      </w:pPr>
    </w:p>
    <w:p w:rsidR="0076518F" w:rsidRPr="00A3398F" w:rsidRDefault="00E963FD" w:rsidP="00EC4BA3">
      <w:pPr>
        <w:autoSpaceDE w:val="0"/>
        <w:autoSpaceDN w:val="0"/>
        <w:adjustRightInd w:val="0"/>
        <w:spacing w:line="360" w:lineRule="auto"/>
        <w:jc w:val="left"/>
        <w:rPr>
          <w:rFonts w:eastAsiaTheme="minorEastAsia"/>
          <w:b/>
          <w:kern w:val="0"/>
          <w:sz w:val="24"/>
        </w:rPr>
      </w:pPr>
      <w:r w:rsidRPr="00A3398F">
        <w:rPr>
          <w:rFonts w:eastAsiaTheme="minorEastAsia"/>
          <w:b/>
          <w:color w:val="000000" w:themeColor="text1"/>
          <w:kern w:val="0"/>
          <w:sz w:val="24"/>
        </w:rPr>
        <w:t>5.5</w:t>
      </w:r>
      <w:r w:rsidR="0076518F" w:rsidRPr="00A3398F">
        <w:rPr>
          <w:rFonts w:eastAsiaTheme="minorEastAsia"/>
          <w:b/>
          <w:kern w:val="0"/>
          <w:sz w:val="24"/>
        </w:rPr>
        <w:t xml:space="preserve"> </w:t>
      </w:r>
      <w:r w:rsidR="0076518F" w:rsidRPr="00A3398F">
        <w:rPr>
          <w:rFonts w:eastAsiaTheme="minorEastAsia"/>
          <w:b/>
          <w:kern w:val="0"/>
          <w:sz w:val="24"/>
        </w:rPr>
        <w:t>报告期末按公允价值占基金资产净值比例大小排序的前十名股票及存托凭证投资明细</w:t>
      </w:r>
    </w:p>
    <w:p w:rsidR="00B62914" w:rsidRPr="00A3398F" w:rsidRDefault="00E73C41" w:rsidP="002236BC">
      <w:pPr>
        <w:autoSpaceDE w:val="0"/>
        <w:autoSpaceDN w:val="0"/>
        <w:adjustRightInd w:val="0"/>
        <w:spacing w:line="360" w:lineRule="auto"/>
        <w:jc w:val="left"/>
        <w:rPr>
          <w:rFonts w:eastAsiaTheme="minorEastAsia"/>
          <w:szCs w:val="21"/>
        </w:rPr>
      </w:pPr>
      <w:r w:rsidRPr="00A3398F">
        <w:rPr>
          <w:rFonts w:eastAsiaTheme="minorEastAsia"/>
          <w:szCs w:val="21"/>
        </w:rPr>
        <w:t>本基金本报告期末未持有股票及存托凭证。</w:t>
      </w:r>
    </w:p>
    <w:p w:rsidR="00A3398F" w:rsidRPr="00A3398F" w:rsidRDefault="00A3398F" w:rsidP="00CD25DA">
      <w:pPr>
        <w:autoSpaceDE w:val="0"/>
        <w:autoSpaceDN w:val="0"/>
        <w:adjustRightInd w:val="0"/>
        <w:spacing w:before="29" w:line="360" w:lineRule="auto"/>
        <w:jc w:val="left"/>
        <w:rPr>
          <w:rFonts w:eastAsiaTheme="minorEastAsia"/>
          <w:color w:val="000000" w:themeColor="text1"/>
          <w:sz w:val="24"/>
        </w:rPr>
      </w:pPr>
    </w:p>
    <w:p w:rsidR="0076518F" w:rsidRPr="00A3398F" w:rsidRDefault="00E963FD"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5.6</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报告期末按债券信用等级分类的债券投资组合</w:t>
      </w:r>
    </w:p>
    <w:tbl>
      <w:tblPr>
        <w:tblStyle w:val="afa"/>
        <w:tblW w:w="0" w:type="auto"/>
        <w:tblInd w:w="15" w:type="dxa"/>
        <w:tblLook w:val="04A0" w:firstRow="1" w:lastRow="0" w:firstColumn="1" w:lastColumn="0" w:noHBand="0" w:noVBand="1"/>
      </w:tblPr>
      <w:tblGrid>
        <w:gridCol w:w="2837"/>
        <w:gridCol w:w="2838"/>
        <w:gridCol w:w="2838"/>
      </w:tblGrid>
      <w:tr w:rsidR="008277FF" w:rsidRPr="00A3398F" w:rsidTr="00797DD2">
        <w:tc>
          <w:tcPr>
            <w:tcW w:w="2837" w:type="dxa"/>
            <w:vAlign w:val="center"/>
          </w:tcPr>
          <w:p w:rsidR="00E73C41" w:rsidRPr="00A3398F" w:rsidRDefault="00E73C41"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债券信用等级</w:t>
            </w:r>
          </w:p>
        </w:tc>
        <w:tc>
          <w:tcPr>
            <w:tcW w:w="2838" w:type="dxa"/>
            <w:vAlign w:val="center"/>
          </w:tcPr>
          <w:p w:rsidR="00E73C41" w:rsidRPr="00A3398F" w:rsidRDefault="00E73C41"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公允价值</w:t>
            </w:r>
            <w:r w:rsidRPr="00A3398F">
              <w:rPr>
                <w:rFonts w:eastAsiaTheme="minorEastAsia"/>
                <w:color w:val="000000" w:themeColor="text1"/>
                <w:kern w:val="0"/>
                <w:szCs w:val="21"/>
              </w:rPr>
              <w:t>(</w:t>
            </w:r>
            <w:r w:rsidRPr="00A3398F">
              <w:rPr>
                <w:rFonts w:eastAsiaTheme="minorEastAsia"/>
                <w:color w:val="000000" w:themeColor="text1"/>
                <w:kern w:val="0"/>
                <w:szCs w:val="21"/>
              </w:rPr>
              <w:t>人民币元</w:t>
            </w:r>
            <w:r w:rsidRPr="00A3398F">
              <w:rPr>
                <w:rFonts w:eastAsiaTheme="minorEastAsia"/>
                <w:color w:val="000000" w:themeColor="text1"/>
                <w:kern w:val="0"/>
                <w:szCs w:val="21"/>
              </w:rPr>
              <w:t>)</w:t>
            </w:r>
          </w:p>
        </w:tc>
        <w:tc>
          <w:tcPr>
            <w:tcW w:w="2838" w:type="dxa"/>
            <w:vAlign w:val="center"/>
          </w:tcPr>
          <w:p w:rsidR="00E73C41" w:rsidRPr="00A3398F" w:rsidRDefault="00E73C41"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占基金资产净值比例（％）</w:t>
            </w:r>
          </w:p>
        </w:tc>
      </w:tr>
      <w:tr w:rsidR="0018319B">
        <w:tc>
          <w:tcPr>
            <w:tcW w:w="0" w:type="auto"/>
            <w:vAlign w:val="center"/>
          </w:tcPr>
          <w:p w:rsidR="0018319B" w:rsidRDefault="00EF5580">
            <w:pPr>
              <w:jc w:val="left"/>
            </w:pPr>
            <w:r>
              <w:rPr>
                <w:rFonts w:eastAsiaTheme="minorEastAsia"/>
                <w:color w:val="000000" w:themeColor="text1"/>
                <w:szCs w:val="21"/>
              </w:rPr>
              <w:t>AAA</w:t>
            </w:r>
          </w:p>
        </w:tc>
        <w:tc>
          <w:tcPr>
            <w:tcW w:w="0" w:type="auto"/>
            <w:vAlign w:val="center"/>
          </w:tcPr>
          <w:p w:rsidR="0018319B" w:rsidRDefault="00EF5580">
            <w:pPr>
              <w:jc w:val="right"/>
            </w:pPr>
            <w:r>
              <w:rPr>
                <w:rFonts w:eastAsiaTheme="minorEastAsia"/>
                <w:color w:val="000000" w:themeColor="text1"/>
                <w:szCs w:val="21"/>
              </w:rPr>
              <w:t>-</w:t>
            </w:r>
          </w:p>
        </w:tc>
        <w:tc>
          <w:tcPr>
            <w:tcW w:w="0" w:type="auto"/>
            <w:vAlign w:val="center"/>
          </w:tcPr>
          <w:p w:rsidR="0018319B" w:rsidRDefault="00EF5580">
            <w:pPr>
              <w:jc w:val="right"/>
            </w:pPr>
            <w:r>
              <w:rPr>
                <w:rFonts w:eastAsiaTheme="minorEastAsia"/>
                <w:color w:val="000000" w:themeColor="text1"/>
                <w:szCs w:val="21"/>
              </w:rPr>
              <w:t>-</w:t>
            </w:r>
          </w:p>
        </w:tc>
      </w:tr>
      <w:tr w:rsidR="0018319B">
        <w:tc>
          <w:tcPr>
            <w:tcW w:w="0" w:type="auto"/>
            <w:vAlign w:val="center"/>
          </w:tcPr>
          <w:p w:rsidR="0018319B" w:rsidRDefault="00EF5580">
            <w:pPr>
              <w:jc w:val="left"/>
            </w:pPr>
            <w:r>
              <w:rPr>
                <w:rFonts w:eastAsiaTheme="minorEastAsia"/>
                <w:color w:val="000000" w:themeColor="text1"/>
                <w:szCs w:val="21"/>
              </w:rPr>
              <w:t>AA-</w:t>
            </w:r>
            <w:r>
              <w:rPr>
                <w:rFonts w:eastAsiaTheme="minorEastAsia"/>
                <w:color w:val="000000" w:themeColor="text1"/>
                <w:szCs w:val="21"/>
              </w:rPr>
              <w:t>至</w:t>
            </w:r>
            <w:r>
              <w:rPr>
                <w:rFonts w:eastAsiaTheme="minorEastAsia"/>
                <w:color w:val="000000" w:themeColor="text1"/>
                <w:szCs w:val="21"/>
              </w:rPr>
              <w:t>AA+</w:t>
            </w:r>
          </w:p>
        </w:tc>
        <w:tc>
          <w:tcPr>
            <w:tcW w:w="0" w:type="auto"/>
            <w:vAlign w:val="center"/>
          </w:tcPr>
          <w:p w:rsidR="0018319B" w:rsidRDefault="00EF5580">
            <w:pPr>
              <w:jc w:val="right"/>
            </w:pPr>
            <w:r>
              <w:rPr>
                <w:rFonts w:eastAsiaTheme="minorEastAsia"/>
                <w:color w:val="000000" w:themeColor="text1"/>
                <w:szCs w:val="21"/>
              </w:rPr>
              <w:t>-</w:t>
            </w:r>
          </w:p>
        </w:tc>
        <w:tc>
          <w:tcPr>
            <w:tcW w:w="0" w:type="auto"/>
            <w:vAlign w:val="center"/>
          </w:tcPr>
          <w:p w:rsidR="0018319B" w:rsidRDefault="00EF5580">
            <w:pPr>
              <w:jc w:val="right"/>
            </w:pPr>
            <w:r>
              <w:rPr>
                <w:rFonts w:eastAsiaTheme="minorEastAsia"/>
                <w:color w:val="000000" w:themeColor="text1"/>
                <w:szCs w:val="21"/>
              </w:rPr>
              <w:t>-</w:t>
            </w:r>
          </w:p>
        </w:tc>
      </w:tr>
      <w:tr w:rsidR="002F158F">
        <w:tc>
          <w:tcPr>
            <w:tcW w:w="0" w:type="auto"/>
            <w:vAlign w:val="center"/>
          </w:tcPr>
          <w:p w:rsidR="002F158F" w:rsidRDefault="002F158F" w:rsidP="002F158F">
            <w:pPr>
              <w:jc w:val="left"/>
            </w:pPr>
            <w:r>
              <w:rPr>
                <w:rFonts w:eastAsiaTheme="minorEastAsia"/>
                <w:color w:val="000000" w:themeColor="text1"/>
                <w:szCs w:val="21"/>
              </w:rPr>
              <w:t>A-</w:t>
            </w:r>
            <w:r>
              <w:rPr>
                <w:rFonts w:eastAsiaTheme="minorEastAsia"/>
                <w:color w:val="000000" w:themeColor="text1"/>
                <w:szCs w:val="21"/>
              </w:rPr>
              <w:t>至</w:t>
            </w:r>
            <w:r>
              <w:rPr>
                <w:rFonts w:eastAsiaTheme="minorEastAsia"/>
                <w:color w:val="000000" w:themeColor="text1"/>
                <w:szCs w:val="21"/>
              </w:rPr>
              <w:t>A+</w:t>
            </w:r>
          </w:p>
        </w:tc>
        <w:tc>
          <w:tcPr>
            <w:tcW w:w="0" w:type="auto"/>
            <w:vAlign w:val="center"/>
          </w:tcPr>
          <w:p w:rsidR="002F158F" w:rsidRDefault="002F158F" w:rsidP="002F158F">
            <w:pPr>
              <w:jc w:val="right"/>
            </w:pPr>
            <w:r>
              <w:rPr>
                <w:rFonts w:eastAsiaTheme="minorEastAsia"/>
                <w:color w:val="000000" w:themeColor="text1"/>
                <w:szCs w:val="21"/>
              </w:rPr>
              <w:t>709,938.08</w:t>
            </w:r>
          </w:p>
        </w:tc>
        <w:tc>
          <w:tcPr>
            <w:tcW w:w="0" w:type="auto"/>
            <w:vAlign w:val="center"/>
          </w:tcPr>
          <w:p w:rsidR="002F158F" w:rsidRDefault="002F158F" w:rsidP="002F158F">
            <w:pPr>
              <w:jc w:val="right"/>
            </w:pPr>
            <w:r>
              <w:rPr>
                <w:rFonts w:eastAsiaTheme="minorEastAsia"/>
                <w:color w:val="000000" w:themeColor="text1"/>
                <w:szCs w:val="21"/>
              </w:rPr>
              <w:t>2.10</w:t>
            </w:r>
          </w:p>
        </w:tc>
      </w:tr>
      <w:tr w:rsidR="0018319B">
        <w:tc>
          <w:tcPr>
            <w:tcW w:w="0" w:type="auto"/>
            <w:vAlign w:val="center"/>
          </w:tcPr>
          <w:p w:rsidR="0018319B" w:rsidRDefault="00EF5580">
            <w:pPr>
              <w:jc w:val="left"/>
            </w:pPr>
            <w:r>
              <w:rPr>
                <w:rFonts w:eastAsiaTheme="minorEastAsia"/>
                <w:color w:val="000000" w:themeColor="text1"/>
                <w:szCs w:val="21"/>
              </w:rPr>
              <w:t>BBB-</w:t>
            </w:r>
            <w:r>
              <w:rPr>
                <w:rFonts w:eastAsiaTheme="minorEastAsia"/>
                <w:color w:val="000000" w:themeColor="text1"/>
                <w:szCs w:val="21"/>
              </w:rPr>
              <w:t>至</w:t>
            </w:r>
            <w:r>
              <w:rPr>
                <w:rFonts w:eastAsiaTheme="minorEastAsia"/>
                <w:color w:val="000000" w:themeColor="text1"/>
                <w:szCs w:val="21"/>
              </w:rPr>
              <w:t>BBB+</w:t>
            </w:r>
          </w:p>
        </w:tc>
        <w:tc>
          <w:tcPr>
            <w:tcW w:w="0" w:type="auto"/>
            <w:vAlign w:val="center"/>
          </w:tcPr>
          <w:p w:rsidR="0018319B" w:rsidRDefault="00EF5580">
            <w:pPr>
              <w:jc w:val="right"/>
            </w:pPr>
            <w:r>
              <w:rPr>
                <w:rFonts w:eastAsiaTheme="minorEastAsia"/>
                <w:color w:val="000000" w:themeColor="text1"/>
                <w:szCs w:val="21"/>
              </w:rPr>
              <w:t>-</w:t>
            </w:r>
          </w:p>
        </w:tc>
        <w:tc>
          <w:tcPr>
            <w:tcW w:w="0" w:type="auto"/>
            <w:vAlign w:val="center"/>
          </w:tcPr>
          <w:p w:rsidR="0018319B" w:rsidRDefault="00EF5580">
            <w:pPr>
              <w:jc w:val="right"/>
            </w:pPr>
            <w:r>
              <w:rPr>
                <w:rFonts w:eastAsiaTheme="minorEastAsia"/>
                <w:color w:val="000000" w:themeColor="text1"/>
                <w:szCs w:val="21"/>
              </w:rPr>
              <w:t>-</w:t>
            </w:r>
          </w:p>
        </w:tc>
      </w:tr>
      <w:tr w:rsidR="0018319B">
        <w:tc>
          <w:tcPr>
            <w:tcW w:w="0" w:type="auto"/>
            <w:vAlign w:val="center"/>
          </w:tcPr>
          <w:p w:rsidR="0018319B" w:rsidRDefault="00EF5580">
            <w:pPr>
              <w:jc w:val="left"/>
            </w:pPr>
            <w:r>
              <w:rPr>
                <w:rFonts w:eastAsiaTheme="minorEastAsia"/>
                <w:color w:val="000000" w:themeColor="text1"/>
                <w:szCs w:val="21"/>
              </w:rPr>
              <w:t>BB-</w:t>
            </w:r>
            <w:r>
              <w:rPr>
                <w:rFonts w:eastAsiaTheme="minorEastAsia"/>
                <w:color w:val="000000" w:themeColor="text1"/>
                <w:szCs w:val="21"/>
              </w:rPr>
              <w:t>至</w:t>
            </w:r>
            <w:r>
              <w:rPr>
                <w:rFonts w:eastAsiaTheme="minorEastAsia"/>
                <w:color w:val="000000" w:themeColor="text1"/>
                <w:szCs w:val="21"/>
              </w:rPr>
              <w:t>BB+</w:t>
            </w:r>
          </w:p>
        </w:tc>
        <w:tc>
          <w:tcPr>
            <w:tcW w:w="0" w:type="auto"/>
            <w:vAlign w:val="center"/>
          </w:tcPr>
          <w:p w:rsidR="0018319B" w:rsidRDefault="00EF5580">
            <w:pPr>
              <w:jc w:val="right"/>
            </w:pPr>
            <w:r>
              <w:rPr>
                <w:rFonts w:eastAsiaTheme="minorEastAsia"/>
                <w:color w:val="000000" w:themeColor="text1"/>
                <w:szCs w:val="21"/>
              </w:rPr>
              <w:t>-</w:t>
            </w:r>
          </w:p>
        </w:tc>
        <w:tc>
          <w:tcPr>
            <w:tcW w:w="0" w:type="auto"/>
            <w:vAlign w:val="center"/>
          </w:tcPr>
          <w:p w:rsidR="0018319B" w:rsidRDefault="00EF5580">
            <w:pPr>
              <w:jc w:val="right"/>
            </w:pPr>
            <w:r>
              <w:rPr>
                <w:rFonts w:eastAsiaTheme="minorEastAsia"/>
                <w:color w:val="000000" w:themeColor="text1"/>
                <w:szCs w:val="21"/>
              </w:rPr>
              <w:t>-</w:t>
            </w:r>
          </w:p>
        </w:tc>
      </w:tr>
    </w:tbl>
    <w:p w:rsidR="0076518F" w:rsidRDefault="00EF5580" w:rsidP="008B6A4A">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注：本基金债券投资组合主要采用标准普尔、惠誉等国际权威评级机构提供的债券信用评级信息。</w:t>
      </w:r>
    </w:p>
    <w:p w:rsidR="00EF5580" w:rsidRPr="00A3398F" w:rsidRDefault="00EF5580"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E963FD"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5.7</w:t>
      </w:r>
      <w:r w:rsidR="008C71EB"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8277FF" w:rsidRPr="00A3398F" w:rsidTr="00B918B8">
        <w:tc>
          <w:tcPr>
            <w:tcW w:w="1252" w:type="dxa"/>
            <w:shd w:val="clear" w:color="auto" w:fill="auto"/>
            <w:vAlign w:val="center"/>
          </w:tcPr>
          <w:p w:rsidR="00521EDE" w:rsidRPr="00A3398F" w:rsidRDefault="00521EDE"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序号</w:t>
            </w:r>
          </w:p>
        </w:tc>
        <w:tc>
          <w:tcPr>
            <w:tcW w:w="1310" w:type="dxa"/>
            <w:shd w:val="clear" w:color="auto" w:fill="auto"/>
            <w:vAlign w:val="center"/>
          </w:tcPr>
          <w:p w:rsidR="00521EDE" w:rsidRPr="00A3398F" w:rsidRDefault="00521EDE"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债券代码</w:t>
            </w:r>
          </w:p>
        </w:tc>
        <w:tc>
          <w:tcPr>
            <w:tcW w:w="1282" w:type="dxa"/>
            <w:shd w:val="clear" w:color="auto" w:fill="auto"/>
            <w:vAlign w:val="center"/>
          </w:tcPr>
          <w:p w:rsidR="00521EDE" w:rsidRPr="00A3398F" w:rsidRDefault="00521EDE"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债券名称</w:t>
            </w:r>
          </w:p>
        </w:tc>
        <w:tc>
          <w:tcPr>
            <w:tcW w:w="1426" w:type="dxa"/>
            <w:shd w:val="clear" w:color="auto" w:fill="auto"/>
            <w:vAlign w:val="center"/>
          </w:tcPr>
          <w:p w:rsidR="00521EDE" w:rsidRPr="00A3398F" w:rsidRDefault="00521EDE"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数量</w:t>
            </w:r>
            <w:r w:rsidRPr="00A3398F">
              <w:rPr>
                <w:rFonts w:eastAsiaTheme="minorEastAsia"/>
                <w:color w:val="000000" w:themeColor="text1"/>
                <w:szCs w:val="21"/>
              </w:rPr>
              <w:t>(</w:t>
            </w:r>
            <w:r w:rsidRPr="00A3398F">
              <w:rPr>
                <w:rFonts w:eastAsiaTheme="minorEastAsia"/>
                <w:color w:val="000000" w:themeColor="text1"/>
                <w:szCs w:val="21"/>
              </w:rPr>
              <w:t>张</w:t>
            </w:r>
            <w:r w:rsidRPr="00A3398F">
              <w:rPr>
                <w:rFonts w:eastAsiaTheme="minorEastAsia"/>
                <w:color w:val="000000" w:themeColor="text1"/>
                <w:szCs w:val="21"/>
              </w:rPr>
              <w:t>)</w:t>
            </w:r>
          </w:p>
        </w:tc>
        <w:tc>
          <w:tcPr>
            <w:tcW w:w="1646" w:type="dxa"/>
            <w:shd w:val="clear" w:color="auto" w:fill="auto"/>
            <w:vAlign w:val="center"/>
          </w:tcPr>
          <w:p w:rsidR="00521EDE" w:rsidRPr="00A3398F" w:rsidRDefault="00521EDE"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公允价值</w:t>
            </w:r>
            <w:r w:rsidRPr="00A3398F">
              <w:rPr>
                <w:rFonts w:eastAsiaTheme="minorEastAsia"/>
                <w:color w:val="000000" w:themeColor="text1"/>
                <w:szCs w:val="21"/>
              </w:rPr>
              <w:t>(</w:t>
            </w:r>
            <w:r w:rsidRPr="00A3398F">
              <w:rPr>
                <w:rFonts w:eastAsiaTheme="minorEastAsia"/>
                <w:color w:val="000000" w:themeColor="text1"/>
                <w:szCs w:val="21"/>
              </w:rPr>
              <w:t>元</w:t>
            </w:r>
            <w:r w:rsidRPr="00A3398F">
              <w:rPr>
                <w:rFonts w:eastAsiaTheme="minorEastAsia"/>
                <w:color w:val="000000" w:themeColor="text1"/>
                <w:szCs w:val="21"/>
              </w:rPr>
              <w:t>)</w:t>
            </w:r>
          </w:p>
        </w:tc>
        <w:tc>
          <w:tcPr>
            <w:tcW w:w="1612" w:type="dxa"/>
            <w:shd w:val="clear" w:color="auto" w:fill="auto"/>
            <w:vAlign w:val="center"/>
          </w:tcPr>
          <w:p w:rsidR="00521EDE" w:rsidRPr="00A3398F" w:rsidRDefault="00521EDE"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占基金资产净值比例</w:t>
            </w:r>
            <w:r w:rsidRPr="00A3398F">
              <w:rPr>
                <w:rFonts w:eastAsiaTheme="minorEastAsia"/>
                <w:color w:val="000000" w:themeColor="text1"/>
                <w:szCs w:val="21"/>
              </w:rPr>
              <w:t>(</w:t>
            </w:r>
            <w:r w:rsidRPr="00A3398F">
              <w:rPr>
                <w:rFonts w:eastAsiaTheme="minorEastAsia"/>
                <w:color w:val="000000" w:themeColor="text1"/>
                <w:szCs w:val="21"/>
              </w:rPr>
              <w:t>％</w:t>
            </w:r>
            <w:r w:rsidRPr="00A3398F">
              <w:rPr>
                <w:rFonts w:eastAsiaTheme="minorEastAsia"/>
                <w:color w:val="000000" w:themeColor="text1"/>
                <w:szCs w:val="21"/>
              </w:rPr>
              <w:t>)</w:t>
            </w:r>
          </w:p>
        </w:tc>
      </w:tr>
      <w:tr w:rsidR="0018319B">
        <w:tc>
          <w:tcPr>
            <w:tcW w:w="1252" w:type="dxa"/>
            <w:vAlign w:val="center"/>
          </w:tcPr>
          <w:p w:rsidR="0018319B" w:rsidRDefault="00EF5580">
            <w:pPr>
              <w:jc w:val="center"/>
            </w:pPr>
            <w:r>
              <w:rPr>
                <w:rFonts w:eastAsiaTheme="minorEastAsia"/>
                <w:color w:val="000000" w:themeColor="text1"/>
                <w:szCs w:val="21"/>
              </w:rPr>
              <w:t>1</w:t>
            </w:r>
          </w:p>
        </w:tc>
        <w:tc>
          <w:tcPr>
            <w:tcW w:w="1310" w:type="dxa"/>
            <w:vAlign w:val="center"/>
          </w:tcPr>
          <w:p w:rsidR="0018319B" w:rsidRDefault="00EF5580">
            <w:pPr>
              <w:jc w:val="center"/>
            </w:pPr>
            <w:r>
              <w:rPr>
                <w:rFonts w:eastAsiaTheme="minorEastAsia"/>
                <w:color w:val="000000" w:themeColor="text1"/>
                <w:szCs w:val="21"/>
              </w:rPr>
              <w:t>019703</w:t>
            </w:r>
          </w:p>
        </w:tc>
        <w:tc>
          <w:tcPr>
            <w:tcW w:w="1282" w:type="dxa"/>
            <w:vAlign w:val="center"/>
          </w:tcPr>
          <w:p w:rsidR="0018319B" w:rsidRDefault="00EF5580">
            <w:pPr>
              <w:jc w:val="center"/>
            </w:pPr>
            <w:r>
              <w:rPr>
                <w:rFonts w:eastAsiaTheme="minorEastAsia"/>
                <w:color w:val="000000" w:themeColor="text1"/>
                <w:szCs w:val="21"/>
              </w:rPr>
              <w:t>23</w:t>
            </w:r>
            <w:r>
              <w:rPr>
                <w:rFonts w:eastAsiaTheme="minorEastAsia"/>
                <w:color w:val="000000" w:themeColor="text1"/>
                <w:szCs w:val="21"/>
              </w:rPr>
              <w:t>国债</w:t>
            </w:r>
            <w:r>
              <w:rPr>
                <w:rFonts w:eastAsiaTheme="minorEastAsia"/>
                <w:color w:val="000000" w:themeColor="text1"/>
                <w:szCs w:val="21"/>
              </w:rPr>
              <w:t>10</w:t>
            </w:r>
          </w:p>
        </w:tc>
        <w:tc>
          <w:tcPr>
            <w:tcW w:w="1426" w:type="dxa"/>
            <w:vAlign w:val="center"/>
          </w:tcPr>
          <w:p w:rsidR="0018319B" w:rsidRDefault="00EF5580">
            <w:pPr>
              <w:jc w:val="right"/>
            </w:pPr>
            <w:r>
              <w:rPr>
                <w:rFonts w:eastAsiaTheme="minorEastAsia"/>
                <w:color w:val="000000" w:themeColor="text1"/>
                <w:szCs w:val="21"/>
              </w:rPr>
              <w:t>7</w:t>
            </w:r>
            <w:r w:rsidR="004504E6">
              <w:rPr>
                <w:rFonts w:eastAsiaTheme="minorEastAsia" w:hint="eastAsia"/>
                <w:color w:val="000000" w:themeColor="text1"/>
                <w:szCs w:val="21"/>
              </w:rPr>
              <w:t>,</w:t>
            </w:r>
            <w:r>
              <w:rPr>
                <w:rFonts w:eastAsiaTheme="minorEastAsia"/>
                <w:color w:val="000000" w:themeColor="text1"/>
                <w:szCs w:val="21"/>
              </w:rPr>
              <w:t>000</w:t>
            </w:r>
          </w:p>
        </w:tc>
        <w:tc>
          <w:tcPr>
            <w:tcW w:w="1646" w:type="dxa"/>
            <w:vAlign w:val="center"/>
          </w:tcPr>
          <w:p w:rsidR="0018319B" w:rsidRDefault="00EF5580">
            <w:pPr>
              <w:jc w:val="right"/>
            </w:pPr>
            <w:r>
              <w:rPr>
                <w:rFonts w:eastAsiaTheme="minorEastAsia"/>
                <w:color w:val="000000" w:themeColor="text1"/>
                <w:szCs w:val="21"/>
              </w:rPr>
              <w:t>709,938.08</w:t>
            </w:r>
          </w:p>
        </w:tc>
        <w:tc>
          <w:tcPr>
            <w:tcW w:w="1612" w:type="dxa"/>
            <w:vAlign w:val="center"/>
          </w:tcPr>
          <w:p w:rsidR="0018319B" w:rsidRDefault="00EF5580">
            <w:pPr>
              <w:jc w:val="right"/>
            </w:pPr>
            <w:r>
              <w:rPr>
                <w:rFonts w:eastAsiaTheme="minorEastAsia"/>
                <w:color w:val="000000" w:themeColor="text1"/>
                <w:szCs w:val="21"/>
              </w:rPr>
              <w:t>2.10</w:t>
            </w:r>
          </w:p>
        </w:tc>
      </w:tr>
    </w:tbl>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E963FD"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5.8</w:t>
      </w:r>
      <w:r w:rsidR="008C71EB"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报告期末按公允价值占基金资产净值比例大小排名的前十名资产支持证券投资明细</w:t>
      </w:r>
    </w:p>
    <w:p w:rsidR="00521EDE" w:rsidRPr="00A3398F" w:rsidRDefault="00521EDE"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本基金本报告期末未持有资产支持证券。</w:t>
      </w:r>
    </w:p>
    <w:p w:rsidR="005B6AC7" w:rsidRPr="00A3398F" w:rsidRDefault="005B6AC7" w:rsidP="00521EDE">
      <w:pPr>
        <w:autoSpaceDE w:val="0"/>
        <w:autoSpaceDN w:val="0"/>
        <w:adjustRightInd w:val="0"/>
        <w:spacing w:before="29" w:line="360" w:lineRule="auto"/>
        <w:ind w:left="15"/>
        <w:jc w:val="left"/>
        <w:rPr>
          <w:rFonts w:eastAsiaTheme="minorEastAsia"/>
          <w:b/>
          <w:color w:val="000000" w:themeColor="text1"/>
          <w:kern w:val="0"/>
          <w:sz w:val="24"/>
        </w:rPr>
      </w:pPr>
    </w:p>
    <w:p w:rsidR="0076518F" w:rsidRPr="00A3398F" w:rsidRDefault="00E963FD"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5.9</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报告期末按公允价值占基金资产净值比例大小排名的前五名金融衍生品投资明细</w:t>
      </w:r>
    </w:p>
    <w:p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lastRenderedPageBreak/>
        <w:t>本基金本报告期末未持有金融衍生品。</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E963FD"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5.10</w:t>
      </w:r>
      <w:r>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报告期末按公允价值占基金资产净值比例大小排序的前十名基金投资明细</w:t>
      </w:r>
    </w:p>
    <w:tbl>
      <w:tblPr>
        <w:tblStyle w:val="afa"/>
        <w:tblW w:w="0" w:type="auto"/>
        <w:tblInd w:w="15" w:type="dxa"/>
        <w:tblLook w:val="04A0" w:firstRow="1" w:lastRow="0" w:firstColumn="1" w:lastColumn="0" w:noHBand="0" w:noVBand="1"/>
      </w:tblPr>
      <w:tblGrid>
        <w:gridCol w:w="800"/>
        <w:gridCol w:w="1795"/>
        <w:gridCol w:w="800"/>
        <w:gridCol w:w="924"/>
        <w:gridCol w:w="1831"/>
        <w:gridCol w:w="1424"/>
        <w:gridCol w:w="939"/>
      </w:tblGrid>
      <w:tr w:rsidR="008277FF" w:rsidRPr="00A3398F" w:rsidTr="00797DD2">
        <w:tc>
          <w:tcPr>
            <w:tcW w:w="1215" w:type="dxa"/>
            <w:vAlign w:val="center"/>
          </w:tcPr>
          <w:p w:rsidR="00017739" w:rsidRPr="00A3398F" w:rsidRDefault="00017739" w:rsidP="00797DD2">
            <w:pPr>
              <w:spacing w:line="360" w:lineRule="auto"/>
              <w:jc w:val="center"/>
              <w:rPr>
                <w:rFonts w:eastAsiaTheme="minorEastAsia"/>
                <w:color w:val="000000" w:themeColor="text1"/>
                <w:szCs w:val="21"/>
              </w:rPr>
            </w:pPr>
            <w:r w:rsidRPr="00A3398F">
              <w:rPr>
                <w:rFonts w:eastAsiaTheme="minorEastAsia"/>
                <w:color w:val="000000" w:themeColor="text1"/>
                <w:szCs w:val="21"/>
              </w:rPr>
              <w:t>序号</w:t>
            </w:r>
          </w:p>
        </w:tc>
        <w:tc>
          <w:tcPr>
            <w:tcW w:w="1216" w:type="dxa"/>
            <w:vAlign w:val="center"/>
          </w:tcPr>
          <w:p w:rsidR="00017739" w:rsidRPr="00A3398F" w:rsidRDefault="00017739" w:rsidP="00797DD2">
            <w:pPr>
              <w:spacing w:line="360" w:lineRule="auto"/>
              <w:rPr>
                <w:rFonts w:eastAsiaTheme="minorEastAsia"/>
                <w:color w:val="000000" w:themeColor="text1"/>
                <w:szCs w:val="21"/>
              </w:rPr>
            </w:pPr>
            <w:r w:rsidRPr="00A3398F">
              <w:rPr>
                <w:rFonts w:eastAsiaTheme="minorEastAsia"/>
                <w:color w:val="000000" w:themeColor="text1"/>
                <w:szCs w:val="21"/>
              </w:rPr>
              <w:t>基金名称</w:t>
            </w:r>
          </w:p>
        </w:tc>
        <w:tc>
          <w:tcPr>
            <w:tcW w:w="1216" w:type="dxa"/>
            <w:vAlign w:val="center"/>
          </w:tcPr>
          <w:p w:rsidR="00017739" w:rsidRPr="00A3398F" w:rsidRDefault="00017739" w:rsidP="00797DD2">
            <w:pPr>
              <w:spacing w:line="360" w:lineRule="auto"/>
              <w:rPr>
                <w:rFonts w:eastAsiaTheme="minorEastAsia"/>
                <w:color w:val="000000" w:themeColor="text1"/>
                <w:szCs w:val="21"/>
              </w:rPr>
            </w:pPr>
            <w:r w:rsidRPr="00A3398F">
              <w:rPr>
                <w:rFonts w:eastAsiaTheme="minorEastAsia"/>
                <w:color w:val="000000" w:themeColor="text1"/>
                <w:szCs w:val="21"/>
              </w:rPr>
              <w:t>基金类型</w:t>
            </w:r>
          </w:p>
        </w:tc>
        <w:tc>
          <w:tcPr>
            <w:tcW w:w="1216" w:type="dxa"/>
            <w:vAlign w:val="center"/>
          </w:tcPr>
          <w:p w:rsidR="00017739" w:rsidRPr="00A3398F" w:rsidRDefault="00017739" w:rsidP="00797DD2">
            <w:pPr>
              <w:spacing w:line="360" w:lineRule="auto"/>
              <w:jc w:val="center"/>
              <w:rPr>
                <w:rFonts w:eastAsiaTheme="minorEastAsia"/>
                <w:color w:val="000000" w:themeColor="text1"/>
                <w:szCs w:val="21"/>
              </w:rPr>
            </w:pPr>
            <w:r w:rsidRPr="00A3398F">
              <w:rPr>
                <w:rFonts w:eastAsiaTheme="minorEastAsia"/>
                <w:color w:val="000000" w:themeColor="text1"/>
                <w:szCs w:val="21"/>
              </w:rPr>
              <w:t>运作方式</w:t>
            </w:r>
          </w:p>
        </w:tc>
        <w:tc>
          <w:tcPr>
            <w:tcW w:w="1216" w:type="dxa"/>
            <w:vAlign w:val="center"/>
          </w:tcPr>
          <w:p w:rsidR="00017739" w:rsidRPr="00A3398F" w:rsidRDefault="00017739" w:rsidP="00797DD2">
            <w:pPr>
              <w:spacing w:line="360" w:lineRule="auto"/>
              <w:jc w:val="center"/>
              <w:rPr>
                <w:rFonts w:eastAsiaTheme="minorEastAsia"/>
                <w:color w:val="000000" w:themeColor="text1"/>
                <w:szCs w:val="21"/>
              </w:rPr>
            </w:pPr>
            <w:r w:rsidRPr="00A3398F">
              <w:rPr>
                <w:rFonts w:eastAsiaTheme="minorEastAsia"/>
                <w:color w:val="000000" w:themeColor="text1"/>
                <w:szCs w:val="21"/>
              </w:rPr>
              <w:t>管理人</w:t>
            </w:r>
          </w:p>
        </w:tc>
        <w:tc>
          <w:tcPr>
            <w:tcW w:w="1217" w:type="dxa"/>
            <w:vAlign w:val="center"/>
          </w:tcPr>
          <w:p w:rsidR="00017739" w:rsidRPr="00A3398F" w:rsidRDefault="00017739" w:rsidP="00797DD2">
            <w:pPr>
              <w:spacing w:line="360" w:lineRule="auto"/>
              <w:jc w:val="center"/>
              <w:rPr>
                <w:rFonts w:eastAsiaTheme="minorEastAsia"/>
                <w:color w:val="000000" w:themeColor="text1"/>
                <w:szCs w:val="21"/>
              </w:rPr>
            </w:pPr>
            <w:r w:rsidRPr="00A3398F">
              <w:rPr>
                <w:rFonts w:eastAsiaTheme="minorEastAsia"/>
                <w:color w:val="000000" w:themeColor="text1"/>
                <w:szCs w:val="21"/>
              </w:rPr>
              <w:t>公允价值</w:t>
            </w:r>
          </w:p>
          <w:p w:rsidR="00017739" w:rsidRPr="00A3398F" w:rsidRDefault="00017739" w:rsidP="00797DD2">
            <w:pPr>
              <w:spacing w:line="360" w:lineRule="auto"/>
              <w:jc w:val="center"/>
              <w:rPr>
                <w:rFonts w:eastAsiaTheme="minorEastAsia"/>
                <w:color w:val="000000" w:themeColor="text1"/>
                <w:szCs w:val="21"/>
              </w:rPr>
            </w:pPr>
            <w:r w:rsidRPr="00A3398F">
              <w:rPr>
                <w:rFonts w:eastAsiaTheme="minorEastAsia"/>
                <w:color w:val="000000" w:themeColor="text1"/>
                <w:szCs w:val="21"/>
              </w:rPr>
              <w:t>（人民币元）</w:t>
            </w:r>
          </w:p>
        </w:tc>
        <w:tc>
          <w:tcPr>
            <w:tcW w:w="1217" w:type="dxa"/>
            <w:vAlign w:val="center"/>
          </w:tcPr>
          <w:p w:rsidR="00017739" w:rsidRPr="00A3398F" w:rsidRDefault="00017739" w:rsidP="00797DD2">
            <w:pPr>
              <w:spacing w:line="360" w:lineRule="auto"/>
              <w:jc w:val="center"/>
              <w:rPr>
                <w:rFonts w:eastAsiaTheme="minorEastAsia"/>
                <w:color w:val="000000" w:themeColor="text1"/>
                <w:szCs w:val="21"/>
              </w:rPr>
            </w:pPr>
            <w:r w:rsidRPr="00A3398F">
              <w:rPr>
                <w:rFonts w:eastAsiaTheme="minorEastAsia"/>
                <w:color w:val="000000" w:themeColor="text1"/>
                <w:szCs w:val="21"/>
              </w:rPr>
              <w:t>占基金资产净值比例</w:t>
            </w:r>
            <w:r w:rsidRPr="00A3398F">
              <w:rPr>
                <w:rFonts w:eastAsiaTheme="minorEastAsia"/>
                <w:color w:val="000000" w:themeColor="text1"/>
                <w:szCs w:val="21"/>
              </w:rPr>
              <w:t>(%)</w:t>
            </w:r>
          </w:p>
        </w:tc>
      </w:tr>
      <w:tr w:rsidR="0018319B">
        <w:tc>
          <w:tcPr>
            <w:tcW w:w="0" w:type="auto"/>
            <w:vAlign w:val="center"/>
          </w:tcPr>
          <w:p w:rsidR="0018319B" w:rsidRDefault="00EF5580">
            <w:pPr>
              <w:jc w:val="center"/>
            </w:pPr>
            <w:r>
              <w:rPr>
                <w:rFonts w:eastAsiaTheme="minorEastAsia"/>
                <w:color w:val="000000" w:themeColor="text1"/>
                <w:szCs w:val="21"/>
              </w:rPr>
              <w:t>1</w:t>
            </w:r>
          </w:p>
        </w:tc>
        <w:tc>
          <w:tcPr>
            <w:tcW w:w="0" w:type="auto"/>
            <w:vAlign w:val="center"/>
          </w:tcPr>
          <w:p w:rsidR="0018319B" w:rsidRDefault="00EF5580">
            <w:pPr>
              <w:jc w:val="center"/>
            </w:pPr>
            <w:r>
              <w:rPr>
                <w:rFonts w:eastAsiaTheme="minorEastAsia"/>
                <w:color w:val="000000" w:themeColor="text1"/>
                <w:szCs w:val="21"/>
              </w:rPr>
              <w:t>摩根恒生科技</w:t>
            </w:r>
            <w:r>
              <w:rPr>
                <w:rFonts w:eastAsiaTheme="minorEastAsia"/>
                <w:color w:val="000000" w:themeColor="text1"/>
                <w:szCs w:val="21"/>
              </w:rPr>
              <w:t>ETF(QDII)</w:t>
            </w:r>
          </w:p>
        </w:tc>
        <w:tc>
          <w:tcPr>
            <w:tcW w:w="0" w:type="auto"/>
            <w:vAlign w:val="center"/>
          </w:tcPr>
          <w:p w:rsidR="0018319B" w:rsidRDefault="00EF5580">
            <w:pPr>
              <w:jc w:val="center"/>
            </w:pPr>
            <w:r>
              <w:rPr>
                <w:rFonts w:eastAsiaTheme="minorEastAsia"/>
                <w:color w:val="000000" w:themeColor="text1"/>
                <w:szCs w:val="21"/>
              </w:rPr>
              <w:t>股票型</w:t>
            </w:r>
          </w:p>
        </w:tc>
        <w:tc>
          <w:tcPr>
            <w:tcW w:w="0" w:type="auto"/>
            <w:vAlign w:val="center"/>
          </w:tcPr>
          <w:p w:rsidR="0018319B" w:rsidRDefault="00EF5580">
            <w:pPr>
              <w:jc w:val="center"/>
            </w:pPr>
            <w:r>
              <w:rPr>
                <w:rFonts w:eastAsiaTheme="minorEastAsia"/>
                <w:color w:val="000000" w:themeColor="text1"/>
                <w:szCs w:val="21"/>
              </w:rPr>
              <w:t>交易型开放式</w:t>
            </w:r>
          </w:p>
        </w:tc>
        <w:tc>
          <w:tcPr>
            <w:tcW w:w="0" w:type="auto"/>
            <w:vAlign w:val="center"/>
          </w:tcPr>
          <w:p w:rsidR="0018319B" w:rsidRDefault="00EF5580">
            <w:pPr>
              <w:jc w:val="center"/>
            </w:pPr>
            <w:r>
              <w:rPr>
                <w:rFonts w:eastAsiaTheme="minorEastAsia"/>
                <w:color w:val="000000" w:themeColor="text1"/>
                <w:szCs w:val="21"/>
              </w:rPr>
              <w:t>摩根基金管理（中国）有限公司</w:t>
            </w:r>
          </w:p>
        </w:tc>
        <w:tc>
          <w:tcPr>
            <w:tcW w:w="0" w:type="auto"/>
            <w:vAlign w:val="center"/>
          </w:tcPr>
          <w:p w:rsidR="0018319B" w:rsidRDefault="00EF5580">
            <w:pPr>
              <w:jc w:val="right"/>
            </w:pPr>
            <w:r>
              <w:rPr>
                <w:rFonts w:eastAsiaTheme="minorEastAsia"/>
                <w:color w:val="000000" w:themeColor="text1"/>
                <w:szCs w:val="21"/>
              </w:rPr>
              <w:t>32,719,470.41</w:t>
            </w:r>
          </w:p>
        </w:tc>
        <w:tc>
          <w:tcPr>
            <w:tcW w:w="0" w:type="auto"/>
            <w:vAlign w:val="center"/>
          </w:tcPr>
          <w:p w:rsidR="0018319B" w:rsidRDefault="00EF5580">
            <w:pPr>
              <w:jc w:val="right"/>
            </w:pPr>
            <w:r>
              <w:rPr>
                <w:rFonts w:eastAsiaTheme="minorEastAsia"/>
                <w:color w:val="000000" w:themeColor="text1"/>
                <w:szCs w:val="21"/>
              </w:rPr>
              <w:t>96.56</w:t>
            </w:r>
          </w:p>
        </w:tc>
      </w:tr>
    </w:tbl>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E963FD" w:rsidP="0049659A">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5.11</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投资组合报告附注</w:t>
      </w:r>
    </w:p>
    <w:p w:rsidR="00B55EA7" w:rsidRPr="00A3398F" w:rsidRDefault="00B55EA7" w:rsidP="000E3F11">
      <w:pPr>
        <w:widowControl/>
        <w:spacing w:line="360" w:lineRule="auto"/>
        <w:ind w:left="120" w:hangingChars="50" w:hanging="120"/>
        <w:rPr>
          <w:rFonts w:eastAsiaTheme="minorEastAsia"/>
          <w:color w:val="000000" w:themeColor="text1"/>
          <w:sz w:val="24"/>
        </w:rPr>
      </w:pPr>
      <w:r w:rsidRPr="00A3398F">
        <w:rPr>
          <w:rFonts w:eastAsiaTheme="minorEastAsia"/>
          <w:color w:val="000000" w:themeColor="text1"/>
          <w:sz w:val="24"/>
        </w:rPr>
        <w:t>5.11.1</w:t>
      </w:r>
      <w:r w:rsidRPr="00A3398F">
        <w:rPr>
          <w:rFonts w:eastAsiaTheme="minorEastAsia"/>
          <w:color w:val="000000" w:themeColor="text1"/>
          <w:sz w:val="24"/>
        </w:rPr>
        <w:t>本基金投资的前十名证券的发行主体本期未出现被监管部门立案调查，或在报告编制日前一年内受到公开谴责、处罚的情形。</w:t>
      </w:r>
    </w:p>
    <w:p w:rsidR="00B55EA7" w:rsidRPr="00A3398F" w:rsidRDefault="00B55EA7" w:rsidP="00B55EA7">
      <w:pPr>
        <w:widowControl/>
        <w:spacing w:line="360" w:lineRule="auto"/>
        <w:rPr>
          <w:rFonts w:eastAsiaTheme="minorEastAsia"/>
          <w:color w:val="000000" w:themeColor="text1"/>
          <w:sz w:val="24"/>
        </w:rPr>
      </w:pPr>
      <w:r w:rsidRPr="00A3398F">
        <w:rPr>
          <w:rFonts w:eastAsiaTheme="minorEastAsia"/>
          <w:color w:val="000000" w:themeColor="text1"/>
          <w:sz w:val="24"/>
        </w:rPr>
        <w:t>5.11.2</w:t>
      </w:r>
      <w:r w:rsidRPr="00A3398F">
        <w:rPr>
          <w:rFonts w:eastAsiaTheme="minorEastAsia"/>
          <w:color w:val="000000" w:themeColor="text1"/>
          <w:sz w:val="24"/>
        </w:rPr>
        <w:t>报告期内本基金投资的前十名股票中没有在基金合同规定备选股票库之外的股票。</w:t>
      </w:r>
    </w:p>
    <w:p w:rsidR="0076518F" w:rsidRPr="00A3398F" w:rsidRDefault="00E963FD" w:rsidP="0049659A">
      <w:pPr>
        <w:autoSpaceDE w:val="0"/>
        <w:autoSpaceDN w:val="0"/>
        <w:adjustRightInd w:val="0"/>
        <w:spacing w:line="360" w:lineRule="auto"/>
        <w:jc w:val="left"/>
        <w:rPr>
          <w:rFonts w:eastAsiaTheme="minorEastAsia"/>
          <w:b/>
          <w:color w:val="000000" w:themeColor="text1"/>
          <w:kern w:val="0"/>
          <w:sz w:val="24"/>
        </w:rPr>
      </w:pPr>
      <w:r w:rsidRPr="00E963FD">
        <w:rPr>
          <w:rFonts w:eastAsiaTheme="minorEastAsia"/>
          <w:b/>
          <w:color w:val="000000" w:themeColor="text1"/>
          <w:kern w:val="0"/>
          <w:sz w:val="24"/>
        </w:rPr>
        <w:t>5.11.3</w:t>
      </w:r>
      <w:r w:rsidR="0076518F" w:rsidRPr="00A3398F">
        <w:rPr>
          <w:rFonts w:eastAsiaTheme="minor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A3398F" w:rsidTr="004C05F3">
        <w:tc>
          <w:tcPr>
            <w:tcW w:w="802" w:type="dxa"/>
            <w:vAlign w:val="center"/>
          </w:tcPr>
          <w:p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序号</w:t>
            </w:r>
          </w:p>
        </w:tc>
        <w:tc>
          <w:tcPr>
            <w:tcW w:w="2903" w:type="dxa"/>
            <w:vAlign w:val="center"/>
          </w:tcPr>
          <w:p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名称</w:t>
            </w:r>
          </w:p>
        </w:tc>
        <w:tc>
          <w:tcPr>
            <w:tcW w:w="4808" w:type="dxa"/>
            <w:vAlign w:val="center"/>
          </w:tcPr>
          <w:p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金额</w:t>
            </w:r>
            <w:r w:rsidRPr="00A3398F">
              <w:rPr>
                <w:rFonts w:eastAsiaTheme="minorEastAsia"/>
                <w:color w:val="000000" w:themeColor="text1"/>
                <w:kern w:val="0"/>
                <w:szCs w:val="21"/>
              </w:rPr>
              <w:t>(</w:t>
            </w:r>
            <w:r w:rsidR="00C42431" w:rsidRPr="00A3398F">
              <w:rPr>
                <w:rFonts w:eastAsiaTheme="minorEastAsia"/>
                <w:color w:val="000000" w:themeColor="text1"/>
                <w:kern w:val="0"/>
                <w:szCs w:val="21"/>
              </w:rPr>
              <w:t>人民币</w:t>
            </w:r>
            <w:r w:rsidRPr="00A3398F">
              <w:rPr>
                <w:rFonts w:eastAsiaTheme="minorEastAsia"/>
                <w:color w:val="000000" w:themeColor="text1"/>
                <w:kern w:val="0"/>
                <w:szCs w:val="21"/>
              </w:rPr>
              <w:t>元</w:t>
            </w: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szCs w:val="21"/>
              </w:rPr>
              <w:t>1</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存出保证金</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3,053.74</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2</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应收证券清算款</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3</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应收股利</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4</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应收利息</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5</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应收申购款</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284,931.98</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6</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其他应收款</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7</w:t>
            </w:r>
          </w:p>
        </w:tc>
        <w:tc>
          <w:tcPr>
            <w:tcW w:w="2903" w:type="dxa"/>
            <w:vAlign w:val="center"/>
          </w:tcPr>
          <w:p w:rsidR="00F951CF" w:rsidRPr="00A3398F" w:rsidRDefault="00F951CF" w:rsidP="009E3391">
            <w:pPr>
              <w:autoSpaceDE w:val="0"/>
              <w:autoSpaceDN w:val="0"/>
              <w:adjustRightInd w:val="0"/>
              <w:spacing w:before="29" w:line="360" w:lineRule="auto"/>
              <w:ind w:left="15"/>
              <w:rPr>
                <w:rFonts w:eastAsiaTheme="minorEastAsia"/>
                <w:color w:val="000000" w:themeColor="text1"/>
                <w:szCs w:val="21"/>
              </w:rPr>
            </w:pPr>
            <w:r w:rsidRPr="00A3398F">
              <w:rPr>
                <w:rFonts w:eastAsiaTheme="minorEastAsia"/>
                <w:color w:val="000000" w:themeColor="text1"/>
                <w:szCs w:val="21"/>
              </w:rPr>
              <w:t>待摊费用</w:t>
            </w:r>
          </w:p>
        </w:tc>
        <w:tc>
          <w:tcPr>
            <w:tcW w:w="4808" w:type="dxa"/>
            <w:vAlign w:val="center"/>
          </w:tcPr>
          <w:p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9E3391">
        <w:tc>
          <w:tcPr>
            <w:tcW w:w="802" w:type="dxa"/>
            <w:vAlign w:val="center"/>
          </w:tcPr>
          <w:p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8</w:t>
            </w:r>
          </w:p>
        </w:tc>
        <w:tc>
          <w:tcPr>
            <w:tcW w:w="2903" w:type="dxa"/>
            <w:vAlign w:val="center"/>
          </w:tcPr>
          <w:p w:rsidR="00F951CF" w:rsidRPr="00A3398F"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其他</w:t>
            </w:r>
          </w:p>
        </w:tc>
        <w:tc>
          <w:tcPr>
            <w:tcW w:w="4808" w:type="dxa"/>
            <w:vAlign w:val="center"/>
          </w:tcPr>
          <w:p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9</w:t>
            </w:r>
          </w:p>
        </w:tc>
        <w:tc>
          <w:tcPr>
            <w:tcW w:w="2903" w:type="dxa"/>
            <w:vAlign w:val="center"/>
          </w:tcPr>
          <w:p w:rsidR="00F951CF" w:rsidRPr="00A3398F"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合计</w:t>
            </w:r>
          </w:p>
        </w:tc>
        <w:tc>
          <w:tcPr>
            <w:tcW w:w="4808" w:type="dxa"/>
            <w:vAlign w:val="center"/>
          </w:tcPr>
          <w:p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287,985.72</w:t>
            </w:r>
          </w:p>
        </w:tc>
      </w:tr>
    </w:tbl>
    <w:p w:rsidR="00A22D4B" w:rsidRPr="00A3398F" w:rsidRDefault="00A22D4B" w:rsidP="00EC4BA3">
      <w:pPr>
        <w:autoSpaceDE w:val="0"/>
        <w:autoSpaceDN w:val="0"/>
        <w:adjustRightInd w:val="0"/>
        <w:spacing w:line="360" w:lineRule="auto"/>
        <w:jc w:val="left"/>
        <w:rPr>
          <w:rFonts w:eastAsiaTheme="minorEastAsia"/>
          <w:b/>
          <w:color w:val="000000" w:themeColor="text1"/>
          <w:kern w:val="0"/>
          <w:sz w:val="24"/>
        </w:rPr>
      </w:pPr>
    </w:p>
    <w:p w:rsidR="0076518F" w:rsidRPr="00A3398F" w:rsidRDefault="00E963FD" w:rsidP="00EC4BA3">
      <w:pPr>
        <w:autoSpaceDE w:val="0"/>
        <w:autoSpaceDN w:val="0"/>
        <w:adjustRightInd w:val="0"/>
        <w:spacing w:line="360" w:lineRule="auto"/>
        <w:jc w:val="left"/>
        <w:rPr>
          <w:rFonts w:eastAsiaTheme="minorEastAsia"/>
          <w:b/>
          <w:color w:val="000000" w:themeColor="text1"/>
          <w:kern w:val="0"/>
          <w:sz w:val="24"/>
        </w:rPr>
      </w:pPr>
      <w:r w:rsidRPr="00E963FD">
        <w:rPr>
          <w:rFonts w:eastAsiaTheme="minorEastAsia"/>
          <w:b/>
          <w:color w:val="000000" w:themeColor="text1"/>
          <w:kern w:val="0"/>
          <w:sz w:val="24"/>
        </w:rPr>
        <w:t>5.11.4</w:t>
      </w:r>
      <w:r w:rsidR="0076518F" w:rsidRPr="00A3398F">
        <w:rPr>
          <w:rFonts w:eastAsiaTheme="minorEastAsia"/>
          <w:b/>
          <w:color w:val="000000" w:themeColor="text1"/>
          <w:kern w:val="0"/>
          <w:sz w:val="24"/>
        </w:rPr>
        <w:t>报告期末持有的处于转股期的可转换债券明细</w:t>
      </w:r>
    </w:p>
    <w:p w:rsidR="000A55BD" w:rsidRPr="00A3398F" w:rsidRDefault="000A55BD"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本基金本报告期末未持有处于转股期的可转换债券。</w:t>
      </w:r>
    </w:p>
    <w:p w:rsidR="009E3391" w:rsidRPr="00A3398F" w:rsidRDefault="009E3391" w:rsidP="002236BC">
      <w:pPr>
        <w:autoSpaceDE w:val="0"/>
        <w:autoSpaceDN w:val="0"/>
        <w:adjustRightInd w:val="0"/>
        <w:spacing w:line="360" w:lineRule="auto"/>
        <w:jc w:val="left"/>
        <w:rPr>
          <w:rFonts w:eastAsiaTheme="minorEastAsia"/>
          <w:color w:val="000000" w:themeColor="text1"/>
          <w:szCs w:val="21"/>
        </w:rPr>
      </w:pPr>
    </w:p>
    <w:p w:rsidR="0076518F" w:rsidRPr="00A3398F" w:rsidRDefault="00E963FD" w:rsidP="00EC4BA3">
      <w:pPr>
        <w:autoSpaceDE w:val="0"/>
        <w:autoSpaceDN w:val="0"/>
        <w:adjustRightInd w:val="0"/>
        <w:spacing w:line="360" w:lineRule="auto"/>
        <w:jc w:val="left"/>
        <w:rPr>
          <w:rFonts w:eastAsiaTheme="minorEastAsia"/>
          <w:b/>
          <w:color w:val="000000" w:themeColor="text1"/>
          <w:kern w:val="0"/>
          <w:sz w:val="24"/>
        </w:rPr>
      </w:pPr>
      <w:r w:rsidRPr="00E963FD">
        <w:rPr>
          <w:rFonts w:eastAsiaTheme="minorEastAsia"/>
          <w:b/>
          <w:color w:val="000000" w:themeColor="text1"/>
          <w:kern w:val="0"/>
          <w:sz w:val="24"/>
        </w:rPr>
        <w:t>5.11.5</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报告期末前十名股票中存在流通受限情况的说明</w:t>
      </w:r>
    </w:p>
    <w:p w:rsidR="000A55BD" w:rsidRPr="00A3398F" w:rsidRDefault="000A55BD"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本基金本报告期末前十名股票中不存在流通受限情况。</w:t>
      </w:r>
    </w:p>
    <w:p w:rsidR="000E3B88" w:rsidRPr="00A3398F" w:rsidRDefault="000E3B88" w:rsidP="002236BC">
      <w:pPr>
        <w:autoSpaceDE w:val="0"/>
        <w:autoSpaceDN w:val="0"/>
        <w:adjustRightInd w:val="0"/>
        <w:spacing w:line="360" w:lineRule="auto"/>
        <w:jc w:val="left"/>
        <w:rPr>
          <w:rFonts w:eastAsiaTheme="minorEastAsia"/>
          <w:color w:val="000000" w:themeColor="text1"/>
          <w:sz w:val="24"/>
        </w:rPr>
      </w:pPr>
    </w:p>
    <w:p w:rsidR="0076518F" w:rsidRPr="00A3398F" w:rsidRDefault="00E963FD" w:rsidP="00EC4BA3">
      <w:pPr>
        <w:autoSpaceDE w:val="0"/>
        <w:autoSpaceDN w:val="0"/>
        <w:adjustRightInd w:val="0"/>
        <w:spacing w:line="360" w:lineRule="auto"/>
        <w:jc w:val="left"/>
        <w:rPr>
          <w:rFonts w:eastAsiaTheme="minorEastAsia"/>
          <w:b/>
          <w:color w:val="000000" w:themeColor="text1"/>
          <w:kern w:val="0"/>
          <w:sz w:val="24"/>
        </w:rPr>
      </w:pPr>
      <w:r w:rsidRPr="00E963FD">
        <w:rPr>
          <w:rFonts w:eastAsiaTheme="minorEastAsia"/>
          <w:b/>
          <w:color w:val="000000" w:themeColor="text1"/>
          <w:kern w:val="0"/>
          <w:sz w:val="24"/>
        </w:rPr>
        <w:t>5.11.6</w:t>
      </w:r>
      <w:r w:rsidR="001C46E1" w:rsidRPr="00A3398F">
        <w:rPr>
          <w:rFonts w:eastAsiaTheme="minorEastAsia"/>
          <w:b/>
          <w:color w:val="000000" w:themeColor="text1"/>
          <w:kern w:val="0"/>
          <w:sz w:val="24"/>
        </w:rPr>
        <w:t>投资组合报告附注的其他文字描述部分</w:t>
      </w:r>
    </w:p>
    <w:p w:rsidR="000A55BD" w:rsidRPr="00A3398F" w:rsidRDefault="000A55BD" w:rsidP="009E3391">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因四舍五入原因，投资组合报告中分项之和与合计可能存在尾差。</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§6  </w:t>
      </w:r>
      <w:r w:rsidRPr="00A3398F">
        <w:rPr>
          <w:rFonts w:eastAsiaTheme="minorEastAsia"/>
          <w:color w:val="000000" w:themeColor="text1"/>
          <w:kern w:val="0"/>
          <w:sz w:val="24"/>
          <w:szCs w:val="24"/>
        </w:rPr>
        <w:t>开放式基金份额变动</w:t>
      </w:r>
    </w:p>
    <w:p w:rsidR="0076518F" w:rsidRPr="00A3398F"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单位：份</w:t>
      </w:r>
    </w:p>
    <w:tbl>
      <w:tblPr>
        <w:tblW w:w="8634" w:type="dxa"/>
        <w:tblInd w:w="108" w:type="dxa"/>
        <w:tblLayout w:type="fixed"/>
        <w:tblLook w:val="0000" w:firstRow="0" w:lastRow="0" w:firstColumn="0" w:lastColumn="0" w:noHBand="0" w:noVBand="0"/>
      </w:tblPr>
      <w:tblGrid>
        <w:gridCol w:w="3900"/>
        <w:gridCol w:w="2367"/>
        <w:gridCol w:w="2367"/>
      </w:tblGrid>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摩根恒生科技</w:t>
            </w:r>
            <w:r w:rsidRPr="00A3398F">
              <w:rPr>
                <w:rFonts w:eastAsiaTheme="minorEastAsia"/>
                <w:color w:val="000000" w:themeColor="text1"/>
                <w:szCs w:val="21"/>
              </w:rPr>
              <w:t>ETF</w:t>
            </w:r>
            <w:r w:rsidRPr="00A3398F">
              <w:rPr>
                <w:rFonts w:eastAsiaTheme="minorEastAsia"/>
                <w:color w:val="000000" w:themeColor="text1"/>
                <w:szCs w:val="21"/>
              </w:rPr>
              <w:t>发起式联接</w:t>
            </w:r>
            <w:r w:rsidRPr="00A3398F">
              <w:rPr>
                <w:rFonts w:eastAsiaTheme="minorEastAsia"/>
                <w:color w:val="000000" w:themeColor="text1"/>
                <w:szCs w:val="21"/>
              </w:rPr>
              <w:t>(QDII)A</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摩根恒生科技</w:t>
            </w:r>
            <w:r w:rsidRPr="00A3398F">
              <w:rPr>
                <w:rFonts w:eastAsiaTheme="minorEastAsia"/>
                <w:color w:val="000000" w:themeColor="text1"/>
                <w:szCs w:val="21"/>
              </w:rPr>
              <w:t>ETF</w:t>
            </w:r>
            <w:r w:rsidRPr="00A3398F">
              <w:rPr>
                <w:rFonts w:eastAsiaTheme="minorEastAsia"/>
                <w:color w:val="000000" w:themeColor="text1"/>
                <w:szCs w:val="21"/>
              </w:rPr>
              <w:t>发起式联接</w:t>
            </w:r>
            <w:r w:rsidRPr="00A3398F">
              <w:rPr>
                <w:rFonts w:eastAsiaTheme="minorEastAsia"/>
                <w:color w:val="000000" w:themeColor="text1"/>
                <w:szCs w:val="21"/>
              </w:rPr>
              <w:t>(QDII)C</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3,004,384.42</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31,128,668.42</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3,236,111.39</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35,793,523.91</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2,396,005.46</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32,886,251.59</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3,844,490.35</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34,035,940.74</w:t>
            </w:r>
          </w:p>
        </w:tc>
      </w:tr>
    </w:tbl>
    <w:p w:rsidR="00BB5F3D" w:rsidRPr="00A3398F" w:rsidRDefault="00BB5F3D" w:rsidP="009E705F">
      <w:pPr>
        <w:pStyle w:val="1"/>
        <w:tabs>
          <w:tab w:val="center" w:pos="4156"/>
          <w:tab w:val="right" w:pos="8312"/>
        </w:tabs>
        <w:spacing w:beforeLines="100" w:before="312" w:afterLines="100" w:after="312" w:line="360" w:lineRule="auto"/>
        <w:jc w:val="center"/>
        <w:rPr>
          <w:color w:val="000000" w:themeColor="text1"/>
          <w:sz w:val="24"/>
          <w:szCs w:val="24"/>
        </w:rPr>
      </w:pPr>
      <w:r w:rsidRPr="00A3398F">
        <w:rPr>
          <w:rFonts w:eastAsiaTheme="minorEastAsia"/>
          <w:color w:val="000000" w:themeColor="text1"/>
          <w:kern w:val="0"/>
          <w:sz w:val="24"/>
          <w:szCs w:val="24"/>
        </w:rPr>
        <w:t xml:space="preserve">§7  </w:t>
      </w:r>
      <w:r w:rsidRPr="00A3398F">
        <w:rPr>
          <w:color w:val="000000" w:themeColor="text1"/>
          <w:sz w:val="24"/>
          <w:szCs w:val="24"/>
        </w:rPr>
        <w:t>基金管理人运用固有资金投资本基金情况</w:t>
      </w:r>
    </w:p>
    <w:p w:rsidR="00D678E4" w:rsidRPr="00B76BBB" w:rsidRDefault="00D678E4" w:rsidP="00D678E4">
      <w:pPr>
        <w:spacing w:line="360" w:lineRule="auto"/>
        <w:jc w:val="left"/>
        <w:rPr>
          <w:sz w:val="24"/>
        </w:rPr>
      </w:pPr>
      <w:r>
        <w:rPr>
          <w:b/>
          <w:sz w:val="24"/>
        </w:rPr>
        <w:t xml:space="preserve">7.1 </w:t>
      </w:r>
      <w:r>
        <w:rPr>
          <w:rFonts w:hint="eastAsia"/>
          <w:b/>
          <w:sz w:val="24"/>
        </w:rPr>
        <w:t>基</w:t>
      </w:r>
      <w:r w:rsidRPr="00B404F1">
        <w:rPr>
          <w:rFonts w:hint="eastAsia"/>
          <w:b/>
          <w:sz w:val="24"/>
        </w:rPr>
        <w:t>金管理人持有本基金份额变动情况</w:t>
      </w:r>
    </w:p>
    <w:p w:rsidR="00D678E4" w:rsidRPr="00266D4B" w:rsidRDefault="00D678E4" w:rsidP="00D678E4">
      <w:pPr>
        <w:autoSpaceDE w:val="0"/>
        <w:autoSpaceDN w:val="0"/>
        <w:adjustRightInd w:val="0"/>
        <w:spacing w:before="29" w:line="288" w:lineRule="auto"/>
        <w:ind w:left="15" w:right="480"/>
        <w:jc w:val="right"/>
        <w:rPr>
          <w:color w:val="000000"/>
          <w:kern w:val="0"/>
          <w:sz w:val="24"/>
        </w:rPr>
      </w:pPr>
      <w:r w:rsidRPr="00266D4B">
        <w:rPr>
          <w:color w:val="000000"/>
          <w:kern w:val="0"/>
          <w:sz w:val="24"/>
        </w:rPr>
        <w:t>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7"/>
        <w:gridCol w:w="2616"/>
        <w:gridCol w:w="2631"/>
      </w:tblGrid>
      <w:tr w:rsidR="00D678E4" w:rsidRPr="00E90B39" w:rsidTr="00982AC4">
        <w:trPr>
          <w:trHeight w:val="248"/>
        </w:trPr>
        <w:tc>
          <w:tcPr>
            <w:tcW w:w="3167" w:type="dxa"/>
            <w:vAlign w:val="center"/>
          </w:tcPr>
          <w:p w:rsidR="00D678E4" w:rsidRPr="00FA472B" w:rsidRDefault="00D678E4" w:rsidP="00982AC4">
            <w:pPr>
              <w:autoSpaceDE w:val="0"/>
              <w:autoSpaceDN w:val="0"/>
              <w:adjustRightInd w:val="0"/>
              <w:spacing w:before="29" w:line="360" w:lineRule="auto"/>
              <w:ind w:left="15"/>
              <w:jc w:val="center"/>
              <w:rPr>
                <w:color w:val="000000"/>
                <w:kern w:val="0"/>
                <w:sz w:val="24"/>
              </w:rPr>
            </w:pPr>
            <w:r w:rsidRPr="00FA472B">
              <w:rPr>
                <w:color w:val="000000"/>
                <w:kern w:val="0"/>
                <w:sz w:val="24"/>
              </w:rPr>
              <w:t>项目</w:t>
            </w:r>
          </w:p>
        </w:tc>
        <w:tc>
          <w:tcPr>
            <w:tcW w:w="2616" w:type="dxa"/>
            <w:vAlign w:val="bottom"/>
          </w:tcPr>
          <w:p w:rsidR="00D678E4" w:rsidRPr="00FA472B" w:rsidRDefault="00D678E4" w:rsidP="00982AC4">
            <w:pPr>
              <w:jc w:val="center"/>
              <w:rPr>
                <w:sz w:val="24"/>
              </w:rPr>
            </w:pPr>
            <w:r w:rsidRPr="00FA472B">
              <w:rPr>
                <w:sz w:val="24"/>
              </w:rPr>
              <w:t>摩根恒生科技</w:t>
            </w:r>
            <w:r w:rsidRPr="00FA472B">
              <w:rPr>
                <w:sz w:val="24"/>
              </w:rPr>
              <w:t>ETF</w:t>
            </w:r>
            <w:r w:rsidRPr="00FA472B">
              <w:rPr>
                <w:sz w:val="24"/>
              </w:rPr>
              <w:t>发起式联接</w:t>
            </w:r>
            <w:r w:rsidRPr="00FA472B">
              <w:rPr>
                <w:sz w:val="24"/>
              </w:rPr>
              <w:t>(QDII)A</w:t>
            </w:r>
          </w:p>
        </w:tc>
        <w:tc>
          <w:tcPr>
            <w:tcW w:w="2631" w:type="dxa"/>
            <w:vAlign w:val="bottom"/>
          </w:tcPr>
          <w:p w:rsidR="00D678E4" w:rsidRPr="00FA472B" w:rsidRDefault="00D678E4" w:rsidP="00982AC4">
            <w:pPr>
              <w:jc w:val="center"/>
              <w:rPr>
                <w:sz w:val="24"/>
              </w:rPr>
            </w:pPr>
            <w:r w:rsidRPr="00FA472B">
              <w:rPr>
                <w:sz w:val="24"/>
              </w:rPr>
              <w:t>摩根恒生科技</w:t>
            </w:r>
            <w:r w:rsidRPr="00FA472B">
              <w:rPr>
                <w:sz w:val="24"/>
              </w:rPr>
              <w:t>ETF</w:t>
            </w:r>
            <w:r w:rsidRPr="00FA472B">
              <w:rPr>
                <w:sz w:val="24"/>
              </w:rPr>
              <w:t>发起式联接</w:t>
            </w:r>
            <w:r w:rsidRPr="00FA472B">
              <w:rPr>
                <w:sz w:val="24"/>
              </w:rPr>
              <w:t>(QDII)C</w:t>
            </w:r>
          </w:p>
        </w:tc>
      </w:tr>
      <w:tr w:rsidR="00D678E4" w:rsidRPr="00E90B39" w:rsidTr="00982AC4">
        <w:trPr>
          <w:trHeight w:val="247"/>
        </w:trPr>
        <w:tc>
          <w:tcPr>
            <w:tcW w:w="3167" w:type="dxa"/>
            <w:vAlign w:val="center"/>
          </w:tcPr>
          <w:p w:rsidR="00D678E4" w:rsidRPr="00FA472B" w:rsidRDefault="00D678E4" w:rsidP="00982AC4">
            <w:pPr>
              <w:pStyle w:val="af"/>
              <w:adjustRightInd w:val="0"/>
              <w:snapToGrid w:val="0"/>
              <w:spacing w:line="360" w:lineRule="exact"/>
              <w:rPr>
                <w:color w:val="000000"/>
                <w:szCs w:val="24"/>
              </w:rPr>
            </w:pPr>
            <w:r w:rsidRPr="00FA472B">
              <w:rPr>
                <w:color w:val="000000"/>
                <w:szCs w:val="24"/>
              </w:rPr>
              <w:t>报告期期初管理人持有的本基金份额</w:t>
            </w:r>
          </w:p>
        </w:tc>
        <w:tc>
          <w:tcPr>
            <w:tcW w:w="2616" w:type="dxa"/>
            <w:vAlign w:val="center"/>
          </w:tcPr>
          <w:p w:rsidR="00D678E4" w:rsidRPr="00FA472B" w:rsidRDefault="00D678E4" w:rsidP="00982AC4">
            <w:pPr>
              <w:jc w:val="right"/>
              <w:rPr>
                <w:sz w:val="24"/>
              </w:rPr>
            </w:pPr>
            <w:r w:rsidRPr="00FA472B">
              <w:rPr>
                <w:color w:val="000000"/>
                <w:sz w:val="24"/>
              </w:rPr>
              <w:t>-</w:t>
            </w:r>
          </w:p>
        </w:tc>
        <w:tc>
          <w:tcPr>
            <w:tcW w:w="2631" w:type="dxa"/>
            <w:vAlign w:val="center"/>
          </w:tcPr>
          <w:p w:rsidR="00D678E4" w:rsidRPr="00FA472B" w:rsidRDefault="00D678E4" w:rsidP="00982AC4">
            <w:pPr>
              <w:jc w:val="right"/>
              <w:rPr>
                <w:sz w:val="24"/>
              </w:rPr>
            </w:pPr>
            <w:r w:rsidRPr="00FA472B">
              <w:rPr>
                <w:color w:val="000000"/>
                <w:sz w:val="24"/>
              </w:rPr>
              <w:t>10,000,097.22</w:t>
            </w:r>
          </w:p>
        </w:tc>
      </w:tr>
      <w:tr w:rsidR="00D678E4" w:rsidRPr="00E90B39" w:rsidTr="00982AC4">
        <w:tc>
          <w:tcPr>
            <w:tcW w:w="3167" w:type="dxa"/>
            <w:vAlign w:val="center"/>
          </w:tcPr>
          <w:p w:rsidR="00D678E4" w:rsidRPr="00FA472B" w:rsidRDefault="00D678E4" w:rsidP="00982AC4">
            <w:pPr>
              <w:adjustRightInd w:val="0"/>
              <w:snapToGrid w:val="0"/>
              <w:spacing w:line="360" w:lineRule="exact"/>
              <w:rPr>
                <w:color w:val="000000"/>
                <w:sz w:val="24"/>
              </w:rPr>
            </w:pPr>
            <w:r w:rsidRPr="003B42FF">
              <w:rPr>
                <w:rFonts w:eastAsiaTheme="minorEastAsia"/>
                <w:color w:val="000000" w:themeColor="text1"/>
                <w:kern w:val="0"/>
                <w:sz w:val="24"/>
              </w:rPr>
              <w:t>报告期期间</w:t>
            </w:r>
            <w:r w:rsidRPr="00FA472B">
              <w:rPr>
                <w:color w:val="000000"/>
                <w:kern w:val="0"/>
                <w:sz w:val="24"/>
              </w:rPr>
              <w:t>期间</w:t>
            </w:r>
            <w:r w:rsidRPr="00FA472B">
              <w:rPr>
                <w:color w:val="000000"/>
                <w:sz w:val="24"/>
              </w:rPr>
              <w:t>买入</w:t>
            </w:r>
            <w:r w:rsidRPr="00FA472B">
              <w:rPr>
                <w:color w:val="000000"/>
                <w:sz w:val="24"/>
              </w:rPr>
              <w:t>/</w:t>
            </w:r>
            <w:r w:rsidRPr="00FA472B">
              <w:rPr>
                <w:color w:val="000000"/>
                <w:sz w:val="24"/>
              </w:rPr>
              <w:t>申购总份额</w:t>
            </w:r>
          </w:p>
        </w:tc>
        <w:tc>
          <w:tcPr>
            <w:tcW w:w="2616" w:type="dxa"/>
            <w:vAlign w:val="center"/>
          </w:tcPr>
          <w:p w:rsidR="00D678E4" w:rsidRPr="00FA472B" w:rsidRDefault="00D678E4" w:rsidP="00982AC4">
            <w:pPr>
              <w:jc w:val="right"/>
              <w:rPr>
                <w:color w:val="000000"/>
                <w:kern w:val="0"/>
                <w:sz w:val="24"/>
              </w:rPr>
            </w:pPr>
            <w:r w:rsidRPr="00FA472B">
              <w:rPr>
                <w:color w:val="000000"/>
                <w:sz w:val="24"/>
              </w:rPr>
              <w:t>-</w:t>
            </w:r>
          </w:p>
        </w:tc>
        <w:tc>
          <w:tcPr>
            <w:tcW w:w="2631" w:type="dxa"/>
            <w:vAlign w:val="center"/>
          </w:tcPr>
          <w:p w:rsidR="00D678E4" w:rsidRPr="00FA472B" w:rsidRDefault="00D678E4" w:rsidP="00982AC4">
            <w:pPr>
              <w:jc w:val="right"/>
              <w:rPr>
                <w:color w:val="000000"/>
                <w:kern w:val="0"/>
                <w:sz w:val="24"/>
              </w:rPr>
            </w:pPr>
            <w:r w:rsidRPr="00FA472B">
              <w:rPr>
                <w:color w:val="000000"/>
                <w:sz w:val="24"/>
              </w:rPr>
              <w:t>-</w:t>
            </w:r>
          </w:p>
        </w:tc>
      </w:tr>
      <w:tr w:rsidR="00D678E4" w:rsidRPr="00E90B39" w:rsidTr="00982AC4">
        <w:tc>
          <w:tcPr>
            <w:tcW w:w="3167" w:type="dxa"/>
            <w:vAlign w:val="center"/>
          </w:tcPr>
          <w:p w:rsidR="00D678E4" w:rsidRPr="00FA472B" w:rsidRDefault="00D678E4" w:rsidP="00982AC4">
            <w:pPr>
              <w:adjustRightInd w:val="0"/>
              <w:snapToGrid w:val="0"/>
              <w:spacing w:line="360" w:lineRule="exact"/>
              <w:rPr>
                <w:color w:val="000000"/>
                <w:sz w:val="24"/>
              </w:rPr>
            </w:pPr>
            <w:r w:rsidRPr="003B42FF">
              <w:rPr>
                <w:rFonts w:eastAsiaTheme="minorEastAsia"/>
                <w:color w:val="000000" w:themeColor="text1"/>
                <w:kern w:val="0"/>
                <w:sz w:val="24"/>
              </w:rPr>
              <w:t>报告期期间</w:t>
            </w:r>
            <w:r w:rsidRPr="00FA472B">
              <w:rPr>
                <w:color w:val="000000"/>
                <w:kern w:val="0"/>
                <w:sz w:val="24"/>
              </w:rPr>
              <w:t>期间</w:t>
            </w:r>
            <w:r w:rsidRPr="00FA472B">
              <w:rPr>
                <w:color w:val="000000"/>
                <w:sz w:val="24"/>
              </w:rPr>
              <w:t>卖出</w:t>
            </w:r>
            <w:r w:rsidRPr="00FA472B">
              <w:rPr>
                <w:color w:val="000000"/>
                <w:sz w:val="24"/>
              </w:rPr>
              <w:t>/</w:t>
            </w:r>
            <w:r w:rsidRPr="00FA472B">
              <w:rPr>
                <w:color w:val="000000"/>
                <w:sz w:val="24"/>
              </w:rPr>
              <w:t>赎回总份额</w:t>
            </w:r>
          </w:p>
        </w:tc>
        <w:tc>
          <w:tcPr>
            <w:tcW w:w="2616" w:type="dxa"/>
            <w:vAlign w:val="center"/>
          </w:tcPr>
          <w:p w:rsidR="00D678E4" w:rsidRPr="00FA472B" w:rsidRDefault="00D678E4" w:rsidP="00982AC4">
            <w:pPr>
              <w:jc w:val="right"/>
              <w:rPr>
                <w:color w:val="000000"/>
                <w:kern w:val="0"/>
                <w:sz w:val="24"/>
              </w:rPr>
            </w:pPr>
            <w:r w:rsidRPr="00FA472B">
              <w:rPr>
                <w:color w:val="000000"/>
                <w:sz w:val="24"/>
              </w:rPr>
              <w:t>-</w:t>
            </w:r>
          </w:p>
        </w:tc>
        <w:tc>
          <w:tcPr>
            <w:tcW w:w="2631" w:type="dxa"/>
            <w:vAlign w:val="center"/>
          </w:tcPr>
          <w:p w:rsidR="00D678E4" w:rsidRPr="00FA472B" w:rsidRDefault="00D678E4" w:rsidP="00982AC4">
            <w:pPr>
              <w:jc w:val="right"/>
              <w:rPr>
                <w:color w:val="000000"/>
                <w:kern w:val="0"/>
                <w:sz w:val="24"/>
              </w:rPr>
            </w:pPr>
            <w:r w:rsidRPr="00FA472B">
              <w:rPr>
                <w:color w:val="000000"/>
                <w:sz w:val="24"/>
              </w:rPr>
              <w:t>-</w:t>
            </w:r>
          </w:p>
        </w:tc>
      </w:tr>
      <w:tr w:rsidR="00D678E4" w:rsidRPr="00E90B39" w:rsidTr="00982AC4">
        <w:tc>
          <w:tcPr>
            <w:tcW w:w="3167" w:type="dxa"/>
            <w:vAlign w:val="center"/>
          </w:tcPr>
          <w:p w:rsidR="00D678E4" w:rsidRPr="00FA472B" w:rsidRDefault="00D678E4" w:rsidP="00982AC4">
            <w:pPr>
              <w:adjustRightInd w:val="0"/>
              <w:snapToGrid w:val="0"/>
              <w:spacing w:line="360" w:lineRule="exact"/>
              <w:rPr>
                <w:color w:val="000000"/>
                <w:sz w:val="24"/>
              </w:rPr>
            </w:pPr>
            <w:r w:rsidRPr="00FA472B">
              <w:rPr>
                <w:color w:val="000000"/>
                <w:sz w:val="24"/>
              </w:rPr>
              <w:t>报告期期末管理人持有的本基金份额</w:t>
            </w:r>
          </w:p>
        </w:tc>
        <w:tc>
          <w:tcPr>
            <w:tcW w:w="2616" w:type="dxa"/>
            <w:vAlign w:val="center"/>
          </w:tcPr>
          <w:p w:rsidR="00D678E4" w:rsidRPr="00FA472B" w:rsidRDefault="00D678E4" w:rsidP="00982AC4">
            <w:pPr>
              <w:jc w:val="right"/>
              <w:rPr>
                <w:sz w:val="24"/>
              </w:rPr>
            </w:pPr>
            <w:r w:rsidRPr="00FA472B">
              <w:rPr>
                <w:color w:val="000000"/>
                <w:sz w:val="24"/>
              </w:rPr>
              <w:t>-</w:t>
            </w:r>
          </w:p>
        </w:tc>
        <w:tc>
          <w:tcPr>
            <w:tcW w:w="2631" w:type="dxa"/>
            <w:vAlign w:val="center"/>
          </w:tcPr>
          <w:p w:rsidR="00D678E4" w:rsidRPr="00FA472B" w:rsidRDefault="00D678E4" w:rsidP="00982AC4">
            <w:pPr>
              <w:jc w:val="right"/>
              <w:rPr>
                <w:sz w:val="24"/>
              </w:rPr>
            </w:pPr>
            <w:r w:rsidRPr="00FA472B">
              <w:rPr>
                <w:color w:val="000000"/>
                <w:sz w:val="24"/>
              </w:rPr>
              <w:t>10,000,097.22</w:t>
            </w:r>
          </w:p>
        </w:tc>
      </w:tr>
      <w:tr w:rsidR="00D678E4" w:rsidRPr="00E90B39" w:rsidTr="00982AC4">
        <w:tc>
          <w:tcPr>
            <w:tcW w:w="3167" w:type="dxa"/>
            <w:vAlign w:val="center"/>
          </w:tcPr>
          <w:p w:rsidR="00D678E4" w:rsidRPr="00FA472B" w:rsidRDefault="00D678E4" w:rsidP="00982AC4">
            <w:pPr>
              <w:adjustRightInd w:val="0"/>
              <w:snapToGrid w:val="0"/>
              <w:spacing w:line="360" w:lineRule="exact"/>
              <w:rPr>
                <w:color w:val="000000"/>
                <w:sz w:val="24"/>
              </w:rPr>
            </w:pPr>
            <w:r w:rsidRPr="00FA472B">
              <w:rPr>
                <w:color w:val="000000"/>
                <w:sz w:val="24"/>
              </w:rPr>
              <w:t>报告期期末持有的本基金份</w:t>
            </w:r>
            <w:r w:rsidRPr="00FA472B">
              <w:rPr>
                <w:color w:val="000000"/>
                <w:sz w:val="24"/>
              </w:rPr>
              <w:lastRenderedPageBreak/>
              <w:t>额占基金总份额比例（</w:t>
            </w:r>
            <w:r w:rsidRPr="00FA472B">
              <w:rPr>
                <w:color w:val="000000"/>
                <w:sz w:val="24"/>
              </w:rPr>
              <w:t>%</w:t>
            </w:r>
            <w:r w:rsidRPr="00FA472B">
              <w:rPr>
                <w:color w:val="000000"/>
                <w:sz w:val="24"/>
              </w:rPr>
              <w:t>）</w:t>
            </w:r>
          </w:p>
        </w:tc>
        <w:tc>
          <w:tcPr>
            <w:tcW w:w="2616" w:type="dxa"/>
            <w:vAlign w:val="center"/>
          </w:tcPr>
          <w:p w:rsidR="00D678E4" w:rsidRPr="00FA472B" w:rsidRDefault="00D678E4" w:rsidP="00982AC4">
            <w:pPr>
              <w:jc w:val="right"/>
              <w:rPr>
                <w:color w:val="000000"/>
                <w:kern w:val="0"/>
                <w:sz w:val="24"/>
              </w:rPr>
            </w:pPr>
            <w:r w:rsidRPr="00FA472B">
              <w:rPr>
                <w:color w:val="000000"/>
                <w:sz w:val="24"/>
              </w:rPr>
              <w:lastRenderedPageBreak/>
              <w:t>-</w:t>
            </w:r>
          </w:p>
        </w:tc>
        <w:tc>
          <w:tcPr>
            <w:tcW w:w="2631" w:type="dxa"/>
            <w:vAlign w:val="center"/>
          </w:tcPr>
          <w:p w:rsidR="00D678E4" w:rsidRPr="00FA472B" w:rsidRDefault="00D678E4" w:rsidP="00982AC4">
            <w:pPr>
              <w:jc w:val="right"/>
              <w:rPr>
                <w:color w:val="000000"/>
                <w:kern w:val="0"/>
                <w:sz w:val="24"/>
              </w:rPr>
            </w:pPr>
            <w:r w:rsidRPr="00FA472B">
              <w:rPr>
                <w:color w:val="000000"/>
                <w:sz w:val="24"/>
              </w:rPr>
              <w:t>26.40</w:t>
            </w:r>
          </w:p>
        </w:tc>
      </w:tr>
    </w:tbl>
    <w:p w:rsidR="00BB5F3D" w:rsidRPr="00D678E4" w:rsidRDefault="00BB5F3D" w:rsidP="00BB5F3D">
      <w:pPr>
        <w:autoSpaceDE w:val="0"/>
        <w:autoSpaceDN w:val="0"/>
        <w:adjustRightInd w:val="0"/>
        <w:spacing w:line="360" w:lineRule="auto"/>
        <w:jc w:val="left"/>
        <w:rPr>
          <w:rFonts w:eastAsiaTheme="minorEastAsia"/>
          <w:color w:val="000000" w:themeColor="text1"/>
          <w:szCs w:val="21"/>
        </w:rPr>
      </w:pPr>
    </w:p>
    <w:p w:rsidR="00BB5F3D" w:rsidRPr="00A3398F" w:rsidRDefault="00BB5F3D" w:rsidP="00BB5F3D">
      <w:pPr>
        <w:spacing w:line="360" w:lineRule="auto"/>
        <w:jc w:val="left"/>
        <w:rPr>
          <w:rFonts w:eastAsiaTheme="minorEastAsia"/>
          <w:b/>
          <w:color w:val="000000" w:themeColor="text1"/>
          <w:sz w:val="24"/>
        </w:rPr>
      </w:pPr>
      <w:r w:rsidRPr="00A3398F">
        <w:rPr>
          <w:rFonts w:eastAsiaTheme="minorEastAsia"/>
          <w:b/>
          <w:color w:val="000000" w:themeColor="text1"/>
          <w:sz w:val="24"/>
        </w:rPr>
        <w:t xml:space="preserve">7.2 </w:t>
      </w:r>
      <w:r w:rsidRPr="00A3398F">
        <w:rPr>
          <w:rFonts w:eastAsiaTheme="minorEastAsia"/>
          <w:b/>
          <w:color w:val="000000" w:themeColor="text1"/>
          <w:sz w:val="24"/>
        </w:rPr>
        <w:t>基金管理人运用固有资金投资本基金交易明细</w:t>
      </w:r>
    </w:p>
    <w:p w:rsidR="005E64DA" w:rsidRPr="00A3398F" w:rsidRDefault="00BB5F3D" w:rsidP="005E64DA">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无。</w:t>
      </w:r>
    </w:p>
    <w:p w:rsidR="00AB2DFA" w:rsidRPr="00A3398F" w:rsidRDefault="00AB2DFA"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bCs w:val="0"/>
          <w:color w:val="000000" w:themeColor="text1"/>
          <w:kern w:val="2"/>
          <w:sz w:val="24"/>
          <w:szCs w:val="24"/>
        </w:rPr>
        <w:t xml:space="preserve">§8  </w:t>
      </w:r>
      <w:r w:rsidR="00861D07" w:rsidRPr="00A3398F">
        <w:rPr>
          <w:rFonts w:eastAsiaTheme="minorEastAsia"/>
          <w:bCs w:val="0"/>
          <w:color w:val="000000" w:themeColor="text1"/>
          <w:kern w:val="2"/>
          <w:sz w:val="24"/>
          <w:szCs w:val="24"/>
        </w:rPr>
        <w:t>报告期末</w:t>
      </w:r>
      <w:r w:rsidRPr="00A3398F">
        <w:rPr>
          <w:rFonts w:eastAsiaTheme="minorEastAsia"/>
          <w:bCs w:val="0"/>
          <w:color w:val="000000" w:themeColor="text1"/>
          <w:kern w:val="2"/>
          <w:sz w:val="24"/>
          <w:szCs w:val="24"/>
        </w:rPr>
        <w:t>发起式基金</w:t>
      </w:r>
      <w:r w:rsidRPr="00A3398F">
        <w:rPr>
          <w:rFonts w:eastAsiaTheme="minorEastAsia"/>
          <w:color w:val="000000" w:themeColor="text1"/>
          <w:kern w:val="0"/>
          <w:sz w:val="24"/>
          <w:szCs w:val="24"/>
        </w:rPr>
        <w:t>发起资金持有份额情况</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63"/>
        <w:gridCol w:w="1314"/>
        <w:gridCol w:w="1518"/>
        <w:gridCol w:w="1134"/>
        <w:gridCol w:w="1366"/>
      </w:tblGrid>
      <w:tr w:rsidR="008277FF" w:rsidRPr="00A3398F" w:rsidTr="00195262">
        <w:trPr>
          <w:trHeight w:val="543"/>
          <w:jc w:val="center"/>
        </w:trPr>
        <w:tc>
          <w:tcPr>
            <w:tcW w:w="1985"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widowControl/>
              <w:jc w:val="center"/>
              <w:rPr>
                <w:rFonts w:eastAsiaTheme="minorEastAsia"/>
                <w:color w:val="000000" w:themeColor="text1"/>
                <w:szCs w:val="21"/>
              </w:rPr>
            </w:pPr>
            <w:r w:rsidRPr="00A3398F">
              <w:rPr>
                <w:rFonts w:eastAsiaTheme="minorEastAsia"/>
                <w:color w:val="000000" w:themeColor="text1"/>
                <w:szCs w:val="21"/>
              </w:rPr>
              <w:t>项目</w:t>
            </w:r>
          </w:p>
        </w:tc>
        <w:tc>
          <w:tcPr>
            <w:tcW w:w="1563"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jc w:val="center"/>
              <w:rPr>
                <w:rFonts w:eastAsiaTheme="minorEastAsia"/>
                <w:color w:val="000000" w:themeColor="text1"/>
                <w:szCs w:val="21"/>
              </w:rPr>
            </w:pPr>
            <w:r w:rsidRPr="00A3398F">
              <w:rPr>
                <w:rFonts w:eastAsiaTheme="minorEastAsia"/>
                <w:color w:val="000000" w:themeColor="text1"/>
                <w:szCs w:val="21"/>
              </w:rPr>
              <w:t>持有份额总数</w:t>
            </w:r>
          </w:p>
        </w:tc>
        <w:tc>
          <w:tcPr>
            <w:tcW w:w="1314"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jc w:val="center"/>
              <w:rPr>
                <w:rFonts w:eastAsiaTheme="minorEastAsia"/>
                <w:color w:val="000000" w:themeColor="text1"/>
                <w:szCs w:val="21"/>
              </w:rPr>
            </w:pPr>
            <w:r w:rsidRPr="00A3398F">
              <w:rPr>
                <w:rFonts w:eastAsiaTheme="minorEastAsia"/>
                <w:color w:val="000000" w:themeColor="text1"/>
                <w:szCs w:val="21"/>
              </w:rPr>
              <w:t>持有份额占基金总份额比例</w:t>
            </w:r>
          </w:p>
        </w:tc>
        <w:tc>
          <w:tcPr>
            <w:tcW w:w="1518"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jc w:val="center"/>
              <w:rPr>
                <w:rFonts w:eastAsiaTheme="minorEastAsia"/>
                <w:color w:val="000000" w:themeColor="text1"/>
                <w:szCs w:val="21"/>
              </w:rPr>
            </w:pPr>
            <w:r w:rsidRPr="00A3398F">
              <w:rPr>
                <w:rFonts w:eastAsiaTheme="minorEastAsia"/>
                <w:color w:val="000000" w:themeColor="text1"/>
                <w:szCs w:val="21"/>
              </w:rPr>
              <w:t>发起份额总数</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jc w:val="center"/>
              <w:rPr>
                <w:rFonts w:eastAsiaTheme="minorEastAsia"/>
                <w:color w:val="000000" w:themeColor="text1"/>
                <w:szCs w:val="21"/>
              </w:rPr>
            </w:pPr>
            <w:r w:rsidRPr="00A3398F">
              <w:rPr>
                <w:rFonts w:eastAsiaTheme="minorEastAsia"/>
                <w:color w:val="000000" w:themeColor="text1"/>
                <w:szCs w:val="21"/>
              </w:rPr>
              <w:t>发起份额占基金总份额比例</w:t>
            </w:r>
          </w:p>
        </w:tc>
        <w:tc>
          <w:tcPr>
            <w:tcW w:w="1366"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widowControl/>
              <w:jc w:val="center"/>
              <w:rPr>
                <w:rFonts w:eastAsiaTheme="minorEastAsia"/>
                <w:color w:val="000000" w:themeColor="text1"/>
                <w:szCs w:val="21"/>
              </w:rPr>
            </w:pPr>
            <w:r w:rsidRPr="00A3398F">
              <w:rPr>
                <w:rFonts w:eastAsiaTheme="minorEastAsia"/>
                <w:color w:val="000000" w:themeColor="text1"/>
                <w:szCs w:val="21"/>
              </w:rPr>
              <w:t>发起份额承诺持有期限</w:t>
            </w:r>
          </w:p>
        </w:tc>
      </w:tr>
      <w:tr w:rsidR="008277FF" w:rsidRPr="00A3398F" w:rsidTr="00195262">
        <w:trPr>
          <w:jc w:val="center"/>
        </w:trPr>
        <w:tc>
          <w:tcPr>
            <w:tcW w:w="1985"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rPr>
                <w:rFonts w:eastAsiaTheme="minorEastAsia"/>
                <w:color w:val="000000" w:themeColor="text1"/>
                <w:szCs w:val="21"/>
              </w:rPr>
            </w:pPr>
            <w:r w:rsidRPr="00A3398F">
              <w:rPr>
                <w:rFonts w:eastAsiaTheme="minorEastAsia"/>
                <w:color w:val="000000" w:themeColor="text1"/>
                <w:szCs w:val="21"/>
              </w:rPr>
              <w:t>基金管理人固有资金</w:t>
            </w:r>
          </w:p>
        </w:tc>
        <w:tc>
          <w:tcPr>
            <w:tcW w:w="1563"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10,000,097.22</w:t>
            </w:r>
          </w:p>
        </w:tc>
        <w:tc>
          <w:tcPr>
            <w:tcW w:w="1314"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26.40%</w:t>
            </w:r>
          </w:p>
        </w:tc>
        <w:tc>
          <w:tcPr>
            <w:tcW w:w="1518"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10,000,097.22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26.40%</w:t>
            </w:r>
          </w:p>
        </w:tc>
        <w:tc>
          <w:tcPr>
            <w:tcW w:w="1366"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3</w:t>
            </w:r>
            <w:r w:rsidRPr="00A3398F">
              <w:rPr>
                <w:rFonts w:eastAsiaTheme="minorEastAsia"/>
                <w:color w:val="000000" w:themeColor="text1"/>
                <w:kern w:val="0"/>
                <w:szCs w:val="21"/>
              </w:rPr>
              <w:t>年</w:t>
            </w:r>
          </w:p>
        </w:tc>
      </w:tr>
      <w:tr w:rsidR="008277FF" w:rsidRPr="00A3398F" w:rsidTr="00195262">
        <w:trPr>
          <w:trHeight w:val="790"/>
          <w:jc w:val="center"/>
        </w:trPr>
        <w:tc>
          <w:tcPr>
            <w:tcW w:w="1985"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rPr>
                <w:rFonts w:eastAsiaTheme="minorEastAsia"/>
                <w:color w:val="000000" w:themeColor="text1"/>
                <w:szCs w:val="21"/>
              </w:rPr>
            </w:pPr>
            <w:r w:rsidRPr="00A3398F">
              <w:rPr>
                <w:rFonts w:eastAsiaTheme="minorEastAsia"/>
                <w:color w:val="000000" w:themeColor="text1"/>
                <w:szCs w:val="21"/>
              </w:rPr>
              <w:t>基金管理人高级管理人员</w:t>
            </w:r>
          </w:p>
        </w:tc>
        <w:tc>
          <w:tcPr>
            <w:tcW w:w="1563"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518"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366"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195262">
        <w:trPr>
          <w:jc w:val="center"/>
        </w:trPr>
        <w:tc>
          <w:tcPr>
            <w:tcW w:w="1985"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rPr>
                <w:rFonts w:eastAsiaTheme="minorEastAsia"/>
                <w:color w:val="000000" w:themeColor="text1"/>
                <w:szCs w:val="21"/>
              </w:rPr>
            </w:pPr>
            <w:r w:rsidRPr="00A3398F">
              <w:rPr>
                <w:rFonts w:eastAsiaTheme="minorEastAsia"/>
                <w:color w:val="000000" w:themeColor="text1"/>
                <w:szCs w:val="21"/>
              </w:rPr>
              <w:t>基金经理等人员</w:t>
            </w:r>
          </w:p>
        </w:tc>
        <w:tc>
          <w:tcPr>
            <w:tcW w:w="1563"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518"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366"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195262">
        <w:trPr>
          <w:jc w:val="center"/>
        </w:trPr>
        <w:tc>
          <w:tcPr>
            <w:tcW w:w="1985"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rPr>
                <w:rFonts w:eastAsiaTheme="minorEastAsia"/>
                <w:color w:val="000000" w:themeColor="text1"/>
                <w:szCs w:val="21"/>
              </w:rPr>
            </w:pPr>
            <w:r w:rsidRPr="00A3398F">
              <w:rPr>
                <w:rFonts w:eastAsiaTheme="minorEastAsia"/>
                <w:color w:val="000000" w:themeColor="text1"/>
                <w:szCs w:val="21"/>
              </w:rPr>
              <w:t>基金管理人股东</w:t>
            </w:r>
          </w:p>
        </w:tc>
        <w:tc>
          <w:tcPr>
            <w:tcW w:w="1563"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518"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366"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195262">
        <w:trPr>
          <w:jc w:val="center"/>
        </w:trPr>
        <w:tc>
          <w:tcPr>
            <w:tcW w:w="1985"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rPr>
                <w:rFonts w:eastAsiaTheme="minorEastAsia"/>
                <w:color w:val="000000" w:themeColor="text1"/>
                <w:szCs w:val="21"/>
              </w:rPr>
            </w:pPr>
            <w:r w:rsidRPr="00A3398F">
              <w:rPr>
                <w:rFonts w:eastAsiaTheme="minorEastAsia"/>
                <w:color w:val="000000" w:themeColor="text1"/>
                <w:szCs w:val="21"/>
              </w:rPr>
              <w:t>其他</w:t>
            </w:r>
          </w:p>
        </w:tc>
        <w:tc>
          <w:tcPr>
            <w:tcW w:w="1563"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49,743.74</w:t>
            </w:r>
          </w:p>
        </w:tc>
        <w:tc>
          <w:tcPr>
            <w:tcW w:w="1314"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0.13%</w:t>
            </w:r>
          </w:p>
        </w:tc>
        <w:tc>
          <w:tcPr>
            <w:tcW w:w="1518"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366"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195262">
        <w:trPr>
          <w:jc w:val="center"/>
        </w:trPr>
        <w:tc>
          <w:tcPr>
            <w:tcW w:w="1985"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rPr>
                <w:rFonts w:eastAsiaTheme="minorEastAsia"/>
                <w:color w:val="000000" w:themeColor="text1"/>
                <w:szCs w:val="21"/>
              </w:rPr>
            </w:pPr>
            <w:r w:rsidRPr="00A3398F">
              <w:rPr>
                <w:rFonts w:eastAsiaTheme="minorEastAsia"/>
                <w:color w:val="000000" w:themeColor="text1"/>
                <w:szCs w:val="21"/>
              </w:rPr>
              <w:t>合计</w:t>
            </w:r>
          </w:p>
        </w:tc>
        <w:tc>
          <w:tcPr>
            <w:tcW w:w="1563"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10,049,840.96</w:t>
            </w:r>
          </w:p>
        </w:tc>
        <w:tc>
          <w:tcPr>
            <w:tcW w:w="1314"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26.53%</w:t>
            </w:r>
          </w:p>
        </w:tc>
        <w:tc>
          <w:tcPr>
            <w:tcW w:w="1518"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10,000,097.22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26.40%</w:t>
            </w:r>
          </w:p>
        </w:tc>
        <w:tc>
          <w:tcPr>
            <w:tcW w:w="1366" w:type="dxa"/>
            <w:tcBorders>
              <w:top w:val="single" w:sz="4" w:space="0" w:color="auto"/>
              <w:left w:val="single" w:sz="4" w:space="0" w:color="auto"/>
              <w:bottom w:val="single" w:sz="4" w:space="0" w:color="auto"/>
              <w:right w:val="single" w:sz="4" w:space="0" w:color="auto"/>
            </w:tcBorders>
            <w:vAlign w:val="center"/>
            <w:hideMark/>
          </w:tcPr>
          <w:p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3</w:t>
            </w:r>
            <w:r w:rsidRPr="00A3398F">
              <w:rPr>
                <w:rFonts w:eastAsiaTheme="minorEastAsia"/>
                <w:color w:val="000000" w:themeColor="text1"/>
                <w:kern w:val="0"/>
                <w:szCs w:val="21"/>
              </w:rPr>
              <w:t>年</w:t>
            </w:r>
          </w:p>
        </w:tc>
      </w:tr>
    </w:tbl>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w:t>
      </w:r>
      <w:r w:rsidR="00B111B9" w:rsidRPr="00A3398F">
        <w:rPr>
          <w:rFonts w:eastAsiaTheme="minorEastAsia"/>
          <w:color w:val="000000" w:themeColor="text1"/>
          <w:kern w:val="0"/>
          <w:sz w:val="24"/>
          <w:szCs w:val="24"/>
        </w:rPr>
        <w:t xml:space="preserve">9 </w:t>
      </w:r>
      <w:r w:rsidRPr="00A3398F">
        <w:rPr>
          <w:rFonts w:eastAsiaTheme="minorEastAsia"/>
          <w:color w:val="000000" w:themeColor="text1"/>
          <w:kern w:val="0"/>
          <w:sz w:val="24"/>
          <w:szCs w:val="24"/>
        </w:rPr>
        <w:t>影响投资者决策的其他重要信息</w:t>
      </w:r>
    </w:p>
    <w:p w:rsidR="00FA3195" w:rsidRPr="00A3398F" w:rsidRDefault="00FA3195" w:rsidP="00FA3195">
      <w:pPr>
        <w:autoSpaceDE w:val="0"/>
        <w:autoSpaceDN w:val="0"/>
        <w:adjustRightInd w:val="0"/>
        <w:spacing w:line="360" w:lineRule="auto"/>
        <w:jc w:val="left"/>
        <w:rPr>
          <w:b/>
          <w:bCs/>
          <w:color w:val="000000"/>
          <w:kern w:val="0"/>
          <w:sz w:val="24"/>
        </w:rPr>
      </w:pPr>
      <w:r w:rsidRPr="00A3398F">
        <w:rPr>
          <w:b/>
          <w:bCs/>
          <w:color w:val="000000"/>
          <w:kern w:val="0"/>
          <w:sz w:val="24"/>
        </w:rPr>
        <w:t xml:space="preserve">9.1 </w:t>
      </w:r>
      <w:r w:rsidRPr="00A3398F">
        <w:rPr>
          <w:b/>
          <w:bCs/>
          <w:color w:val="000000"/>
          <w:kern w:val="0"/>
          <w:sz w:val="24"/>
        </w:rPr>
        <w:t>报告期内单一投资者持有基金份额比例达到或超过</w:t>
      </w:r>
      <w:r w:rsidRPr="00A3398F">
        <w:rPr>
          <w:b/>
          <w:bCs/>
          <w:color w:val="000000"/>
          <w:kern w:val="0"/>
          <w:sz w:val="24"/>
        </w:rPr>
        <w:t>20%</w:t>
      </w:r>
      <w:r w:rsidRPr="00A3398F">
        <w:rPr>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A3195" w:rsidRPr="00A3398F" w:rsidTr="00EF4716">
        <w:tc>
          <w:tcPr>
            <w:tcW w:w="993" w:type="dxa"/>
            <w:vMerge w:val="restart"/>
            <w:vAlign w:val="center"/>
          </w:tcPr>
          <w:p w:rsidR="00FA3195" w:rsidRPr="00A3398F" w:rsidRDefault="00FA3195" w:rsidP="00EF4716">
            <w:pPr>
              <w:autoSpaceDE w:val="0"/>
              <w:autoSpaceDN w:val="0"/>
              <w:adjustRightInd w:val="0"/>
              <w:jc w:val="center"/>
              <w:rPr>
                <w:b/>
                <w:bCs/>
                <w:color w:val="000000"/>
                <w:kern w:val="0"/>
                <w:szCs w:val="21"/>
              </w:rPr>
            </w:pPr>
            <w:r w:rsidRPr="00A3398F">
              <w:rPr>
                <w:color w:val="000000"/>
                <w:kern w:val="0"/>
                <w:szCs w:val="21"/>
              </w:rPr>
              <w:t>投资者类别</w:t>
            </w:r>
            <w:r w:rsidRPr="00A3398F">
              <w:rPr>
                <w:color w:val="000000"/>
                <w:kern w:val="0"/>
                <w:szCs w:val="21"/>
              </w:rPr>
              <w:t xml:space="preserve">  </w:t>
            </w:r>
          </w:p>
        </w:tc>
        <w:tc>
          <w:tcPr>
            <w:tcW w:w="5670" w:type="dxa"/>
            <w:gridSpan w:val="5"/>
            <w:vAlign w:val="center"/>
          </w:tcPr>
          <w:p w:rsidR="00FA3195" w:rsidRPr="00A3398F" w:rsidRDefault="00FA3195" w:rsidP="00EF4716">
            <w:pPr>
              <w:autoSpaceDE w:val="0"/>
              <w:autoSpaceDN w:val="0"/>
              <w:adjustRightInd w:val="0"/>
              <w:jc w:val="center"/>
              <w:rPr>
                <w:b/>
                <w:bCs/>
                <w:color w:val="000000"/>
                <w:kern w:val="0"/>
                <w:szCs w:val="21"/>
              </w:rPr>
            </w:pPr>
            <w:r w:rsidRPr="00A3398F">
              <w:rPr>
                <w:color w:val="000000"/>
                <w:kern w:val="0"/>
                <w:szCs w:val="21"/>
              </w:rPr>
              <w:t>报告期内持有基金份额变化情况</w:t>
            </w:r>
          </w:p>
        </w:tc>
        <w:tc>
          <w:tcPr>
            <w:tcW w:w="2549" w:type="dxa"/>
            <w:gridSpan w:val="2"/>
            <w:vAlign w:val="center"/>
          </w:tcPr>
          <w:p w:rsidR="00FA3195" w:rsidRPr="00A3398F" w:rsidRDefault="00FA3195" w:rsidP="00EF4716">
            <w:pPr>
              <w:autoSpaceDE w:val="0"/>
              <w:autoSpaceDN w:val="0"/>
              <w:adjustRightInd w:val="0"/>
              <w:jc w:val="center"/>
              <w:rPr>
                <w:b/>
                <w:bCs/>
                <w:color w:val="000000"/>
                <w:kern w:val="0"/>
                <w:szCs w:val="21"/>
              </w:rPr>
            </w:pPr>
            <w:r w:rsidRPr="00A3398F">
              <w:rPr>
                <w:color w:val="000000"/>
                <w:kern w:val="0"/>
                <w:szCs w:val="21"/>
              </w:rPr>
              <w:t>报告期末持有基金情况</w:t>
            </w:r>
          </w:p>
        </w:tc>
      </w:tr>
      <w:tr w:rsidR="00FA3195" w:rsidRPr="00A3398F" w:rsidTr="00EF4716">
        <w:tc>
          <w:tcPr>
            <w:tcW w:w="993" w:type="dxa"/>
            <w:vMerge/>
            <w:vAlign w:val="center"/>
          </w:tcPr>
          <w:p w:rsidR="00FA3195" w:rsidRPr="00A3398F" w:rsidRDefault="00FA3195" w:rsidP="00EF4716">
            <w:pPr>
              <w:autoSpaceDE w:val="0"/>
              <w:autoSpaceDN w:val="0"/>
              <w:adjustRightInd w:val="0"/>
              <w:jc w:val="center"/>
              <w:rPr>
                <w:b/>
                <w:bCs/>
                <w:color w:val="000000"/>
                <w:kern w:val="0"/>
                <w:szCs w:val="21"/>
              </w:rPr>
            </w:pPr>
          </w:p>
        </w:tc>
        <w:tc>
          <w:tcPr>
            <w:tcW w:w="992" w:type="dxa"/>
            <w:vAlign w:val="center"/>
          </w:tcPr>
          <w:p w:rsidR="00FA3195" w:rsidRPr="00A3398F" w:rsidRDefault="00FA3195" w:rsidP="00EF4716">
            <w:pPr>
              <w:autoSpaceDE w:val="0"/>
              <w:autoSpaceDN w:val="0"/>
              <w:adjustRightInd w:val="0"/>
              <w:jc w:val="center"/>
              <w:rPr>
                <w:b/>
                <w:bCs/>
                <w:color w:val="000000"/>
                <w:kern w:val="0"/>
                <w:szCs w:val="21"/>
              </w:rPr>
            </w:pPr>
            <w:r w:rsidRPr="00A3398F">
              <w:rPr>
                <w:color w:val="000000"/>
                <w:kern w:val="0"/>
                <w:szCs w:val="21"/>
              </w:rPr>
              <w:t>序号</w:t>
            </w:r>
          </w:p>
        </w:tc>
        <w:tc>
          <w:tcPr>
            <w:tcW w:w="1843" w:type="dxa"/>
            <w:vAlign w:val="center"/>
          </w:tcPr>
          <w:p w:rsidR="00FA3195" w:rsidRPr="00A3398F" w:rsidRDefault="00FA3195" w:rsidP="00EF4716">
            <w:pPr>
              <w:autoSpaceDE w:val="0"/>
              <w:autoSpaceDN w:val="0"/>
              <w:adjustRightInd w:val="0"/>
              <w:jc w:val="center"/>
              <w:rPr>
                <w:b/>
                <w:bCs/>
                <w:color w:val="000000"/>
                <w:kern w:val="0"/>
                <w:szCs w:val="21"/>
              </w:rPr>
            </w:pPr>
            <w:r w:rsidRPr="00A3398F">
              <w:rPr>
                <w:color w:val="000000"/>
                <w:kern w:val="0"/>
                <w:szCs w:val="21"/>
              </w:rPr>
              <w:t>持有基金份额比例达到或者超过</w:t>
            </w:r>
            <w:r w:rsidRPr="00A3398F">
              <w:rPr>
                <w:color w:val="000000"/>
                <w:kern w:val="0"/>
                <w:szCs w:val="21"/>
              </w:rPr>
              <w:t>20%</w:t>
            </w:r>
            <w:r w:rsidRPr="00A3398F">
              <w:rPr>
                <w:color w:val="000000"/>
                <w:kern w:val="0"/>
                <w:szCs w:val="21"/>
              </w:rPr>
              <w:t>的时间区间</w:t>
            </w:r>
          </w:p>
        </w:tc>
        <w:tc>
          <w:tcPr>
            <w:tcW w:w="851" w:type="dxa"/>
            <w:vAlign w:val="center"/>
          </w:tcPr>
          <w:p w:rsidR="00FA3195" w:rsidRPr="00A3398F" w:rsidRDefault="00FA3195" w:rsidP="00EF4716">
            <w:pPr>
              <w:widowControl/>
              <w:jc w:val="center"/>
              <w:rPr>
                <w:b/>
                <w:bCs/>
                <w:color w:val="000000"/>
                <w:kern w:val="0"/>
                <w:szCs w:val="21"/>
              </w:rPr>
            </w:pPr>
            <w:r w:rsidRPr="00A3398F">
              <w:rPr>
                <w:color w:val="000000"/>
                <w:kern w:val="0"/>
                <w:szCs w:val="21"/>
              </w:rPr>
              <w:t>期初份额</w:t>
            </w:r>
          </w:p>
        </w:tc>
        <w:tc>
          <w:tcPr>
            <w:tcW w:w="850" w:type="dxa"/>
            <w:vAlign w:val="center"/>
          </w:tcPr>
          <w:p w:rsidR="00FA3195" w:rsidRPr="00A3398F" w:rsidRDefault="00FA3195" w:rsidP="00EF4716">
            <w:pPr>
              <w:widowControl/>
              <w:jc w:val="center"/>
              <w:rPr>
                <w:b/>
                <w:bCs/>
                <w:color w:val="000000"/>
                <w:kern w:val="0"/>
                <w:szCs w:val="21"/>
              </w:rPr>
            </w:pPr>
            <w:r w:rsidRPr="00A3398F">
              <w:rPr>
                <w:color w:val="000000"/>
                <w:kern w:val="0"/>
                <w:szCs w:val="21"/>
              </w:rPr>
              <w:t>申购份额</w:t>
            </w:r>
          </w:p>
        </w:tc>
        <w:tc>
          <w:tcPr>
            <w:tcW w:w="1134" w:type="dxa"/>
            <w:vAlign w:val="center"/>
          </w:tcPr>
          <w:p w:rsidR="00FA3195" w:rsidRPr="00A3398F" w:rsidRDefault="00FA3195" w:rsidP="00EF4716">
            <w:pPr>
              <w:widowControl/>
              <w:jc w:val="center"/>
              <w:rPr>
                <w:b/>
                <w:bCs/>
                <w:color w:val="000000"/>
                <w:kern w:val="0"/>
                <w:szCs w:val="21"/>
              </w:rPr>
            </w:pPr>
            <w:r w:rsidRPr="00A3398F">
              <w:rPr>
                <w:color w:val="000000"/>
                <w:kern w:val="0"/>
                <w:szCs w:val="21"/>
              </w:rPr>
              <w:t>赎回份额</w:t>
            </w:r>
          </w:p>
        </w:tc>
        <w:tc>
          <w:tcPr>
            <w:tcW w:w="1419" w:type="dxa"/>
            <w:vAlign w:val="center"/>
          </w:tcPr>
          <w:p w:rsidR="00FA3195" w:rsidRPr="00A3398F" w:rsidRDefault="00FA3195" w:rsidP="00EF4716">
            <w:pPr>
              <w:autoSpaceDE w:val="0"/>
              <w:autoSpaceDN w:val="0"/>
              <w:adjustRightInd w:val="0"/>
              <w:jc w:val="center"/>
              <w:rPr>
                <w:b/>
                <w:bCs/>
                <w:color w:val="000000"/>
                <w:kern w:val="0"/>
                <w:szCs w:val="21"/>
              </w:rPr>
            </w:pPr>
            <w:r w:rsidRPr="00A3398F">
              <w:rPr>
                <w:color w:val="000000"/>
                <w:kern w:val="0"/>
                <w:szCs w:val="21"/>
              </w:rPr>
              <w:t>持有份额</w:t>
            </w:r>
          </w:p>
        </w:tc>
        <w:tc>
          <w:tcPr>
            <w:tcW w:w="1130" w:type="dxa"/>
            <w:vAlign w:val="center"/>
          </w:tcPr>
          <w:p w:rsidR="00FA3195" w:rsidRPr="00A3398F" w:rsidRDefault="00FA3195" w:rsidP="00EF4716">
            <w:pPr>
              <w:autoSpaceDE w:val="0"/>
              <w:autoSpaceDN w:val="0"/>
              <w:adjustRightInd w:val="0"/>
              <w:jc w:val="center"/>
              <w:rPr>
                <w:b/>
                <w:bCs/>
                <w:color w:val="000000"/>
                <w:kern w:val="0"/>
                <w:szCs w:val="21"/>
              </w:rPr>
            </w:pPr>
            <w:r w:rsidRPr="00A3398F">
              <w:rPr>
                <w:color w:val="000000"/>
                <w:kern w:val="0"/>
                <w:szCs w:val="21"/>
              </w:rPr>
              <w:t>份额占比</w:t>
            </w:r>
          </w:p>
        </w:tc>
      </w:tr>
      <w:tr w:rsidR="0018319B">
        <w:tc>
          <w:tcPr>
            <w:tcW w:w="993" w:type="dxa"/>
            <w:vAlign w:val="center"/>
          </w:tcPr>
          <w:p w:rsidR="0018319B" w:rsidRDefault="00EF5580">
            <w:r>
              <w:rPr>
                <w:bCs/>
                <w:color w:val="000000"/>
                <w:kern w:val="0"/>
                <w:szCs w:val="21"/>
              </w:rPr>
              <w:t>机构</w:t>
            </w:r>
          </w:p>
        </w:tc>
        <w:tc>
          <w:tcPr>
            <w:tcW w:w="992" w:type="dxa"/>
            <w:vAlign w:val="center"/>
          </w:tcPr>
          <w:p w:rsidR="0018319B" w:rsidRDefault="00EF5580">
            <w:pPr>
              <w:jc w:val="center"/>
            </w:pPr>
            <w:r>
              <w:rPr>
                <w:color w:val="000000"/>
                <w:kern w:val="0"/>
                <w:szCs w:val="21"/>
              </w:rPr>
              <w:t>1</w:t>
            </w:r>
          </w:p>
        </w:tc>
        <w:tc>
          <w:tcPr>
            <w:tcW w:w="1843" w:type="dxa"/>
            <w:vAlign w:val="center"/>
          </w:tcPr>
          <w:p w:rsidR="0018319B" w:rsidRDefault="00EF5580">
            <w:pPr>
              <w:jc w:val="center"/>
            </w:pPr>
            <w:r>
              <w:rPr>
                <w:color w:val="000000"/>
                <w:kern w:val="0"/>
                <w:szCs w:val="21"/>
              </w:rPr>
              <w:t>20231001-20231231</w:t>
            </w:r>
          </w:p>
        </w:tc>
        <w:tc>
          <w:tcPr>
            <w:tcW w:w="851" w:type="dxa"/>
            <w:vAlign w:val="center"/>
          </w:tcPr>
          <w:p w:rsidR="0018319B" w:rsidRDefault="00EF5580">
            <w:pPr>
              <w:jc w:val="center"/>
            </w:pPr>
            <w:r>
              <w:rPr>
                <w:color w:val="000000"/>
                <w:kern w:val="0"/>
                <w:szCs w:val="21"/>
              </w:rPr>
              <w:t>10,000,097.22</w:t>
            </w:r>
          </w:p>
        </w:tc>
        <w:tc>
          <w:tcPr>
            <w:tcW w:w="850" w:type="dxa"/>
            <w:vAlign w:val="center"/>
          </w:tcPr>
          <w:p w:rsidR="0018319B" w:rsidRDefault="00EF5580">
            <w:pPr>
              <w:jc w:val="center"/>
            </w:pPr>
            <w:r>
              <w:rPr>
                <w:color w:val="000000"/>
                <w:kern w:val="0"/>
                <w:szCs w:val="21"/>
              </w:rPr>
              <w:t>0.00</w:t>
            </w:r>
          </w:p>
        </w:tc>
        <w:tc>
          <w:tcPr>
            <w:tcW w:w="1134" w:type="dxa"/>
            <w:vAlign w:val="center"/>
          </w:tcPr>
          <w:p w:rsidR="0018319B" w:rsidRDefault="00EF5580">
            <w:pPr>
              <w:jc w:val="center"/>
            </w:pPr>
            <w:r>
              <w:rPr>
                <w:color w:val="000000"/>
                <w:kern w:val="0"/>
                <w:szCs w:val="21"/>
              </w:rPr>
              <w:t>0.00</w:t>
            </w:r>
          </w:p>
        </w:tc>
        <w:tc>
          <w:tcPr>
            <w:tcW w:w="1419" w:type="dxa"/>
            <w:vAlign w:val="center"/>
          </w:tcPr>
          <w:p w:rsidR="0018319B" w:rsidRDefault="00EF5580">
            <w:pPr>
              <w:jc w:val="center"/>
            </w:pPr>
            <w:r>
              <w:rPr>
                <w:color w:val="000000"/>
                <w:kern w:val="0"/>
                <w:szCs w:val="21"/>
              </w:rPr>
              <w:t>10,000,097.22</w:t>
            </w:r>
          </w:p>
        </w:tc>
        <w:tc>
          <w:tcPr>
            <w:tcW w:w="1130" w:type="dxa"/>
            <w:vAlign w:val="center"/>
          </w:tcPr>
          <w:p w:rsidR="0018319B" w:rsidRDefault="00EF5580">
            <w:pPr>
              <w:jc w:val="center"/>
            </w:pPr>
            <w:r>
              <w:rPr>
                <w:color w:val="000000"/>
                <w:kern w:val="0"/>
                <w:szCs w:val="21"/>
              </w:rPr>
              <w:t>26.40%</w:t>
            </w:r>
          </w:p>
        </w:tc>
      </w:tr>
      <w:tr w:rsidR="00FA3195" w:rsidRPr="00A3398F" w:rsidTr="00EF4716">
        <w:tc>
          <w:tcPr>
            <w:tcW w:w="9212" w:type="dxa"/>
            <w:gridSpan w:val="8"/>
            <w:vAlign w:val="center"/>
          </w:tcPr>
          <w:p w:rsidR="00FA3195" w:rsidRPr="00A3398F" w:rsidRDefault="00FA3195" w:rsidP="00EF4716">
            <w:pPr>
              <w:autoSpaceDE w:val="0"/>
              <w:autoSpaceDN w:val="0"/>
              <w:adjustRightInd w:val="0"/>
              <w:jc w:val="center"/>
              <w:rPr>
                <w:kern w:val="0"/>
                <w:szCs w:val="21"/>
              </w:rPr>
            </w:pPr>
            <w:r w:rsidRPr="00A3398F">
              <w:rPr>
                <w:color w:val="000000"/>
                <w:kern w:val="0"/>
                <w:szCs w:val="21"/>
              </w:rPr>
              <w:t>产品特有风险</w:t>
            </w:r>
          </w:p>
        </w:tc>
      </w:tr>
      <w:tr w:rsidR="00FA3195" w:rsidRPr="00A3398F" w:rsidTr="00EF4716">
        <w:tc>
          <w:tcPr>
            <w:tcW w:w="9212" w:type="dxa"/>
            <w:gridSpan w:val="8"/>
            <w:vAlign w:val="center"/>
          </w:tcPr>
          <w:p w:rsidR="00FA3195" w:rsidRPr="00A3398F" w:rsidRDefault="00FA3195" w:rsidP="00EF4716">
            <w:pPr>
              <w:autoSpaceDE w:val="0"/>
              <w:autoSpaceDN w:val="0"/>
              <w:adjustRightInd w:val="0"/>
              <w:jc w:val="left"/>
              <w:rPr>
                <w:kern w:val="0"/>
                <w:szCs w:val="21"/>
              </w:rPr>
            </w:pPr>
            <w:r w:rsidRPr="00A3398F">
              <w:rPr>
                <w:kern w:val="0"/>
                <w:szCs w:val="21"/>
              </w:rPr>
              <w:t>本基金的集中度风险主要体现在有单一投资者持有基金份额比例达到或者超过</w:t>
            </w:r>
            <w:r w:rsidRPr="00A3398F">
              <w:rPr>
                <w:kern w:val="0"/>
                <w:szCs w:val="21"/>
              </w:rPr>
              <w:t>20%</w:t>
            </w:r>
            <w:r w:rsidRPr="00A3398F">
              <w:rPr>
                <w:kern w:val="0"/>
                <w:szCs w:val="21"/>
              </w:rPr>
              <w:t>，如果投资者发生大额赎回，可能出现基金可变现资产无法满足投资者赎回需要以及因为资产变现成本过高导致投资者的利益受到损害的风险。</w:t>
            </w:r>
          </w:p>
        </w:tc>
      </w:tr>
    </w:tbl>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w:t>
      </w:r>
      <w:r w:rsidR="002711AA" w:rsidRPr="00A3398F">
        <w:rPr>
          <w:rFonts w:eastAsiaTheme="minorEastAsia"/>
          <w:color w:val="000000" w:themeColor="text1"/>
          <w:kern w:val="0"/>
          <w:sz w:val="24"/>
          <w:szCs w:val="24"/>
        </w:rPr>
        <w:t>10</w:t>
      </w:r>
      <w:r w:rsidRPr="00A3398F">
        <w:rPr>
          <w:rFonts w:eastAsiaTheme="minorEastAsia"/>
          <w:color w:val="000000" w:themeColor="text1"/>
          <w:kern w:val="0"/>
          <w:sz w:val="24"/>
          <w:szCs w:val="24"/>
        </w:rPr>
        <w:t xml:space="preserve"> </w:t>
      </w:r>
      <w:r w:rsidRPr="00A3398F">
        <w:rPr>
          <w:rFonts w:eastAsiaTheme="minorEastAsia"/>
          <w:color w:val="000000" w:themeColor="text1"/>
          <w:kern w:val="0"/>
          <w:sz w:val="24"/>
          <w:szCs w:val="24"/>
        </w:rPr>
        <w:t>备查文件目录</w:t>
      </w:r>
    </w:p>
    <w:p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10</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1</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备查文件目录</w:t>
      </w:r>
    </w:p>
    <w:p w:rsidR="0018319B" w:rsidRDefault="00EF5580">
      <w:pPr>
        <w:spacing w:line="360" w:lineRule="auto"/>
        <w:ind w:firstLineChars="200" w:firstLine="420"/>
        <w:rPr>
          <w:rFonts w:eastAsiaTheme="minorEastAsia"/>
          <w:color w:val="000000" w:themeColor="text1"/>
          <w:szCs w:val="21"/>
        </w:rPr>
      </w:pPr>
      <w:r>
        <w:rPr>
          <w:rFonts w:eastAsiaTheme="minorEastAsia"/>
          <w:color w:val="000000" w:themeColor="text1"/>
          <w:szCs w:val="21"/>
        </w:rPr>
        <w:t>（一）中国证监会准予本基金募集注册的文件</w:t>
      </w:r>
    </w:p>
    <w:p w:rsidR="0018319B" w:rsidRDefault="00EF5580">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（二）</w:t>
      </w:r>
      <w:r>
        <w:rPr>
          <w:rFonts w:eastAsiaTheme="minorEastAsia"/>
          <w:color w:val="000000" w:themeColor="text1"/>
          <w:szCs w:val="21"/>
        </w:rPr>
        <w:t xml:space="preserve"> </w:t>
      </w:r>
      <w:r>
        <w:rPr>
          <w:rFonts w:eastAsiaTheme="minorEastAsia"/>
          <w:color w:val="000000" w:themeColor="text1"/>
          <w:szCs w:val="21"/>
        </w:rPr>
        <w:t>摩根恒生科技交易型开放式指数证券投资基金发起式联接基金</w:t>
      </w:r>
      <w:r>
        <w:rPr>
          <w:rFonts w:eastAsiaTheme="minorEastAsia"/>
          <w:color w:val="000000" w:themeColor="text1"/>
          <w:szCs w:val="21"/>
        </w:rPr>
        <w:t>(QDII)</w:t>
      </w:r>
      <w:r>
        <w:rPr>
          <w:rFonts w:eastAsiaTheme="minorEastAsia"/>
          <w:color w:val="000000" w:themeColor="text1"/>
          <w:szCs w:val="21"/>
        </w:rPr>
        <w:t>基金合同</w:t>
      </w:r>
    </w:p>
    <w:p w:rsidR="0018319B" w:rsidRDefault="00EF5580">
      <w:pPr>
        <w:spacing w:line="360" w:lineRule="auto"/>
        <w:ind w:firstLineChars="200" w:firstLine="420"/>
        <w:rPr>
          <w:rFonts w:eastAsiaTheme="minorEastAsia"/>
          <w:color w:val="000000" w:themeColor="text1"/>
          <w:szCs w:val="21"/>
        </w:rPr>
      </w:pP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摩根恒生科技交易型开放式指数证券投资基金发起式联接基金</w:t>
      </w:r>
      <w:r>
        <w:rPr>
          <w:rFonts w:eastAsiaTheme="minorEastAsia"/>
          <w:color w:val="000000" w:themeColor="text1"/>
          <w:szCs w:val="21"/>
        </w:rPr>
        <w:t>(QDII)</w:t>
      </w:r>
      <w:r>
        <w:rPr>
          <w:rFonts w:eastAsiaTheme="minorEastAsia"/>
          <w:color w:val="000000" w:themeColor="text1"/>
          <w:szCs w:val="21"/>
        </w:rPr>
        <w:t>托管协议</w:t>
      </w:r>
    </w:p>
    <w:p w:rsidR="0018319B" w:rsidRDefault="00EF5580">
      <w:pPr>
        <w:spacing w:line="360" w:lineRule="auto"/>
        <w:ind w:firstLineChars="200" w:firstLine="420"/>
        <w:rPr>
          <w:rFonts w:eastAsiaTheme="minorEastAsia"/>
          <w:color w:val="000000" w:themeColor="text1"/>
          <w:szCs w:val="21"/>
        </w:rPr>
      </w:pPr>
      <w:r>
        <w:rPr>
          <w:rFonts w:eastAsiaTheme="minorEastAsia"/>
          <w:color w:val="000000" w:themeColor="text1"/>
          <w:szCs w:val="21"/>
        </w:rPr>
        <w:t>（四）法律意见书</w:t>
      </w:r>
    </w:p>
    <w:p w:rsidR="0018319B" w:rsidRDefault="00EF5580">
      <w:pPr>
        <w:spacing w:line="360" w:lineRule="auto"/>
        <w:ind w:firstLineChars="200" w:firstLine="420"/>
        <w:rPr>
          <w:rFonts w:eastAsiaTheme="minorEastAsia"/>
          <w:color w:val="000000" w:themeColor="text1"/>
          <w:szCs w:val="21"/>
        </w:rPr>
      </w:pPr>
      <w:r>
        <w:rPr>
          <w:rFonts w:eastAsiaTheme="minorEastAsia"/>
          <w:color w:val="000000" w:themeColor="text1"/>
          <w:szCs w:val="21"/>
        </w:rPr>
        <w:t>（五）基金管理人业务资格批件、营业执照</w:t>
      </w:r>
    </w:p>
    <w:p w:rsidR="0018319B" w:rsidRDefault="00EF5580">
      <w:pPr>
        <w:spacing w:line="360" w:lineRule="auto"/>
        <w:ind w:firstLineChars="200" w:firstLine="420"/>
        <w:rPr>
          <w:rFonts w:eastAsiaTheme="minorEastAsia"/>
          <w:color w:val="000000" w:themeColor="text1"/>
          <w:szCs w:val="21"/>
        </w:rPr>
      </w:pPr>
      <w:r>
        <w:rPr>
          <w:rFonts w:eastAsiaTheme="minorEastAsia"/>
          <w:color w:val="000000" w:themeColor="text1"/>
          <w:szCs w:val="21"/>
        </w:rPr>
        <w:t>（六）基金托管人业务资格批件、营业执照</w:t>
      </w:r>
    </w:p>
    <w:p w:rsidR="0018319B" w:rsidRDefault="00EF5580">
      <w:pPr>
        <w:spacing w:line="360" w:lineRule="auto"/>
        <w:ind w:firstLineChars="200" w:firstLine="420"/>
        <w:rPr>
          <w:rFonts w:eastAsiaTheme="minorEastAsia"/>
          <w:color w:val="000000" w:themeColor="text1"/>
          <w:szCs w:val="21"/>
        </w:rPr>
      </w:pPr>
      <w:r>
        <w:rPr>
          <w:rFonts w:eastAsiaTheme="minorEastAsia"/>
          <w:color w:val="000000" w:themeColor="text1"/>
          <w:szCs w:val="21"/>
        </w:rPr>
        <w:t>（七）摩根基金管理（中国）有限公司开放式基金业务规则</w:t>
      </w:r>
    </w:p>
    <w:p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（八）中国证监会要求的其他文件</w:t>
      </w:r>
    </w:p>
    <w:p w:rsidR="008A2EC6" w:rsidRPr="00A3398F" w:rsidRDefault="008A2EC6" w:rsidP="000C7596">
      <w:pPr>
        <w:spacing w:line="360" w:lineRule="auto"/>
        <w:ind w:firstLineChars="200" w:firstLine="480"/>
        <w:rPr>
          <w:rFonts w:eastAsiaTheme="minorEastAsia"/>
          <w:color w:val="000000" w:themeColor="text1"/>
          <w:sz w:val="24"/>
        </w:rPr>
      </w:pPr>
    </w:p>
    <w:p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10</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2</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存放地点</w:t>
      </w:r>
    </w:p>
    <w:p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基金管理人或基金托管人处。</w:t>
      </w:r>
    </w:p>
    <w:p w:rsidR="008A2EC6" w:rsidRPr="00A3398F" w:rsidRDefault="008A2EC6" w:rsidP="000C7596">
      <w:pPr>
        <w:spacing w:line="360" w:lineRule="auto"/>
        <w:ind w:firstLineChars="200" w:firstLine="480"/>
        <w:rPr>
          <w:rFonts w:eastAsiaTheme="minorEastAsia"/>
          <w:color w:val="000000" w:themeColor="text1"/>
          <w:sz w:val="24"/>
        </w:rPr>
      </w:pPr>
    </w:p>
    <w:p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10</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3</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查阅方式</w:t>
      </w:r>
    </w:p>
    <w:p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投资者可在营业时间免费查阅，也可按工本费购买复印件。</w:t>
      </w:r>
    </w:p>
    <w:p w:rsidR="0076518F" w:rsidRPr="00A3398F" w:rsidRDefault="0076518F" w:rsidP="008B6A4A">
      <w:pPr>
        <w:spacing w:line="360" w:lineRule="auto"/>
        <w:ind w:firstLineChars="200" w:firstLine="480"/>
        <w:rPr>
          <w:rFonts w:eastAsiaTheme="minorEastAsia"/>
          <w:color w:val="000000" w:themeColor="text1"/>
          <w:sz w:val="24"/>
        </w:rPr>
      </w:pPr>
    </w:p>
    <w:p w:rsidR="008A2EC6" w:rsidRPr="00A3398F" w:rsidRDefault="008A2EC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76518F" w:rsidRPr="00A3398F" w:rsidRDefault="0076518F" w:rsidP="008B6A4A">
      <w:pPr>
        <w:spacing w:line="360" w:lineRule="auto"/>
        <w:ind w:firstLineChars="200" w:firstLine="480"/>
        <w:rPr>
          <w:rFonts w:eastAsiaTheme="minorEastAsia"/>
          <w:color w:val="000000" w:themeColor="text1"/>
          <w:sz w:val="24"/>
        </w:rPr>
      </w:pPr>
    </w:p>
    <w:p w:rsidR="008975BC" w:rsidRPr="00A3398F" w:rsidRDefault="008975BC" w:rsidP="000C7596">
      <w:pPr>
        <w:spacing w:line="360" w:lineRule="auto"/>
        <w:jc w:val="right"/>
        <w:rPr>
          <w:rFonts w:eastAsiaTheme="minorEastAsia"/>
          <w:b/>
          <w:bCs/>
          <w:color w:val="000000" w:themeColor="text1"/>
          <w:sz w:val="24"/>
        </w:rPr>
      </w:pPr>
      <w:r w:rsidRPr="00A3398F">
        <w:rPr>
          <w:rFonts w:eastAsiaTheme="minorEastAsia"/>
          <w:b/>
          <w:bCs/>
          <w:color w:val="000000" w:themeColor="text1"/>
          <w:sz w:val="24"/>
        </w:rPr>
        <w:t>摩根基金管理（中国）有限公司</w:t>
      </w:r>
    </w:p>
    <w:p w:rsidR="0076518F" w:rsidRPr="00A3398F" w:rsidRDefault="00623556" w:rsidP="000C7596">
      <w:pPr>
        <w:spacing w:line="360" w:lineRule="auto"/>
        <w:jc w:val="right"/>
        <w:rPr>
          <w:rFonts w:eastAsiaTheme="minorEastAsia"/>
          <w:b/>
          <w:bCs/>
          <w:color w:val="000000" w:themeColor="text1"/>
          <w:sz w:val="24"/>
        </w:rPr>
      </w:pPr>
      <w:r w:rsidRPr="00A3398F">
        <w:rPr>
          <w:rFonts w:eastAsiaTheme="minorEastAsia"/>
          <w:b/>
          <w:bCs/>
          <w:color w:val="000000" w:themeColor="text1"/>
          <w:sz w:val="24"/>
        </w:rPr>
        <w:t>二〇二四年一月二十二日</w:t>
      </w:r>
    </w:p>
    <w:sectPr w:rsidR="0076518F" w:rsidRPr="00A3398F" w:rsidSect="00DB4450">
      <w:headerReference w:type="even" r:id="rId11"/>
      <w:footerReference w:type="even" r:id="rId12"/>
      <w:footerReference w:type="default" r:id="rId13"/>
      <w:headerReference w:type="first" r:id="rId14"/>
      <w:footerReference w:type="first" r:id="rId15"/>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D48" w:rsidRDefault="00E21D48">
      <w:r>
        <w:separator/>
      </w:r>
    </w:p>
  </w:endnote>
  <w:endnote w:type="continuationSeparator" w:id="0">
    <w:p w:rsidR="00E21D48" w:rsidRDefault="00E21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AC4" w:rsidRPr="001D0DB0" w:rsidRDefault="00982AC4" w:rsidP="00B918B8">
    <w:pPr>
      <w:pStyle w:val="a7"/>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95262">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95262">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AC4" w:rsidRDefault="00982AC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82AC4" w:rsidRDefault="00982AC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AC4" w:rsidRDefault="00982AC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95262">
      <w:rPr>
        <w:rStyle w:val="a8"/>
        <w:noProof/>
      </w:rPr>
      <w:t>2</w:t>
    </w:r>
    <w:r>
      <w:rPr>
        <w:rStyle w:val="a8"/>
      </w:rPr>
      <w:fldChar w:fldCharType="end"/>
    </w:r>
  </w:p>
  <w:p w:rsidR="00982AC4" w:rsidRDefault="00982AC4">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AC4" w:rsidRDefault="00982AC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D48" w:rsidRDefault="00E21D48">
      <w:r>
        <w:separator/>
      </w:r>
    </w:p>
  </w:footnote>
  <w:footnote w:type="continuationSeparator" w:id="0">
    <w:p w:rsidR="00E21D48" w:rsidRDefault="00E21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AC4" w:rsidRPr="006669C9" w:rsidRDefault="00982AC4" w:rsidP="001D1356">
    <w:pPr>
      <w:pStyle w:val="aa"/>
      <w:pBdr>
        <w:bottom w:val="single" w:sz="6" w:space="0" w:color="auto"/>
      </w:pBdr>
      <w:jc w:val="right"/>
    </w:pPr>
    <w:r w:rsidRPr="006669C9">
      <w:t>摩根恒生科技交易型开放式指数证券投资基金发起式联接基金</w:t>
    </w:r>
    <w:r w:rsidRPr="006669C9">
      <w:t>(QDII)2023</w:t>
    </w:r>
    <w:r w:rsidRPr="006669C9">
      <w:t>年第</w:t>
    </w:r>
    <w:r w:rsidRPr="006669C9">
      <w:t>4</w:t>
    </w:r>
    <w:r w:rsidRPr="006669C9">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AC4" w:rsidRDefault="00982AC4">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AC4" w:rsidRDefault="00982AC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10A83"/>
    <w:rsid w:val="00010A8E"/>
    <w:rsid w:val="00010AC3"/>
    <w:rsid w:val="00011E10"/>
    <w:rsid w:val="00011EB5"/>
    <w:rsid w:val="00017581"/>
    <w:rsid w:val="00017739"/>
    <w:rsid w:val="00020583"/>
    <w:rsid w:val="00021DD4"/>
    <w:rsid w:val="00023BE7"/>
    <w:rsid w:val="00026BFF"/>
    <w:rsid w:val="000306F0"/>
    <w:rsid w:val="0003091A"/>
    <w:rsid w:val="000364FB"/>
    <w:rsid w:val="00037FCF"/>
    <w:rsid w:val="00041AB5"/>
    <w:rsid w:val="000421B8"/>
    <w:rsid w:val="00043ABF"/>
    <w:rsid w:val="000445E4"/>
    <w:rsid w:val="00045AE7"/>
    <w:rsid w:val="000510AB"/>
    <w:rsid w:val="00055668"/>
    <w:rsid w:val="00055AF1"/>
    <w:rsid w:val="000565DC"/>
    <w:rsid w:val="00063A8D"/>
    <w:rsid w:val="00064AE3"/>
    <w:rsid w:val="00066524"/>
    <w:rsid w:val="00067332"/>
    <w:rsid w:val="00070CD1"/>
    <w:rsid w:val="00070DD6"/>
    <w:rsid w:val="0007171B"/>
    <w:rsid w:val="00081D05"/>
    <w:rsid w:val="000876A0"/>
    <w:rsid w:val="00087CF7"/>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D01F4"/>
    <w:rsid w:val="000D121F"/>
    <w:rsid w:val="000D1519"/>
    <w:rsid w:val="000E1F7C"/>
    <w:rsid w:val="000E3B88"/>
    <w:rsid w:val="000E3F11"/>
    <w:rsid w:val="000E4456"/>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304E"/>
    <w:rsid w:val="00123B10"/>
    <w:rsid w:val="001248EF"/>
    <w:rsid w:val="001257C7"/>
    <w:rsid w:val="00126C27"/>
    <w:rsid w:val="00126DDF"/>
    <w:rsid w:val="001270BF"/>
    <w:rsid w:val="00127BAC"/>
    <w:rsid w:val="00142A56"/>
    <w:rsid w:val="00143B45"/>
    <w:rsid w:val="00144DF5"/>
    <w:rsid w:val="00145A97"/>
    <w:rsid w:val="00146485"/>
    <w:rsid w:val="00150AD6"/>
    <w:rsid w:val="001542CC"/>
    <w:rsid w:val="00154ADA"/>
    <w:rsid w:val="0015531A"/>
    <w:rsid w:val="0016041C"/>
    <w:rsid w:val="00163B27"/>
    <w:rsid w:val="00165317"/>
    <w:rsid w:val="00171BAD"/>
    <w:rsid w:val="00172B84"/>
    <w:rsid w:val="001756A1"/>
    <w:rsid w:val="001761EE"/>
    <w:rsid w:val="00176EAA"/>
    <w:rsid w:val="0017725A"/>
    <w:rsid w:val="00177C4B"/>
    <w:rsid w:val="0018319B"/>
    <w:rsid w:val="0018325A"/>
    <w:rsid w:val="00186199"/>
    <w:rsid w:val="0018734E"/>
    <w:rsid w:val="001928F7"/>
    <w:rsid w:val="00194537"/>
    <w:rsid w:val="00194F40"/>
    <w:rsid w:val="00195262"/>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5051"/>
    <w:rsid w:val="002273CA"/>
    <w:rsid w:val="00233B7F"/>
    <w:rsid w:val="002347A7"/>
    <w:rsid w:val="002359EB"/>
    <w:rsid w:val="002363AB"/>
    <w:rsid w:val="0024203E"/>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000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D31BB"/>
    <w:rsid w:val="002D32E3"/>
    <w:rsid w:val="002E0FEB"/>
    <w:rsid w:val="002E6899"/>
    <w:rsid w:val="002E7AB7"/>
    <w:rsid w:val="002F0F79"/>
    <w:rsid w:val="002F158F"/>
    <w:rsid w:val="002F2234"/>
    <w:rsid w:val="002F2713"/>
    <w:rsid w:val="002F280E"/>
    <w:rsid w:val="002F3709"/>
    <w:rsid w:val="002F3A6C"/>
    <w:rsid w:val="002F4296"/>
    <w:rsid w:val="002F74FC"/>
    <w:rsid w:val="00300951"/>
    <w:rsid w:val="00302CA8"/>
    <w:rsid w:val="00302DE9"/>
    <w:rsid w:val="00304106"/>
    <w:rsid w:val="00304E5A"/>
    <w:rsid w:val="00304E97"/>
    <w:rsid w:val="00305084"/>
    <w:rsid w:val="0031104D"/>
    <w:rsid w:val="00311094"/>
    <w:rsid w:val="0031598C"/>
    <w:rsid w:val="00316339"/>
    <w:rsid w:val="003204E9"/>
    <w:rsid w:val="00321E8C"/>
    <w:rsid w:val="00322A5E"/>
    <w:rsid w:val="00322A86"/>
    <w:rsid w:val="00323AE8"/>
    <w:rsid w:val="00324548"/>
    <w:rsid w:val="003251F4"/>
    <w:rsid w:val="003303E3"/>
    <w:rsid w:val="003329EA"/>
    <w:rsid w:val="003371D0"/>
    <w:rsid w:val="003376D5"/>
    <w:rsid w:val="003407A5"/>
    <w:rsid w:val="00341188"/>
    <w:rsid w:val="0034147B"/>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80D36"/>
    <w:rsid w:val="00380FB5"/>
    <w:rsid w:val="003822D3"/>
    <w:rsid w:val="00386630"/>
    <w:rsid w:val="00390B25"/>
    <w:rsid w:val="00395BC9"/>
    <w:rsid w:val="00396E32"/>
    <w:rsid w:val="00397156"/>
    <w:rsid w:val="00397616"/>
    <w:rsid w:val="00397960"/>
    <w:rsid w:val="003A080A"/>
    <w:rsid w:val="003A30B8"/>
    <w:rsid w:val="003A3BC4"/>
    <w:rsid w:val="003A458A"/>
    <w:rsid w:val="003B2F13"/>
    <w:rsid w:val="003B405E"/>
    <w:rsid w:val="003B57D3"/>
    <w:rsid w:val="003C1F58"/>
    <w:rsid w:val="003C6BB7"/>
    <w:rsid w:val="003C792F"/>
    <w:rsid w:val="003D0053"/>
    <w:rsid w:val="003D124B"/>
    <w:rsid w:val="003D18F3"/>
    <w:rsid w:val="003D70D1"/>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C10"/>
    <w:rsid w:val="00420007"/>
    <w:rsid w:val="00424EF3"/>
    <w:rsid w:val="004261BD"/>
    <w:rsid w:val="004268BB"/>
    <w:rsid w:val="00431047"/>
    <w:rsid w:val="00431B86"/>
    <w:rsid w:val="004339D9"/>
    <w:rsid w:val="004408EC"/>
    <w:rsid w:val="00441E6A"/>
    <w:rsid w:val="00443C8F"/>
    <w:rsid w:val="004504E6"/>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4C65"/>
    <w:rsid w:val="004958BE"/>
    <w:rsid w:val="00495A03"/>
    <w:rsid w:val="0049659A"/>
    <w:rsid w:val="004966FE"/>
    <w:rsid w:val="00497079"/>
    <w:rsid w:val="004A1493"/>
    <w:rsid w:val="004A1BBA"/>
    <w:rsid w:val="004A3039"/>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3971"/>
    <w:rsid w:val="004D3D96"/>
    <w:rsid w:val="004D650F"/>
    <w:rsid w:val="004E2133"/>
    <w:rsid w:val="004E60FB"/>
    <w:rsid w:val="004F16AD"/>
    <w:rsid w:val="004F6565"/>
    <w:rsid w:val="004F779C"/>
    <w:rsid w:val="004F7846"/>
    <w:rsid w:val="005000D4"/>
    <w:rsid w:val="00501BB1"/>
    <w:rsid w:val="00505BE7"/>
    <w:rsid w:val="00506786"/>
    <w:rsid w:val="00506D57"/>
    <w:rsid w:val="00507F26"/>
    <w:rsid w:val="00510CAF"/>
    <w:rsid w:val="005128C5"/>
    <w:rsid w:val="0051478B"/>
    <w:rsid w:val="0051566A"/>
    <w:rsid w:val="00515D7B"/>
    <w:rsid w:val="005166E9"/>
    <w:rsid w:val="0051686F"/>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B0E"/>
    <w:rsid w:val="005C453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14E07"/>
    <w:rsid w:val="0062145B"/>
    <w:rsid w:val="00623556"/>
    <w:rsid w:val="0062386E"/>
    <w:rsid w:val="00623F01"/>
    <w:rsid w:val="00624407"/>
    <w:rsid w:val="00626E2D"/>
    <w:rsid w:val="00627D94"/>
    <w:rsid w:val="00630B42"/>
    <w:rsid w:val="0063181A"/>
    <w:rsid w:val="00637258"/>
    <w:rsid w:val="00640A34"/>
    <w:rsid w:val="00642072"/>
    <w:rsid w:val="006440ED"/>
    <w:rsid w:val="00645293"/>
    <w:rsid w:val="00646237"/>
    <w:rsid w:val="00651B78"/>
    <w:rsid w:val="00652263"/>
    <w:rsid w:val="00652881"/>
    <w:rsid w:val="0065601A"/>
    <w:rsid w:val="00656776"/>
    <w:rsid w:val="00661974"/>
    <w:rsid w:val="00662D4B"/>
    <w:rsid w:val="00664551"/>
    <w:rsid w:val="00664F49"/>
    <w:rsid w:val="006658FA"/>
    <w:rsid w:val="00666066"/>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B02DA"/>
    <w:rsid w:val="006B077E"/>
    <w:rsid w:val="006B1FD1"/>
    <w:rsid w:val="006B2065"/>
    <w:rsid w:val="006B2F2B"/>
    <w:rsid w:val="006B3940"/>
    <w:rsid w:val="006B47D1"/>
    <w:rsid w:val="006C0411"/>
    <w:rsid w:val="006C124D"/>
    <w:rsid w:val="006C168D"/>
    <w:rsid w:val="006C1D52"/>
    <w:rsid w:val="006C4E16"/>
    <w:rsid w:val="006C55C8"/>
    <w:rsid w:val="006C5E36"/>
    <w:rsid w:val="006C642C"/>
    <w:rsid w:val="006C6FC6"/>
    <w:rsid w:val="006D00D5"/>
    <w:rsid w:val="006E34B7"/>
    <w:rsid w:val="006F4CD8"/>
    <w:rsid w:val="00700B57"/>
    <w:rsid w:val="00701F44"/>
    <w:rsid w:val="00703E8A"/>
    <w:rsid w:val="00706F31"/>
    <w:rsid w:val="00710335"/>
    <w:rsid w:val="00711522"/>
    <w:rsid w:val="007124FE"/>
    <w:rsid w:val="00713186"/>
    <w:rsid w:val="00713757"/>
    <w:rsid w:val="00717772"/>
    <w:rsid w:val="00721AF1"/>
    <w:rsid w:val="0072280F"/>
    <w:rsid w:val="00722B5E"/>
    <w:rsid w:val="0072708F"/>
    <w:rsid w:val="00730500"/>
    <w:rsid w:val="00732D1D"/>
    <w:rsid w:val="00736034"/>
    <w:rsid w:val="00736479"/>
    <w:rsid w:val="0073681C"/>
    <w:rsid w:val="00741EBE"/>
    <w:rsid w:val="00746130"/>
    <w:rsid w:val="00746A40"/>
    <w:rsid w:val="00750358"/>
    <w:rsid w:val="007513AC"/>
    <w:rsid w:val="00751763"/>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4E90"/>
    <w:rsid w:val="008174D4"/>
    <w:rsid w:val="00820FE6"/>
    <w:rsid w:val="00821A66"/>
    <w:rsid w:val="00822476"/>
    <w:rsid w:val="00822882"/>
    <w:rsid w:val="00825F68"/>
    <w:rsid w:val="00826B12"/>
    <w:rsid w:val="008277FF"/>
    <w:rsid w:val="00835408"/>
    <w:rsid w:val="00837CEF"/>
    <w:rsid w:val="00840035"/>
    <w:rsid w:val="008428A9"/>
    <w:rsid w:val="00844112"/>
    <w:rsid w:val="00844929"/>
    <w:rsid w:val="00845292"/>
    <w:rsid w:val="008456C9"/>
    <w:rsid w:val="0084611D"/>
    <w:rsid w:val="00850C62"/>
    <w:rsid w:val="00852E6D"/>
    <w:rsid w:val="00861D07"/>
    <w:rsid w:val="008620ED"/>
    <w:rsid w:val="00863011"/>
    <w:rsid w:val="00865075"/>
    <w:rsid w:val="008673EE"/>
    <w:rsid w:val="0086748F"/>
    <w:rsid w:val="008712A3"/>
    <w:rsid w:val="00872CE4"/>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EAD"/>
    <w:rsid w:val="008B3C5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937"/>
    <w:rsid w:val="009309DA"/>
    <w:rsid w:val="0093260B"/>
    <w:rsid w:val="00936688"/>
    <w:rsid w:val="00936891"/>
    <w:rsid w:val="00937CFA"/>
    <w:rsid w:val="009406B3"/>
    <w:rsid w:val="009438F6"/>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779FD"/>
    <w:rsid w:val="00981963"/>
    <w:rsid w:val="00982AC4"/>
    <w:rsid w:val="00983C82"/>
    <w:rsid w:val="00984520"/>
    <w:rsid w:val="0098545C"/>
    <w:rsid w:val="00985BF7"/>
    <w:rsid w:val="00990071"/>
    <w:rsid w:val="00991EA9"/>
    <w:rsid w:val="00992BA2"/>
    <w:rsid w:val="00992F83"/>
    <w:rsid w:val="0099508A"/>
    <w:rsid w:val="009974EB"/>
    <w:rsid w:val="009A1126"/>
    <w:rsid w:val="009A5E42"/>
    <w:rsid w:val="009A781F"/>
    <w:rsid w:val="009B1584"/>
    <w:rsid w:val="009B21CA"/>
    <w:rsid w:val="009B2235"/>
    <w:rsid w:val="009B2648"/>
    <w:rsid w:val="009C03E5"/>
    <w:rsid w:val="009C3730"/>
    <w:rsid w:val="009C37BD"/>
    <w:rsid w:val="009C3AAC"/>
    <w:rsid w:val="009C3D84"/>
    <w:rsid w:val="009C4D19"/>
    <w:rsid w:val="009C5134"/>
    <w:rsid w:val="009C5FDB"/>
    <w:rsid w:val="009C693E"/>
    <w:rsid w:val="009C70CB"/>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E705F"/>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398F"/>
    <w:rsid w:val="00A35B79"/>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BC1"/>
    <w:rsid w:val="00AC588F"/>
    <w:rsid w:val="00AC5E4B"/>
    <w:rsid w:val="00AD04BD"/>
    <w:rsid w:val="00AD1A03"/>
    <w:rsid w:val="00AD7214"/>
    <w:rsid w:val="00AE1066"/>
    <w:rsid w:val="00AE19D8"/>
    <w:rsid w:val="00AE4518"/>
    <w:rsid w:val="00AE5D7F"/>
    <w:rsid w:val="00AE79F0"/>
    <w:rsid w:val="00AE7D44"/>
    <w:rsid w:val="00AF4FE7"/>
    <w:rsid w:val="00AF6EC1"/>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561A"/>
    <w:rsid w:val="00B25A64"/>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A5FB8"/>
    <w:rsid w:val="00BB1EB3"/>
    <w:rsid w:val="00BB2678"/>
    <w:rsid w:val="00BB531E"/>
    <w:rsid w:val="00BB5F3D"/>
    <w:rsid w:val="00BC2343"/>
    <w:rsid w:val="00BC76D5"/>
    <w:rsid w:val="00BD18B8"/>
    <w:rsid w:val="00BD30C8"/>
    <w:rsid w:val="00BD3EB4"/>
    <w:rsid w:val="00BD5C65"/>
    <w:rsid w:val="00BE01CA"/>
    <w:rsid w:val="00BE4973"/>
    <w:rsid w:val="00BE6018"/>
    <w:rsid w:val="00BF1DD5"/>
    <w:rsid w:val="00BF1F57"/>
    <w:rsid w:val="00BF3EA0"/>
    <w:rsid w:val="00BF4086"/>
    <w:rsid w:val="00BF426C"/>
    <w:rsid w:val="00BF460D"/>
    <w:rsid w:val="00BF58D0"/>
    <w:rsid w:val="00BF7D6A"/>
    <w:rsid w:val="00C013E1"/>
    <w:rsid w:val="00C01611"/>
    <w:rsid w:val="00C01C01"/>
    <w:rsid w:val="00C027C8"/>
    <w:rsid w:val="00C02C6D"/>
    <w:rsid w:val="00C02D59"/>
    <w:rsid w:val="00C030B6"/>
    <w:rsid w:val="00C03284"/>
    <w:rsid w:val="00C04855"/>
    <w:rsid w:val="00C050D7"/>
    <w:rsid w:val="00C05B5F"/>
    <w:rsid w:val="00C0667A"/>
    <w:rsid w:val="00C07BF8"/>
    <w:rsid w:val="00C104CC"/>
    <w:rsid w:val="00C130C1"/>
    <w:rsid w:val="00C14142"/>
    <w:rsid w:val="00C152FE"/>
    <w:rsid w:val="00C16739"/>
    <w:rsid w:val="00C22CCE"/>
    <w:rsid w:val="00C23BA2"/>
    <w:rsid w:val="00C25D0C"/>
    <w:rsid w:val="00C32AF2"/>
    <w:rsid w:val="00C33204"/>
    <w:rsid w:val="00C338EB"/>
    <w:rsid w:val="00C33E2E"/>
    <w:rsid w:val="00C3465D"/>
    <w:rsid w:val="00C3494D"/>
    <w:rsid w:val="00C379E9"/>
    <w:rsid w:val="00C37E98"/>
    <w:rsid w:val="00C42431"/>
    <w:rsid w:val="00C439FB"/>
    <w:rsid w:val="00C43F23"/>
    <w:rsid w:val="00C4675D"/>
    <w:rsid w:val="00C50011"/>
    <w:rsid w:val="00C503D3"/>
    <w:rsid w:val="00C51C6A"/>
    <w:rsid w:val="00C62509"/>
    <w:rsid w:val="00C645E6"/>
    <w:rsid w:val="00C64D82"/>
    <w:rsid w:val="00C64FBC"/>
    <w:rsid w:val="00C65A83"/>
    <w:rsid w:val="00C67DCB"/>
    <w:rsid w:val="00C736BB"/>
    <w:rsid w:val="00C737E8"/>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977"/>
    <w:rsid w:val="00CA5927"/>
    <w:rsid w:val="00CA79EC"/>
    <w:rsid w:val="00CB39C2"/>
    <w:rsid w:val="00CB44DE"/>
    <w:rsid w:val="00CB4C8C"/>
    <w:rsid w:val="00CB6782"/>
    <w:rsid w:val="00CB7629"/>
    <w:rsid w:val="00CC00EC"/>
    <w:rsid w:val="00CC080A"/>
    <w:rsid w:val="00CC3C04"/>
    <w:rsid w:val="00CC4396"/>
    <w:rsid w:val="00CD25DA"/>
    <w:rsid w:val="00CE3C13"/>
    <w:rsid w:val="00CE4499"/>
    <w:rsid w:val="00CE45E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10E8"/>
    <w:rsid w:val="00D33751"/>
    <w:rsid w:val="00D36F6E"/>
    <w:rsid w:val="00D37343"/>
    <w:rsid w:val="00D4205E"/>
    <w:rsid w:val="00D565EC"/>
    <w:rsid w:val="00D61982"/>
    <w:rsid w:val="00D6226F"/>
    <w:rsid w:val="00D6267A"/>
    <w:rsid w:val="00D674CF"/>
    <w:rsid w:val="00D678DF"/>
    <w:rsid w:val="00D678E4"/>
    <w:rsid w:val="00D67D12"/>
    <w:rsid w:val="00D70923"/>
    <w:rsid w:val="00D74F09"/>
    <w:rsid w:val="00D754C0"/>
    <w:rsid w:val="00D75673"/>
    <w:rsid w:val="00D7585A"/>
    <w:rsid w:val="00D80618"/>
    <w:rsid w:val="00D82494"/>
    <w:rsid w:val="00D84A4B"/>
    <w:rsid w:val="00D85E13"/>
    <w:rsid w:val="00D8669F"/>
    <w:rsid w:val="00D92168"/>
    <w:rsid w:val="00D940B5"/>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054E"/>
    <w:rsid w:val="00DD2809"/>
    <w:rsid w:val="00DD7EA2"/>
    <w:rsid w:val="00DE00F2"/>
    <w:rsid w:val="00DE07B4"/>
    <w:rsid w:val="00DE117F"/>
    <w:rsid w:val="00DE279B"/>
    <w:rsid w:val="00DE2B64"/>
    <w:rsid w:val="00DE3C5A"/>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1D48"/>
    <w:rsid w:val="00E22D28"/>
    <w:rsid w:val="00E230E3"/>
    <w:rsid w:val="00E27344"/>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50C2"/>
    <w:rsid w:val="00E76B86"/>
    <w:rsid w:val="00E81AFF"/>
    <w:rsid w:val="00E8342F"/>
    <w:rsid w:val="00E847A7"/>
    <w:rsid w:val="00E87C2F"/>
    <w:rsid w:val="00E906B4"/>
    <w:rsid w:val="00E9095B"/>
    <w:rsid w:val="00E90CF1"/>
    <w:rsid w:val="00E9399B"/>
    <w:rsid w:val="00E94008"/>
    <w:rsid w:val="00E94762"/>
    <w:rsid w:val="00E963FD"/>
    <w:rsid w:val="00E96B52"/>
    <w:rsid w:val="00EA2244"/>
    <w:rsid w:val="00EA411E"/>
    <w:rsid w:val="00EA5FC0"/>
    <w:rsid w:val="00EA6FA7"/>
    <w:rsid w:val="00EB067F"/>
    <w:rsid w:val="00EB1F02"/>
    <w:rsid w:val="00EB51FD"/>
    <w:rsid w:val="00EB5BC5"/>
    <w:rsid w:val="00EB72C1"/>
    <w:rsid w:val="00EC086C"/>
    <w:rsid w:val="00EC42D0"/>
    <w:rsid w:val="00EC4BA3"/>
    <w:rsid w:val="00EC5CE6"/>
    <w:rsid w:val="00EC638F"/>
    <w:rsid w:val="00EE1749"/>
    <w:rsid w:val="00EE2ACE"/>
    <w:rsid w:val="00EE4874"/>
    <w:rsid w:val="00EE79A6"/>
    <w:rsid w:val="00EE7FB4"/>
    <w:rsid w:val="00EF0D26"/>
    <w:rsid w:val="00EF0D86"/>
    <w:rsid w:val="00EF22FE"/>
    <w:rsid w:val="00EF4716"/>
    <w:rsid w:val="00EF5580"/>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82E6B"/>
    <w:rsid w:val="00F951CF"/>
    <w:rsid w:val="00F97B71"/>
    <w:rsid w:val="00FA1925"/>
    <w:rsid w:val="00FA2DDA"/>
    <w:rsid w:val="00FA3195"/>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2289"/>
    <o:shapelayout v:ext="edit">
      <o:idmap v:ext="edit" data="1"/>
    </o:shapelayout>
  </w:shapeDefaults>
  <w:decimalSymbol w:val="."/>
  <w:listSeparator w:val=","/>
  <w15:docId w15:val="{7033F5BC-5832-4772-BD96-87110A55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 w:type="character" w:customStyle="1" w:styleId="t1">
    <w:name w:val="t1"/>
    <w:rsid w:val="002E7AB7"/>
    <w:rPr>
      <w:color w:val="99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907810778">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10230114">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Template>
  <TotalTime>139</TotalTime>
  <Pages>15</Pages>
  <Words>1207</Words>
  <Characters>6886</Characters>
  <Application>Microsoft Office Word</Application>
  <DocSecurity>0</DocSecurity>
  <Lines>57</Lines>
  <Paragraphs>16</Paragraphs>
  <ScaleCrop>false</ScaleCrop>
  <Company>TRT. Ltd. Co.</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Trowa.Ding@FA</cp:lastModifiedBy>
  <cp:revision>47</cp:revision>
  <cp:lastPrinted>2007-07-19T00:46:00Z</cp:lastPrinted>
  <dcterms:created xsi:type="dcterms:W3CDTF">2014-12-16T02:40:00Z</dcterms:created>
  <dcterms:modified xsi:type="dcterms:W3CDTF">2024-01-19T05:55:00Z</dcterms:modified>
</cp:coreProperties>
</file>