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摩根恒生科技交易型开放式指数证券投资基金发起式联接基金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1</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3</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基金托管人：中国工商银行股份有限公司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8"/>
          <w:footerReference w:type="default" r:id="rId9"/>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二〇二四年四月二十二日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3</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p w:rsidR="000364FB" w:rsidRPr="000364FB" w:rsidRDefault="000364FB" w:rsidP="000364FB">
      <w:pPr>
        <w:pStyle w:val="2"/>
        <w:keepNext w:val="0"/>
        <w:keepLines w:val="0"/>
        <w:spacing w:before="0" w:after="0"/>
        <w:rPr>
          <w:rFonts w:asciiTheme="minorEastAsia" w:eastAsiaTheme="minorEastAsia" w:hAnsiTheme="minorEastAsia"/>
          <w:color w:val="000000" w:themeColor="text1"/>
          <w:szCs w:val="24"/>
        </w:rPr>
      </w:pPr>
      <w:bookmarkStart w:id="0" w:name="_Toc245193810"/>
      <w:r w:rsidRPr="0077262D">
        <w:rPr>
          <w:rFonts w:asciiTheme="minorEastAsia" w:eastAsiaTheme="minorEastAsia" w:hAnsiTheme="minorEastAsia" w:hint="eastAsia"/>
          <w:color w:val="000000" w:themeColor="text1"/>
          <w:szCs w:val="24"/>
        </w:rPr>
        <w:t>2.1基金产品概况</w:t>
      </w:r>
      <w:bookmarkEnd w:id="0"/>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摩根恒生科技</w:t>
            </w:r>
            <w:r w:rsidRPr="00A3398F">
              <w:rPr>
                <w:rFonts w:eastAsiaTheme="minorEastAsia"/>
                <w:color w:val="000000" w:themeColor="text1"/>
                <w:kern w:val="0"/>
                <w:szCs w:val="21"/>
              </w:rPr>
              <w:t>ETF</w:t>
            </w:r>
            <w:r w:rsidRPr="00A3398F">
              <w:rPr>
                <w:rFonts w:eastAsiaTheme="minorEastAsia"/>
                <w:color w:val="000000" w:themeColor="text1"/>
                <w:kern w:val="0"/>
                <w:szCs w:val="21"/>
              </w:rPr>
              <w:t>发起式联接</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018577</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018577</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18</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35,761,423.02</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通过对目标</w:t>
            </w:r>
            <w:r w:rsidRPr="00A3398F">
              <w:rPr>
                <w:rFonts w:eastAsiaTheme="minorEastAsia"/>
                <w:color w:val="000000" w:themeColor="text1"/>
                <w:kern w:val="0"/>
                <w:szCs w:val="21"/>
              </w:rPr>
              <w:t>ETF</w:t>
            </w:r>
            <w:r w:rsidRPr="00A3398F">
              <w:rPr>
                <w:rFonts w:eastAsiaTheme="minorEastAsia"/>
                <w:color w:val="000000" w:themeColor="text1"/>
                <w:kern w:val="0"/>
                <w:szCs w:val="21"/>
              </w:rPr>
              <w:t>基金份额的投资，追求跟踪标的指数，获得与指数收益相似的回报。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691119" w:rsidRDefault="003C635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lastRenderedPageBreak/>
              <w:t>如因标的指数编制规则调整或其他因素导致跟踪误差超过上述范围，基金管理人应采取合理措施避免跟踪误差进一步扩大。</w:t>
            </w:r>
          </w:p>
          <w:p w:rsidR="00691119" w:rsidRDefault="003C635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rsidR="00691119" w:rsidRDefault="003C635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rsidR="00691119" w:rsidRDefault="003C635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rsidR="00691119" w:rsidRDefault="003C635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ETF</w:t>
            </w:r>
            <w:r>
              <w:rPr>
                <w:rFonts w:eastAsiaTheme="minorEastAsia"/>
                <w:color w:val="000000" w:themeColor="text1"/>
                <w:kern w:val="0"/>
                <w:szCs w:val="21"/>
              </w:rPr>
              <w:t>份额，以进行基金建仓。</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其他投资策略包括股票投资策略、港股通标的股票投资策略、金融衍生品投资策略、债券投资策略、可转换债券和可交换债券投资策略、资产支持证券投资策略、存托凭证投资策略、证券公司短期公司债券投资策略、融资及转融通证券出借策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经估值汇率调整的恒生科技指数收益率</w:t>
            </w:r>
            <w:r w:rsidRPr="00A3398F">
              <w:rPr>
                <w:rFonts w:eastAsiaTheme="minorEastAsia"/>
                <w:color w:val="000000" w:themeColor="text1"/>
                <w:kern w:val="0"/>
                <w:szCs w:val="21"/>
              </w:rPr>
              <w:t>×95%</w:t>
            </w:r>
            <w:r w:rsidRPr="00A3398F">
              <w:rPr>
                <w:rFonts w:eastAsiaTheme="minorEastAsia"/>
                <w:color w:val="000000" w:themeColor="text1"/>
                <w:kern w:val="0"/>
                <w:szCs w:val="21"/>
              </w:rPr>
              <w:t>＋活期存款利率（税后）</w:t>
            </w:r>
            <w:r w:rsidRPr="00A3398F">
              <w:rPr>
                <w:rFonts w:eastAsiaTheme="minorEastAsia"/>
                <w:color w:val="000000" w:themeColor="text1"/>
                <w:kern w:val="0"/>
                <w:szCs w:val="21"/>
              </w:rPr>
              <w:t>×5%</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91119" w:rsidRDefault="003C635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w:t>
            </w:r>
            <w:r>
              <w:rPr>
                <w:rFonts w:eastAsiaTheme="minorEastAsia"/>
                <w:color w:val="000000" w:themeColor="text1"/>
                <w:kern w:val="0"/>
                <w:szCs w:val="21"/>
              </w:rPr>
              <w:t>ETF</w:t>
            </w:r>
            <w:r>
              <w:rPr>
                <w:rFonts w:eastAsiaTheme="minorEastAsia"/>
                <w:color w:val="000000" w:themeColor="text1"/>
                <w:kern w:val="0"/>
                <w:szCs w:val="21"/>
              </w:rPr>
              <w:t>联接基金，具有与目标</w:t>
            </w:r>
            <w:r>
              <w:rPr>
                <w:rFonts w:eastAsiaTheme="minorEastAsia"/>
                <w:color w:val="000000" w:themeColor="text1"/>
                <w:kern w:val="0"/>
                <w:szCs w:val="21"/>
              </w:rPr>
              <w:t>ETF</w:t>
            </w:r>
            <w:r>
              <w:rPr>
                <w:rFonts w:eastAsiaTheme="minorEastAsia"/>
                <w:color w:val="000000" w:themeColor="text1"/>
                <w:kern w:val="0"/>
                <w:szCs w:val="21"/>
              </w:rPr>
              <w:t>相似的风险收益特征。目标</w:t>
            </w:r>
            <w:r>
              <w:rPr>
                <w:rFonts w:eastAsiaTheme="minorEastAsia"/>
                <w:color w:val="000000" w:themeColor="text1"/>
                <w:kern w:val="0"/>
                <w:szCs w:val="21"/>
              </w:rPr>
              <w:t>ETF</w:t>
            </w:r>
            <w:r>
              <w:rPr>
                <w:rFonts w:eastAsiaTheme="minorEastAsia"/>
                <w:color w:val="000000" w:themeColor="text1"/>
                <w:kern w:val="0"/>
                <w:szCs w:val="21"/>
              </w:rPr>
              <w:t>为股票型指数基金，因此本基金的预期风险和预期收益高于货币市场基金、债券型基金和混合型</w:t>
            </w:r>
            <w:r>
              <w:rPr>
                <w:rFonts w:eastAsiaTheme="minorEastAsia"/>
                <w:color w:val="000000" w:themeColor="text1"/>
                <w:kern w:val="0"/>
                <w:szCs w:val="21"/>
              </w:rPr>
              <w:lastRenderedPageBreak/>
              <w:t>基金，且具有与标的指数以及标的指数所代表的股票市场相似的风险收益特征。</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本基金可投资于境外证券，除了需要承担与境内证券投资基金类似的市场波动风险等一般投资风险之外，本基金还面临汇率风险等境外证券市场投资所面临的特别投资风险。</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中国工商银行股份有限公司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018577</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018578</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4,663,237.11</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31,098,185.91</w:t>
            </w:r>
            <w:r w:rsidRPr="00A3398F">
              <w:rPr>
                <w:rFonts w:eastAsiaTheme="minorEastAsia"/>
                <w:color w:val="000000" w:themeColor="text1"/>
                <w:kern w:val="0"/>
                <w:szCs w:val="21"/>
              </w:rPr>
              <w:t>份</w:t>
            </w:r>
          </w:p>
        </w:tc>
      </w:tr>
    </w:tbl>
    <w:p w:rsidR="000364FB" w:rsidRDefault="000364FB" w:rsidP="000364FB">
      <w:pPr>
        <w:pStyle w:val="2"/>
        <w:keepNext w:val="0"/>
        <w:keepLines w:val="0"/>
        <w:spacing w:before="0" w:after="0"/>
        <w:rPr>
          <w:rFonts w:asciiTheme="minorEastAsia" w:eastAsiaTheme="minorEastAsia" w:hAnsiTheme="minorEastAsia"/>
          <w:color w:val="000000" w:themeColor="text1"/>
          <w:szCs w:val="24"/>
        </w:rPr>
      </w:pPr>
      <w:r w:rsidRPr="0077262D">
        <w:rPr>
          <w:rFonts w:asciiTheme="minorEastAsia" w:eastAsiaTheme="minorEastAsia" w:hAnsiTheme="minorEastAsia" w:hint="eastAsia"/>
          <w:color w:val="000000" w:themeColor="text1"/>
          <w:szCs w:val="24"/>
        </w:rPr>
        <w:t>2.1.1目标基金基本情况</w:t>
      </w:r>
    </w:p>
    <w:tbl>
      <w:tblPr>
        <w:tblW w:w="8460" w:type="dxa"/>
        <w:tblInd w:w="108" w:type="dxa"/>
        <w:tblLayout w:type="fixed"/>
        <w:tblLook w:val="0000" w:firstRow="0" w:lastRow="0" w:firstColumn="0" w:lastColumn="0" w:noHBand="0" w:noVBand="0"/>
      </w:tblPr>
      <w:tblGrid>
        <w:gridCol w:w="2724"/>
        <w:gridCol w:w="5736"/>
      </w:tblGrid>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olor w:val="000000" w:themeColor="text1"/>
                <w:szCs w:val="21"/>
              </w:rPr>
            </w:pPr>
            <w:r w:rsidRPr="00DE3C5A">
              <w:rPr>
                <w:rFonts w:asciiTheme="minorEastAsia" w:eastAsiaTheme="minorEastAsia" w:hAnsiTheme="minorEastAsia" w:hint="eastAsia"/>
                <w:color w:val="000000" w:themeColor="text1"/>
                <w:szCs w:val="21"/>
              </w:rPr>
              <w:t>摩根恒生科技交易型开放式指数证券投资基金(QDII)</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513890</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交易型开放式</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2021年12月17日</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上海证券交易所</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2022年1月21日</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摩根基金管理（中国）有限公司</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中国工商银行股份有限公司</w:t>
            </w:r>
          </w:p>
        </w:tc>
      </w:tr>
    </w:tbl>
    <w:p w:rsidR="000364FB" w:rsidRPr="006A0AFD" w:rsidRDefault="000364FB" w:rsidP="000364FB">
      <w:pPr>
        <w:pStyle w:val="a0"/>
        <w:ind w:firstLineChars="0" w:firstLine="0"/>
      </w:pPr>
    </w:p>
    <w:p w:rsidR="000364FB" w:rsidRDefault="000364FB" w:rsidP="000364FB">
      <w:pPr>
        <w:pStyle w:val="2"/>
        <w:keepNext w:val="0"/>
        <w:keepLines w:val="0"/>
        <w:spacing w:before="0" w:after="0"/>
        <w:rPr>
          <w:color w:val="000000" w:themeColor="text1"/>
        </w:rPr>
      </w:pPr>
      <w:r w:rsidRPr="0077262D">
        <w:rPr>
          <w:rFonts w:asciiTheme="minorEastAsia" w:eastAsiaTheme="minorEastAsia" w:hAnsiTheme="minorEastAsia" w:hint="eastAsia"/>
          <w:color w:val="000000" w:themeColor="text1"/>
          <w:szCs w:val="24"/>
        </w:rPr>
        <w:t>2.1.2</w:t>
      </w:r>
      <w:r w:rsidRPr="0077262D">
        <w:rPr>
          <w:color w:val="000000" w:themeColor="text1"/>
        </w:rPr>
        <w:t>目标基金产品</w:t>
      </w:r>
      <w:r w:rsidR="00C027C8" w:rsidRPr="00C027C8">
        <w:rPr>
          <w:rFonts w:hint="eastAsia"/>
          <w:color w:val="000000" w:themeColor="text1"/>
        </w:rPr>
        <w:t>说明</w:t>
      </w:r>
    </w:p>
    <w:tbl>
      <w:tblPr>
        <w:tblW w:w="8460" w:type="dxa"/>
        <w:tblInd w:w="108" w:type="dxa"/>
        <w:tblLook w:val="0000" w:firstRow="0" w:lastRow="0" w:firstColumn="0" w:lastColumn="0" w:noHBand="0" w:noVBand="0"/>
      </w:tblPr>
      <w:tblGrid>
        <w:gridCol w:w="2820"/>
        <w:gridCol w:w="5640"/>
      </w:tblGrid>
      <w:tr w:rsidR="000364FB" w:rsidRPr="00DE3C5A" w:rsidTr="00982AC4">
        <w:tc>
          <w:tcPr>
            <w:tcW w:w="282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本基金采用被动指数化投资，紧密跟踪标的指数，追求跟踪偏离度和跟踪误差最小化。</w:t>
            </w:r>
          </w:p>
        </w:tc>
      </w:tr>
      <w:tr w:rsidR="000364FB" w:rsidRPr="00DE3C5A" w:rsidTr="00982AC4">
        <w:tc>
          <w:tcPr>
            <w:tcW w:w="282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本基金采用完全复制法，按照成份股在标的指数中的基准权重构建股票资产组合，并配合使用其他合理的投资方法作为完全复制法的补充，构建本基金实际的投资组合，以追求尽</w:t>
            </w:r>
            <w:r w:rsidRPr="00DE3C5A">
              <w:rPr>
                <w:rFonts w:asciiTheme="minorEastAsia" w:eastAsiaTheme="minorEastAsia" w:hAnsiTheme="minorEastAsia" w:hint="eastAsia"/>
                <w:color w:val="000000" w:themeColor="text1"/>
                <w:szCs w:val="21"/>
              </w:rPr>
              <w:lastRenderedPageBreak/>
              <w:t>可能贴近标的指数的表现，有效控制跟踪误差。</w:t>
            </w:r>
          </w:p>
        </w:tc>
      </w:tr>
      <w:tr w:rsidR="000364FB" w:rsidRPr="00DE3C5A" w:rsidTr="00982AC4">
        <w:tc>
          <w:tcPr>
            <w:tcW w:w="282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lastRenderedPageBreak/>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本基金的业绩比较基准为经估值汇率调整的恒生科技指数（HSTECH）收益率。本基金标的指数变更的，相应更换基金名称和业绩比较基准，并在履行适当程序后及时公告。</w:t>
            </w:r>
          </w:p>
        </w:tc>
      </w:tr>
      <w:tr w:rsidR="000364FB" w:rsidRPr="00DE3C5A" w:rsidTr="00982AC4">
        <w:tc>
          <w:tcPr>
            <w:tcW w:w="282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本基金属于股票基金，预期风险和收益水平高于混合基金、债券基金和货币市场基金。同时，本基金为指数基金，主要采用完全复制法跟踪标的指数表现，具有与标的指数相似的风险收益特征。 本基金可投资于境外证券，除了需要承担与境内证券投资基金类似的市场波动风险等一般投资风险之外，本基金还面临汇率风险等境外证券市场投资所面临的特别投资风险。</w:t>
            </w:r>
          </w:p>
        </w:tc>
      </w:tr>
    </w:tbl>
    <w:p w:rsidR="000364FB" w:rsidRPr="000364FB" w:rsidRDefault="000364FB" w:rsidP="002236BC">
      <w:pPr>
        <w:autoSpaceDE w:val="0"/>
        <w:autoSpaceDN w:val="0"/>
        <w:adjustRightInd w:val="0"/>
        <w:spacing w:line="360" w:lineRule="auto"/>
        <w:jc w:val="left"/>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3</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-71,842.44</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-529,033.08</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-191,664.41</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-2,044,472.86</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-0.0435</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-0.0627</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3,913,312.01</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26,065,638.92</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0.8392</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0.8382</w:t>
            </w:r>
          </w:p>
        </w:tc>
      </w:tr>
    </w:tbl>
    <w:p w:rsidR="00691119" w:rsidRDefault="003C635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lastRenderedPageBreak/>
        <w:t>1</w:t>
      </w:r>
      <w:r w:rsidRPr="00A3398F">
        <w:rPr>
          <w:rFonts w:eastAsiaTheme="minorEastAsia"/>
          <w:b/>
          <w:color w:val="000000" w:themeColor="text1"/>
          <w:szCs w:val="21"/>
        </w:rPr>
        <w:t>、</w:t>
      </w:r>
      <w:r w:rsidRPr="00A3398F">
        <w:rPr>
          <w:rFonts w:eastAsiaTheme="minorEastAsia"/>
          <w:b/>
          <w:color w:val="000000" w:themeColor="text1"/>
          <w:kern w:val="0"/>
          <w:szCs w:val="21"/>
        </w:rPr>
        <w:t>摩根恒生科技</w:t>
      </w:r>
      <w:r w:rsidRPr="00A3398F">
        <w:rPr>
          <w:rFonts w:eastAsiaTheme="minorEastAsia"/>
          <w:b/>
          <w:color w:val="000000" w:themeColor="text1"/>
          <w:kern w:val="0"/>
          <w:szCs w:val="21"/>
        </w:rPr>
        <w:t>ETF</w:t>
      </w:r>
      <w:r w:rsidRPr="00A3398F">
        <w:rPr>
          <w:rFonts w:eastAsiaTheme="minorEastAsia"/>
          <w:b/>
          <w:color w:val="000000" w:themeColor="text1"/>
          <w:kern w:val="0"/>
          <w:szCs w:val="21"/>
        </w:rPr>
        <w:t>发起式联接</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691119">
        <w:tc>
          <w:tcPr>
            <w:tcW w:w="1290" w:type="dxa"/>
            <w:vAlign w:val="center"/>
          </w:tcPr>
          <w:p w:rsidR="00691119" w:rsidRDefault="003C6350">
            <w:pPr>
              <w:jc w:val="left"/>
            </w:pPr>
            <w:r>
              <w:rPr>
                <w:rFonts w:eastAsiaTheme="minorEastAsia"/>
                <w:color w:val="000000" w:themeColor="text1"/>
                <w:szCs w:val="21"/>
              </w:rPr>
              <w:t>过去三个月</w:t>
            </w:r>
          </w:p>
        </w:tc>
        <w:tc>
          <w:tcPr>
            <w:tcW w:w="1291" w:type="dxa"/>
            <w:vAlign w:val="center"/>
          </w:tcPr>
          <w:p w:rsidR="00691119" w:rsidRDefault="003C6350">
            <w:pPr>
              <w:jc w:val="right"/>
            </w:pPr>
            <w:r>
              <w:rPr>
                <w:rFonts w:eastAsiaTheme="minorEastAsia"/>
                <w:color w:val="000000" w:themeColor="text1"/>
                <w:szCs w:val="21"/>
              </w:rPr>
              <w:t>-6.30%</w:t>
            </w:r>
          </w:p>
        </w:tc>
        <w:tc>
          <w:tcPr>
            <w:tcW w:w="1291" w:type="dxa"/>
            <w:vAlign w:val="center"/>
          </w:tcPr>
          <w:p w:rsidR="00691119" w:rsidRDefault="003C6350">
            <w:pPr>
              <w:jc w:val="right"/>
            </w:pPr>
            <w:r>
              <w:rPr>
                <w:rFonts w:eastAsiaTheme="minorEastAsia"/>
                <w:color w:val="000000" w:themeColor="text1"/>
                <w:szCs w:val="21"/>
              </w:rPr>
              <w:t>2.12%</w:t>
            </w:r>
          </w:p>
        </w:tc>
        <w:tc>
          <w:tcPr>
            <w:tcW w:w="1291" w:type="dxa"/>
            <w:vAlign w:val="center"/>
          </w:tcPr>
          <w:p w:rsidR="00691119" w:rsidRDefault="003C6350">
            <w:pPr>
              <w:jc w:val="right"/>
            </w:pPr>
            <w:r>
              <w:rPr>
                <w:rFonts w:eastAsiaTheme="minorEastAsia"/>
                <w:color w:val="000000" w:themeColor="text1"/>
                <w:szCs w:val="21"/>
              </w:rPr>
              <w:t>-7.20%</w:t>
            </w:r>
          </w:p>
        </w:tc>
        <w:tc>
          <w:tcPr>
            <w:tcW w:w="1291" w:type="dxa"/>
            <w:vAlign w:val="center"/>
          </w:tcPr>
          <w:p w:rsidR="00691119" w:rsidRDefault="003C6350">
            <w:pPr>
              <w:jc w:val="right"/>
            </w:pPr>
            <w:r>
              <w:rPr>
                <w:rFonts w:eastAsiaTheme="minorEastAsia"/>
                <w:color w:val="000000" w:themeColor="text1"/>
                <w:szCs w:val="21"/>
              </w:rPr>
              <w:t>2.23%</w:t>
            </w:r>
          </w:p>
        </w:tc>
        <w:tc>
          <w:tcPr>
            <w:tcW w:w="1291" w:type="dxa"/>
            <w:vAlign w:val="center"/>
          </w:tcPr>
          <w:p w:rsidR="00691119" w:rsidRDefault="003C6350">
            <w:pPr>
              <w:jc w:val="right"/>
            </w:pPr>
            <w:r>
              <w:rPr>
                <w:rFonts w:eastAsiaTheme="minorEastAsia"/>
                <w:color w:val="000000" w:themeColor="text1"/>
                <w:szCs w:val="21"/>
              </w:rPr>
              <w:t>0.90%</w:t>
            </w:r>
          </w:p>
        </w:tc>
        <w:tc>
          <w:tcPr>
            <w:tcW w:w="1291" w:type="dxa"/>
            <w:vAlign w:val="center"/>
          </w:tcPr>
          <w:p w:rsidR="00691119" w:rsidRDefault="003C6350">
            <w:pPr>
              <w:jc w:val="right"/>
            </w:pPr>
            <w:r>
              <w:rPr>
                <w:rFonts w:eastAsiaTheme="minorEastAsia"/>
                <w:color w:val="000000" w:themeColor="text1"/>
                <w:szCs w:val="21"/>
              </w:rPr>
              <w:t>-0.11%</w:t>
            </w:r>
          </w:p>
        </w:tc>
      </w:tr>
      <w:tr w:rsidR="00691119">
        <w:tc>
          <w:tcPr>
            <w:tcW w:w="1290" w:type="dxa"/>
            <w:vAlign w:val="center"/>
          </w:tcPr>
          <w:p w:rsidR="00691119" w:rsidRDefault="003C6350">
            <w:pPr>
              <w:jc w:val="left"/>
            </w:pPr>
            <w:r>
              <w:rPr>
                <w:rFonts w:eastAsiaTheme="minorEastAsia"/>
                <w:color w:val="000000" w:themeColor="text1"/>
                <w:szCs w:val="21"/>
              </w:rPr>
              <w:t>过去六个月</w:t>
            </w:r>
          </w:p>
        </w:tc>
        <w:tc>
          <w:tcPr>
            <w:tcW w:w="1291" w:type="dxa"/>
            <w:vAlign w:val="center"/>
          </w:tcPr>
          <w:p w:rsidR="00691119" w:rsidRDefault="003C6350">
            <w:pPr>
              <w:jc w:val="right"/>
            </w:pPr>
            <w:r>
              <w:rPr>
                <w:rFonts w:eastAsiaTheme="minorEastAsia"/>
                <w:color w:val="000000" w:themeColor="text1"/>
                <w:szCs w:val="21"/>
              </w:rPr>
              <w:t>-10.26%</w:t>
            </w:r>
          </w:p>
        </w:tc>
        <w:tc>
          <w:tcPr>
            <w:tcW w:w="1291" w:type="dxa"/>
            <w:vAlign w:val="center"/>
          </w:tcPr>
          <w:p w:rsidR="00691119" w:rsidRDefault="003C6350">
            <w:pPr>
              <w:jc w:val="right"/>
            </w:pPr>
            <w:r>
              <w:rPr>
                <w:rFonts w:eastAsiaTheme="minorEastAsia"/>
                <w:color w:val="000000" w:themeColor="text1"/>
                <w:szCs w:val="21"/>
              </w:rPr>
              <w:t>1.96%</w:t>
            </w:r>
          </w:p>
        </w:tc>
        <w:tc>
          <w:tcPr>
            <w:tcW w:w="1291" w:type="dxa"/>
            <w:vAlign w:val="center"/>
          </w:tcPr>
          <w:p w:rsidR="00691119" w:rsidRDefault="003C6350">
            <w:pPr>
              <w:jc w:val="right"/>
            </w:pPr>
            <w:r>
              <w:rPr>
                <w:rFonts w:eastAsiaTheme="minorEastAsia"/>
                <w:color w:val="000000" w:themeColor="text1"/>
                <w:szCs w:val="21"/>
              </w:rPr>
              <w:t>-11.74%</w:t>
            </w:r>
          </w:p>
        </w:tc>
        <w:tc>
          <w:tcPr>
            <w:tcW w:w="1291" w:type="dxa"/>
            <w:vAlign w:val="center"/>
          </w:tcPr>
          <w:p w:rsidR="00691119" w:rsidRDefault="003C6350">
            <w:pPr>
              <w:jc w:val="right"/>
            </w:pPr>
            <w:r>
              <w:rPr>
                <w:rFonts w:eastAsiaTheme="minorEastAsia"/>
                <w:color w:val="000000" w:themeColor="text1"/>
                <w:szCs w:val="21"/>
              </w:rPr>
              <w:t>2.05%</w:t>
            </w:r>
          </w:p>
        </w:tc>
        <w:tc>
          <w:tcPr>
            <w:tcW w:w="1291" w:type="dxa"/>
            <w:vAlign w:val="center"/>
          </w:tcPr>
          <w:p w:rsidR="00691119" w:rsidRDefault="003C6350">
            <w:pPr>
              <w:jc w:val="right"/>
            </w:pPr>
            <w:r>
              <w:rPr>
                <w:rFonts w:eastAsiaTheme="minorEastAsia"/>
                <w:color w:val="000000" w:themeColor="text1"/>
                <w:szCs w:val="21"/>
              </w:rPr>
              <w:t>1.48%</w:t>
            </w:r>
          </w:p>
        </w:tc>
        <w:tc>
          <w:tcPr>
            <w:tcW w:w="1291" w:type="dxa"/>
            <w:vAlign w:val="center"/>
          </w:tcPr>
          <w:p w:rsidR="00691119" w:rsidRDefault="003C6350">
            <w:pPr>
              <w:jc w:val="right"/>
            </w:pPr>
            <w:r>
              <w:rPr>
                <w:rFonts w:eastAsiaTheme="minorEastAsia"/>
                <w:color w:val="000000" w:themeColor="text1"/>
                <w:szCs w:val="21"/>
              </w:rPr>
              <w:t>-0.09%</w:t>
            </w:r>
          </w:p>
        </w:tc>
      </w:tr>
      <w:tr w:rsidR="00691119">
        <w:tc>
          <w:tcPr>
            <w:tcW w:w="1290" w:type="dxa"/>
            <w:vAlign w:val="center"/>
          </w:tcPr>
          <w:p w:rsidR="00691119" w:rsidRDefault="003C6350">
            <w:pPr>
              <w:jc w:val="left"/>
            </w:pPr>
            <w:r>
              <w:rPr>
                <w:rFonts w:eastAsiaTheme="minorEastAsia"/>
                <w:color w:val="000000" w:themeColor="text1"/>
                <w:szCs w:val="21"/>
              </w:rPr>
              <w:t>过去一年</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r>
      <w:tr w:rsidR="00691119">
        <w:tc>
          <w:tcPr>
            <w:tcW w:w="1290" w:type="dxa"/>
            <w:vAlign w:val="center"/>
          </w:tcPr>
          <w:p w:rsidR="00691119" w:rsidRDefault="003C6350">
            <w:pPr>
              <w:jc w:val="left"/>
            </w:pPr>
            <w:r>
              <w:rPr>
                <w:rFonts w:eastAsiaTheme="minorEastAsia"/>
                <w:color w:val="000000" w:themeColor="text1"/>
                <w:szCs w:val="21"/>
              </w:rPr>
              <w:t>过去三年</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r>
      <w:tr w:rsidR="00691119">
        <w:tc>
          <w:tcPr>
            <w:tcW w:w="1290" w:type="dxa"/>
            <w:vAlign w:val="center"/>
          </w:tcPr>
          <w:p w:rsidR="00691119" w:rsidRDefault="003C6350">
            <w:pPr>
              <w:jc w:val="left"/>
            </w:pPr>
            <w:r>
              <w:rPr>
                <w:rFonts w:eastAsiaTheme="minorEastAsia"/>
                <w:color w:val="000000" w:themeColor="text1"/>
                <w:szCs w:val="21"/>
              </w:rPr>
              <w:t>过去五年</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r>
      <w:tr w:rsidR="00691119">
        <w:tc>
          <w:tcPr>
            <w:tcW w:w="1290" w:type="dxa"/>
            <w:vAlign w:val="center"/>
          </w:tcPr>
          <w:p w:rsidR="00691119" w:rsidRDefault="003C6350">
            <w:pPr>
              <w:jc w:val="left"/>
            </w:pPr>
            <w:r>
              <w:rPr>
                <w:rFonts w:eastAsiaTheme="minorEastAsia"/>
                <w:color w:val="000000" w:themeColor="text1"/>
                <w:szCs w:val="21"/>
              </w:rPr>
              <w:t>自基金合同生效起至今</w:t>
            </w:r>
          </w:p>
        </w:tc>
        <w:tc>
          <w:tcPr>
            <w:tcW w:w="1291" w:type="dxa"/>
            <w:vAlign w:val="center"/>
          </w:tcPr>
          <w:p w:rsidR="00691119" w:rsidRDefault="003C6350">
            <w:pPr>
              <w:jc w:val="right"/>
            </w:pPr>
            <w:r>
              <w:rPr>
                <w:rFonts w:eastAsiaTheme="minorEastAsia"/>
                <w:color w:val="000000" w:themeColor="text1"/>
                <w:szCs w:val="21"/>
              </w:rPr>
              <w:t>-16.08%</w:t>
            </w:r>
          </w:p>
        </w:tc>
        <w:tc>
          <w:tcPr>
            <w:tcW w:w="1291" w:type="dxa"/>
            <w:vAlign w:val="center"/>
          </w:tcPr>
          <w:p w:rsidR="00691119" w:rsidRDefault="003C6350">
            <w:pPr>
              <w:jc w:val="right"/>
            </w:pPr>
            <w:r>
              <w:rPr>
                <w:rFonts w:eastAsiaTheme="minorEastAsia"/>
                <w:color w:val="000000" w:themeColor="text1"/>
                <w:szCs w:val="21"/>
              </w:rPr>
              <w:t>1.87%</w:t>
            </w:r>
          </w:p>
        </w:tc>
        <w:tc>
          <w:tcPr>
            <w:tcW w:w="1291" w:type="dxa"/>
            <w:vAlign w:val="center"/>
          </w:tcPr>
          <w:p w:rsidR="00691119" w:rsidRDefault="003C6350">
            <w:pPr>
              <w:jc w:val="right"/>
            </w:pPr>
            <w:r>
              <w:rPr>
                <w:rFonts w:eastAsiaTheme="minorEastAsia"/>
                <w:color w:val="000000" w:themeColor="text1"/>
                <w:szCs w:val="21"/>
              </w:rPr>
              <w:t>-17.39%</w:t>
            </w:r>
          </w:p>
        </w:tc>
        <w:tc>
          <w:tcPr>
            <w:tcW w:w="1291" w:type="dxa"/>
            <w:vAlign w:val="center"/>
          </w:tcPr>
          <w:p w:rsidR="00691119" w:rsidRDefault="003C6350">
            <w:pPr>
              <w:jc w:val="right"/>
            </w:pPr>
            <w:r>
              <w:rPr>
                <w:rFonts w:eastAsiaTheme="minorEastAsia"/>
                <w:color w:val="000000" w:themeColor="text1"/>
                <w:szCs w:val="21"/>
              </w:rPr>
              <w:t>2.02%</w:t>
            </w:r>
          </w:p>
        </w:tc>
        <w:tc>
          <w:tcPr>
            <w:tcW w:w="1291" w:type="dxa"/>
            <w:vAlign w:val="center"/>
          </w:tcPr>
          <w:p w:rsidR="00691119" w:rsidRDefault="003C6350">
            <w:pPr>
              <w:jc w:val="right"/>
            </w:pPr>
            <w:r>
              <w:rPr>
                <w:rFonts w:eastAsiaTheme="minorEastAsia"/>
                <w:color w:val="000000" w:themeColor="text1"/>
                <w:szCs w:val="21"/>
              </w:rPr>
              <w:t>1.31%</w:t>
            </w:r>
          </w:p>
        </w:tc>
        <w:tc>
          <w:tcPr>
            <w:tcW w:w="1291" w:type="dxa"/>
            <w:vAlign w:val="center"/>
          </w:tcPr>
          <w:p w:rsidR="00691119" w:rsidRDefault="003C6350">
            <w:pPr>
              <w:jc w:val="right"/>
            </w:pPr>
            <w:r>
              <w:rPr>
                <w:rFonts w:eastAsiaTheme="minorEastAsia"/>
                <w:color w:val="000000" w:themeColor="text1"/>
                <w:szCs w:val="21"/>
              </w:rPr>
              <w:t>-0.15%</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摩根恒生科技</w:t>
      </w:r>
      <w:r w:rsidRPr="00A3398F">
        <w:rPr>
          <w:rFonts w:eastAsiaTheme="minorEastAsia"/>
          <w:b/>
          <w:color w:val="000000" w:themeColor="text1"/>
          <w:kern w:val="0"/>
          <w:szCs w:val="21"/>
        </w:rPr>
        <w:t>ETF</w:t>
      </w:r>
      <w:r w:rsidRPr="00A3398F">
        <w:rPr>
          <w:rFonts w:eastAsiaTheme="minorEastAsia"/>
          <w:b/>
          <w:color w:val="000000" w:themeColor="text1"/>
          <w:kern w:val="0"/>
          <w:szCs w:val="21"/>
        </w:rPr>
        <w:t>发起式联接</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691119">
        <w:tc>
          <w:tcPr>
            <w:tcW w:w="1290" w:type="dxa"/>
            <w:vAlign w:val="center"/>
          </w:tcPr>
          <w:p w:rsidR="00691119" w:rsidRDefault="003C6350">
            <w:pPr>
              <w:jc w:val="left"/>
            </w:pPr>
            <w:r>
              <w:rPr>
                <w:rFonts w:eastAsiaTheme="minorEastAsia"/>
                <w:color w:val="000000" w:themeColor="text1"/>
                <w:szCs w:val="21"/>
              </w:rPr>
              <w:t>过去三个月</w:t>
            </w:r>
          </w:p>
        </w:tc>
        <w:tc>
          <w:tcPr>
            <w:tcW w:w="1291" w:type="dxa"/>
            <w:vAlign w:val="center"/>
          </w:tcPr>
          <w:p w:rsidR="00691119" w:rsidRDefault="003C6350">
            <w:pPr>
              <w:jc w:val="right"/>
            </w:pPr>
            <w:r>
              <w:rPr>
                <w:rFonts w:eastAsiaTheme="minorEastAsia"/>
                <w:color w:val="000000" w:themeColor="text1"/>
                <w:szCs w:val="21"/>
              </w:rPr>
              <w:t>-6.28%</w:t>
            </w:r>
          </w:p>
        </w:tc>
        <w:tc>
          <w:tcPr>
            <w:tcW w:w="1291" w:type="dxa"/>
            <w:vAlign w:val="center"/>
          </w:tcPr>
          <w:p w:rsidR="00691119" w:rsidRDefault="003C6350">
            <w:pPr>
              <w:jc w:val="right"/>
            </w:pPr>
            <w:r>
              <w:rPr>
                <w:rFonts w:eastAsiaTheme="minorEastAsia"/>
                <w:color w:val="000000" w:themeColor="text1"/>
                <w:szCs w:val="21"/>
              </w:rPr>
              <w:t>2.12%</w:t>
            </w:r>
          </w:p>
        </w:tc>
        <w:tc>
          <w:tcPr>
            <w:tcW w:w="1291" w:type="dxa"/>
            <w:vAlign w:val="center"/>
          </w:tcPr>
          <w:p w:rsidR="00691119" w:rsidRDefault="003C6350">
            <w:pPr>
              <w:jc w:val="right"/>
            </w:pPr>
            <w:r>
              <w:rPr>
                <w:rFonts w:eastAsiaTheme="minorEastAsia"/>
                <w:color w:val="000000" w:themeColor="text1"/>
                <w:szCs w:val="21"/>
              </w:rPr>
              <w:t>-7.20%</w:t>
            </w:r>
          </w:p>
        </w:tc>
        <w:tc>
          <w:tcPr>
            <w:tcW w:w="1291" w:type="dxa"/>
            <w:vAlign w:val="center"/>
          </w:tcPr>
          <w:p w:rsidR="00691119" w:rsidRDefault="003C6350">
            <w:pPr>
              <w:jc w:val="right"/>
            </w:pPr>
            <w:r>
              <w:rPr>
                <w:rFonts w:eastAsiaTheme="minorEastAsia"/>
                <w:color w:val="000000" w:themeColor="text1"/>
                <w:szCs w:val="21"/>
              </w:rPr>
              <w:t>2.23%</w:t>
            </w:r>
          </w:p>
        </w:tc>
        <w:tc>
          <w:tcPr>
            <w:tcW w:w="1291" w:type="dxa"/>
            <w:vAlign w:val="center"/>
          </w:tcPr>
          <w:p w:rsidR="00691119" w:rsidRDefault="003C6350">
            <w:pPr>
              <w:jc w:val="right"/>
            </w:pPr>
            <w:r>
              <w:rPr>
                <w:rFonts w:eastAsiaTheme="minorEastAsia"/>
                <w:color w:val="000000" w:themeColor="text1"/>
                <w:szCs w:val="21"/>
              </w:rPr>
              <w:t>0.92%</w:t>
            </w:r>
          </w:p>
        </w:tc>
        <w:tc>
          <w:tcPr>
            <w:tcW w:w="1291" w:type="dxa"/>
            <w:vAlign w:val="center"/>
          </w:tcPr>
          <w:p w:rsidR="00691119" w:rsidRDefault="003C6350">
            <w:pPr>
              <w:jc w:val="right"/>
            </w:pPr>
            <w:r>
              <w:rPr>
                <w:rFonts w:eastAsiaTheme="minorEastAsia"/>
                <w:color w:val="000000" w:themeColor="text1"/>
                <w:szCs w:val="21"/>
              </w:rPr>
              <w:t>-0.11%</w:t>
            </w:r>
          </w:p>
        </w:tc>
      </w:tr>
      <w:tr w:rsidR="00691119">
        <w:tc>
          <w:tcPr>
            <w:tcW w:w="1290" w:type="dxa"/>
            <w:vAlign w:val="center"/>
          </w:tcPr>
          <w:p w:rsidR="00691119" w:rsidRDefault="003C6350">
            <w:pPr>
              <w:jc w:val="left"/>
            </w:pPr>
            <w:r>
              <w:rPr>
                <w:rFonts w:eastAsiaTheme="minorEastAsia"/>
                <w:color w:val="000000" w:themeColor="text1"/>
                <w:szCs w:val="21"/>
              </w:rPr>
              <w:t>过去六个月</w:t>
            </w:r>
          </w:p>
        </w:tc>
        <w:tc>
          <w:tcPr>
            <w:tcW w:w="1291" w:type="dxa"/>
            <w:vAlign w:val="center"/>
          </w:tcPr>
          <w:p w:rsidR="00691119" w:rsidRDefault="003C6350">
            <w:pPr>
              <w:jc w:val="right"/>
            </w:pPr>
            <w:r>
              <w:rPr>
                <w:rFonts w:eastAsiaTheme="minorEastAsia"/>
                <w:color w:val="000000" w:themeColor="text1"/>
                <w:szCs w:val="21"/>
              </w:rPr>
              <w:t>-10.30%</w:t>
            </w:r>
          </w:p>
        </w:tc>
        <w:tc>
          <w:tcPr>
            <w:tcW w:w="1291" w:type="dxa"/>
            <w:vAlign w:val="center"/>
          </w:tcPr>
          <w:p w:rsidR="00691119" w:rsidRDefault="003C6350">
            <w:pPr>
              <w:jc w:val="right"/>
            </w:pPr>
            <w:r>
              <w:rPr>
                <w:rFonts w:eastAsiaTheme="minorEastAsia"/>
                <w:color w:val="000000" w:themeColor="text1"/>
                <w:szCs w:val="21"/>
              </w:rPr>
              <w:t>1.97%</w:t>
            </w:r>
          </w:p>
        </w:tc>
        <w:tc>
          <w:tcPr>
            <w:tcW w:w="1291" w:type="dxa"/>
            <w:vAlign w:val="center"/>
          </w:tcPr>
          <w:p w:rsidR="00691119" w:rsidRDefault="003C6350">
            <w:pPr>
              <w:jc w:val="right"/>
            </w:pPr>
            <w:r>
              <w:rPr>
                <w:rFonts w:eastAsiaTheme="minorEastAsia"/>
                <w:color w:val="000000" w:themeColor="text1"/>
                <w:szCs w:val="21"/>
              </w:rPr>
              <w:t>-11.74%</w:t>
            </w:r>
          </w:p>
        </w:tc>
        <w:tc>
          <w:tcPr>
            <w:tcW w:w="1291" w:type="dxa"/>
            <w:vAlign w:val="center"/>
          </w:tcPr>
          <w:p w:rsidR="00691119" w:rsidRDefault="003C6350">
            <w:pPr>
              <w:jc w:val="right"/>
            </w:pPr>
            <w:r>
              <w:rPr>
                <w:rFonts w:eastAsiaTheme="minorEastAsia"/>
                <w:color w:val="000000" w:themeColor="text1"/>
                <w:szCs w:val="21"/>
              </w:rPr>
              <w:t>2.05%</w:t>
            </w:r>
          </w:p>
        </w:tc>
        <w:tc>
          <w:tcPr>
            <w:tcW w:w="1291" w:type="dxa"/>
            <w:vAlign w:val="center"/>
          </w:tcPr>
          <w:p w:rsidR="00691119" w:rsidRDefault="003C6350">
            <w:pPr>
              <w:jc w:val="right"/>
            </w:pPr>
            <w:r>
              <w:rPr>
                <w:rFonts w:eastAsiaTheme="minorEastAsia"/>
                <w:color w:val="000000" w:themeColor="text1"/>
                <w:szCs w:val="21"/>
              </w:rPr>
              <w:t>1.44%</w:t>
            </w:r>
          </w:p>
        </w:tc>
        <w:tc>
          <w:tcPr>
            <w:tcW w:w="1291" w:type="dxa"/>
            <w:vAlign w:val="center"/>
          </w:tcPr>
          <w:p w:rsidR="00691119" w:rsidRDefault="003C6350">
            <w:pPr>
              <w:jc w:val="right"/>
            </w:pPr>
            <w:r>
              <w:rPr>
                <w:rFonts w:eastAsiaTheme="minorEastAsia"/>
                <w:color w:val="000000" w:themeColor="text1"/>
                <w:szCs w:val="21"/>
              </w:rPr>
              <w:t>-0.08%</w:t>
            </w:r>
          </w:p>
        </w:tc>
      </w:tr>
      <w:tr w:rsidR="00691119">
        <w:tc>
          <w:tcPr>
            <w:tcW w:w="1290" w:type="dxa"/>
            <w:vAlign w:val="center"/>
          </w:tcPr>
          <w:p w:rsidR="00691119" w:rsidRDefault="003C6350">
            <w:pPr>
              <w:jc w:val="left"/>
            </w:pPr>
            <w:r>
              <w:rPr>
                <w:rFonts w:eastAsiaTheme="minorEastAsia"/>
                <w:color w:val="000000" w:themeColor="text1"/>
                <w:szCs w:val="21"/>
              </w:rPr>
              <w:t>过去一年</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r>
      <w:tr w:rsidR="00691119">
        <w:tc>
          <w:tcPr>
            <w:tcW w:w="1290" w:type="dxa"/>
            <w:vAlign w:val="center"/>
          </w:tcPr>
          <w:p w:rsidR="00691119" w:rsidRDefault="003C6350">
            <w:pPr>
              <w:jc w:val="left"/>
            </w:pPr>
            <w:r>
              <w:rPr>
                <w:rFonts w:eastAsiaTheme="minorEastAsia"/>
                <w:color w:val="000000" w:themeColor="text1"/>
                <w:szCs w:val="21"/>
              </w:rPr>
              <w:t>过去三年</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r>
      <w:tr w:rsidR="00691119">
        <w:tc>
          <w:tcPr>
            <w:tcW w:w="1290" w:type="dxa"/>
            <w:vAlign w:val="center"/>
          </w:tcPr>
          <w:p w:rsidR="00691119" w:rsidRDefault="003C6350">
            <w:pPr>
              <w:jc w:val="left"/>
            </w:pPr>
            <w:r>
              <w:rPr>
                <w:rFonts w:eastAsiaTheme="minorEastAsia"/>
                <w:color w:val="000000" w:themeColor="text1"/>
                <w:szCs w:val="21"/>
              </w:rPr>
              <w:t>过去五年</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c>
          <w:tcPr>
            <w:tcW w:w="1291" w:type="dxa"/>
            <w:vAlign w:val="center"/>
          </w:tcPr>
          <w:p w:rsidR="00691119" w:rsidRDefault="003C6350">
            <w:pPr>
              <w:jc w:val="right"/>
            </w:pPr>
            <w:r>
              <w:rPr>
                <w:rFonts w:eastAsiaTheme="minorEastAsia"/>
                <w:color w:val="000000" w:themeColor="text1"/>
                <w:szCs w:val="21"/>
              </w:rPr>
              <w:t>-</w:t>
            </w:r>
          </w:p>
        </w:tc>
      </w:tr>
      <w:tr w:rsidR="00691119">
        <w:tc>
          <w:tcPr>
            <w:tcW w:w="1290" w:type="dxa"/>
            <w:vAlign w:val="center"/>
          </w:tcPr>
          <w:p w:rsidR="00691119" w:rsidRDefault="003C6350">
            <w:pPr>
              <w:jc w:val="left"/>
            </w:pPr>
            <w:r>
              <w:rPr>
                <w:rFonts w:eastAsiaTheme="minorEastAsia"/>
                <w:color w:val="000000" w:themeColor="text1"/>
                <w:szCs w:val="21"/>
              </w:rPr>
              <w:t>自基金合同生效起至今</w:t>
            </w:r>
          </w:p>
        </w:tc>
        <w:tc>
          <w:tcPr>
            <w:tcW w:w="1291" w:type="dxa"/>
            <w:vAlign w:val="center"/>
          </w:tcPr>
          <w:p w:rsidR="00691119" w:rsidRDefault="003C6350">
            <w:pPr>
              <w:jc w:val="right"/>
            </w:pPr>
            <w:r>
              <w:rPr>
                <w:rFonts w:eastAsiaTheme="minorEastAsia"/>
                <w:color w:val="000000" w:themeColor="text1"/>
                <w:szCs w:val="21"/>
              </w:rPr>
              <w:t>-16.18%</w:t>
            </w:r>
          </w:p>
        </w:tc>
        <w:tc>
          <w:tcPr>
            <w:tcW w:w="1291" w:type="dxa"/>
            <w:vAlign w:val="center"/>
          </w:tcPr>
          <w:p w:rsidR="00691119" w:rsidRDefault="003C6350">
            <w:pPr>
              <w:jc w:val="right"/>
            </w:pPr>
            <w:r>
              <w:rPr>
                <w:rFonts w:eastAsiaTheme="minorEastAsia"/>
                <w:color w:val="000000" w:themeColor="text1"/>
                <w:szCs w:val="21"/>
              </w:rPr>
              <w:t>1.87%</w:t>
            </w:r>
          </w:p>
        </w:tc>
        <w:tc>
          <w:tcPr>
            <w:tcW w:w="1291" w:type="dxa"/>
            <w:vAlign w:val="center"/>
          </w:tcPr>
          <w:p w:rsidR="00691119" w:rsidRDefault="003C6350">
            <w:pPr>
              <w:jc w:val="right"/>
            </w:pPr>
            <w:r>
              <w:rPr>
                <w:rFonts w:eastAsiaTheme="minorEastAsia"/>
                <w:color w:val="000000" w:themeColor="text1"/>
                <w:szCs w:val="21"/>
              </w:rPr>
              <w:t>-17.39%</w:t>
            </w:r>
          </w:p>
        </w:tc>
        <w:tc>
          <w:tcPr>
            <w:tcW w:w="1291" w:type="dxa"/>
            <w:vAlign w:val="center"/>
          </w:tcPr>
          <w:p w:rsidR="00691119" w:rsidRDefault="003C6350">
            <w:pPr>
              <w:jc w:val="right"/>
            </w:pPr>
            <w:r>
              <w:rPr>
                <w:rFonts w:eastAsiaTheme="minorEastAsia"/>
                <w:color w:val="000000" w:themeColor="text1"/>
                <w:szCs w:val="21"/>
              </w:rPr>
              <w:t>2.02%</w:t>
            </w:r>
          </w:p>
        </w:tc>
        <w:tc>
          <w:tcPr>
            <w:tcW w:w="1291" w:type="dxa"/>
            <w:vAlign w:val="center"/>
          </w:tcPr>
          <w:p w:rsidR="00691119" w:rsidRDefault="003C6350">
            <w:pPr>
              <w:jc w:val="right"/>
            </w:pPr>
            <w:r>
              <w:rPr>
                <w:rFonts w:eastAsiaTheme="minorEastAsia"/>
                <w:color w:val="000000" w:themeColor="text1"/>
                <w:szCs w:val="21"/>
              </w:rPr>
              <w:t>1.21%</w:t>
            </w:r>
          </w:p>
        </w:tc>
        <w:tc>
          <w:tcPr>
            <w:tcW w:w="1291" w:type="dxa"/>
            <w:vAlign w:val="center"/>
          </w:tcPr>
          <w:p w:rsidR="00691119" w:rsidRDefault="003C6350">
            <w:pPr>
              <w:jc w:val="right"/>
            </w:pPr>
            <w:r>
              <w:rPr>
                <w:rFonts w:eastAsiaTheme="minorEastAsia"/>
                <w:color w:val="000000" w:themeColor="text1"/>
                <w:szCs w:val="21"/>
              </w:rPr>
              <w:t>-0.15%</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摩根恒生科技交易型开放式指数证券投资基金发起式联接基金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2023</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7</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18</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3</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注：本基金合同生效日为</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18</w:t>
      </w:r>
      <w:r w:rsidRPr="00A3398F">
        <w:rPr>
          <w:rFonts w:eastAsiaTheme="minorEastAsia"/>
          <w:color w:val="000000" w:themeColor="text1"/>
          <w:szCs w:val="21"/>
        </w:rPr>
        <w:t>日，截至本报告期末本基金合同生效未满一年。本基金建仓期为本基金合同生效日起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注：本基金合同生效日为</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18</w:t>
      </w:r>
      <w:r w:rsidRPr="00A3398F">
        <w:rPr>
          <w:rFonts w:eastAsiaTheme="minorEastAsia"/>
          <w:color w:val="000000" w:themeColor="text1"/>
          <w:szCs w:val="21"/>
        </w:rPr>
        <w:t>日，截至本报告期末本基金合同生效未满一年。本基金建仓期为本基金合同生效日起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w:t>
      </w:r>
      <w:r w:rsidRPr="00A3398F">
        <w:rPr>
          <w:rFonts w:eastAsiaTheme="minorEastAsia"/>
          <w:color w:val="000000" w:themeColor="text1"/>
          <w:szCs w:val="21"/>
        </w:rPr>
        <w:lastRenderedPageBreak/>
        <w:t>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691119">
        <w:tc>
          <w:tcPr>
            <w:tcW w:w="851" w:type="dxa"/>
            <w:vAlign w:val="center"/>
          </w:tcPr>
          <w:p w:rsidR="00691119" w:rsidRDefault="003C6350">
            <w:pPr>
              <w:jc w:val="center"/>
            </w:pPr>
            <w:r>
              <w:rPr>
                <w:rFonts w:eastAsiaTheme="minorEastAsia"/>
                <w:color w:val="000000" w:themeColor="text1"/>
                <w:szCs w:val="21"/>
              </w:rPr>
              <w:t>毛时超</w:t>
            </w:r>
          </w:p>
        </w:tc>
        <w:tc>
          <w:tcPr>
            <w:tcW w:w="850" w:type="dxa"/>
            <w:vAlign w:val="center"/>
          </w:tcPr>
          <w:p w:rsidR="00691119" w:rsidRDefault="003C6350">
            <w:pPr>
              <w:jc w:val="center"/>
            </w:pPr>
            <w:r>
              <w:rPr>
                <w:rFonts w:eastAsiaTheme="minorEastAsia"/>
                <w:color w:val="000000" w:themeColor="text1"/>
                <w:szCs w:val="21"/>
              </w:rPr>
              <w:t>本基金基金经理</w:t>
            </w:r>
          </w:p>
        </w:tc>
        <w:tc>
          <w:tcPr>
            <w:tcW w:w="1560" w:type="dxa"/>
            <w:vAlign w:val="center"/>
          </w:tcPr>
          <w:p w:rsidR="00691119" w:rsidRDefault="003C6350">
            <w:pPr>
              <w:jc w:val="center"/>
            </w:pPr>
            <w:r>
              <w:rPr>
                <w:rFonts w:eastAsiaTheme="minorEastAsia"/>
                <w:color w:val="000000" w:themeColor="text1"/>
                <w:szCs w:val="21"/>
              </w:rPr>
              <w:t>2023-07-18</w:t>
            </w:r>
          </w:p>
        </w:tc>
        <w:tc>
          <w:tcPr>
            <w:tcW w:w="1559" w:type="dxa"/>
            <w:vAlign w:val="center"/>
          </w:tcPr>
          <w:p w:rsidR="00691119" w:rsidRDefault="003C6350">
            <w:pPr>
              <w:jc w:val="center"/>
            </w:pPr>
            <w:r>
              <w:rPr>
                <w:rFonts w:eastAsiaTheme="minorEastAsia"/>
                <w:color w:val="000000" w:themeColor="text1"/>
                <w:szCs w:val="21"/>
              </w:rPr>
              <w:t>-</w:t>
            </w:r>
          </w:p>
        </w:tc>
        <w:tc>
          <w:tcPr>
            <w:tcW w:w="1417" w:type="dxa"/>
            <w:vAlign w:val="center"/>
          </w:tcPr>
          <w:p w:rsidR="00691119" w:rsidRDefault="003C6350">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rsidR="00691119" w:rsidRDefault="003C6350">
            <w:pPr>
              <w:jc w:val="left"/>
            </w:pPr>
            <w:r>
              <w:rPr>
                <w:rFonts w:eastAsiaTheme="minorEastAsia"/>
                <w:color w:val="000000" w:themeColor="text1"/>
                <w:szCs w:val="21"/>
              </w:rPr>
              <w:t>毛时超先生曾任平安基金管理有限公司量化研究员、基金经理助理、基金经理；自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rsidR="00691119" w:rsidRDefault="003C635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691119" w:rsidRDefault="003C635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毛时超先生为本基金首任基金经理，其任职日期指本基金基金合同生效之日。</w:t>
      </w:r>
      <w:r>
        <w:rPr>
          <w:rFonts w:eastAsiaTheme="minorEastAsia"/>
          <w:color w:val="000000" w:themeColor="text1"/>
          <w:szCs w:val="21"/>
        </w:rPr>
        <w:t xml:space="preserve"> </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2</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3.1</w:t>
      </w:r>
      <w:r w:rsidRPr="00A3398F">
        <w:rPr>
          <w:rFonts w:eastAsiaTheme="minorEastAsia"/>
          <w:color w:val="000000" w:themeColor="text1"/>
          <w:sz w:val="24"/>
        </w:rPr>
        <w:t>公平交易制度的执行情况</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w:t>
      </w:r>
      <w:r>
        <w:rPr>
          <w:rFonts w:eastAsiaTheme="minorEastAsia"/>
          <w:color w:val="000000" w:themeColor="text1"/>
          <w:szCs w:val="21"/>
        </w:rPr>
        <w:lastRenderedPageBreak/>
        <w:t>理活动相关的环节均得到公平对待。</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4.4 </w:t>
      </w:r>
      <w:r w:rsidRPr="00A3398F">
        <w:rPr>
          <w:rFonts w:eastAsiaTheme="minorEastAsia"/>
          <w:b/>
          <w:color w:val="000000" w:themeColor="text1"/>
          <w:kern w:val="0"/>
          <w:sz w:val="24"/>
        </w:rPr>
        <w:t>报告期内基金的投资策略和业绩表现说明</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本基金跟踪的恒生科技指数由</w:t>
      </w:r>
      <w:r>
        <w:rPr>
          <w:rFonts w:eastAsiaTheme="minorEastAsia"/>
          <w:color w:val="000000" w:themeColor="text1"/>
          <w:szCs w:val="21"/>
        </w:rPr>
        <w:t>30</w:t>
      </w:r>
      <w:r>
        <w:rPr>
          <w:rFonts w:eastAsiaTheme="minorEastAsia"/>
          <w:color w:val="000000" w:themeColor="text1"/>
          <w:szCs w:val="21"/>
        </w:rPr>
        <w:t>家最大的与科技主题高度相关的香港上市公司组成，以反映科技板块港股上市公司的整体表现。年初以来市场对美联储降息的乐观预期不断修正，降息时点一再推迟，</w:t>
      </w:r>
      <w:r>
        <w:rPr>
          <w:rFonts w:eastAsiaTheme="minorEastAsia"/>
          <w:color w:val="000000" w:themeColor="text1"/>
          <w:szCs w:val="21"/>
        </w:rPr>
        <w:t>10</w:t>
      </w:r>
      <w:r>
        <w:rPr>
          <w:rFonts w:eastAsiaTheme="minorEastAsia"/>
          <w:color w:val="000000" w:themeColor="text1"/>
          <w:szCs w:val="21"/>
        </w:rPr>
        <w:t>年期美债收益率也自</w:t>
      </w:r>
      <w:r>
        <w:rPr>
          <w:rFonts w:eastAsiaTheme="minorEastAsia"/>
          <w:color w:val="000000" w:themeColor="text1"/>
          <w:szCs w:val="21"/>
        </w:rPr>
        <w:t>2023</w:t>
      </w:r>
      <w:r>
        <w:rPr>
          <w:rFonts w:eastAsiaTheme="minorEastAsia"/>
          <w:color w:val="000000" w:themeColor="text1"/>
          <w:szCs w:val="21"/>
        </w:rPr>
        <w:t>年年底以来震荡向上。一季度，恒生指数下跌了</w:t>
      </w:r>
      <w:r>
        <w:rPr>
          <w:rFonts w:eastAsiaTheme="minorEastAsia"/>
          <w:color w:val="000000" w:themeColor="text1"/>
          <w:szCs w:val="21"/>
        </w:rPr>
        <w:t>2.97%</w:t>
      </w:r>
      <w:r>
        <w:rPr>
          <w:rFonts w:eastAsiaTheme="minorEastAsia"/>
          <w:color w:val="000000" w:themeColor="text1"/>
          <w:szCs w:val="21"/>
        </w:rPr>
        <w:t>，恒生科技指数下跌了</w:t>
      </w:r>
      <w:r>
        <w:rPr>
          <w:rFonts w:eastAsiaTheme="minorEastAsia"/>
          <w:color w:val="000000" w:themeColor="text1"/>
          <w:szCs w:val="21"/>
        </w:rPr>
        <w:t>7.62%</w:t>
      </w:r>
      <w:r>
        <w:rPr>
          <w:rFonts w:eastAsiaTheme="minorEastAsia"/>
          <w:color w:val="000000" w:themeColor="text1"/>
          <w:szCs w:val="21"/>
        </w:rPr>
        <w:t>，而同期上证指数上涨</w:t>
      </w:r>
      <w:r>
        <w:rPr>
          <w:rFonts w:eastAsiaTheme="minorEastAsia"/>
          <w:color w:val="000000" w:themeColor="text1"/>
          <w:szCs w:val="21"/>
        </w:rPr>
        <w:t>2.23%</w:t>
      </w:r>
      <w:r>
        <w:rPr>
          <w:rFonts w:eastAsiaTheme="minorEastAsia"/>
          <w:color w:val="000000" w:themeColor="text1"/>
          <w:szCs w:val="21"/>
        </w:rPr>
        <w:t>，港股表现弱于全球其他主要指数。说明在风险偏好较低的情形下，尽管估值较低，但是受制于流动性的约束，港股的表现并未胜出</w:t>
      </w:r>
      <w:r>
        <w:rPr>
          <w:rFonts w:eastAsiaTheme="minorEastAsia"/>
          <w:color w:val="000000" w:themeColor="text1"/>
          <w:szCs w:val="21"/>
        </w:rPr>
        <w:t>A</w:t>
      </w:r>
      <w:r>
        <w:rPr>
          <w:rFonts w:eastAsiaTheme="minorEastAsia"/>
          <w:color w:val="000000" w:themeColor="text1"/>
          <w:szCs w:val="21"/>
        </w:rPr>
        <w:t>股。</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预计稳增长政策的不断出台、美债利率下行、地缘局势缓和都有可能对港股市场促成一波修复式反弹。当前港股市场估值处于相对低位，下行风险相对较低，且以科技为代表的成长板块对利率更为敏感，经济预期好转叠加流动性预期改善，港股科技板块有望迎来估值修复。</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w:t>
      </w:r>
      <w:r w:rsidR="00152D70" w:rsidRPr="00152D70">
        <w:t xml:space="preserve"> </w:t>
      </w:r>
      <w:r w:rsidR="00152D70" w:rsidRPr="00152D70">
        <w:rPr>
          <w:rFonts w:eastAsiaTheme="minorEastAsia"/>
          <w:color w:val="000000" w:themeColor="text1"/>
          <w:szCs w:val="21"/>
        </w:rPr>
        <w:t>-6.30</w:t>
      </w:r>
      <w:r>
        <w:rPr>
          <w:rFonts w:eastAsiaTheme="minorEastAsia"/>
          <w:color w:val="000000" w:themeColor="text1"/>
          <w:szCs w:val="21"/>
        </w:rPr>
        <w:t>%</w:t>
      </w:r>
      <w:r>
        <w:rPr>
          <w:rFonts w:eastAsiaTheme="minorEastAsia"/>
          <w:color w:val="000000" w:themeColor="text1"/>
          <w:szCs w:val="21"/>
        </w:rPr>
        <w:t>，同期业绩比较基准收益率为</w:t>
      </w:r>
      <w:r>
        <w:rPr>
          <w:rFonts w:eastAsiaTheme="minorEastAsia"/>
          <w:color w:val="000000" w:themeColor="text1"/>
          <w:szCs w:val="21"/>
        </w:rPr>
        <w:t>:</w:t>
      </w:r>
      <w:r w:rsidR="00152D70" w:rsidRPr="00152D70">
        <w:t xml:space="preserve"> </w:t>
      </w:r>
      <w:r w:rsidR="00152D70" w:rsidRPr="00152D70">
        <w:rPr>
          <w:rFonts w:eastAsiaTheme="minorEastAsia"/>
          <w:color w:val="000000" w:themeColor="text1"/>
          <w:szCs w:val="21"/>
        </w:rPr>
        <w:t>-7.20</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w:t>
      </w:r>
      <w:r w:rsidR="00152D70" w:rsidRPr="00152D70">
        <w:t xml:space="preserve"> </w:t>
      </w:r>
      <w:r w:rsidR="00152D70" w:rsidRPr="00152D70">
        <w:rPr>
          <w:rFonts w:eastAsiaTheme="minorEastAsia"/>
          <w:color w:val="000000" w:themeColor="text1"/>
          <w:szCs w:val="21"/>
        </w:rPr>
        <w:t>-6.28</w:t>
      </w:r>
      <w:r w:rsidRPr="00A3398F">
        <w:rPr>
          <w:rFonts w:eastAsiaTheme="minorEastAsia"/>
          <w:color w:val="000000" w:themeColor="text1"/>
          <w:szCs w:val="21"/>
        </w:rPr>
        <w:t>%</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w:t>
      </w:r>
      <w:r w:rsidR="00152D70" w:rsidRPr="00152D70">
        <w:t xml:space="preserve"> </w:t>
      </w:r>
      <w:r w:rsidR="00152D70" w:rsidRPr="00152D70">
        <w:rPr>
          <w:rFonts w:eastAsiaTheme="minorEastAsia"/>
          <w:color w:val="000000" w:themeColor="text1"/>
          <w:szCs w:val="21"/>
        </w:rPr>
        <w:t>-7.20</w:t>
      </w:r>
      <w:r w:rsidRPr="00A3398F">
        <w:rPr>
          <w:rFonts w:eastAsiaTheme="minorEastAsia"/>
          <w:color w:val="000000" w:themeColor="text1"/>
          <w:szCs w:val="21"/>
        </w:rPr>
        <w:t>%</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4.5</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§5  </w:t>
      </w:r>
      <w:r w:rsidRPr="00A3398F">
        <w:rPr>
          <w:rFonts w:eastAsiaTheme="minorEastAsia"/>
          <w:color w:val="000000" w:themeColor="text1"/>
          <w:kern w:val="0"/>
          <w:sz w:val="24"/>
          <w:szCs w:val="24"/>
        </w:rPr>
        <w:t>投资组合报告</w:t>
      </w:r>
    </w:p>
    <w:p w:rsidR="0076518F" w:rsidRPr="00A3398F" w:rsidRDefault="00982AC4"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28,995,065.60</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92.18</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713,616.44</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2.27</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713,616.44</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2.27</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1,521,580.10</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4.84</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225,044.03</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0.72</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31,455,306.17</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2E7AB7" w:rsidRPr="006A0AFD" w:rsidRDefault="00982AC4" w:rsidP="002E7AB7">
      <w:pPr>
        <w:rPr>
          <w:rFonts w:eastAsiaTheme="minorEastAsia"/>
          <w:b/>
          <w:color w:val="000000" w:themeColor="text1"/>
          <w:kern w:val="0"/>
          <w:sz w:val="24"/>
        </w:rPr>
      </w:pPr>
      <w:r w:rsidRPr="00A3398F">
        <w:rPr>
          <w:rFonts w:eastAsiaTheme="minorEastAsia"/>
          <w:b/>
          <w:color w:val="000000" w:themeColor="text1"/>
          <w:kern w:val="0"/>
          <w:sz w:val="24"/>
        </w:rPr>
        <w:t>5.2</w:t>
      </w:r>
      <w:r w:rsidR="002E7AB7" w:rsidRPr="006A0AFD">
        <w:rPr>
          <w:rFonts w:eastAsiaTheme="minorEastAsia" w:hint="eastAsia"/>
          <w:b/>
          <w:color w:val="000000" w:themeColor="text1"/>
          <w:kern w:val="0"/>
          <w:sz w:val="24"/>
        </w:rPr>
        <w:t>期末投资目标基金明细</w:t>
      </w:r>
    </w:p>
    <w:tbl>
      <w:tblPr>
        <w:tblStyle w:val="afa"/>
        <w:tblW w:w="0" w:type="auto"/>
        <w:tblInd w:w="15" w:type="dxa"/>
        <w:tblLook w:val="04A0" w:firstRow="1" w:lastRow="0" w:firstColumn="1" w:lastColumn="0" w:noHBand="0" w:noVBand="1"/>
      </w:tblPr>
      <w:tblGrid>
        <w:gridCol w:w="776"/>
        <w:gridCol w:w="1766"/>
        <w:gridCol w:w="777"/>
        <w:gridCol w:w="909"/>
        <w:gridCol w:w="1774"/>
        <w:gridCol w:w="1424"/>
        <w:gridCol w:w="1087"/>
      </w:tblGrid>
      <w:tr w:rsidR="002E7AB7" w:rsidRPr="0077262D" w:rsidTr="00982AC4">
        <w:tc>
          <w:tcPr>
            <w:tcW w:w="1184"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序号</w:t>
            </w:r>
          </w:p>
        </w:tc>
        <w:tc>
          <w:tcPr>
            <w:tcW w:w="1185"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基金名称</w:t>
            </w:r>
          </w:p>
        </w:tc>
        <w:tc>
          <w:tcPr>
            <w:tcW w:w="1185"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基金类型</w:t>
            </w:r>
          </w:p>
        </w:tc>
        <w:tc>
          <w:tcPr>
            <w:tcW w:w="1185"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运作方式</w:t>
            </w:r>
          </w:p>
        </w:tc>
        <w:tc>
          <w:tcPr>
            <w:tcW w:w="1185"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管理人</w:t>
            </w:r>
          </w:p>
        </w:tc>
        <w:tc>
          <w:tcPr>
            <w:tcW w:w="1186"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公允价值</w:t>
            </w:r>
          </w:p>
        </w:tc>
        <w:tc>
          <w:tcPr>
            <w:tcW w:w="1403"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占基金资产净值比</w:t>
            </w:r>
            <w:r w:rsidRPr="002E7AB7">
              <w:rPr>
                <w:rFonts w:eastAsiaTheme="minorEastAsia" w:hint="eastAsia"/>
                <w:color w:val="000000" w:themeColor="text1"/>
                <w:kern w:val="0"/>
                <w:szCs w:val="21"/>
              </w:rPr>
              <w:lastRenderedPageBreak/>
              <w:t>例（</w:t>
            </w:r>
            <w:r w:rsidRPr="002E7AB7">
              <w:rPr>
                <w:rFonts w:eastAsiaTheme="minorEastAsia"/>
                <w:color w:val="000000" w:themeColor="text1"/>
                <w:kern w:val="0"/>
                <w:szCs w:val="21"/>
              </w:rPr>
              <w:t>%</w:t>
            </w:r>
            <w:r w:rsidRPr="002E7AB7">
              <w:rPr>
                <w:rFonts w:eastAsiaTheme="minorEastAsia" w:hint="eastAsia"/>
                <w:color w:val="000000" w:themeColor="text1"/>
                <w:kern w:val="0"/>
                <w:szCs w:val="21"/>
              </w:rPr>
              <w:t>）</w:t>
            </w:r>
          </w:p>
        </w:tc>
      </w:tr>
      <w:tr w:rsidR="00691119">
        <w:tc>
          <w:tcPr>
            <w:tcW w:w="0" w:type="auto"/>
            <w:vAlign w:val="center"/>
          </w:tcPr>
          <w:p w:rsidR="00691119" w:rsidRDefault="003C6350">
            <w:pPr>
              <w:jc w:val="center"/>
            </w:pPr>
            <w:r>
              <w:rPr>
                <w:rFonts w:eastAsiaTheme="minorEastAsia"/>
                <w:color w:val="000000" w:themeColor="text1"/>
                <w:szCs w:val="21"/>
              </w:rPr>
              <w:lastRenderedPageBreak/>
              <w:t>1</w:t>
            </w:r>
          </w:p>
        </w:tc>
        <w:tc>
          <w:tcPr>
            <w:tcW w:w="0" w:type="auto"/>
            <w:vAlign w:val="center"/>
          </w:tcPr>
          <w:p w:rsidR="00691119" w:rsidRDefault="003C6350">
            <w:pPr>
              <w:jc w:val="center"/>
            </w:pPr>
            <w:r>
              <w:rPr>
                <w:rFonts w:eastAsiaTheme="minorEastAsia"/>
                <w:color w:val="000000" w:themeColor="text1"/>
                <w:szCs w:val="21"/>
              </w:rPr>
              <w:t>摩根恒生科技</w:t>
            </w:r>
            <w:r>
              <w:rPr>
                <w:rFonts w:eastAsiaTheme="minorEastAsia"/>
                <w:color w:val="000000" w:themeColor="text1"/>
                <w:szCs w:val="21"/>
              </w:rPr>
              <w:t>ETF(QDII)</w:t>
            </w:r>
          </w:p>
        </w:tc>
        <w:tc>
          <w:tcPr>
            <w:tcW w:w="0" w:type="auto"/>
            <w:vAlign w:val="center"/>
          </w:tcPr>
          <w:p w:rsidR="00691119" w:rsidRDefault="003C6350">
            <w:pPr>
              <w:jc w:val="center"/>
            </w:pPr>
            <w:r>
              <w:rPr>
                <w:rFonts w:eastAsiaTheme="minorEastAsia"/>
                <w:color w:val="000000" w:themeColor="text1"/>
                <w:szCs w:val="21"/>
              </w:rPr>
              <w:t>股票型</w:t>
            </w:r>
          </w:p>
        </w:tc>
        <w:tc>
          <w:tcPr>
            <w:tcW w:w="0" w:type="auto"/>
            <w:vAlign w:val="center"/>
          </w:tcPr>
          <w:p w:rsidR="00691119" w:rsidRDefault="003C6350">
            <w:pPr>
              <w:jc w:val="center"/>
            </w:pPr>
            <w:r>
              <w:rPr>
                <w:rFonts w:eastAsiaTheme="minorEastAsia"/>
                <w:color w:val="000000" w:themeColor="text1"/>
                <w:szCs w:val="21"/>
              </w:rPr>
              <w:t>交易型开放式</w:t>
            </w:r>
          </w:p>
        </w:tc>
        <w:tc>
          <w:tcPr>
            <w:tcW w:w="0" w:type="auto"/>
            <w:vAlign w:val="center"/>
          </w:tcPr>
          <w:p w:rsidR="00691119" w:rsidRDefault="003C6350">
            <w:pPr>
              <w:jc w:val="center"/>
            </w:pPr>
            <w:r>
              <w:rPr>
                <w:rFonts w:eastAsiaTheme="minorEastAsia"/>
                <w:color w:val="000000" w:themeColor="text1"/>
                <w:szCs w:val="21"/>
              </w:rPr>
              <w:t>摩根基金管理（中国）有限公司</w:t>
            </w:r>
          </w:p>
        </w:tc>
        <w:tc>
          <w:tcPr>
            <w:tcW w:w="0" w:type="auto"/>
            <w:vAlign w:val="center"/>
          </w:tcPr>
          <w:p w:rsidR="00691119" w:rsidRDefault="003C6350">
            <w:pPr>
              <w:jc w:val="right"/>
            </w:pPr>
            <w:r>
              <w:rPr>
                <w:rFonts w:eastAsiaTheme="minorEastAsia"/>
                <w:color w:val="000000" w:themeColor="text1"/>
                <w:szCs w:val="21"/>
              </w:rPr>
              <w:t>28,995,065.60</w:t>
            </w:r>
          </w:p>
        </w:tc>
        <w:tc>
          <w:tcPr>
            <w:tcW w:w="0" w:type="auto"/>
            <w:vAlign w:val="center"/>
          </w:tcPr>
          <w:p w:rsidR="00691119" w:rsidRDefault="003C6350">
            <w:pPr>
              <w:jc w:val="right"/>
            </w:pPr>
            <w:r>
              <w:rPr>
                <w:rFonts w:eastAsiaTheme="minorEastAsia"/>
                <w:color w:val="000000" w:themeColor="text1"/>
                <w:szCs w:val="21"/>
              </w:rPr>
              <w:t>96.72</w:t>
            </w:r>
          </w:p>
        </w:tc>
      </w:tr>
    </w:tbl>
    <w:p w:rsidR="00F512C0" w:rsidRPr="002E7AB7"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5.3</w:t>
      </w:r>
      <w:r w:rsidR="00A82C02"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本报告期末本基金未持有股票和存托凭证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5.4</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本基金本报告期末未持有股票及存托凭证。</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E963FD" w:rsidP="00EC4BA3">
      <w:pPr>
        <w:autoSpaceDE w:val="0"/>
        <w:autoSpaceDN w:val="0"/>
        <w:adjustRightInd w:val="0"/>
        <w:spacing w:line="360" w:lineRule="auto"/>
        <w:jc w:val="left"/>
        <w:rPr>
          <w:rFonts w:eastAsiaTheme="minorEastAsia"/>
          <w:b/>
          <w:kern w:val="0"/>
          <w:sz w:val="24"/>
        </w:rPr>
      </w:pPr>
      <w:r w:rsidRPr="00A3398F">
        <w:rPr>
          <w:rFonts w:eastAsiaTheme="minorEastAsia"/>
          <w:b/>
          <w:color w:val="000000" w:themeColor="text1"/>
          <w:kern w:val="0"/>
          <w:sz w:val="24"/>
        </w:rPr>
        <w:t>5.5</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本基金本报告期末未持有股票及存托凭证。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5.6</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tbl>
      <w:tblPr>
        <w:tblStyle w:val="afa"/>
        <w:tblW w:w="0" w:type="auto"/>
        <w:tblInd w:w="15" w:type="dxa"/>
        <w:tblLook w:val="04A0" w:firstRow="1" w:lastRow="0" w:firstColumn="1" w:lastColumn="0" w:noHBand="0" w:noVBand="1"/>
      </w:tblPr>
      <w:tblGrid>
        <w:gridCol w:w="2837"/>
        <w:gridCol w:w="2838"/>
        <w:gridCol w:w="2838"/>
      </w:tblGrid>
      <w:tr w:rsidR="008277FF" w:rsidRPr="00A3398F" w:rsidTr="00797DD2">
        <w:tc>
          <w:tcPr>
            <w:tcW w:w="2837" w:type="dxa"/>
            <w:vAlign w:val="center"/>
          </w:tcPr>
          <w:p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债券信用等级</w:t>
            </w:r>
          </w:p>
        </w:tc>
        <w:tc>
          <w:tcPr>
            <w:tcW w:w="2838" w:type="dxa"/>
            <w:vAlign w:val="center"/>
          </w:tcPr>
          <w:p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2838" w:type="dxa"/>
            <w:vAlign w:val="center"/>
          </w:tcPr>
          <w:p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691119">
        <w:tc>
          <w:tcPr>
            <w:tcW w:w="0" w:type="auto"/>
            <w:vAlign w:val="center"/>
          </w:tcPr>
          <w:p w:rsidR="00691119" w:rsidRDefault="003C6350">
            <w:pPr>
              <w:jc w:val="left"/>
            </w:pPr>
            <w:r>
              <w:rPr>
                <w:rFonts w:eastAsiaTheme="minorEastAsia"/>
                <w:color w:val="000000" w:themeColor="text1"/>
                <w:szCs w:val="21"/>
              </w:rPr>
              <w:t>AAA</w:t>
            </w:r>
          </w:p>
        </w:tc>
        <w:tc>
          <w:tcPr>
            <w:tcW w:w="0" w:type="auto"/>
            <w:vAlign w:val="center"/>
          </w:tcPr>
          <w:p w:rsidR="00691119" w:rsidRDefault="003C6350">
            <w:pPr>
              <w:jc w:val="right"/>
            </w:pPr>
            <w:r>
              <w:rPr>
                <w:rFonts w:eastAsiaTheme="minorEastAsia"/>
                <w:color w:val="000000" w:themeColor="text1"/>
                <w:szCs w:val="21"/>
              </w:rPr>
              <w:t>-</w:t>
            </w:r>
          </w:p>
        </w:tc>
        <w:tc>
          <w:tcPr>
            <w:tcW w:w="0" w:type="auto"/>
            <w:vAlign w:val="center"/>
          </w:tcPr>
          <w:p w:rsidR="00691119" w:rsidRDefault="003C6350">
            <w:pPr>
              <w:jc w:val="right"/>
            </w:pPr>
            <w:r>
              <w:rPr>
                <w:rFonts w:eastAsiaTheme="minorEastAsia"/>
                <w:color w:val="000000" w:themeColor="text1"/>
                <w:szCs w:val="21"/>
              </w:rPr>
              <w:t>-</w:t>
            </w:r>
          </w:p>
        </w:tc>
      </w:tr>
      <w:tr w:rsidR="00691119">
        <w:tc>
          <w:tcPr>
            <w:tcW w:w="0" w:type="auto"/>
            <w:vAlign w:val="center"/>
          </w:tcPr>
          <w:p w:rsidR="00691119" w:rsidRDefault="003C6350">
            <w:pPr>
              <w:jc w:val="left"/>
            </w:pPr>
            <w:r>
              <w:rPr>
                <w:rFonts w:eastAsiaTheme="minorEastAsia"/>
                <w:color w:val="000000" w:themeColor="text1"/>
                <w:szCs w:val="21"/>
              </w:rPr>
              <w:t>AA-</w:t>
            </w:r>
            <w:r>
              <w:rPr>
                <w:rFonts w:eastAsiaTheme="minorEastAsia"/>
                <w:color w:val="000000" w:themeColor="text1"/>
                <w:szCs w:val="21"/>
              </w:rPr>
              <w:t>至</w:t>
            </w:r>
            <w:r>
              <w:rPr>
                <w:rFonts w:eastAsiaTheme="minorEastAsia"/>
                <w:color w:val="000000" w:themeColor="text1"/>
                <w:szCs w:val="21"/>
              </w:rPr>
              <w:t>AA+</w:t>
            </w:r>
          </w:p>
        </w:tc>
        <w:tc>
          <w:tcPr>
            <w:tcW w:w="0" w:type="auto"/>
            <w:vAlign w:val="center"/>
          </w:tcPr>
          <w:p w:rsidR="00691119" w:rsidRDefault="003C6350">
            <w:pPr>
              <w:jc w:val="right"/>
            </w:pPr>
            <w:r>
              <w:rPr>
                <w:rFonts w:eastAsiaTheme="minorEastAsia"/>
                <w:color w:val="000000" w:themeColor="text1"/>
                <w:szCs w:val="21"/>
              </w:rPr>
              <w:t>-</w:t>
            </w:r>
          </w:p>
        </w:tc>
        <w:tc>
          <w:tcPr>
            <w:tcW w:w="0" w:type="auto"/>
            <w:vAlign w:val="center"/>
          </w:tcPr>
          <w:p w:rsidR="00691119" w:rsidRDefault="003C6350">
            <w:pPr>
              <w:jc w:val="right"/>
            </w:pPr>
            <w:r>
              <w:rPr>
                <w:rFonts w:eastAsiaTheme="minorEastAsia"/>
                <w:color w:val="000000" w:themeColor="text1"/>
                <w:szCs w:val="21"/>
              </w:rPr>
              <w:t>-</w:t>
            </w:r>
          </w:p>
        </w:tc>
      </w:tr>
      <w:tr w:rsidR="00691119">
        <w:tc>
          <w:tcPr>
            <w:tcW w:w="0" w:type="auto"/>
            <w:vAlign w:val="center"/>
          </w:tcPr>
          <w:p w:rsidR="00691119" w:rsidRDefault="003C6350">
            <w:pPr>
              <w:jc w:val="left"/>
            </w:pPr>
            <w:r>
              <w:rPr>
                <w:rFonts w:eastAsiaTheme="minorEastAsia"/>
                <w:color w:val="000000" w:themeColor="text1"/>
                <w:szCs w:val="21"/>
              </w:rPr>
              <w:t>A-</w:t>
            </w:r>
            <w:r>
              <w:rPr>
                <w:rFonts w:eastAsiaTheme="minorEastAsia"/>
                <w:color w:val="000000" w:themeColor="text1"/>
                <w:szCs w:val="21"/>
              </w:rPr>
              <w:t>至</w:t>
            </w:r>
            <w:r>
              <w:rPr>
                <w:rFonts w:eastAsiaTheme="minorEastAsia"/>
                <w:color w:val="000000" w:themeColor="text1"/>
                <w:szCs w:val="21"/>
              </w:rPr>
              <w:t>A+</w:t>
            </w:r>
          </w:p>
        </w:tc>
        <w:tc>
          <w:tcPr>
            <w:tcW w:w="0" w:type="auto"/>
            <w:vAlign w:val="center"/>
          </w:tcPr>
          <w:p w:rsidR="00691119" w:rsidRDefault="003C6350">
            <w:pPr>
              <w:jc w:val="right"/>
            </w:pPr>
            <w:r>
              <w:rPr>
                <w:rFonts w:eastAsiaTheme="minorEastAsia"/>
                <w:color w:val="000000" w:themeColor="text1"/>
                <w:szCs w:val="21"/>
              </w:rPr>
              <w:t>713,616.44</w:t>
            </w:r>
          </w:p>
        </w:tc>
        <w:tc>
          <w:tcPr>
            <w:tcW w:w="0" w:type="auto"/>
            <w:vAlign w:val="center"/>
          </w:tcPr>
          <w:p w:rsidR="00691119" w:rsidRDefault="003C6350">
            <w:pPr>
              <w:jc w:val="right"/>
            </w:pPr>
            <w:r>
              <w:rPr>
                <w:rFonts w:eastAsiaTheme="minorEastAsia"/>
                <w:color w:val="000000" w:themeColor="text1"/>
                <w:szCs w:val="21"/>
              </w:rPr>
              <w:t>2.38</w:t>
            </w:r>
          </w:p>
        </w:tc>
      </w:tr>
      <w:tr w:rsidR="00691119">
        <w:tc>
          <w:tcPr>
            <w:tcW w:w="0" w:type="auto"/>
            <w:vAlign w:val="center"/>
          </w:tcPr>
          <w:p w:rsidR="00691119" w:rsidRDefault="003C6350">
            <w:pPr>
              <w:jc w:val="left"/>
            </w:pPr>
            <w:r>
              <w:rPr>
                <w:rFonts w:eastAsiaTheme="minorEastAsia"/>
                <w:color w:val="000000" w:themeColor="text1"/>
                <w:szCs w:val="21"/>
              </w:rPr>
              <w:t>BBB-</w:t>
            </w:r>
            <w:r>
              <w:rPr>
                <w:rFonts w:eastAsiaTheme="minorEastAsia"/>
                <w:color w:val="000000" w:themeColor="text1"/>
                <w:szCs w:val="21"/>
              </w:rPr>
              <w:t>至</w:t>
            </w:r>
            <w:r>
              <w:rPr>
                <w:rFonts w:eastAsiaTheme="minorEastAsia"/>
                <w:color w:val="000000" w:themeColor="text1"/>
                <w:szCs w:val="21"/>
              </w:rPr>
              <w:t>BBB+</w:t>
            </w:r>
          </w:p>
        </w:tc>
        <w:tc>
          <w:tcPr>
            <w:tcW w:w="0" w:type="auto"/>
            <w:vAlign w:val="center"/>
          </w:tcPr>
          <w:p w:rsidR="00691119" w:rsidRDefault="003C6350">
            <w:pPr>
              <w:jc w:val="right"/>
            </w:pPr>
            <w:r>
              <w:rPr>
                <w:rFonts w:eastAsiaTheme="minorEastAsia"/>
                <w:color w:val="000000" w:themeColor="text1"/>
                <w:szCs w:val="21"/>
              </w:rPr>
              <w:t>-</w:t>
            </w:r>
          </w:p>
        </w:tc>
        <w:tc>
          <w:tcPr>
            <w:tcW w:w="0" w:type="auto"/>
            <w:vAlign w:val="center"/>
          </w:tcPr>
          <w:p w:rsidR="00691119" w:rsidRDefault="003C6350">
            <w:pPr>
              <w:jc w:val="right"/>
            </w:pPr>
            <w:r>
              <w:rPr>
                <w:rFonts w:eastAsiaTheme="minorEastAsia"/>
                <w:color w:val="000000" w:themeColor="text1"/>
                <w:szCs w:val="21"/>
              </w:rPr>
              <w:t>-</w:t>
            </w:r>
          </w:p>
        </w:tc>
      </w:tr>
      <w:tr w:rsidR="00691119">
        <w:tc>
          <w:tcPr>
            <w:tcW w:w="0" w:type="auto"/>
            <w:vAlign w:val="center"/>
          </w:tcPr>
          <w:p w:rsidR="00691119" w:rsidRDefault="003C6350">
            <w:pPr>
              <w:jc w:val="left"/>
            </w:pPr>
            <w:r>
              <w:rPr>
                <w:rFonts w:eastAsiaTheme="minorEastAsia"/>
                <w:color w:val="000000" w:themeColor="text1"/>
                <w:szCs w:val="21"/>
              </w:rPr>
              <w:t>BB-</w:t>
            </w:r>
            <w:r>
              <w:rPr>
                <w:rFonts w:eastAsiaTheme="minorEastAsia"/>
                <w:color w:val="000000" w:themeColor="text1"/>
                <w:szCs w:val="21"/>
              </w:rPr>
              <w:t>至</w:t>
            </w:r>
            <w:r>
              <w:rPr>
                <w:rFonts w:eastAsiaTheme="minorEastAsia"/>
                <w:color w:val="000000" w:themeColor="text1"/>
                <w:szCs w:val="21"/>
              </w:rPr>
              <w:t>BB+</w:t>
            </w:r>
          </w:p>
        </w:tc>
        <w:tc>
          <w:tcPr>
            <w:tcW w:w="0" w:type="auto"/>
            <w:vAlign w:val="center"/>
          </w:tcPr>
          <w:p w:rsidR="00691119" w:rsidRDefault="003C6350">
            <w:pPr>
              <w:jc w:val="right"/>
            </w:pPr>
            <w:r>
              <w:rPr>
                <w:rFonts w:eastAsiaTheme="minorEastAsia"/>
                <w:color w:val="000000" w:themeColor="text1"/>
                <w:szCs w:val="21"/>
              </w:rPr>
              <w:t>-</w:t>
            </w:r>
          </w:p>
        </w:tc>
        <w:tc>
          <w:tcPr>
            <w:tcW w:w="0" w:type="auto"/>
            <w:vAlign w:val="center"/>
          </w:tcPr>
          <w:p w:rsidR="00691119" w:rsidRDefault="003C6350">
            <w:pPr>
              <w:jc w:val="right"/>
            </w:pPr>
            <w:r>
              <w:rPr>
                <w:rFonts w:eastAsiaTheme="minorEastAsia"/>
                <w:color w:val="000000" w:themeColor="text1"/>
                <w:szCs w:val="21"/>
              </w:rPr>
              <w:t>-</w:t>
            </w:r>
          </w:p>
        </w:tc>
      </w:tr>
    </w:tbl>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注：本基金债券投资组合主要采用标准普尔、惠誉等国际权威评级机构提供的债券信用评级信息。</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5.7</w:t>
      </w:r>
      <w:r w:rsidR="008C71EB"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277FF" w:rsidRPr="00A3398F" w:rsidTr="00B918B8">
        <w:tc>
          <w:tcPr>
            <w:tcW w:w="1252"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1310"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债券代码</w:t>
            </w:r>
          </w:p>
        </w:tc>
        <w:tc>
          <w:tcPr>
            <w:tcW w:w="1282"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债券名称</w:t>
            </w:r>
          </w:p>
        </w:tc>
        <w:tc>
          <w:tcPr>
            <w:tcW w:w="1426"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数量</w:t>
            </w:r>
            <w:r w:rsidRPr="00A3398F">
              <w:rPr>
                <w:rFonts w:eastAsiaTheme="minorEastAsia"/>
                <w:color w:val="000000" w:themeColor="text1"/>
                <w:szCs w:val="21"/>
              </w:rPr>
              <w:t>(</w:t>
            </w:r>
            <w:r w:rsidRPr="00A3398F">
              <w:rPr>
                <w:rFonts w:eastAsiaTheme="minorEastAsia"/>
                <w:color w:val="000000" w:themeColor="text1"/>
                <w:szCs w:val="21"/>
              </w:rPr>
              <w:t>张</w:t>
            </w:r>
            <w:r w:rsidRPr="00A3398F">
              <w:rPr>
                <w:rFonts w:eastAsiaTheme="minorEastAsia"/>
                <w:color w:val="000000" w:themeColor="text1"/>
                <w:szCs w:val="21"/>
              </w:rPr>
              <w:t>)</w:t>
            </w:r>
          </w:p>
        </w:tc>
        <w:tc>
          <w:tcPr>
            <w:tcW w:w="1646"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公允价值</w:t>
            </w:r>
            <w:r w:rsidRPr="00A3398F">
              <w:rPr>
                <w:rFonts w:eastAsiaTheme="minorEastAsia"/>
                <w:color w:val="000000" w:themeColor="text1"/>
                <w:szCs w:val="21"/>
              </w:rPr>
              <w:t>(</w:t>
            </w:r>
            <w:r w:rsidRPr="00A3398F">
              <w:rPr>
                <w:rFonts w:eastAsiaTheme="minorEastAsia"/>
                <w:color w:val="000000" w:themeColor="text1"/>
                <w:szCs w:val="21"/>
              </w:rPr>
              <w:t>元</w:t>
            </w:r>
            <w:r w:rsidRPr="00A3398F">
              <w:rPr>
                <w:rFonts w:eastAsiaTheme="minorEastAsia"/>
                <w:color w:val="000000" w:themeColor="text1"/>
                <w:szCs w:val="21"/>
              </w:rPr>
              <w:t>)</w:t>
            </w:r>
          </w:p>
        </w:tc>
        <w:tc>
          <w:tcPr>
            <w:tcW w:w="1612"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r w:rsidRPr="00A3398F">
              <w:rPr>
                <w:rFonts w:eastAsiaTheme="minorEastAsia"/>
                <w:color w:val="000000" w:themeColor="text1"/>
                <w:szCs w:val="21"/>
              </w:rPr>
              <w:t>％</w:t>
            </w:r>
            <w:r w:rsidRPr="00A3398F">
              <w:rPr>
                <w:rFonts w:eastAsiaTheme="minorEastAsia"/>
                <w:color w:val="000000" w:themeColor="text1"/>
                <w:szCs w:val="21"/>
              </w:rPr>
              <w:t>)</w:t>
            </w:r>
          </w:p>
        </w:tc>
      </w:tr>
      <w:tr w:rsidR="00691119">
        <w:tc>
          <w:tcPr>
            <w:tcW w:w="1252" w:type="dxa"/>
            <w:vAlign w:val="center"/>
          </w:tcPr>
          <w:p w:rsidR="00691119" w:rsidRDefault="003C6350">
            <w:pPr>
              <w:jc w:val="center"/>
            </w:pPr>
            <w:r>
              <w:rPr>
                <w:rFonts w:eastAsiaTheme="minorEastAsia"/>
                <w:color w:val="000000" w:themeColor="text1"/>
                <w:szCs w:val="21"/>
              </w:rPr>
              <w:t>1</w:t>
            </w:r>
          </w:p>
        </w:tc>
        <w:tc>
          <w:tcPr>
            <w:tcW w:w="1310" w:type="dxa"/>
            <w:vAlign w:val="center"/>
          </w:tcPr>
          <w:p w:rsidR="00691119" w:rsidRDefault="003C6350">
            <w:pPr>
              <w:jc w:val="center"/>
            </w:pPr>
            <w:r>
              <w:rPr>
                <w:rFonts w:eastAsiaTheme="minorEastAsia"/>
                <w:color w:val="000000" w:themeColor="text1"/>
                <w:szCs w:val="21"/>
              </w:rPr>
              <w:t>019703</w:t>
            </w:r>
          </w:p>
        </w:tc>
        <w:tc>
          <w:tcPr>
            <w:tcW w:w="1282" w:type="dxa"/>
            <w:vAlign w:val="center"/>
          </w:tcPr>
          <w:p w:rsidR="00691119" w:rsidRDefault="003C6350">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10</w:t>
            </w:r>
          </w:p>
        </w:tc>
        <w:tc>
          <w:tcPr>
            <w:tcW w:w="1426" w:type="dxa"/>
            <w:vAlign w:val="center"/>
          </w:tcPr>
          <w:p w:rsidR="00691119" w:rsidRDefault="003C6350">
            <w:pPr>
              <w:jc w:val="right"/>
            </w:pPr>
            <w:r>
              <w:rPr>
                <w:rFonts w:eastAsiaTheme="minorEastAsia"/>
                <w:color w:val="000000" w:themeColor="text1"/>
                <w:szCs w:val="21"/>
              </w:rPr>
              <w:t>7,000</w:t>
            </w:r>
          </w:p>
        </w:tc>
        <w:tc>
          <w:tcPr>
            <w:tcW w:w="1646" w:type="dxa"/>
            <w:vAlign w:val="center"/>
          </w:tcPr>
          <w:p w:rsidR="00691119" w:rsidRDefault="003C6350">
            <w:pPr>
              <w:jc w:val="right"/>
            </w:pPr>
            <w:r>
              <w:rPr>
                <w:rFonts w:eastAsiaTheme="minorEastAsia"/>
                <w:color w:val="000000" w:themeColor="text1"/>
                <w:szCs w:val="21"/>
              </w:rPr>
              <w:t>713,616.44</w:t>
            </w:r>
          </w:p>
        </w:tc>
        <w:tc>
          <w:tcPr>
            <w:tcW w:w="1612" w:type="dxa"/>
            <w:vAlign w:val="center"/>
          </w:tcPr>
          <w:p w:rsidR="00691119" w:rsidRDefault="003C6350">
            <w:pPr>
              <w:jc w:val="right"/>
            </w:pPr>
            <w:r>
              <w:rPr>
                <w:rFonts w:eastAsiaTheme="minorEastAsia"/>
                <w:color w:val="000000" w:themeColor="text1"/>
                <w:szCs w:val="21"/>
              </w:rPr>
              <w:t>2.38</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8C71EB"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5.10</w:t>
      </w:r>
      <w:r>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800"/>
        <w:gridCol w:w="1795"/>
        <w:gridCol w:w="800"/>
        <w:gridCol w:w="924"/>
        <w:gridCol w:w="1831"/>
        <w:gridCol w:w="1424"/>
        <w:gridCol w:w="939"/>
      </w:tblGrid>
      <w:tr w:rsidR="008277FF" w:rsidRPr="00A3398F" w:rsidTr="00797DD2">
        <w:tc>
          <w:tcPr>
            <w:tcW w:w="1215"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序号</w:t>
            </w:r>
          </w:p>
        </w:tc>
        <w:tc>
          <w:tcPr>
            <w:tcW w:w="1216" w:type="dxa"/>
            <w:vAlign w:val="center"/>
          </w:tcPr>
          <w:p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基金名称</w:t>
            </w:r>
          </w:p>
        </w:tc>
        <w:tc>
          <w:tcPr>
            <w:tcW w:w="1216" w:type="dxa"/>
            <w:vAlign w:val="center"/>
          </w:tcPr>
          <w:p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基金类型</w:t>
            </w:r>
          </w:p>
        </w:tc>
        <w:tc>
          <w:tcPr>
            <w:tcW w:w="1216"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运作方式</w:t>
            </w:r>
          </w:p>
        </w:tc>
        <w:tc>
          <w:tcPr>
            <w:tcW w:w="1216"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管理人</w:t>
            </w:r>
          </w:p>
        </w:tc>
        <w:tc>
          <w:tcPr>
            <w:tcW w:w="1217"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公允价值</w:t>
            </w:r>
          </w:p>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（人民币元）</w:t>
            </w:r>
          </w:p>
        </w:tc>
        <w:tc>
          <w:tcPr>
            <w:tcW w:w="1217"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p>
        </w:tc>
      </w:tr>
      <w:tr w:rsidR="00691119">
        <w:tc>
          <w:tcPr>
            <w:tcW w:w="0" w:type="auto"/>
            <w:vAlign w:val="center"/>
          </w:tcPr>
          <w:p w:rsidR="00691119" w:rsidRDefault="003C6350">
            <w:pPr>
              <w:jc w:val="center"/>
            </w:pPr>
            <w:r>
              <w:rPr>
                <w:rFonts w:eastAsiaTheme="minorEastAsia"/>
                <w:color w:val="000000" w:themeColor="text1"/>
                <w:szCs w:val="21"/>
              </w:rPr>
              <w:t>1</w:t>
            </w:r>
          </w:p>
        </w:tc>
        <w:tc>
          <w:tcPr>
            <w:tcW w:w="0" w:type="auto"/>
            <w:vAlign w:val="center"/>
          </w:tcPr>
          <w:p w:rsidR="00691119" w:rsidRDefault="003C6350">
            <w:pPr>
              <w:jc w:val="center"/>
            </w:pPr>
            <w:r>
              <w:rPr>
                <w:rFonts w:eastAsiaTheme="minorEastAsia"/>
                <w:color w:val="000000" w:themeColor="text1"/>
                <w:szCs w:val="21"/>
              </w:rPr>
              <w:t>摩根恒生科技</w:t>
            </w:r>
            <w:r>
              <w:rPr>
                <w:rFonts w:eastAsiaTheme="minorEastAsia"/>
                <w:color w:val="000000" w:themeColor="text1"/>
                <w:szCs w:val="21"/>
              </w:rPr>
              <w:t>ETF(QDII)</w:t>
            </w:r>
          </w:p>
        </w:tc>
        <w:tc>
          <w:tcPr>
            <w:tcW w:w="0" w:type="auto"/>
            <w:vAlign w:val="center"/>
          </w:tcPr>
          <w:p w:rsidR="00691119" w:rsidRDefault="003C6350">
            <w:pPr>
              <w:jc w:val="center"/>
            </w:pPr>
            <w:r>
              <w:rPr>
                <w:rFonts w:eastAsiaTheme="minorEastAsia"/>
                <w:color w:val="000000" w:themeColor="text1"/>
                <w:szCs w:val="21"/>
              </w:rPr>
              <w:t>股票型</w:t>
            </w:r>
          </w:p>
        </w:tc>
        <w:tc>
          <w:tcPr>
            <w:tcW w:w="0" w:type="auto"/>
            <w:vAlign w:val="center"/>
          </w:tcPr>
          <w:p w:rsidR="00691119" w:rsidRDefault="003C6350">
            <w:pPr>
              <w:jc w:val="center"/>
            </w:pPr>
            <w:r>
              <w:rPr>
                <w:rFonts w:eastAsiaTheme="minorEastAsia"/>
                <w:color w:val="000000" w:themeColor="text1"/>
                <w:szCs w:val="21"/>
              </w:rPr>
              <w:t>交易型开放式</w:t>
            </w:r>
          </w:p>
        </w:tc>
        <w:tc>
          <w:tcPr>
            <w:tcW w:w="0" w:type="auto"/>
            <w:vAlign w:val="center"/>
          </w:tcPr>
          <w:p w:rsidR="00691119" w:rsidRDefault="003C6350">
            <w:pPr>
              <w:jc w:val="center"/>
            </w:pPr>
            <w:r>
              <w:rPr>
                <w:rFonts w:eastAsiaTheme="minorEastAsia"/>
                <w:color w:val="000000" w:themeColor="text1"/>
                <w:szCs w:val="21"/>
              </w:rPr>
              <w:t>摩根基金管理（中国）有限公司</w:t>
            </w:r>
          </w:p>
        </w:tc>
        <w:tc>
          <w:tcPr>
            <w:tcW w:w="0" w:type="auto"/>
            <w:vAlign w:val="center"/>
          </w:tcPr>
          <w:p w:rsidR="00691119" w:rsidRDefault="003C6350">
            <w:pPr>
              <w:jc w:val="right"/>
            </w:pPr>
            <w:r>
              <w:rPr>
                <w:rFonts w:eastAsiaTheme="minorEastAsia"/>
                <w:color w:val="000000" w:themeColor="text1"/>
                <w:szCs w:val="21"/>
              </w:rPr>
              <w:t>28,995,065.60</w:t>
            </w:r>
          </w:p>
        </w:tc>
        <w:tc>
          <w:tcPr>
            <w:tcW w:w="0" w:type="auto"/>
            <w:vAlign w:val="center"/>
          </w:tcPr>
          <w:p w:rsidR="00691119" w:rsidRDefault="003C6350">
            <w:pPr>
              <w:jc w:val="right"/>
            </w:pPr>
            <w:r>
              <w:rPr>
                <w:rFonts w:eastAsiaTheme="minorEastAsia"/>
                <w:color w:val="000000" w:themeColor="text1"/>
                <w:szCs w:val="21"/>
              </w:rPr>
              <w:t>96.72</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E963FD"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5.11</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5.11.1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5.11.2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E963FD" w:rsidP="0049659A">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3,048.15</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221,995.88</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lastRenderedPageBreak/>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225,044.03</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3,844,490.35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34,035,940.74</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2,286,799.06</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20,488,678.94</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1,468,052.30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23,426,433.77</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4,663,237.11</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31,098,185.91</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bookmarkStart w:id="1" w:name="_GoBack"/>
      <w:bookmarkEnd w:id="1"/>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rsidTr="00982AC4">
        <w:trPr>
          <w:trHeight w:val="248"/>
        </w:trPr>
        <w:tc>
          <w:tcPr>
            <w:tcW w:w="3167" w:type="dxa"/>
            <w:vAlign w:val="center"/>
          </w:tcPr>
          <w:p w:rsidR="00D678E4" w:rsidRPr="00FA472B" w:rsidRDefault="00D678E4" w:rsidP="00982AC4">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D678E4" w:rsidRPr="00FA472B" w:rsidRDefault="00D678E4" w:rsidP="00982AC4">
            <w:pPr>
              <w:jc w:val="center"/>
              <w:rPr>
                <w:sz w:val="24"/>
              </w:rPr>
            </w:pPr>
            <w:r w:rsidRPr="00FA472B">
              <w:rPr>
                <w:sz w:val="24"/>
              </w:rPr>
              <w:t>摩根恒生科技</w:t>
            </w:r>
            <w:r w:rsidRPr="00FA472B">
              <w:rPr>
                <w:sz w:val="24"/>
              </w:rPr>
              <w:t>ETF</w:t>
            </w:r>
            <w:r w:rsidRPr="00FA472B">
              <w:rPr>
                <w:sz w:val="24"/>
              </w:rPr>
              <w:t>发起式联接</w:t>
            </w:r>
            <w:r w:rsidRPr="00FA472B">
              <w:rPr>
                <w:sz w:val="24"/>
              </w:rPr>
              <w:t>(QDII)A</w:t>
            </w:r>
          </w:p>
        </w:tc>
        <w:tc>
          <w:tcPr>
            <w:tcW w:w="2631" w:type="dxa"/>
            <w:vAlign w:val="bottom"/>
          </w:tcPr>
          <w:p w:rsidR="00D678E4" w:rsidRPr="00FA472B" w:rsidRDefault="00D678E4" w:rsidP="00982AC4">
            <w:pPr>
              <w:jc w:val="center"/>
              <w:rPr>
                <w:sz w:val="24"/>
              </w:rPr>
            </w:pPr>
            <w:r w:rsidRPr="00FA472B">
              <w:rPr>
                <w:sz w:val="24"/>
              </w:rPr>
              <w:t>摩根恒生科技</w:t>
            </w:r>
            <w:r w:rsidRPr="00FA472B">
              <w:rPr>
                <w:sz w:val="24"/>
              </w:rPr>
              <w:t>ETF</w:t>
            </w:r>
            <w:r w:rsidRPr="00FA472B">
              <w:rPr>
                <w:sz w:val="24"/>
              </w:rPr>
              <w:t>发起式联接</w:t>
            </w:r>
            <w:r w:rsidRPr="00FA472B">
              <w:rPr>
                <w:sz w:val="24"/>
              </w:rPr>
              <w:t>(QDII)C</w:t>
            </w:r>
          </w:p>
        </w:tc>
      </w:tr>
      <w:tr w:rsidR="001952ED" w:rsidRPr="00E90B39" w:rsidTr="00982AC4">
        <w:trPr>
          <w:trHeight w:val="247"/>
        </w:trPr>
        <w:tc>
          <w:tcPr>
            <w:tcW w:w="3167" w:type="dxa"/>
            <w:vAlign w:val="center"/>
          </w:tcPr>
          <w:p w:rsidR="001952ED" w:rsidRPr="00FA472B" w:rsidRDefault="001952ED" w:rsidP="001952ED">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1952ED" w:rsidRPr="00FA472B" w:rsidRDefault="001952ED" w:rsidP="001952ED">
            <w:pPr>
              <w:jc w:val="right"/>
              <w:rPr>
                <w:sz w:val="24"/>
              </w:rPr>
            </w:pPr>
            <w:r w:rsidRPr="00FA472B">
              <w:rPr>
                <w:color w:val="000000"/>
                <w:sz w:val="24"/>
              </w:rPr>
              <w:t>-</w:t>
            </w:r>
          </w:p>
        </w:tc>
        <w:tc>
          <w:tcPr>
            <w:tcW w:w="2631" w:type="dxa"/>
            <w:vAlign w:val="center"/>
          </w:tcPr>
          <w:p w:rsidR="001952ED" w:rsidRPr="00FA472B" w:rsidRDefault="001952ED" w:rsidP="001952ED">
            <w:pPr>
              <w:jc w:val="right"/>
              <w:rPr>
                <w:sz w:val="24"/>
              </w:rPr>
            </w:pPr>
            <w:r w:rsidRPr="00FA472B">
              <w:rPr>
                <w:color w:val="000000"/>
                <w:sz w:val="24"/>
              </w:rPr>
              <w:t>10,000,097.22</w:t>
            </w:r>
          </w:p>
        </w:tc>
      </w:tr>
      <w:tr w:rsidR="001952ED" w:rsidRPr="00E90B39" w:rsidTr="00982AC4">
        <w:tc>
          <w:tcPr>
            <w:tcW w:w="3167" w:type="dxa"/>
            <w:vAlign w:val="center"/>
          </w:tcPr>
          <w:p w:rsidR="001952ED" w:rsidRPr="00FA472B" w:rsidRDefault="001952ED" w:rsidP="001952ED">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1952ED" w:rsidRPr="00FA472B" w:rsidRDefault="001952ED" w:rsidP="001952ED">
            <w:pPr>
              <w:jc w:val="right"/>
              <w:rPr>
                <w:color w:val="000000"/>
                <w:kern w:val="0"/>
                <w:sz w:val="24"/>
              </w:rPr>
            </w:pPr>
            <w:r w:rsidRPr="00FA472B">
              <w:rPr>
                <w:color w:val="000000"/>
                <w:sz w:val="24"/>
              </w:rPr>
              <w:t>-</w:t>
            </w:r>
          </w:p>
        </w:tc>
        <w:tc>
          <w:tcPr>
            <w:tcW w:w="2631" w:type="dxa"/>
            <w:vAlign w:val="center"/>
          </w:tcPr>
          <w:p w:rsidR="001952ED" w:rsidRPr="00FA472B" w:rsidRDefault="001952ED" w:rsidP="001952ED">
            <w:pPr>
              <w:jc w:val="right"/>
              <w:rPr>
                <w:color w:val="000000"/>
                <w:kern w:val="0"/>
                <w:sz w:val="24"/>
              </w:rPr>
            </w:pPr>
            <w:r w:rsidRPr="00FA472B">
              <w:rPr>
                <w:color w:val="000000"/>
                <w:sz w:val="24"/>
              </w:rPr>
              <w:t>-</w:t>
            </w:r>
          </w:p>
        </w:tc>
      </w:tr>
      <w:tr w:rsidR="001952ED" w:rsidRPr="00E90B39" w:rsidTr="00982AC4">
        <w:tc>
          <w:tcPr>
            <w:tcW w:w="3167" w:type="dxa"/>
            <w:vAlign w:val="center"/>
          </w:tcPr>
          <w:p w:rsidR="001952ED" w:rsidRPr="00FA472B" w:rsidRDefault="001952ED" w:rsidP="001952ED">
            <w:pPr>
              <w:adjustRightInd w:val="0"/>
              <w:snapToGrid w:val="0"/>
              <w:spacing w:line="360" w:lineRule="exact"/>
              <w:rPr>
                <w:color w:val="000000"/>
                <w:sz w:val="24"/>
              </w:rPr>
            </w:pPr>
            <w:r w:rsidRPr="003B42FF">
              <w:rPr>
                <w:rFonts w:eastAsiaTheme="minorEastAsia"/>
                <w:color w:val="000000" w:themeColor="text1"/>
                <w:kern w:val="0"/>
                <w:sz w:val="24"/>
              </w:rPr>
              <w:lastRenderedPageBreak/>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1952ED" w:rsidRPr="00FA472B" w:rsidRDefault="001952ED" w:rsidP="001952ED">
            <w:pPr>
              <w:jc w:val="right"/>
              <w:rPr>
                <w:color w:val="000000"/>
                <w:kern w:val="0"/>
                <w:sz w:val="24"/>
              </w:rPr>
            </w:pPr>
            <w:r w:rsidRPr="00FA472B">
              <w:rPr>
                <w:color w:val="000000"/>
                <w:sz w:val="24"/>
              </w:rPr>
              <w:t>-</w:t>
            </w:r>
          </w:p>
        </w:tc>
        <w:tc>
          <w:tcPr>
            <w:tcW w:w="2631" w:type="dxa"/>
            <w:vAlign w:val="center"/>
          </w:tcPr>
          <w:p w:rsidR="001952ED" w:rsidRPr="00FA472B" w:rsidRDefault="001952ED" w:rsidP="001952ED">
            <w:pPr>
              <w:jc w:val="right"/>
              <w:rPr>
                <w:color w:val="000000"/>
                <w:kern w:val="0"/>
                <w:sz w:val="24"/>
              </w:rPr>
            </w:pPr>
            <w:r w:rsidRPr="00FA472B">
              <w:rPr>
                <w:color w:val="000000"/>
                <w:sz w:val="24"/>
              </w:rPr>
              <w:t>-</w:t>
            </w:r>
          </w:p>
        </w:tc>
      </w:tr>
      <w:tr w:rsidR="001952ED" w:rsidRPr="00E90B39" w:rsidTr="00982AC4">
        <w:tc>
          <w:tcPr>
            <w:tcW w:w="3167" w:type="dxa"/>
            <w:vAlign w:val="center"/>
          </w:tcPr>
          <w:p w:rsidR="001952ED" w:rsidRPr="00FA472B" w:rsidRDefault="001952ED" w:rsidP="001952ED">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1952ED" w:rsidRPr="00FA472B" w:rsidRDefault="001952ED" w:rsidP="001952ED">
            <w:pPr>
              <w:jc w:val="right"/>
              <w:rPr>
                <w:sz w:val="24"/>
              </w:rPr>
            </w:pPr>
            <w:r w:rsidRPr="00FA472B">
              <w:rPr>
                <w:color w:val="000000"/>
                <w:sz w:val="24"/>
              </w:rPr>
              <w:t>-</w:t>
            </w:r>
          </w:p>
        </w:tc>
        <w:tc>
          <w:tcPr>
            <w:tcW w:w="2631" w:type="dxa"/>
            <w:vAlign w:val="center"/>
          </w:tcPr>
          <w:p w:rsidR="001952ED" w:rsidRPr="00FA472B" w:rsidRDefault="001952ED" w:rsidP="001952ED">
            <w:pPr>
              <w:jc w:val="right"/>
              <w:rPr>
                <w:sz w:val="24"/>
              </w:rPr>
            </w:pPr>
            <w:r w:rsidRPr="00FA472B">
              <w:rPr>
                <w:color w:val="000000"/>
                <w:sz w:val="24"/>
              </w:rPr>
              <w:t>10,000,097.22</w:t>
            </w:r>
          </w:p>
        </w:tc>
      </w:tr>
      <w:tr w:rsidR="001952ED" w:rsidRPr="00E90B39" w:rsidTr="00982AC4">
        <w:tc>
          <w:tcPr>
            <w:tcW w:w="3167" w:type="dxa"/>
            <w:vAlign w:val="center"/>
          </w:tcPr>
          <w:p w:rsidR="001952ED" w:rsidRPr="00FA472B" w:rsidRDefault="001952ED" w:rsidP="001952ED">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1952ED" w:rsidRPr="00FA472B" w:rsidRDefault="001952ED" w:rsidP="001952ED">
            <w:pPr>
              <w:jc w:val="right"/>
              <w:rPr>
                <w:color w:val="000000"/>
                <w:kern w:val="0"/>
                <w:sz w:val="24"/>
              </w:rPr>
            </w:pPr>
            <w:r w:rsidRPr="00FA472B">
              <w:rPr>
                <w:color w:val="000000"/>
                <w:sz w:val="24"/>
              </w:rPr>
              <w:t>-</w:t>
            </w:r>
          </w:p>
        </w:tc>
        <w:tc>
          <w:tcPr>
            <w:tcW w:w="2631" w:type="dxa"/>
            <w:vAlign w:val="center"/>
          </w:tcPr>
          <w:p w:rsidR="001952ED" w:rsidRPr="00FA472B" w:rsidRDefault="001952ED" w:rsidP="001952ED">
            <w:pPr>
              <w:jc w:val="right"/>
              <w:rPr>
                <w:color w:val="000000"/>
                <w:kern w:val="0"/>
                <w:sz w:val="24"/>
              </w:rPr>
            </w:pPr>
            <w:r w:rsidRPr="00FA472B">
              <w:rPr>
                <w:color w:val="000000"/>
                <w:sz w:val="24"/>
              </w:rPr>
              <w:t>27.96</w:t>
            </w:r>
          </w:p>
        </w:tc>
      </w:tr>
    </w:tbl>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AB2DFA" w:rsidRPr="00A3398F" w:rsidRDefault="00AB2DFA"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bCs w:val="0"/>
          <w:color w:val="000000" w:themeColor="text1"/>
          <w:kern w:val="2"/>
          <w:sz w:val="24"/>
          <w:szCs w:val="24"/>
        </w:rPr>
        <w:t xml:space="preserve">§8  </w:t>
      </w:r>
      <w:r w:rsidR="00861D07" w:rsidRPr="00A3398F">
        <w:rPr>
          <w:rFonts w:eastAsiaTheme="minorEastAsia"/>
          <w:bCs w:val="0"/>
          <w:color w:val="000000" w:themeColor="text1"/>
          <w:kern w:val="2"/>
          <w:sz w:val="24"/>
          <w:szCs w:val="24"/>
        </w:rPr>
        <w:t>报告期末</w:t>
      </w:r>
      <w:r w:rsidRPr="00A3398F">
        <w:rPr>
          <w:rFonts w:eastAsiaTheme="minorEastAsia"/>
          <w:bCs w:val="0"/>
          <w:color w:val="000000" w:themeColor="text1"/>
          <w:kern w:val="2"/>
          <w:sz w:val="24"/>
          <w:szCs w:val="24"/>
        </w:rPr>
        <w:t>发起式基金</w:t>
      </w:r>
      <w:r w:rsidRPr="00A3398F">
        <w:rPr>
          <w:rFonts w:eastAsiaTheme="minorEastAsia"/>
          <w:color w:val="000000" w:themeColor="text1"/>
          <w:kern w:val="0"/>
          <w:sz w:val="24"/>
          <w:szCs w:val="24"/>
        </w:rPr>
        <w:t>发起资金持有份额情况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8277FF" w:rsidRPr="00A3398F" w:rsidTr="003C6350">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widowControl/>
              <w:jc w:val="center"/>
              <w:rPr>
                <w:rFonts w:eastAsiaTheme="minorEastAsia"/>
                <w:color w:val="000000" w:themeColor="text1"/>
                <w:szCs w:val="21"/>
              </w:rPr>
            </w:pPr>
            <w:r w:rsidRPr="00A3398F">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widowControl/>
              <w:jc w:val="center"/>
              <w:rPr>
                <w:rFonts w:eastAsiaTheme="minorEastAsia"/>
                <w:color w:val="000000" w:themeColor="text1"/>
                <w:szCs w:val="21"/>
              </w:rPr>
            </w:pPr>
            <w:r w:rsidRPr="00A3398F">
              <w:rPr>
                <w:rFonts w:eastAsiaTheme="minorEastAsia"/>
                <w:color w:val="000000" w:themeColor="text1"/>
                <w:szCs w:val="21"/>
              </w:rPr>
              <w:t>发起份额承诺持有期限</w:t>
            </w:r>
          </w:p>
        </w:tc>
      </w:tr>
      <w:tr w:rsidR="003C6350" w:rsidRPr="00A3398F" w:rsidTr="003C6350">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314" w:type="dxa"/>
            <w:tcBorders>
              <w:top w:val="single" w:sz="4" w:space="0" w:color="auto"/>
              <w:left w:val="single" w:sz="4" w:space="0" w:color="auto"/>
              <w:bottom w:val="single" w:sz="4" w:space="0" w:color="auto"/>
              <w:right w:val="single" w:sz="4" w:space="0" w:color="auto"/>
            </w:tcBorders>
            <w:vAlign w:val="center"/>
            <w:hideMark/>
          </w:tcPr>
          <w:p w:rsidR="003C6350" w:rsidRPr="003C6350" w:rsidRDefault="003C6350" w:rsidP="003C6350">
            <w:pPr>
              <w:adjustRightInd w:val="0"/>
              <w:snapToGrid w:val="0"/>
              <w:spacing w:line="360" w:lineRule="exact"/>
              <w:jc w:val="right"/>
              <w:rPr>
                <w:rFonts w:eastAsiaTheme="minorEastAsia"/>
                <w:color w:val="000000" w:themeColor="text1"/>
                <w:kern w:val="0"/>
                <w:szCs w:val="21"/>
              </w:rPr>
            </w:pPr>
            <w:r w:rsidRPr="003C6350">
              <w:rPr>
                <w:rFonts w:eastAsiaTheme="minorEastAsia" w:hint="eastAsia"/>
                <w:color w:val="000000" w:themeColor="text1"/>
                <w:kern w:val="0"/>
                <w:szCs w:val="21"/>
              </w:rPr>
              <w:t>27.96%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458" w:type="dxa"/>
            <w:tcBorders>
              <w:top w:val="single" w:sz="4" w:space="0" w:color="auto"/>
              <w:left w:val="single" w:sz="4" w:space="0" w:color="auto"/>
              <w:bottom w:val="single" w:sz="4" w:space="0" w:color="auto"/>
              <w:right w:val="single" w:sz="4" w:space="0" w:color="auto"/>
            </w:tcBorders>
            <w:vAlign w:val="center"/>
            <w:hideMark/>
          </w:tcPr>
          <w:p w:rsidR="003C6350" w:rsidRPr="003C6350" w:rsidRDefault="003C6350" w:rsidP="003C6350">
            <w:pPr>
              <w:adjustRightInd w:val="0"/>
              <w:snapToGrid w:val="0"/>
              <w:spacing w:line="360" w:lineRule="exact"/>
              <w:jc w:val="right"/>
              <w:rPr>
                <w:rFonts w:eastAsiaTheme="minorEastAsia"/>
                <w:color w:val="000000" w:themeColor="text1"/>
                <w:kern w:val="0"/>
                <w:szCs w:val="21"/>
              </w:rPr>
            </w:pPr>
            <w:r w:rsidRPr="003C6350">
              <w:rPr>
                <w:rFonts w:eastAsiaTheme="minorEastAsia" w:hint="eastAsia"/>
                <w:color w:val="000000" w:themeColor="text1"/>
                <w:kern w:val="0"/>
                <w:szCs w:val="21"/>
              </w:rPr>
              <w:t>27.96%</w:t>
            </w:r>
          </w:p>
        </w:tc>
        <w:tc>
          <w:tcPr>
            <w:tcW w:w="1495"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年</w:t>
            </w:r>
          </w:p>
        </w:tc>
      </w:tr>
      <w:tr w:rsidR="003C6350" w:rsidRPr="00A3398F" w:rsidTr="003C6350">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3C6350" w:rsidRPr="00A3398F" w:rsidTr="003C6350">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3C6350" w:rsidRPr="00A3398F" w:rsidTr="003C6350">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3C6350" w:rsidRPr="00A3398F" w:rsidTr="003C6350">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3C6350" w:rsidRPr="00A3398F" w:rsidTr="003C6350">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314" w:type="dxa"/>
            <w:tcBorders>
              <w:top w:val="single" w:sz="4" w:space="0" w:color="auto"/>
              <w:left w:val="single" w:sz="4" w:space="0" w:color="auto"/>
              <w:bottom w:val="single" w:sz="4" w:space="0" w:color="auto"/>
              <w:right w:val="single" w:sz="4" w:space="0" w:color="auto"/>
            </w:tcBorders>
            <w:vAlign w:val="center"/>
            <w:hideMark/>
          </w:tcPr>
          <w:p w:rsidR="003C6350" w:rsidRPr="003C6350" w:rsidRDefault="003C6350" w:rsidP="003C6350">
            <w:pPr>
              <w:adjustRightInd w:val="0"/>
              <w:snapToGrid w:val="0"/>
              <w:spacing w:line="360" w:lineRule="exact"/>
              <w:jc w:val="right"/>
              <w:rPr>
                <w:rFonts w:eastAsiaTheme="minorEastAsia"/>
                <w:color w:val="000000" w:themeColor="text1"/>
                <w:kern w:val="0"/>
                <w:szCs w:val="21"/>
              </w:rPr>
            </w:pPr>
            <w:r w:rsidRPr="003C6350">
              <w:rPr>
                <w:rFonts w:eastAsiaTheme="minorEastAsia" w:hint="eastAsia"/>
                <w:color w:val="000000" w:themeColor="text1"/>
                <w:kern w:val="0"/>
                <w:szCs w:val="21"/>
              </w:rPr>
              <w:t>27.96%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458" w:type="dxa"/>
            <w:tcBorders>
              <w:top w:val="single" w:sz="4" w:space="0" w:color="auto"/>
              <w:left w:val="single" w:sz="4" w:space="0" w:color="auto"/>
              <w:bottom w:val="single" w:sz="4" w:space="0" w:color="auto"/>
              <w:right w:val="single" w:sz="4" w:space="0" w:color="auto"/>
            </w:tcBorders>
            <w:vAlign w:val="center"/>
            <w:hideMark/>
          </w:tcPr>
          <w:p w:rsidR="003C6350" w:rsidRPr="003C6350" w:rsidRDefault="003C6350" w:rsidP="003C6350">
            <w:pPr>
              <w:adjustRightInd w:val="0"/>
              <w:snapToGrid w:val="0"/>
              <w:spacing w:line="360" w:lineRule="exact"/>
              <w:jc w:val="right"/>
              <w:rPr>
                <w:rFonts w:eastAsiaTheme="minorEastAsia"/>
                <w:color w:val="000000" w:themeColor="text1"/>
                <w:kern w:val="0"/>
                <w:szCs w:val="21"/>
              </w:rPr>
            </w:pPr>
            <w:r w:rsidRPr="003C6350">
              <w:rPr>
                <w:rFonts w:eastAsiaTheme="minorEastAsia" w:hint="eastAsia"/>
                <w:color w:val="000000" w:themeColor="text1"/>
                <w:kern w:val="0"/>
                <w:szCs w:val="21"/>
              </w:rPr>
              <w:t>27.96%</w:t>
            </w:r>
          </w:p>
        </w:tc>
        <w:tc>
          <w:tcPr>
            <w:tcW w:w="1495" w:type="dxa"/>
            <w:tcBorders>
              <w:top w:val="single" w:sz="4" w:space="0" w:color="auto"/>
              <w:left w:val="single" w:sz="4" w:space="0" w:color="auto"/>
              <w:bottom w:val="single" w:sz="4" w:space="0" w:color="auto"/>
              <w:right w:val="single" w:sz="4" w:space="0" w:color="auto"/>
            </w:tcBorders>
            <w:vAlign w:val="center"/>
            <w:hideMark/>
          </w:tcPr>
          <w:p w:rsidR="003C6350" w:rsidRPr="00A3398F" w:rsidRDefault="003C6350" w:rsidP="003C6350">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年</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B111B9" w:rsidRPr="00A3398F">
        <w:rPr>
          <w:rFonts w:eastAsiaTheme="minorEastAsia"/>
          <w:color w:val="000000" w:themeColor="text1"/>
          <w:kern w:val="0"/>
          <w:sz w:val="24"/>
          <w:szCs w:val="24"/>
        </w:rPr>
        <w:t xml:space="preserve">9 </w:t>
      </w:r>
      <w:r w:rsidRPr="00A3398F">
        <w:rPr>
          <w:rFonts w:eastAsiaTheme="minorEastAsia"/>
          <w:color w:val="000000" w:themeColor="text1"/>
          <w:kern w:val="0"/>
          <w:sz w:val="24"/>
          <w:szCs w:val="24"/>
        </w:rPr>
        <w:t>影响投资者决策的其他重要信息</w:t>
      </w:r>
    </w:p>
    <w:p w:rsidR="00FA3195" w:rsidRPr="00A3398F" w:rsidRDefault="00FA3195" w:rsidP="00FA3195">
      <w:pPr>
        <w:autoSpaceDE w:val="0"/>
        <w:autoSpaceDN w:val="0"/>
        <w:adjustRightInd w:val="0"/>
        <w:spacing w:line="360" w:lineRule="auto"/>
        <w:jc w:val="left"/>
        <w:rPr>
          <w:b/>
          <w:bCs/>
          <w:color w:val="000000"/>
          <w:kern w:val="0"/>
          <w:sz w:val="24"/>
        </w:rPr>
      </w:pPr>
      <w:r w:rsidRPr="00A3398F">
        <w:rPr>
          <w:b/>
          <w:bCs/>
          <w:color w:val="000000"/>
          <w:kern w:val="0"/>
          <w:sz w:val="24"/>
        </w:rPr>
        <w:t xml:space="preserve">9.1 </w:t>
      </w:r>
      <w:r w:rsidRPr="00A3398F">
        <w:rPr>
          <w:b/>
          <w:bCs/>
          <w:color w:val="000000"/>
          <w:kern w:val="0"/>
          <w:sz w:val="24"/>
        </w:rPr>
        <w:t>报告期内单一投资者持有基金份额比例达到或超过</w:t>
      </w:r>
      <w:r w:rsidRPr="00A3398F">
        <w:rPr>
          <w:b/>
          <w:bCs/>
          <w:color w:val="000000"/>
          <w:kern w:val="0"/>
          <w:sz w:val="24"/>
        </w:rPr>
        <w:t>20%</w:t>
      </w:r>
      <w:r w:rsidRPr="00A3398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A3195" w:rsidRPr="00A3398F" w:rsidTr="00EF4716">
        <w:tc>
          <w:tcPr>
            <w:tcW w:w="993" w:type="dxa"/>
            <w:vMerge w:val="restart"/>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投资者类别</w:t>
            </w:r>
            <w:r w:rsidRPr="00A3398F">
              <w:rPr>
                <w:color w:val="000000"/>
                <w:kern w:val="0"/>
                <w:szCs w:val="21"/>
              </w:rPr>
              <w:t xml:space="preserve">  </w:t>
            </w:r>
          </w:p>
        </w:tc>
        <w:tc>
          <w:tcPr>
            <w:tcW w:w="5670" w:type="dxa"/>
            <w:gridSpan w:val="5"/>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报告期内持有基金份额变化情况</w:t>
            </w:r>
          </w:p>
        </w:tc>
        <w:tc>
          <w:tcPr>
            <w:tcW w:w="2549" w:type="dxa"/>
            <w:gridSpan w:val="2"/>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报告期末持有基金情况</w:t>
            </w:r>
          </w:p>
        </w:tc>
      </w:tr>
      <w:tr w:rsidR="00FA3195" w:rsidRPr="00A3398F" w:rsidTr="00EF4716">
        <w:tc>
          <w:tcPr>
            <w:tcW w:w="993" w:type="dxa"/>
            <w:vMerge/>
            <w:vAlign w:val="center"/>
          </w:tcPr>
          <w:p w:rsidR="00FA3195" w:rsidRPr="00A3398F" w:rsidRDefault="00FA3195" w:rsidP="00EF4716">
            <w:pPr>
              <w:autoSpaceDE w:val="0"/>
              <w:autoSpaceDN w:val="0"/>
              <w:adjustRightInd w:val="0"/>
              <w:jc w:val="center"/>
              <w:rPr>
                <w:b/>
                <w:bCs/>
                <w:color w:val="000000"/>
                <w:kern w:val="0"/>
                <w:szCs w:val="21"/>
              </w:rPr>
            </w:pPr>
          </w:p>
        </w:tc>
        <w:tc>
          <w:tcPr>
            <w:tcW w:w="992"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序号</w:t>
            </w:r>
          </w:p>
        </w:tc>
        <w:tc>
          <w:tcPr>
            <w:tcW w:w="1843"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持有基金份额比例达到或者超过</w:t>
            </w:r>
            <w:r w:rsidRPr="00A3398F">
              <w:rPr>
                <w:color w:val="000000"/>
                <w:kern w:val="0"/>
                <w:szCs w:val="21"/>
              </w:rPr>
              <w:t>20%</w:t>
            </w:r>
            <w:r w:rsidRPr="00A3398F">
              <w:rPr>
                <w:color w:val="000000"/>
                <w:kern w:val="0"/>
                <w:szCs w:val="21"/>
              </w:rPr>
              <w:t>的时间区间</w:t>
            </w:r>
          </w:p>
        </w:tc>
        <w:tc>
          <w:tcPr>
            <w:tcW w:w="851" w:type="dxa"/>
            <w:vAlign w:val="center"/>
          </w:tcPr>
          <w:p w:rsidR="00FA3195" w:rsidRPr="00A3398F" w:rsidRDefault="00FA3195" w:rsidP="00EF4716">
            <w:pPr>
              <w:widowControl/>
              <w:jc w:val="center"/>
              <w:rPr>
                <w:b/>
                <w:bCs/>
                <w:color w:val="000000"/>
                <w:kern w:val="0"/>
                <w:szCs w:val="21"/>
              </w:rPr>
            </w:pPr>
            <w:r w:rsidRPr="00A3398F">
              <w:rPr>
                <w:color w:val="000000"/>
                <w:kern w:val="0"/>
                <w:szCs w:val="21"/>
              </w:rPr>
              <w:t>期初份额</w:t>
            </w:r>
          </w:p>
        </w:tc>
        <w:tc>
          <w:tcPr>
            <w:tcW w:w="850" w:type="dxa"/>
            <w:vAlign w:val="center"/>
          </w:tcPr>
          <w:p w:rsidR="00FA3195" w:rsidRPr="00A3398F" w:rsidRDefault="00FA3195" w:rsidP="00EF4716">
            <w:pPr>
              <w:widowControl/>
              <w:jc w:val="center"/>
              <w:rPr>
                <w:b/>
                <w:bCs/>
                <w:color w:val="000000"/>
                <w:kern w:val="0"/>
                <w:szCs w:val="21"/>
              </w:rPr>
            </w:pPr>
            <w:r w:rsidRPr="00A3398F">
              <w:rPr>
                <w:color w:val="000000"/>
                <w:kern w:val="0"/>
                <w:szCs w:val="21"/>
              </w:rPr>
              <w:t>申购份额</w:t>
            </w:r>
          </w:p>
        </w:tc>
        <w:tc>
          <w:tcPr>
            <w:tcW w:w="1134" w:type="dxa"/>
            <w:vAlign w:val="center"/>
          </w:tcPr>
          <w:p w:rsidR="00FA3195" w:rsidRPr="00A3398F" w:rsidRDefault="00FA3195" w:rsidP="00EF4716">
            <w:pPr>
              <w:widowControl/>
              <w:jc w:val="center"/>
              <w:rPr>
                <w:b/>
                <w:bCs/>
                <w:color w:val="000000"/>
                <w:kern w:val="0"/>
                <w:szCs w:val="21"/>
              </w:rPr>
            </w:pPr>
            <w:r w:rsidRPr="00A3398F">
              <w:rPr>
                <w:color w:val="000000"/>
                <w:kern w:val="0"/>
                <w:szCs w:val="21"/>
              </w:rPr>
              <w:t>赎回份额</w:t>
            </w:r>
          </w:p>
        </w:tc>
        <w:tc>
          <w:tcPr>
            <w:tcW w:w="1419"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持有份额</w:t>
            </w:r>
          </w:p>
        </w:tc>
        <w:tc>
          <w:tcPr>
            <w:tcW w:w="1130"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份额占比</w:t>
            </w:r>
          </w:p>
        </w:tc>
      </w:tr>
      <w:tr w:rsidR="00691119">
        <w:tc>
          <w:tcPr>
            <w:tcW w:w="993" w:type="dxa"/>
            <w:vAlign w:val="center"/>
          </w:tcPr>
          <w:p w:rsidR="00691119" w:rsidRDefault="003C6350">
            <w:r>
              <w:rPr>
                <w:bCs/>
                <w:color w:val="000000"/>
                <w:kern w:val="0"/>
                <w:szCs w:val="21"/>
              </w:rPr>
              <w:t>机构</w:t>
            </w:r>
          </w:p>
        </w:tc>
        <w:tc>
          <w:tcPr>
            <w:tcW w:w="992" w:type="dxa"/>
            <w:vAlign w:val="center"/>
          </w:tcPr>
          <w:p w:rsidR="00691119" w:rsidRDefault="003C6350">
            <w:pPr>
              <w:jc w:val="center"/>
            </w:pPr>
            <w:r>
              <w:rPr>
                <w:color w:val="000000"/>
                <w:kern w:val="0"/>
                <w:szCs w:val="21"/>
              </w:rPr>
              <w:t>1</w:t>
            </w:r>
          </w:p>
        </w:tc>
        <w:tc>
          <w:tcPr>
            <w:tcW w:w="1843" w:type="dxa"/>
            <w:vAlign w:val="center"/>
          </w:tcPr>
          <w:p w:rsidR="00691119" w:rsidRDefault="003C6350">
            <w:pPr>
              <w:jc w:val="center"/>
            </w:pPr>
            <w:r>
              <w:rPr>
                <w:color w:val="000000"/>
                <w:kern w:val="0"/>
                <w:szCs w:val="21"/>
              </w:rPr>
              <w:t>20240101-20240331</w:t>
            </w:r>
          </w:p>
        </w:tc>
        <w:tc>
          <w:tcPr>
            <w:tcW w:w="851" w:type="dxa"/>
            <w:vAlign w:val="center"/>
          </w:tcPr>
          <w:p w:rsidR="00691119" w:rsidRDefault="003C6350">
            <w:pPr>
              <w:jc w:val="center"/>
            </w:pPr>
            <w:r>
              <w:rPr>
                <w:color w:val="000000"/>
                <w:kern w:val="0"/>
                <w:szCs w:val="21"/>
              </w:rPr>
              <w:t>10,000,097.22</w:t>
            </w:r>
          </w:p>
        </w:tc>
        <w:tc>
          <w:tcPr>
            <w:tcW w:w="850" w:type="dxa"/>
            <w:vAlign w:val="center"/>
          </w:tcPr>
          <w:p w:rsidR="00691119" w:rsidRDefault="003C6350">
            <w:pPr>
              <w:jc w:val="center"/>
            </w:pPr>
            <w:r>
              <w:rPr>
                <w:color w:val="000000"/>
                <w:kern w:val="0"/>
                <w:szCs w:val="21"/>
              </w:rPr>
              <w:t>0.00</w:t>
            </w:r>
          </w:p>
        </w:tc>
        <w:tc>
          <w:tcPr>
            <w:tcW w:w="1134" w:type="dxa"/>
            <w:vAlign w:val="center"/>
          </w:tcPr>
          <w:p w:rsidR="00691119" w:rsidRDefault="003C6350">
            <w:pPr>
              <w:jc w:val="center"/>
            </w:pPr>
            <w:r>
              <w:rPr>
                <w:color w:val="000000"/>
                <w:kern w:val="0"/>
                <w:szCs w:val="21"/>
              </w:rPr>
              <w:t>0.00</w:t>
            </w:r>
          </w:p>
        </w:tc>
        <w:tc>
          <w:tcPr>
            <w:tcW w:w="1419" w:type="dxa"/>
            <w:vAlign w:val="center"/>
          </w:tcPr>
          <w:p w:rsidR="00691119" w:rsidRDefault="003C6350">
            <w:pPr>
              <w:jc w:val="center"/>
            </w:pPr>
            <w:r>
              <w:rPr>
                <w:color w:val="000000"/>
                <w:kern w:val="0"/>
                <w:szCs w:val="21"/>
              </w:rPr>
              <w:t>10,000,097.22</w:t>
            </w:r>
          </w:p>
        </w:tc>
        <w:tc>
          <w:tcPr>
            <w:tcW w:w="1130" w:type="dxa"/>
            <w:vAlign w:val="center"/>
          </w:tcPr>
          <w:p w:rsidR="00691119" w:rsidRDefault="003C6350">
            <w:pPr>
              <w:jc w:val="center"/>
            </w:pPr>
            <w:r>
              <w:rPr>
                <w:color w:val="000000"/>
                <w:kern w:val="0"/>
                <w:szCs w:val="21"/>
              </w:rPr>
              <w:t>27.96%</w:t>
            </w:r>
          </w:p>
        </w:tc>
      </w:tr>
      <w:tr w:rsidR="00FA3195" w:rsidRPr="00A3398F" w:rsidTr="00EF4716">
        <w:tc>
          <w:tcPr>
            <w:tcW w:w="9212" w:type="dxa"/>
            <w:gridSpan w:val="8"/>
            <w:vAlign w:val="center"/>
          </w:tcPr>
          <w:p w:rsidR="00FA3195" w:rsidRPr="00A3398F" w:rsidRDefault="00FA3195" w:rsidP="00EF4716">
            <w:pPr>
              <w:autoSpaceDE w:val="0"/>
              <w:autoSpaceDN w:val="0"/>
              <w:adjustRightInd w:val="0"/>
              <w:jc w:val="center"/>
              <w:rPr>
                <w:kern w:val="0"/>
                <w:szCs w:val="21"/>
              </w:rPr>
            </w:pPr>
            <w:r w:rsidRPr="00A3398F">
              <w:rPr>
                <w:color w:val="000000"/>
                <w:kern w:val="0"/>
                <w:szCs w:val="21"/>
              </w:rPr>
              <w:t>产品特有风险</w:t>
            </w:r>
          </w:p>
        </w:tc>
      </w:tr>
      <w:tr w:rsidR="00FA3195" w:rsidRPr="00A3398F" w:rsidTr="00EF4716">
        <w:tc>
          <w:tcPr>
            <w:tcW w:w="9212" w:type="dxa"/>
            <w:gridSpan w:val="8"/>
            <w:vAlign w:val="center"/>
          </w:tcPr>
          <w:p w:rsidR="00FA3195" w:rsidRPr="00A3398F" w:rsidRDefault="00FA3195" w:rsidP="00EF4716">
            <w:pPr>
              <w:autoSpaceDE w:val="0"/>
              <w:autoSpaceDN w:val="0"/>
              <w:adjustRightInd w:val="0"/>
              <w:jc w:val="left"/>
              <w:rPr>
                <w:kern w:val="0"/>
                <w:szCs w:val="21"/>
              </w:rPr>
            </w:pPr>
            <w:r w:rsidRPr="00A3398F">
              <w:rPr>
                <w:kern w:val="0"/>
                <w:szCs w:val="21"/>
              </w:rPr>
              <w:t>本基金的集中度风险主要体现在有单一投资者持有基金份额比例达到或者超过</w:t>
            </w:r>
            <w:r w:rsidRPr="00A3398F">
              <w:rPr>
                <w:kern w:val="0"/>
                <w:szCs w:val="21"/>
              </w:rPr>
              <w:t>20%</w:t>
            </w:r>
            <w:r w:rsidRPr="00A3398F">
              <w:rPr>
                <w:kern w:val="0"/>
                <w:szCs w:val="21"/>
              </w:rPr>
              <w:t>，如果投资者发生大额赎回，可能出现基金可变现资产无法满足投资者赎回需要以及因为资产变现成本过高导致投资者的利益受到损害的风险。</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w:t>
      </w:r>
      <w:r w:rsidR="002711AA" w:rsidRPr="00A3398F">
        <w:rPr>
          <w:rFonts w:eastAsiaTheme="minorEastAsia"/>
          <w:color w:val="000000" w:themeColor="text1"/>
          <w:kern w:val="0"/>
          <w:sz w:val="24"/>
          <w:szCs w:val="24"/>
        </w:rPr>
        <w:t>10</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摩根恒生科技交易型开放式指数证券投资基金发起式联接基金</w:t>
      </w:r>
      <w:r>
        <w:rPr>
          <w:rFonts w:eastAsiaTheme="minorEastAsia"/>
          <w:color w:val="000000" w:themeColor="text1"/>
          <w:szCs w:val="21"/>
        </w:rPr>
        <w:t>(QDII)</w:t>
      </w:r>
      <w:r>
        <w:rPr>
          <w:rFonts w:eastAsiaTheme="minorEastAsia"/>
          <w:color w:val="000000" w:themeColor="text1"/>
          <w:szCs w:val="21"/>
        </w:rPr>
        <w:t>基金合同</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摩根恒生科技交易型开放式指数证券投资基金发起式联接基金</w:t>
      </w:r>
      <w:r>
        <w:rPr>
          <w:rFonts w:eastAsiaTheme="minorEastAsia"/>
          <w:color w:val="000000" w:themeColor="text1"/>
          <w:szCs w:val="21"/>
        </w:rPr>
        <w:t>(QDII)</w:t>
      </w:r>
      <w:r>
        <w:rPr>
          <w:rFonts w:eastAsiaTheme="minorEastAsia"/>
          <w:color w:val="000000" w:themeColor="text1"/>
          <w:szCs w:val="21"/>
        </w:rPr>
        <w:t>托管协议</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691119" w:rsidRDefault="003C6350">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（八）中国证监会要求的其他文件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基金管理人或基金托管人处。</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二〇二四年四月二十二日</w:t>
      </w:r>
    </w:p>
    <w:sectPr w:rsidR="0076518F" w:rsidRPr="00A3398F" w:rsidSect="00DB4450">
      <w:headerReference w:type="even" r:id="rId12"/>
      <w:footerReference w:type="even" r:id="rId13"/>
      <w:footerReference w:type="default" r:id="rId14"/>
      <w:headerReference w:type="first" r:id="rId15"/>
      <w:footerReference w:type="firs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48" w:rsidRDefault="00E21D48">
      <w:r>
        <w:separator/>
      </w:r>
    </w:p>
  </w:endnote>
  <w:endnote w:type="continuationSeparator" w:id="0">
    <w:p w:rsidR="00E21D48" w:rsidRDefault="00E2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Pr="001D0DB0" w:rsidRDefault="00982AC4"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B15A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B15A2">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82AC4" w:rsidRDefault="00982A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B15A2">
      <w:rPr>
        <w:rStyle w:val="a8"/>
        <w:noProof/>
      </w:rPr>
      <w:t>13</w:t>
    </w:r>
    <w:r>
      <w:rPr>
        <w:rStyle w:val="a8"/>
      </w:rPr>
      <w:fldChar w:fldCharType="end"/>
    </w:r>
  </w:p>
  <w:p w:rsidR="00982AC4" w:rsidRDefault="00982AC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48" w:rsidRDefault="00E21D48">
      <w:r>
        <w:separator/>
      </w:r>
    </w:p>
  </w:footnote>
  <w:footnote w:type="continuationSeparator" w:id="0">
    <w:p w:rsidR="00E21D48" w:rsidRDefault="00E2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Pr="006669C9" w:rsidRDefault="00982AC4" w:rsidP="001D1356">
    <w:pPr>
      <w:pStyle w:val="aa"/>
      <w:pBdr>
        <w:bottom w:val="single" w:sz="6" w:space="0" w:color="auto"/>
      </w:pBdr>
      <w:jc w:val="right"/>
    </w:pPr>
    <w:r w:rsidRPr="006669C9">
      <w:t>摩根恒生科技交易型开放式指数证券投资基金发起式联接基金</w:t>
    </w:r>
    <w:r w:rsidRPr="006669C9">
      <w:t>(QDII)2024</w:t>
    </w:r>
    <w:r w:rsidRPr="006669C9">
      <w:t>年第</w:t>
    </w:r>
    <w:r w:rsidRPr="006669C9">
      <w:t>1</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64FB"/>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2D70"/>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952ED"/>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E7AB7"/>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350"/>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0A34"/>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19"/>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4E90"/>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3C5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8F6"/>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2AC4"/>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161F"/>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64A"/>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7C8"/>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054E"/>
    <w:rsid w:val="00DD2809"/>
    <w:rsid w:val="00DD7EA2"/>
    <w:rsid w:val="00DE00F2"/>
    <w:rsid w:val="00DE07B4"/>
    <w:rsid w:val="00DE117F"/>
    <w:rsid w:val="00DE279B"/>
    <w:rsid w:val="00DE2B64"/>
    <w:rsid w:val="00DE3C5A"/>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1D48"/>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3FD"/>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15A2"/>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 w:type="character" w:customStyle="1" w:styleId="t1">
    <w:name w:val="t1"/>
    <w:rsid w:val="002E7AB7"/>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08445169">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A8BA4-D7A7-43B0-8965-070E13E3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qdii</Template>
  <TotalTime>139</TotalTime>
  <Pages>15</Pages>
  <Words>1235</Words>
  <Characters>7046</Characters>
  <Application>Microsoft Office Word</Application>
  <DocSecurity>0</DocSecurity>
  <Lines>58</Lines>
  <Paragraphs>16</Paragraphs>
  <ScaleCrop>false</ScaleCrop>
  <Company>TRT. Ltd. Co.</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47</cp:revision>
  <cp:lastPrinted>2007-07-19T00:46:00Z</cp:lastPrinted>
  <dcterms:created xsi:type="dcterms:W3CDTF">2014-12-16T02:40:00Z</dcterms:created>
  <dcterms:modified xsi:type="dcterms:W3CDTF">2024-04-19T02:57:00Z</dcterms:modified>
</cp:coreProperties>
</file>