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1775" w14:textId="77777777" w:rsidR="001548F9" w:rsidRPr="007C68A4" w:rsidRDefault="001548F9" w:rsidP="006D141C">
      <w:pPr>
        <w:autoSpaceDE w:val="0"/>
        <w:autoSpaceDN w:val="0"/>
        <w:adjustRightInd w:val="0"/>
        <w:spacing w:line="360" w:lineRule="auto"/>
        <w:jc w:val="left"/>
        <w:rPr>
          <w:rFonts w:hint="eastAsia"/>
          <w:color w:val="000000" w:themeColor="text1"/>
          <w:kern w:val="0"/>
          <w:szCs w:val="21"/>
        </w:rPr>
      </w:pPr>
    </w:p>
    <w:p w14:paraId="5B27B64C" w14:textId="77777777" w:rsidR="001548F9" w:rsidRPr="007C68A4" w:rsidRDefault="001548F9" w:rsidP="006D141C">
      <w:pPr>
        <w:autoSpaceDE w:val="0"/>
        <w:autoSpaceDN w:val="0"/>
        <w:adjustRightInd w:val="0"/>
        <w:spacing w:line="360" w:lineRule="auto"/>
        <w:jc w:val="left"/>
        <w:rPr>
          <w:color w:val="000000" w:themeColor="text1"/>
          <w:kern w:val="0"/>
          <w:szCs w:val="21"/>
        </w:rPr>
      </w:pPr>
    </w:p>
    <w:p w14:paraId="1D8976CD" w14:textId="77777777" w:rsidR="001548F9" w:rsidRPr="007C68A4" w:rsidRDefault="001548F9" w:rsidP="006D141C">
      <w:pPr>
        <w:autoSpaceDE w:val="0"/>
        <w:autoSpaceDN w:val="0"/>
        <w:adjustRightInd w:val="0"/>
        <w:spacing w:line="360" w:lineRule="auto"/>
        <w:jc w:val="left"/>
        <w:rPr>
          <w:color w:val="000000" w:themeColor="text1"/>
          <w:kern w:val="0"/>
          <w:szCs w:val="21"/>
        </w:rPr>
      </w:pPr>
    </w:p>
    <w:p w14:paraId="3D9F4D3F" w14:textId="77777777" w:rsidR="001548F9" w:rsidRPr="007C68A4" w:rsidRDefault="001548F9" w:rsidP="006D141C">
      <w:pPr>
        <w:autoSpaceDE w:val="0"/>
        <w:autoSpaceDN w:val="0"/>
        <w:adjustRightInd w:val="0"/>
        <w:spacing w:line="360" w:lineRule="auto"/>
        <w:jc w:val="left"/>
        <w:rPr>
          <w:color w:val="000000" w:themeColor="text1"/>
          <w:kern w:val="0"/>
          <w:sz w:val="24"/>
          <w:szCs w:val="21"/>
        </w:rPr>
      </w:pPr>
    </w:p>
    <w:p w14:paraId="23633B43"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摩根恒生科技交易型开放式指数证券投资基金发起式联接基金</w:t>
      </w:r>
      <w:r w:rsidRPr="007C68A4">
        <w:rPr>
          <w:rFonts w:eastAsiaTheme="minorEastAsia"/>
          <w:b/>
          <w:color w:val="000000" w:themeColor="text1"/>
          <w:sz w:val="44"/>
          <w:szCs w:val="36"/>
        </w:rPr>
        <w:t>(QDII)</w:t>
      </w:r>
    </w:p>
    <w:p w14:paraId="30E536DB"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年中期报告</w:t>
      </w:r>
    </w:p>
    <w:p w14:paraId="64764E44" w14:textId="77777777"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2024</w:t>
      </w:r>
      <w:r w:rsidRPr="007C68A4">
        <w:rPr>
          <w:rFonts w:eastAsiaTheme="minorEastAsia"/>
          <w:b/>
          <w:color w:val="000000" w:themeColor="text1"/>
          <w:sz w:val="44"/>
          <w:szCs w:val="36"/>
        </w:rPr>
        <w:t>年</w:t>
      </w:r>
      <w:r w:rsidRPr="007C68A4">
        <w:rPr>
          <w:rFonts w:eastAsiaTheme="minorEastAsia"/>
          <w:b/>
          <w:color w:val="000000" w:themeColor="text1"/>
          <w:sz w:val="44"/>
          <w:szCs w:val="36"/>
        </w:rPr>
        <w:t>6</w:t>
      </w:r>
      <w:r w:rsidRPr="007C68A4">
        <w:rPr>
          <w:rFonts w:eastAsiaTheme="minorEastAsia"/>
          <w:b/>
          <w:color w:val="000000" w:themeColor="text1"/>
          <w:sz w:val="44"/>
          <w:szCs w:val="36"/>
        </w:rPr>
        <w:t>月</w:t>
      </w:r>
      <w:r w:rsidRPr="007C68A4">
        <w:rPr>
          <w:rFonts w:eastAsiaTheme="minorEastAsia"/>
          <w:b/>
          <w:color w:val="000000" w:themeColor="text1"/>
          <w:sz w:val="44"/>
          <w:szCs w:val="36"/>
        </w:rPr>
        <w:t>30</w:t>
      </w:r>
      <w:r w:rsidRPr="007C68A4">
        <w:rPr>
          <w:rFonts w:eastAsiaTheme="minorEastAsia"/>
          <w:b/>
          <w:color w:val="000000" w:themeColor="text1"/>
          <w:sz w:val="44"/>
          <w:szCs w:val="36"/>
        </w:rPr>
        <w:t>日</w:t>
      </w:r>
    </w:p>
    <w:p w14:paraId="29A57752" w14:textId="77777777" w:rsidR="001548F9" w:rsidRPr="007C68A4" w:rsidRDefault="001548F9" w:rsidP="006D141C">
      <w:pPr>
        <w:spacing w:line="360" w:lineRule="auto"/>
        <w:jc w:val="center"/>
        <w:rPr>
          <w:b/>
          <w:color w:val="000000" w:themeColor="text1"/>
          <w:szCs w:val="21"/>
        </w:rPr>
      </w:pPr>
    </w:p>
    <w:p w14:paraId="4BDF5EDA" w14:textId="77777777" w:rsidR="001548F9" w:rsidRPr="007C68A4" w:rsidRDefault="001548F9" w:rsidP="006D141C">
      <w:pPr>
        <w:spacing w:line="360" w:lineRule="auto"/>
        <w:jc w:val="center"/>
        <w:rPr>
          <w:b/>
          <w:color w:val="000000" w:themeColor="text1"/>
          <w:szCs w:val="21"/>
        </w:rPr>
      </w:pPr>
    </w:p>
    <w:p w14:paraId="5346B7C5" w14:textId="77777777" w:rsidR="001548F9" w:rsidRPr="007C68A4" w:rsidRDefault="001548F9" w:rsidP="006D141C">
      <w:pPr>
        <w:spacing w:line="360" w:lineRule="auto"/>
        <w:jc w:val="center"/>
        <w:rPr>
          <w:b/>
          <w:color w:val="000000" w:themeColor="text1"/>
          <w:szCs w:val="21"/>
        </w:rPr>
      </w:pPr>
    </w:p>
    <w:p w14:paraId="5B04F3F4" w14:textId="77777777" w:rsidR="001548F9" w:rsidRPr="007C68A4" w:rsidRDefault="001548F9" w:rsidP="006D141C">
      <w:pPr>
        <w:spacing w:line="360" w:lineRule="auto"/>
        <w:jc w:val="center"/>
        <w:rPr>
          <w:b/>
          <w:color w:val="000000" w:themeColor="text1"/>
          <w:szCs w:val="21"/>
        </w:rPr>
      </w:pPr>
    </w:p>
    <w:p w14:paraId="680FCD5A" w14:textId="77777777" w:rsidR="001548F9" w:rsidRPr="007C68A4" w:rsidRDefault="001548F9" w:rsidP="006D141C">
      <w:pPr>
        <w:spacing w:line="360" w:lineRule="auto"/>
        <w:jc w:val="center"/>
        <w:rPr>
          <w:b/>
          <w:color w:val="000000" w:themeColor="text1"/>
          <w:szCs w:val="21"/>
        </w:rPr>
      </w:pPr>
    </w:p>
    <w:p w14:paraId="4145DD3F" w14:textId="77777777" w:rsidR="001548F9" w:rsidRPr="007C68A4" w:rsidRDefault="001548F9" w:rsidP="006D141C">
      <w:pPr>
        <w:spacing w:line="360" w:lineRule="auto"/>
        <w:jc w:val="center"/>
        <w:rPr>
          <w:b/>
          <w:color w:val="000000" w:themeColor="text1"/>
          <w:szCs w:val="21"/>
        </w:rPr>
      </w:pPr>
    </w:p>
    <w:p w14:paraId="304594C7" w14:textId="77777777" w:rsidR="001548F9" w:rsidRPr="007C68A4" w:rsidRDefault="001548F9" w:rsidP="006D141C">
      <w:pPr>
        <w:spacing w:line="360" w:lineRule="auto"/>
        <w:jc w:val="center"/>
        <w:rPr>
          <w:b/>
          <w:color w:val="000000" w:themeColor="text1"/>
          <w:szCs w:val="21"/>
        </w:rPr>
      </w:pPr>
    </w:p>
    <w:p w14:paraId="7869566E" w14:textId="77777777" w:rsidR="001548F9" w:rsidRPr="007C68A4" w:rsidRDefault="001548F9" w:rsidP="006D141C">
      <w:pPr>
        <w:spacing w:line="360" w:lineRule="auto"/>
        <w:jc w:val="center"/>
        <w:rPr>
          <w:b/>
          <w:color w:val="000000" w:themeColor="text1"/>
          <w:szCs w:val="21"/>
        </w:rPr>
      </w:pPr>
    </w:p>
    <w:p w14:paraId="7C25A661" w14:textId="77777777" w:rsidR="001548F9" w:rsidRPr="007C68A4" w:rsidRDefault="001548F9" w:rsidP="006D141C">
      <w:pPr>
        <w:spacing w:line="360" w:lineRule="auto"/>
        <w:jc w:val="center"/>
        <w:rPr>
          <w:b/>
          <w:color w:val="000000" w:themeColor="text1"/>
          <w:szCs w:val="21"/>
        </w:rPr>
      </w:pPr>
    </w:p>
    <w:p w14:paraId="4B6CD125" w14:textId="77777777" w:rsidR="001548F9" w:rsidRPr="007C68A4" w:rsidRDefault="001548F9" w:rsidP="006D141C">
      <w:pPr>
        <w:spacing w:line="360" w:lineRule="auto"/>
        <w:jc w:val="center"/>
        <w:rPr>
          <w:b/>
          <w:color w:val="000000" w:themeColor="text1"/>
          <w:szCs w:val="21"/>
        </w:rPr>
      </w:pPr>
    </w:p>
    <w:p w14:paraId="28A066AA" w14:textId="77777777" w:rsidR="001548F9" w:rsidRPr="007C68A4" w:rsidRDefault="001548F9" w:rsidP="006D141C">
      <w:pPr>
        <w:spacing w:line="360" w:lineRule="auto"/>
        <w:jc w:val="center"/>
        <w:rPr>
          <w:b/>
          <w:color w:val="000000" w:themeColor="text1"/>
          <w:szCs w:val="21"/>
        </w:rPr>
      </w:pPr>
    </w:p>
    <w:p w14:paraId="2C8F42A7" w14:textId="77777777" w:rsidR="001548F9" w:rsidRPr="007C68A4" w:rsidRDefault="001548F9" w:rsidP="006D141C">
      <w:pPr>
        <w:spacing w:line="360" w:lineRule="auto"/>
        <w:jc w:val="center"/>
        <w:rPr>
          <w:b/>
          <w:color w:val="000000" w:themeColor="text1"/>
          <w:szCs w:val="21"/>
        </w:rPr>
      </w:pPr>
    </w:p>
    <w:p w14:paraId="0EFCD1AB" w14:textId="77777777" w:rsidR="001548F9" w:rsidRPr="007C68A4" w:rsidRDefault="001548F9" w:rsidP="006D141C">
      <w:pPr>
        <w:spacing w:line="360" w:lineRule="auto"/>
        <w:jc w:val="center"/>
        <w:rPr>
          <w:b/>
          <w:color w:val="000000" w:themeColor="text1"/>
          <w:szCs w:val="21"/>
        </w:rPr>
      </w:pPr>
    </w:p>
    <w:p w14:paraId="14044E29" w14:textId="77777777" w:rsidR="001548F9" w:rsidRPr="007C68A4" w:rsidRDefault="001548F9" w:rsidP="006D141C">
      <w:pPr>
        <w:spacing w:line="360" w:lineRule="auto"/>
        <w:jc w:val="center"/>
        <w:rPr>
          <w:b/>
          <w:color w:val="000000" w:themeColor="text1"/>
          <w:szCs w:val="21"/>
        </w:rPr>
      </w:pPr>
    </w:p>
    <w:p w14:paraId="043747DA" w14:textId="77777777" w:rsidR="001548F9" w:rsidRPr="007C68A4" w:rsidRDefault="001548F9" w:rsidP="006D141C">
      <w:pPr>
        <w:spacing w:line="360" w:lineRule="auto"/>
        <w:rPr>
          <w:b/>
          <w:color w:val="000000" w:themeColor="text1"/>
          <w:szCs w:val="21"/>
        </w:rPr>
      </w:pPr>
    </w:p>
    <w:p w14:paraId="57CC1836"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基金管理人：摩根基金管理（中国）有限公司</w:t>
      </w:r>
    </w:p>
    <w:p w14:paraId="4BC9BB4A"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基金托管人：中国工商银行股份有限公司</w:t>
      </w:r>
    </w:p>
    <w:p w14:paraId="1522E066" w14:textId="77777777"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报告送出日期：二〇二四年八月三十日</w:t>
      </w:r>
    </w:p>
    <w:p w14:paraId="76076CB6" w14:textId="77777777" w:rsidR="001548F9" w:rsidRPr="007C68A4" w:rsidRDefault="001548F9" w:rsidP="006D141C">
      <w:pPr>
        <w:widowControl/>
        <w:jc w:val="left"/>
        <w:rPr>
          <w:color w:val="000000" w:themeColor="text1"/>
          <w:szCs w:val="21"/>
        </w:rPr>
        <w:sectPr w:rsidR="001548F9" w:rsidRPr="007C68A4">
          <w:headerReference w:type="default" r:id="rId8"/>
          <w:pgSz w:w="11926" w:h="15840"/>
          <w:pgMar w:top="1418" w:right="1418" w:bottom="851" w:left="1418" w:header="851" w:footer="992" w:gutter="0"/>
          <w:cols w:space="720"/>
        </w:sectPr>
      </w:pPr>
    </w:p>
    <w:p w14:paraId="15E28326"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0" w:name="_Toc225498243"/>
      <w:bookmarkStart w:id="1" w:name="_Toc175575253"/>
      <w:r w:rsidRPr="007C68A4">
        <w:rPr>
          <w:b/>
          <w:bCs/>
          <w:color w:val="000000" w:themeColor="text1"/>
          <w:sz w:val="21"/>
          <w:szCs w:val="21"/>
          <w:lang w:val="en-US"/>
        </w:rPr>
        <w:lastRenderedPageBreak/>
        <w:t xml:space="preserve">1  </w:t>
      </w:r>
      <w:r w:rsidRPr="007C68A4">
        <w:rPr>
          <w:b/>
          <w:bCs/>
          <w:color w:val="000000" w:themeColor="text1"/>
          <w:sz w:val="21"/>
          <w:szCs w:val="21"/>
          <w:lang w:val="en-US"/>
        </w:rPr>
        <w:t>重要提示及目录</w:t>
      </w:r>
      <w:bookmarkEnd w:id="0"/>
      <w:bookmarkEnd w:id="1"/>
    </w:p>
    <w:p w14:paraId="2DCDF431"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 w:name="_Toc175575254"/>
      <w:r w:rsidRPr="007C68A4">
        <w:rPr>
          <w:rFonts w:ascii="Times New Roman" w:hAnsi="Times New Roman"/>
          <w:color w:val="000000" w:themeColor="text1"/>
          <w:kern w:val="0"/>
          <w:sz w:val="21"/>
          <w:szCs w:val="21"/>
        </w:rPr>
        <w:t xml:space="preserve">1.1 </w:t>
      </w:r>
      <w:r w:rsidRPr="007C68A4">
        <w:rPr>
          <w:rFonts w:ascii="Times New Roman" w:hAnsi="Times New Roman"/>
          <w:color w:val="000000" w:themeColor="text1"/>
          <w:kern w:val="0"/>
          <w:sz w:val="21"/>
          <w:szCs w:val="21"/>
        </w:rPr>
        <w:t>重要提示</w:t>
      </w:r>
      <w:bookmarkEnd w:id="2"/>
    </w:p>
    <w:p w14:paraId="511DB5CB" w14:textId="77777777" w:rsidR="00FA3CB3" w:rsidRDefault="00052A0D">
      <w:pPr>
        <w:ind w:firstLineChars="200" w:firstLine="420"/>
        <w:rPr>
          <w:color w:val="000000" w:themeColor="text1"/>
          <w:szCs w:val="21"/>
        </w:rPr>
      </w:pPr>
      <w:r>
        <w:rPr>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themeColor="text1"/>
          <w:szCs w:val="21"/>
        </w:rPr>
        <w:t xml:space="preserve"> </w:t>
      </w:r>
    </w:p>
    <w:p w14:paraId="7BD41D36" w14:textId="77777777" w:rsidR="00FA3CB3" w:rsidRDefault="00052A0D">
      <w:pPr>
        <w:ind w:firstLineChars="200" w:firstLine="420"/>
        <w:rPr>
          <w:color w:val="000000" w:themeColor="text1"/>
          <w:szCs w:val="21"/>
        </w:rPr>
      </w:pPr>
      <w:r>
        <w:rPr>
          <w:color w:val="000000" w:themeColor="text1"/>
          <w:szCs w:val="21"/>
        </w:rPr>
        <w:t>基金托管人中国工商银行股份有限公司根据本基金合同规定，于</w:t>
      </w:r>
      <w:r>
        <w:rPr>
          <w:color w:val="000000" w:themeColor="text1"/>
          <w:szCs w:val="21"/>
        </w:rPr>
        <w:t>2024</w:t>
      </w:r>
      <w:r>
        <w:rPr>
          <w:color w:val="000000" w:themeColor="text1"/>
          <w:szCs w:val="21"/>
        </w:rPr>
        <w:t>年</w:t>
      </w:r>
      <w:r>
        <w:rPr>
          <w:color w:val="000000" w:themeColor="text1"/>
          <w:szCs w:val="21"/>
        </w:rPr>
        <w:t>8</w:t>
      </w:r>
      <w:r>
        <w:rPr>
          <w:color w:val="000000" w:themeColor="text1"/>
          <w:szCs w:val="21"/>
        </w:rPr>
        <w:t>月</w:t>
      </w:r>
      <w:r>
        <w:rPr>
          <w:color w:val="000000" w:themeColor="text1"/>
          <w:szCs w:val="21"/>
        </w:rPr>
        <w:t>29</w:t>
      </w:r>
      <w:r>
        <w:rPr>
          <w:color w:val="000000" w:themeColor="text1"/>
          <w:szCs w:val="21"/>
        </w:rPr>
        <w:t>日复核了本报告中的财务指标、净值表现、利润分配情况、财务会计报告、投资组合报告等内容，保证复核内容不存在虚假记载、误导性陈述或者重大遗漏。</w:t>
      </w:r>
      <w:r>
        <w:rPr>
          <w:color w:val="000000" w:themeColor="text1"/>
          <w:szCs w:val="21"/>
        </w:rPr>
        <w:t xml:space="preserve"> </w:t>
      </w:r>
    </w:p>
    <w:p w14:paraId="1371931C" w14:textId="77777777" w:rsidR="00FA3CB3" w:rsidRDefault="00052A0D">
      <w:pPr>
        <w:ind w:firstLineChars="200" w:firstLine="420"/>
        <w:rPr>
          <w:color w:val="000000" w:themeColor="text1"/>
          <w:szCs w:val="21"/>
        </w:rPr>
      </w:pPr>
      <w:r>
        <w:rPr>
          <w:color w:val="000000" w:themeColor="text1"/>
          <w:szCs w:val="21"/>
        </w:rPr>
        <w:t>基金管理人承诺以诚实信用、勤勉尽责的原则管理和运用基金资产，但不保证基金一定盈利。</w:t>
      </w:r>
      <w:r>
        <w:rPr>
          <w:color w:val="000000" w:themeColor="text1"/>
          <w:szCs w:val="21"/>
        </w:rPr>
        <w:t xml:space="preserve"> </w:t>
      </w:r>
    </w:p>
    <w:p w14:paraId="072561A2" w14:textId="77777777" w:rsidR="00FA3CB3" w:rsidRDefault="00052A0D">
      <w:pPr>
        <w:ind w:firstLineChars="200" w:firstLine="420"/>
        <w:rPr>
          <w:color w:val="000000" w:themeColor="text1"/>
          <w:szCs w:val="21"/>
        </w:rPr>
      </w:pPr>
      <w:r>
        <w:rPr>
          <w:color w:val="000000" w:themeColor="text1"/>
          <w:szCs w:val="21"/>
        </w:rPr>
        <w:t>基金的过往业绩并不代表其未来表现。投资有风险，投资者在作出投资决策前应仔细阅读本基金的招募说明书及其更新。</w:t>
      </w:r>
      <w:r>
        <w:rPr>
          <w:color w:val="000000" w:themeColor="text1"/>
          <w:szCs w:val="21"/>
        </w:rPr>
        <w:t xml:space="preserve"> </w:t>
      </w:r>
    </w:p>
    <w:p w14:paraId="401F29C4" w14:textId="77777777" w:rsidR="00FA3CB3" w:rsidRDefault="00052A0D">
      <w:pPr>
        <w:ind w:firstLineChars="200" w:firstLine="420"/>
        <w:rPr>
          <w:color w:val="000000" w:themeColor="text1"/>
          <w:szCs w:val="21"/>
        </w:rPr>
      </w:pPr>
      <w:r>
        <w:rPr>
          <w:color w:val="000000" w:themeColor="text1"/>
          <w:szCs w:val="21"/>
        </w:rPr>
        <w:t>本报告中财务资料未经审计。</w:t>
      </w:r>
      <w:r>
        <w:rPr>
          <w:color w:val="000000" w:themeColor="text1"/>
          <w:szCs w:val="21"/>
        </w:rPr>
        <w:t xml:space="preserve"> </w:t>
      </w:r>
    </w:p>
    <w:p w14:paraId="06921A99" w14:textId="77777777" w:rsidR="009F56D8" w:rsidRPr="007C68A4" w:rsidRDefault="001548F9" w:rsidP="00785EEA">
      <w:pPr>
        <w:ind w:firstLineChars="200" w:firstLine="420"/>
        <w:rPr>
          <w:color w:val="000000" w:themeColor="text1"/>
          <w:szCs w:val="21"/>
        </w:rPr>
      </w:pPr>
      <w:r w:rsidRPr="007C68A4">
        <w:rPr>
          <w:color w:val="000000" w:themeColor="text1"/>
          <w:szCs w:val="21"/>
        </w:rPr>
        <w:t>本报告期自</w:t>
      </w: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日起至</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w:t>
      </w:r>
    </w:p>
    <w:p w14:paraId="2E13239E" w14:textId="77777777" w:rsidR="009F56D8" w:rsidRPr="007C68A4" w:rsidRDefault="009F56D8">
      <w:pPr>
        <w:widowControl/>
        <w:jc w:val="left"/>
        <w:rPr>
          <w:color w:val="000000" w:themeColor="text1"/>
          <w:szCs w:val="21"/>
        </w:rPr>
      </w:pPr>
      <w:r w:rsidRPr="007C68A4">
        <w:rPr>
          <w:color w:val="000000" w:themeColor="text1"/>
          <w:szCs w:val="21"/>
        </w:rPr>
        <w:br w:type="page"/>
      </w:r>
    </w:p>
    <w:p w14:paraId="2F4A3B8B" w14:textId="77777777" w:rsidR="001548F9" w:rsidRPr="007C68A4" w:rsidRDefault="001548F9" w:rsidP="009F56D8">
      <w:pPr>
        <w:pStyle w:val="20"/>
        <w:spacing w:beforeLines="100" w:before="312" w:afterLines="100" w:after="312"/>
        <w:rPr>
          <w:rFonts w:ascii="Times New Roman" w:hAnsi="Times New Roman"/>
          <w:color w:val="000000" w:themeColor="text1"/>
          <w:kern w:val="0"/>
          <w:sz w:val="21"/>
          <w:szCs w:val="21"/>
        </w:rPr>
      </w:pPr>
      <w:bookmarkStart w:id="3" w:name="_Toc175575255"/>
      <w:r w:rsidRPr="007C68A4">
        <w:rPr>
          <w:rFonts w:ascii="Times New Roman" w:hAnsi="Times New Roman"/>
          <w:color w:val="000000" w:themeColor="text1"/>
          <w:kern w:val="0"/>
          <w:sz w:val="21"/>
          <w:szCs w:val="21"/>
        </w:rPr>
        <w:lastRenderedPageBreak/>
        <w:t xml:space="preserve">1.2 </w:t>
      </w:r>
      <w:r w:rsidRPr="007C68A4">
        <w:rPr>
          <w:rFonts w:ascii="Times New Roman" w:hAnsi="Times New Roman"/>
          <w:color w:val="000000" w:themeColor="text1"/>
          <w:kern w:val="0"/>
          <w:sz w:val="21"/>
          <w:szCs w:val="21"/>
        </w:rPr>
        <w:t>目录</w:t>
      </w:r>
      <w:bookmarkEnd w:id="3"/>
    </w:p>
    <w:p w14:paraId="08AD9E0A" w14:textId="06C65013" w:rsidR="00014712" w:rsidRDefault="003422A5">
      <w:pPr>
        <w:pStyle w:val="12"/>
        <w:rPr>
          <w:rFonts w:asciiTheme="minorHAnsi" w:eastAsiaTheme="minorEastAsia" w:hAnsiTheme="minorHAnsi" w:cstheme="minorBidi"/>
          <w:noProof/>
          <w:szCs w:val="22"/>
        </w:rPr>
      </w:pPr>
      <w:r w:rsidRPr="007C68A4">
        <w:rPr>
          <w:color w:val="000000" w:themeColor="text1"/>
          <w:szCs w:val="21"/>
        </w:rPr>
        <w:fldChar w:fldCharType="begin"/>
      </w:r>
      <w:r w:rsidR="002A3F46" w:rsidRPr="007C68A4">
        <w:rPr>
          <w:color w:val="000000" w:themeColor="text1"/>
          <w:szCs w:val="21"/>
        </w:rPr>
        <w:instrText xml:space="preserve"> TOC \o "1-3" \h \z \u </w:instrText>
      </w:r>
      <w:r w:rsidRPr="007C68A4">
        <w:rPr>
          <w:color w:val="000000" w:themeColor="text1"/>
          <w:szCs w:val="21"/>
        </w:rPr>
        <w:fldChar w:fldCharType="separate"/>
      </w:r>
      <w:hyperlink w:anchor="_Toc175575253" w:history="1">
        <w:r w:rsidR="00014712" w:rsidRPr="000F4EE1">
          <w:rPr>
            <w:rStyle w:val="ab"/>
            <w:b/>
            <w:bCs/>
            <w:noProof/>
          </w:rPr>
          <w:t xml:space="preserve">1  </w:t>
        </w:r>
        <w:r w:rsidR="00014712" w:rsidRPr="000F4EE1">
          <w:rPr>
            <w:rStyle w:val="ab"/>
            <w:b/>
            <w:bCs/>
            <w:noProof/>
          </w:rPr>
          <w:t>重要提示及目录</w:t>
        </w:r>
        <w:r w:rsidR="00014712">
          <w:rPr>
            <w:noProof/>
            <w:webHidden/>
          </w:rPr>
          <w:tab/>
        </w:r>
        <w:r w:rsidR="00014712">
          <w:rPr>
            <w:noProof/>
            <w:webHidden/>
          </w:rPr>
          <w:fldChar w:fldCharType="begin"/>
        </w:r>
        <w:r w:rsidR="00014712">
          <w:rPr>
            <w:noProof/>
            <w:webHidden/>
          </w:rPr>
          <w:instrText xml:space="preserve"> PAGEREF _Toc175575253 \h </w:instrText>
        </w:r>
        <w:r w:rsidR="00014712">
          <w:rPr>
            <w:noProof/>
            <w:webHidden/>
          </w:rPr>
        </w:r>
        <w:r w:rsidR="00014712">
          <w:rPr>
            <w:noProof/>
            <w:webHidden/>
          </w:rPr>
          <w:fldChar w:fldCharType="separate"/>
        </w:r>
        <w:r w:rsidR="003472DB">
          <w:rPr>
            <w:noProof/>
            <w:webHidden/>
          </w:rPr>
          <w:t>2</w:t>
        </w:r>
        <w:r w:rsidR="00014712">
          <w:rPr>
            <w:noProof/>
            <w:webHidden/>
          </w:rPr>
          <w:fldChar w:fldCharType="end"/>
        </w:r>
      </w:hyperlink>
    </w:p>
    <w:p w14:paraId="0794A76C" w14:textId="04956E9C" w:rsidR="00014712" w:rsidRDefault="00014712">
      <w:pPr>
        <w:pStyle w:val="24"/>
        <w:rPr>
          <w:rFonts w:asciiTheme="minorHAnsi" w:eastAsiaTheme="minorEastAsia" w:hAnsiTheme="minorHAnsi" w:cstheme="minorBidi"/>
          <w:noProof/>
          <w:kern w:val="2"/>
          <w:szCs w:val="22"/>
        </w:rPr>
      </w:pPr>
      <w:hyperlink w:anchor="_Toc175575254" w:history="1">
        <w:r w:rsidRPr="000F4EE1">
          <w:rPr>
            <w:rStyle w:val="ab"/>
            <w:noProof/>
          </w:rPr>
          <w:t xml:space="preserve">1.1 </w:t>
        </w:r>
        <w:r w:rsidRPr="000F4EE1">
          <w:rPr>
            <w:rStyle w:val="ab"/>
            <w:noProof/>
          </w:rPr>
          <w:t>重要提示</w:t>
        </w:r>
        <w:r>
          <w:rPr>
            <w:noProof/>
            <w:webHidden/>
          </w:rPr>
          <w:tab/>
        </w:r>
        <w:r>
          <w:rPr>
            <w:noProof/>
            <w:webHidden/>
          </w:rPr>
          <w:fldChar w:fldCharType="begin"/>
        </w:r>
        <w:r>
          <w:rPr>
            <w:noProof/>
            <w:webHidden/>
          </w:rPr>
          <w:instrText xml:space="preserve"> PAGEREF _Toc175575254 \h </w:instrText>
        </w:r>
        <w:r>
          <w:rPr>
            <w:noProof/>
            <w:webHidden/>
          </w:rPr>
        </w:r>
        <w:r>
          <w:rPr>
            <w:noProof/>
            <w:webHidden/>
          </w:rPr>
          <w:fldChar w:fldCharType="separate"/>
        </w:r>
        <w:r w:rsidR="003472DB">
          <w:rPr>
            <w:noProof/>
            <w:webHidden/>
          </w:rPr>
          <w:t>2</w:t>
        </w:r>
        <w:r>
          <w:rPr>
            <w:noProof/>
            <w:webHidden/>
          </w:rPr>
          <w:fldChar w:fldCharType="end"/>
        </w:r>
      </w:hyperlink>
    </w:p>
    <w:p w14:paraId="6CE7A024" w14:textId="214AF2CC" w:rsidR="00014712" w:rsidRDefault="00014712">
      <w:pPr>
        <w:pStyle w:val="24"/>
        <w:rPr>
          <w:rFonts w:asciiTheme="minorHAnsi" w:eastAsiaTheme="minorEastAsia" w:hAnsiTheme="minorHAnsi" w:cstheme="minorBidi"/>
          <w:noProof/>
          <w:kern w:val="2"/>
          <w:szCs w:val="22"/>
        </w:rPr>
      </w:pPr>
      <w:hyperlink w:anchor="_Toc175575255" w:history="1">
        <w:r w:rsidRPr="000F4EE1">
          <w:rPr>
            <w:rStyle w:val="ab"/>
            <w:noProof/>
          </w:rPr>
          <w:t xml:space="preserve">1.2 </w:t>
        </w:r>
        <w:r w:rsidRPr="000F4EE1">
          <w:rPr>
            <w:rStyle w:val="ab"/>
            <w:noProof/>
          </w:rPr>
          <w:t>目录</w:t>
        </w:r>
        <w:r>
          <w:rPr>
            <w:noProof/>
            <w:webHidden/>
          </w:rPr>
          <w:tab/>
        </w:r>
        <w:r>
          <w:rPr>
            <w:noProof/>
            <w:webHidden/>
          </w:rPr>
          <w:fldChar w:fldCharType="begin"/>
        </w:r>
        <w:r>
          <w:rPr>
            <w:noProof/>
            <w:webHidden/>
          </w:rPr>
          <w:instrText xml:space="preserve"> PAGEREF _Toc175575255 \h </w:instrText>
        </w:r>
        <w:r>
          <w:rPr>
            <w:noProof/>
            <w:webHidden/>
          </w:rPr>
        </w:r>
        <w:r>
          <w:rPr>
            <w:noProof/>
            <w:webHidden/>
          </w:rPr>
          <w:fldChar w:fldCharType="separate"/>
        </w:r>
        <w:r w:rsidR="003472DB">
          <w:rPr>
            <w:noProof/>
            <w:webHidden/>
          </w:rPr>
          <w:t>3</w:t>
        </w:r>
        <w:r>
          <w:rPr>
            <w:noProof/>
            <w:webHidden/>
          </w:rPr>
          <w:fldChar w:fldCharType="end"/>
        </w:r>
      </w:hyperlink>
    </w:p>
    <w:p w14:paraId="0CF770FA" w14:textId="271B1ACC" w:rsidR="00014712" w:rsidRDefault="00014712">
      <w:pPr>
        <w:pStyle w:val="12"/>
        <w:rPr>
          <w:rFonts w:asciiTheme="minorHAnsi" w:eastAsiaTheme="minorEastAsia" w:hAnsiTheme="minorHAnsi" w:cstheme="minorBidi"/>
          <w:noProof/>
          <w:szCs w:val="22"/>
        </w:rPr>
      </w:pPr>
      <w:hyperlink w:anchor="_Toc175575256" w:history="1">
        <w:r w:rsidRPr="000F4EE1">
          <w:rPr>
            <w:rStyle w:val="ab"/>
            <w:b/>
            <w:bCs/>
            <w:noProof/>
          </w:rPr>
          <w:t xml:space="preserve">2  </w:t>
        </w:r>
        <w:r w:rsidRPr="000F4EE1">
          <w:rPr>
            <w:rStyle w:val="ab"/>
            <w:b/>
            <w:bCs/>
            <w:noProof/>
          </w:rPr>
          <w:t>基金简介</w:t>
        </w:r>
        <w:r>
          <w:rPr>
            <w:noProof/>
            <w:webHidden/>
          </w:rPr>
          <w:tab/>
        </w:r>
        <w:r>
          <w:rPr>
            <w:noProof/>
            <w:webHidden/>
          </w:rPr>
          <w:fldChar w:fldCharType="begin"/>
        </w:r>
        <w:r>
          <w:rPr>
            <w:noProof/>
            <w:webHidden/>
          </w:rPr>
          <w:instrText xml:space="preserve"> PAGEREF _Toc175575256 \h </w:instrText>
        </w:r>
        <w:r>
          <w:rPr>
            <w:noProof/>
            <w:webHidden/>
          </w:rPr>
        </w:r>
        <w:r>
          <w:rPr>
            <w:noProof/>
            <w:webHidden/>
          </w:rPr>
          <w:fldChar w:fldCharType="separate"/>
        </w:r>
        <w:r w:rsidR="003472DB">
          <w:rPr>
            <w:noProof/>
            <w:webHidden/>
          </w:rPr>
          <w:t>5</w:t>
        </w:r>
        <w:r>
          <w:rPr>
            <w:noProof/>
            <w:webHidden/>
          </w:rPr>
          <w:fldChar w:fldCharType="end"/>
        </w:r>
      </w:hyperlink>
    </w:p>
    <w:p w14:paraId="0BB5EFE1" w14:textId="04749E1A" w:rsidR="00014712" w:rsidRDefault="00014712">
      <w:pPr>
        <w:pStyle w:val="24"/>
        <w:rPr>
          <w:rFonts w:asciiTheme="minorHAnsi" w:eastAsiaTheme="minorEastAsia" w:hAnsiTheme="minorHAnsi" w:cstheme="minorBidi"/>
          <w:noProof/>
          <w:kern w:val="2"/>
          <w:szCs w:val="22"/>
        </w:rPr>
      </w:pPr>
      <w:hyperlink w:anchor="_Toc175575257" w:history="1">
        <w:r w:rsidRPr="000F4EE1">
          <w:rPr>
            <w:rStyle w:val="ab"/>
            <w:noProof/>
          </w:rPr>
          <w:t xml:space="preserve">2.1 </w:t>
        </w:r>
        <w:r w:rsidRPr="000F4EE1">
          <w:rPr>
            <w:rStyle w:val="ab"/>
            <w:noProof/>
          </w:rPr>
          <w:t>基金基本情况</w:t>
        </w:r>
        <w:r>
          <w:rPr>
            <w:noProof/>
            <w:webHidden/>
          </w:rPr>
          <w:tab/>
        </w:r>
        <w:r>
          <w:rPr>
            <w:noProof/>
            <w:webHidden/>
          </w:rPr>
          <w:fldChar w:fldCharType="begin"/>
        </w:r>
        <w:r>
          <w:rPr>
            <w:noProof/>
            <w:webHidden/>
          </w:rPr>
          <w:instrText xml:space="preserve"> PAGEREF _Toc175575257 \h </w:instrText>
        </w:r>
        <w:r>
          <w:rPr>
            <w:noProof/>
            <w:webHidden/>
          </w:rPr>
        </w:r>
        <w:r>
          <w:rPr>
            <w:noProof/>
            <w:webHidden/>
          </w:rPr>
          <w:fldChar w:fldCharType="separate"/>
        </w:r>
        <w:r w:rsidR="003472DB">
          <w:rPr>
            <w:noProof/>
            <w:webHidden/>
          </w:rPr>
          <w:t>5</w:t>
        </w:r>
        <w:r>
          <w:rPr>
            <w:noProof/>
            <w:webHidden/>
          </w:rPr>
          <w:fldChar w:fldCharType="end"/>
        </w:r>
      </w:hyperlink>
    </w:p>
    <w:p w14:paraId="5DC04209" w14:textId="7E0A6351" w:rsidR="00014712" w:rsidRDefault="00014712">
      <w:pPr>
        <w:pStyle w:val="24"/>
        <w:rPr>
          <w:rFonts w:asciiTheme="minorHAnsi" w:eastAsiaTheme="minorEastAsia" w:hAnsiTheme="minorHAnsi" w:cstheme="minorBidi"/>
          <w:noProof/>
          <w:kern w:val="2"/>
          <w:szCs w:val="22"/>
        </w:rPr>
      </w:pPr>
      <w:hyperlink w:anchor="_Toc175575258" w:history="1">
        <w:r w:rsidRPr="000F4EE1">
          <w:rPr>
            <w:rStyle w:val="ab"/>
            <w:noProof/>
          </w:rPr>
          <w:t xml:space="preserve">2.2 </w:t>
        </w:r>
        <w:r w:rsidRPr="000F4EE1">
          <w:rPr>
            <w:rStyle w:val="ab"/>
            <w:noProof/>
          </w:rPr>
          <w:t>基金产品说明</w:t>
        </w:r>
        <w:r>
          <w:rPr>
            <w:noProof/>
            <w:webHidden/>
          </w:rPr>
          <w:tab/>
        </w:r>
        <w:r>
          <w:rPr>
            <w:noProof/>
            <w:webHidden/>
          </w:rPr>
          <w:fldChar w:fldCharType="begin"/>
        </w:r>
        <w:r>
          <w:rPr>
            <w:noProof/>
            <w:webHidden/>
          </w:rPr>
          <w:instrText xml:space="preserve"> PAGEREF _Toc175575258 \h </w:instrText>
        </w:r>
        <w:r>
          <w:rPr>
            <w:noProof/>
            <w:webHidden/>
          </w:rPr>
        </w:r>
        <w:r>
          <w:rPr>
            <w:noProof/>
            <w:webHidden/>
          </w:rPr>
          <w:fldChar w:fldCharType="separate"/>
        </w:r>
        <w:r w:rsidR="003472DB">
          <w:rPr>
            <w:noProof/>
            <w:webHidden/>
          </w:rPr>
          <w:t>5</w:t>
        </w:r>
        <w:r>
          <w:rPr>
            <w:noProof/>
            <w:webHidden/>
          </w:rPr>
          <w:fldChar w:fldCharType="end"/>
        </w:r>
      </w:hyperlink>
    </w:p>
    <w:p w14:paraId="33B22F0F" w14:textId="59B1C4E1" w:rsidR="00014712" w:rsidRDefault="00014712">
      <w:pPr>
        <w:pStyle w:val="24"/>
        <w:rPr>
          <w:rFonts w:asciiTheme="minorHAnsi" w:eastAsiaTheme="minorEastAsia" w:hAnsiTheme="minorHAnsi" w:cstheme="minorBidi"/>
          <w:noProof/>
          <w:kern w:val="2"/>
          <w:szCs w:val="22"/>
        </w:rPr>
      </w:pPr>
      <w:hyperlink w:anchor="_Toc175575259" w:history="1">
        <w:r w:rsidRPr="000F4EE1">
          <w:rPr>
            <w:rStyle w:val="ab"/>
            <w:noProof/>
          </w:rPr>
          <w:t xml:space="preserve">2.3 </w:t>
        </w:r>
        <w:r w:rsidRPr="000F4EE1">
          <w:rPr>
            <w:rStyle w:val="ab"/>
            <w:noProof/>
          </w:rPr>
          <w:t>基金管理人和基金托管人</w:t>
        </w:r>
        <w:r>
          <w:rPr>
            <w:noProof/>
            <w:webHidden/>
          </w:rPr>
          <w:tab/>
        </w:r>
        <w:r>
          <w:rPr>
            <w:noProof/>
            <w:webHidden/>
          </w:rPr>
          <w:fldChar w:fldCharType="begin"/>
        </w:r>
        <w:r>
          <w:rPr>
            <w:noProof/>
            <w:webHidden/>
          </w:rPr>
          <w:instrText xml:space="preserve"> PAGEREF _Toc175575259 \h </w:instrText>
        </w:r>
        <w:r>
          <w:rPr>
            <w:noProof/>
            <w:webHidden/>
          </w:rPr>
        </w:r>
        <w:r>
          <w:rPr>
            <w:noProof/>
            <w:webHidden/>
          </w:rPr>
          <w:fldChar w:fldCharType="separate"/>
        </w:r>
        <w:r w:rsidR="003472DB">
          <w:rPr>
            <w:noProof/>
            <w:webHidden/>
          </w:rPr>
          <w:t>7</w:t>
        </w:r>
        <w:r>
          <w:rPr>
            <w:noProof/>
            <w:webHidden/>
          </w:rPr>
          <w:fldChar w:fldCharType="end"/>
        </w:r>
      </w:hyperlink>
    </w:p>
    <w:p w14:paraId="55C4197B" w14:textId="5513FA2A" w:rsidR="00014712" w:rsidRDefault="00014712">
      <w:pPr>
        <w:pStyle w:val="24"/>
        <w:rPr>
          <w:rFonts w:asciiTheme="minorHAnsi" w:eastAsiaTheme="minorEastAsia" w:hAnsiTheme="minorHAnsi" w:cstheme="minorBidi"/>
          <w:noProof/>
          <w:kern w:val="2"/>
          <w:szCs w:val="22"/>
        </w:rPr>
      </w:pPr>
      <w:hyperlink w:anchor="_Toc175575260" w:history="1">
        <w:r w:rsidRPr="000F4EE1">
          <w:rPr>
            <w:rStyle w:val="ab"/>
            <w:noProof/>
          </w:rPr>
          <w:t xml:space="preserve">2.4 </w:t>
        </w:r>
        <w:r w:rsidRPr="000F4EE1">
          <w:rPr>
            <w:rStyle w:val="ab"/>
            <w:noProof/>
          </w:rPr>
          <w:t>信息披露方式</w:t>
        </w:r>
        <w:r>
          <w:rPr>
            <w:noProof/>
            <w:webHidden/>
          </w:rPr>
          <w:tab/>
        </w:r>
        <w:r>
          <w:rPr>
            <w:noProof/>
            <w:webHidden/>
          </w:rPr>
          <w:fldChar w:fldCharType="begin"/>
        </w:r>
        <w:r>
          <w:rPr>
            <w:noProof/>
            <w:webHidden/>
          </w:rPr>
          <w:instrText xml:space="preserve"> PAGEREF _Toc175575260 \h </w:instrText>
        </w:r>
        <w:r>
          <w:rPr>
            <w:noProof/>
            <w:webHidden/>
          </w:rPr>
        </w:r>
        <w:r>
          <w:rPr>
            <w:noProof/>
            <w:webHidden/>
          </w:rPr>
          <w:fldChar w:fldCharType="separate"/>
        </w:r>
        <w:r w:rsidR="003472DB">
          <w:rPr>
            <w:noProof/>
            <w:webHidden/>
          </w:rPr>
          <w:t>7</w:t>
        </w:r>
        <w:r>
          <w:rPr>
            <w:noProof/>
            <w:webHidden/>
          </w:rPr>
          <w:fldChar w:fldCharType="end"/>
        </w:r>
      </w:hyperlink>
    </w:p>
    <w:p w14:paraId="5F126504" w14:textId="4D417FD9" w:rsidR="00014712" w:rsidRDefault="00014712">
      <w:pPr>
        <w:pStyle w:val="24"/>
        <w:rPr>
          <w:rFonts w:asciiTheme="minorHAnsi" w:eastAsiaTheme="minorEastAsia" w:hAnsiTheme="minorHAnsi" w:cstheme="minorBidi"/>
          <w:noProof/>
          <w:kern w:val="2"/>
          <w:szCs w:val="22"/>
        </w:rPr>
      </w:pPr>
      <w:hyperlink w:anchor="_Toc175575261" w:history="1">
        <w:r w:rsidRPr="000F4EE1">
          <w:rPr>
            <w:rStyle w:val="ab"/>
            <w:noProof/>
          </w:rPr>
          <w:t xml:space="preserve">2.5 </w:t>
        </w:r>
        <w:r w:rsidRPr="000F4EE1">
          <w:rPr>
            <w:rStyle w:val="ab"/>
            <w:noProof/>
          </w:rPr>
          <w:t>其他相关资料</w:t>
        </w:r>
        <w:r>
          <w:rPr>
            <w:noProof/>
            <w:webHidden/>
          </w:rPr>
          <w:tab/>
        </w:r>
        <w:r>
          <w:rPr>
            <w:noProof/>
            <w:webHidden/>
          </w:rPr>
          <w:fldChar w:fldCharType="begin"/>
        </w:r>
        <w:r>
          <w:rPr>
            <w:noProof/>
            <w:webHidden/>
          </w:rPr>
          <w:instrText xml:space="preserve"> PAGEREF _Toc175575261 \h </w:instrText>
        </w:r>
        <w:r>
          <w:rPr>
            <w:noProof/>
            <w:webHidden/>
          </w:rPr>
        </w:r>
        <w:r>
          <w:rPr>
            <w:noProof/>
            <w:webHidden/>
          </w:rPr>
          <w:fldChar w:fldCharType="separate"/>
        </w:r>
        <w:r w:rsidR="003472DB">
          <w:rPr>
            <w:noProof/>
            <w:webHidden/>
          </w:rPr>
          <w:t>7</w:t>
        </w:r>
        <w:r>
          <w:rPr>
            <w:noProof/>
            <w:webHidden/>
          </w:rPr>
          <w:fldChar w:fldCharType="end"/>
        </w:r>
      </w:hyperlink>
    </w:p>
    <w:p w14:paraId="5FBA226B" w14:textId="2BCAA497" w:rsidR="00014712" w:rsidRDefault="00014712">
      <w:pPr>
        <w:pStyle w:val="12"/>
        <w:rPr>
          <w:rFonts w:asciiTheme="minorHAnsi" w:eastAsiaTheme="minorEastAsia" w:hAnsiTheme="minorHAnsi" w:cstheme="minorBidi"/>
          <w:noProof/>
          <w:szCs w:val="22"/>
        </w:rPr>
      </w:pPr>
      <w:hyperlink w:anchor="_Toc175575262" w:history="1">
        <w:r w:rsidRPr="000F4EE1">
          <w:rPr>
            <w:rStyle w:val="ab"/>
            <w:b/>
            <w:bCs/>
            <w:noProof/>
          </w:rPr>
          <w:t xml:space="preserve">3  </w:t>
        </w:r>
        <w:r w:rsidRPr="000F4EE1">
          <w:rPr>
            <w:rStyle w:val="ab"/>
            <w:b/>
            <w:bCs/>
            <w:noProof/>
          </w:rPr>
          <w:t>主要财务指标和基金净值表现</w:t>
        </w:r>
        <w:r>
          <w:rPr>
            <w:noProof/>
            <w:webHidden/>
          </w:rPr>
          <w:tab/>
        </w:r>
        <w:r>
          <w:rPr>
            <w:noProof/>
            <w:webHidden/>
          </w:rPr>
          <w:fldChar w:fldCharType="begin"/>
        </w:r>
        <w:r>
          <w:rPr>
            <w:noProof/>
            <w:webHidden/>
          </w:rPr>
          <w:instrText xml:space="preserve"> PAGEREF _Toc175575262 \h </w:instrText>
        </w:r>
        <w:r>
          <w:rPr>
            <w:noProof/>
            <w:webHidden/>
          </w:rPr>
        </w:r>
        <w:r>
          <w:rPr>
            <w:noProof/>
            <w:webHidden/>
          </w:rPr>
          <w:fldChar w:fldCharType="separate"/>
        </w:r>
        <w:r w:rsidR="003472DB">
          <w:rPr>
            <w:noProof/>
            <w:webHidden/>
          </w:rPr>
          <w:t>7</w:t>
        </w:r>
        <w:r>
          <w:rPr>
            <w:noProof/>
            <w:webHidden/>
          </w:rPr>
          <w:fldChar w:fldCharType="end"/>
        </w:r>
      </w:hyperlink>
    </w:p>
    <w:p w14:paraId="02C74628" w14:textId="4071A5EF" w:rsidR="00014712" w:rsidRDefault="00014712">
      <w:pPr>
        <w:pStyle w:val="24"/>
        <w:rPr>
          <w:rFonts w:asciiTheme="minorHAnsi" w:eastAsiaTheme="minorEastAsia" w:hAnsiTheme="minorHAnsi" w:cstheme="minorBidi"/>
          <w:noProof/>
          <w:kern w:val="2"/>
          <w:szCs w:val="22"/>
        </w:rPr>
      </w:pPr>
      <w:hyperlink w:anchor="_Toc175575263" w:history="1">
        <w:r w:rsidRPr="000F4EE1">
          <w:rPr>
            <w:rStyle w:val="ab"/>
            <w:noProof/>
          </w:rPr>
          <w:t xml:space="preserve">3.1 </w:t>
        </w:r>
        <w:r w:rsidRPr="000F4EE1">
          <w:rPr>
            <w:rStyle w:val="ab"/>
            <w:noProof/>
          </w:rPr>
          <w:t>主要会计数据和财务指标</w:t>
        </w:r>
        <w:r>
          <w:rPr>
            <w:noProof/>
            <w:webHidden/>
          </w:rPr>
          <w:tab/>
        </w:r>
        <w:r>
          <w:rPr>
            <w:noProof/>
            <w:webHidden/>
          </w:rPr>
          <w:fldChar w:fldCharType="begin"/>
        </w:r>
        <w:r>
          <w:rPr>
            <w:noProof/>
            <w:webHidden/>
          </w:rPr>
          <w:instrText xml:space="preserve"> PAGEREF _Toc175575263 \h </w:instrText>
        </w:r>
        <w:r>
          <w:rPr>
            <w:noProof/>
            <w:webHidden/>
          </w:rPr>
        </w:r>
        <w:r>
          <w:rPr>
            <w:noProof/>
            <w:webHidden/>
          </w:rPr>
          <w:fldChar w:fldCharType="separate"/>
        </w:r>
        <w:r w:rsidR="003472DB">
          <w:rPr>
            <w:noProof/>
            <w:webHidden/>
          </w:rPr>
          <w:t>7</w:t>
        </w:r>
        <w:r>
          <w:rPr>
            <w:noProof/>
            <w:webHidden/>
          </w:rPr>
          <w:fldChar w:fldCharType="end"/>
        </w:r>
      </w:hyperlink>
    </w:p>
    <w:p w14:paraId="31DB137F" w14:textId="77473CDD" w:rsidR="00014712" w:rsidRDefault="00014712">
      <w:pPr>
        <w:pStyle w:val="24"/>
        <w:rPr>
          <w:rFonts w:asciiTheme="minorHAnsi" w:eastAsiaTheme="minorEastAsia" w:hAnsiTheme="minorHAnsi" w:cstheme="minorBidi"/>
          <w:noProof/>
          <w:kern w:val="2"/>
          <w:szCs w:val="22"/>
        </w:rPr>
      </w:pPr>
      <w:hyperlink w:anchor="_Toc175575264" w:history="1">
        <w:r w:rsidRPr="000F4EE1">
          <w:rPr>
            <w:rStyle w:val="ab"/>
            <w:noProof/>
          </w:rPr>
          <w:t xml:space="preserve">3.2 </w:t>
        </w:r>
        <w:r w:rsidRPr="000F4EE1">
          <w:rPr>
            <w:rStyle w:val="ab"/>
            <w:noProof/>
          </w:rPr>
          <w:t>基金净值表现</w:t>
        </w:r>
        <w:r>
          <w:rPr>
            <w:noProof/>
            <w:webHidden/>
          </w:rPr>
          <w:tab/>
        </w:r>
        <w:r>
          <w:rPr>
            <w:noProof/>
            <w:webHidden/>
          </w:rPr>
          <w:fldChar w:fldCharType="begin"/>
        </w:r>
        <w:r>
          <w:rPr>
            <w:noProof/>
            <w:webHidden/>
          </w:rPr>
          <w:instrText xml:space="preserve"> PAGEREF _Toc175575264 \h </w:instrText>
        </w:r>
        <w:r>
          <w:rPr>
            <w:noProof/>
            <w:webHidden/>
          </w:rPr>
        </w:r>
        <w:r>
          <w:rPr>
            <w:noProof/>
            <w:webHidden/>
          </w:rPr>
          <w:fldChar w:fldCharType="separate"/>
        </w:r>
        <w:r w:rsidR="003472DB">
          <w:rPr>
            <w:noProof/>
            <w:webHidden/>
          </w:rPr>
          <w:t>8</w:t>
        </w:r>
        <w:r>
          <w:rPr>
            <w:noProof/>
            <w:webHidden/>
          </w:rPr>
          <w:fldChar w:fldCharType="end"/>
        </w:r>
      </w:hyperlink>
    </w:p>
    <w:p w14:paraId="3C87B400" w14:textId="62D7806C" w:rsidR="00014712" w:rsidRDefault="00014712">
      <w:pPr>
        <w:pStyle w:val="12"/>
        <w:rPr>
          <w:rFonts w:asciiTheme="minorHAnsi" w:eastAsiaTheme="minorEastAsia" w:hAnsiTheme="minorHAnsi" w:cstheme="minorBidi"/>
          <w:noProof/>
          <w:szCs w:val="22"/>
        </w:rPr>
      </w:pPr>
      <w:hyperlink w:anchor="_Toc175575265" w:history="1">
        <w:r w:rsidRPr="000F4EE1">
          <w:rPr>
            <w:rStyle w:val="ab"/>
            <w:b/>
            <w:bCs/>
            <w:noProof/>
          </w:rPr>
          <w:t xml:space="preserve">4  </w:t>
        </w:r>
        <w:r w:rsidRPr="000F4EE1">
          <w:rPr>
            <w:rStyle w:val="ab"/>
            <w:b/>
            <w:bCs/>
            <w:noProof/>
          </w:rPr>
          <w:t>管理人报告</w:t>
        </w:r>
        <w:r>
          <w:rPr>
            <w:noProof/>
            <w:webHidden/>
          </w:rPr>
          <w:tab/>
        </w:r>
        <w:r>
          <w:rPr>
            <w:noProof/>
            <w:webHidden/>
          </w:rPr>
          <w:fldChar w:fldCharType="begin"/>
        </w:r>
        <w:r>
          <w:rPr>
            <w:noProof/>
            <w:webHidden/>
          </w:rPr>
          <w:instrText xml:space="preserve"> PAGEREF _Toc175575265 \h </w:instrText>
        </w:r>
        <w:r>
          <w:rPr>
            <w:noProof/>
            <w:webHidden/>
          </w:rPr>
        </w:r>
        <w:r>
          <w:rPr>
            <w:noProof/>
            <w:webHidden/>
          </w:rPr>
          <w:fldChar w:fldCharType="separate"/>
        </w:r>
        <w:r w:rsidR="003472DB">
          <w:rPr>
            <w:noProof/>
            <w:webHidden/>
          </w:rPr>
          <w:t>10</w:t>
        </w:r>
        <w:r>
          <w:rPr>
            <w:noProof/>
            <w:webHidden/>
          </w:rPr>
          <w:fldChar w:fldCharType="end"/>
        </w:r>
      </w:hyperlink>
    </w:p>
    <w:p w14:paraId="3D112BB5" w14:textId="7727BBDA" w:rsidR="00014712" w:rsidRDefault="00014712">
      <w:pPr>
        <w:pStyle w:val="24"/>
        <w:rPr>
          <w:rFonts w:asciiTheme="minorHAnsi" w:eastAsiaTheme="minorEastAsia" w:hAnsiTheme="minorHAnsi" w:cstheme="minorBidi"/>
          <w:noProof/>
          <w:kern w:val="2"/>
          <w:szCs w:val="22"/>
        </w:rPr>
      </w:pPr>
      <w:hyperlink w:anchor="_Toc175575266" w:history="1">
        <w:r w:rsidRPr="000F4EE1">
          <w:rPr>
            <w:rStyle w:val="ab"/>
            <w:noProof/>
          </w:rPr>
          <w:t xml:space="preserve">4.1 </w:t>
        </w:r>
        <w:r w:rsidRPr="000F4EE1">
          <w:rPr>
            <w:rStyle w:val="ab"/>
            <w:noProof/>
          </w:rPr>
          <w:t>基金管理人及基金经理情况</w:t>
        </w:r>
        <w:r>
          <w:rPr>
            <w:noProof/>
            <w:webHidden/>
          </w:rPr>
          <w:tab/>
        </w:r>
        <w:r>
          <w:rPr>
            <w:noProof/>
            <w:webHidden/>
          </w:rPr>
          <w:fldChar w:fldCharType="begin"/>
        </w:r>
        <w:r>
          <w:rPr>
            <w:noProof/>
            <w:webHidden/>
          </w:rPr>
          <w:instrText xml:space="preserve"> PAGEREF _Toc175575266 \h </w:instrText>
        </w:r>
        <w:r>
          <w:rPr>
            <w:noProof/>
            <w:webHidden/>
          </w:rPr>
        </w:r>
        <w:r>
          <w:rPr>
            <w:noProof/>
            <w:webHidden/>
          </w:rPr>
          <w:fldChar w:fldCharType="separate"/>
        </w:r>
        <w:r w:rsidR="003472DB">
          <w:rPr>
            <w:noProof/>
            <w:webHidden/>
          </w:rPr>
          <w:t>10</w:t>
        </w:r>
        <w:r>
          <w:rPr>
            <w:noProof/>
            <w:webHidden/>
          </w:rPr>
          <w:fldChar w:fldCharType="end"/>
        </w:r>
      </w:hyperlink>
    </w:p>
    <w:p w14:paraId="56C69213" w14:textId="5E4BCB02" w:rsidR="00014712" w:rsidRDefault="00014712">
      <w:pPr>
        <w:pStyle w:val="24"/>
        <w:rPr>
          <w:rFonts w:asciiTheme="minorHAnsi" w:eastAsiaTheme="minorEastAsia" w:hAnsiTheme="minorHAnsi" w:cstheme="minorBidi"/>
          <w:noProof/>
          <w:kern w:val="2"/>
          <w:szCs w:val="22"/>
        </w:rPr>
      </w:pPr>
      <w:hyperlink w:anchor="_Toc175575267" w:history="1">
        <w:r w:rsidRPr="000F4EE1">
          <w:rPr>
            <w:rStyle w:val="ab"/>
            <w:noProof/>
          </w:rPr>
          <w:t xml:space="preserve">4.2 </w:t>
        </w:r>
        <w:r w:rsidRPr="000F4EE1">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_Toc175575267 \h </w:instrText>
        </w:r>
        <w:r>
          <w:rPr>
            <w:noProof/>
            <w:webHidden/>
          </w:rPr>
        </w:r>
        <w:r>
          <w:rPr>
            <w:noProof/>
            <w:webHidden/>
          </w:rPr>
          <w:fldChar w:fldCharType="separate"/>
        </w:r>
        <w:r w:rsidR="003472DB">
          <w:rPr>
            <w:noProof/>
            <w:webHidden/>
          </w:rPr>
          <w:t>13</w:t>
        </w:r>
        <w:r>
          <w:rPr>
            <w:noProof/>
            <w:webHidden/>
          </w:rPr>
          <w:fldChar w:fldCharType="end"/>
        </w:r>
      </w:hyperlink>
    </w:p>
    <w:p w14:paraId="1ADEBC25" w14:textId="000882A1" w:rsidR="00014712" w:rsidRDefault="00014712">
      <w:pPr>
        <w:pStyle w:val="24"/>
        <w:rPr>
          <w:rFonts w:asciiTheme="minorHAnsi" w:eastAsiaTheme="minorEastAsia" w:hAnsiTheme="minorHAnsi" w:cstheme="minorBidi"/>
          <w:noProof/>
          <w:kern w:val="2"/>
          <w:szCs w:val="22"/>
        </w:rPr>
      </w:pPr>
      <w:hyperlink w:anchor="_Toc175575268" w:history="1">
        <w:r w:rsidRPr="000F4EE1">
          <w:rPr>
            <w:rStyle w:val="ab"/>
            <w:noProof/>
          </w:rPr>
          <w:t xml:space="preserve">4.3 </w:t>
        </w:r>
        <w:r w:rsidRPr="000F4EE1">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_Toc175575268 \h </w:instrText>
        </w:r>
        <w:r>
          <w:rPr>
            <w:noProof/>
            <w:webHidden/>
          </w:rPr>
        </w:r>
        <w:r>
          <w:rPr>
            <w:noProof/>
            <w:webHidden/>
          </w:rPr>
          <w:fldChar w:fldCharType="separate"/>
        </w:r>
        <w:r w:rsidR="003472DB">
          <w:rPr>
            <w:noProof/>
            <w:webHidden/>
          </w:rPr>
          <w:t>13</w:t>
        </w:r>
        <w:r>
          <w:rPr>
            <w:noProof/>
            <w:webHidden/>
          </w:rPr>
          <w:fldChar w:fldCharType="end"/>
        </w:r>
      </w:hyperlink>
    </w:p>
    <w:p w14:paraId="6DE497BA" w14:textId="142DE8EF" w:rsidR="00014712" w:rsidRDefault="00014712">
      <w:pPr>
        <w:pStyle w:val="24"/>
        <w:rPr>
          <w:rFonts w:asciiTheme="minorHAnsi" w:eastAsiaTheme="minorEastAsia" w:hAnsiTheme="minorHAnsi" w:cstheme="minorBidi"/>
          <w:noProof/>
          <w:kern w:val="2"/>
          <w:szCs w:val="22"/>
        </w:rPr>
      </w:pPr>
      <w:hyperlink w:anchor="_Toc175575269" w:history="1">
        <w:r w:rsidRPr="000F4EE1">
          <w:rPr>
            <w:rStyle w:val="ab"/>
            <w:noProof/>
          </w:rPr>
          <w:t xml:space="preserve">4.4 </w:t>
        </w:r>
        <w:r w:rsidRPr="000F4EE1">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_Toc175575269 \h </w:instrText>
        </w:r>
        <w:r>
          <w:rPr>
            <w:noProof/>
            <w:webHidden/>
          </w:rPr>
        </w:r>
        <w:r>
          <w:rPr>
            <w:noProof/>
            <w:webHidden/>
          </w:rPr>
          <w:fldChar w:fldCharType="separate"/>
        </w:r>
        <w:r w:rsidR="003472DB">
          <w:rPr>
            <w:noProof/>
            <w:webHidden/>
          </w:rPr>
          <w:t>13</w:t>
        </w:r>
        <w:r>
          <w:rPr>
            <w:noProof/>
            <w:webHidden/>
          </w:rPr>
          <w:fldChar w:fldCharType="end"/>
        </w:r>
      </w:hyperlink>
    </w:p>
    <w:p w14:paraId="759DB4ED" w14:textId="3A760870" w:rsidR="00014712" w:rsidRDefault="00014712">
      <w:pPr>
        <w:pStyle w:val="24"/>
        <w:rPr>
          <w:rFonts w:asciiTheme="minorHAnsi" w:eastAsiaTheme="minorEastAsia" w:hAnsiTheme="minorHAnsi" w:cstheme="minorBidi"/>
          <w:noProof/>
          <w:kern w:val="2"/>
          <w:szCs w:val="22"/>
        </w:rPr>
      </w:pPr>
      <w:hyperlink w:anchor="_Toc175575270" w:history="1">
        <w:r w:rsidRPr="000F4EE1">
          <w:rPr>
            <w:rStyle w:val="ab"/>
            <w:noProof/>
          </w:rPr>
          <w:t xml:space="preserve">4.5 </w:t>
        </w:r>
        <w:r w:rsidRPr="000F4EE1">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_Toc175575270 \h </w:instrText>
        </w:r>
        <w:r>
          <w:rPr>
            <w:noProof/>
            <w:webHidden/>
          </w:rPr>
        </w:r>
        <w:r>
          <w:rPr>
            <w:noProof/>
            <w:webHidden/>
          </w:rPr>
          <w:fldChar w:fldCharType="separate"/>
        </w:r>
        <w:r w:rsidR="003472DB">
          <w:rPr>
            <w:noProof/>
            <w:webHidden/>
          </w:rPr>
          <w:t>14</w:t>
        </w:r>
        <w:r>
          <w:rPr>
            <w:noProof/>
            <w:webHidden/>
          </w:rPr>
          <w:fldChar w:fldCharType="end"/>
        </w:r>
      </w:hyperlink>
    </w:p>
    <w:p w14:paraId="3E32D9C4" w14:textId="1C95A94A" w:rsidR="00014712" w:rsidRDefault="00014712">
      <w:pPr>
        <w:pStyle w:val="24"/>
        <w:rPr>
          <w:rFonts w:asciiTheme="minorHAnsi" w:eastAsiaTheme="minorEastAsia" w:hAnsiTheme="minorHAnsi" w:cstheme="minorBidi"/>
          <w:noProof/>
          <w:kern w:val="2"/>
          <w:szCs w:val="22"/>
        </w:rPr>
      </w:pPr>
      <w:hyperlink w:anchor="_Toc175575271" w:history="1">
        <w:r w:rsidRPr="000F4EE1">
          <w:rPr>
            <w:rStyle w:val="ab"/>
            <w:noProof/>
          </w:rPr>
          <w:t xml:space="preserve">4.6 </w:t>
        </w:r>
        <w:r w:rsidRPr="000F4EE1">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_Toc175575271 \h </w:instrText>
        </w:r>
        <w:r>
          <w:rPr>
            <w:noProof/>
            <w:webHidden/>
          </w:rPr>
        </w:r>
        <w:r>
          <w:rPr>
            <w:noProof/>
            <w:webHidden/>
          </w:rPr>
          <w:fldChar w:fldCharType="separate"/>
        </w:r>
        <w:r w:rsidR="003472DB">
          <w:rPr>
            <w:noProof/>
            <w:webHidden/>
          </w:rPr>
          <w:t>14</w:t>
        </w:r>
        <w:r>
          <w:rPr>
            <w:noProof/>
            <w:webHidden/>
          </w:rPr>
          <w:fldChar w:fldCharType="end"/>
        </w:r>
      </w:hyperlink>
    </w:p>
    <w:p w14:paraId="3FD8FCCF" w14:textId="5D9C7E2D" w:rsidR="00014712" w:rsidRDefault="00014712">
      <w:pPr>
        <w:pStyle w:val="24"/>
        <w:rPr>
          <w:rFonts w:asciiTheme="minorHAnsi" w:eastAsiaTheme="minorEastAsia" w:hAnsiTheme="minorHAnsi" w:cstheme="minorBidi"/>
          <w:noProof/>
          <w:kern w:val="2"/>
          <w:szCs w:val="22"/>
        </w:rPr>
      </w:pPr>
      <w:hyperlink w:anchor="_Toc175575272" w:history="1">
        <w:r w:rsidRPr="000F4EE1">
          <w:rPr>
            <w:rStyle w:val="ab"/>
            <w:noProof/>
          </w:rPr>
          <w:t xml:space="preserve">4.7 </w:t>
        </w:r>
        <w:r w:rsidRPr="000F4EE1">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_Toc175575272 \h </w:instrText>
        </w:r>
        <w:r>
          <w:rPr>
            <w:noProof/>
            <w:webHidden/>
          </w:rPr>
        </w:r>
        <w:r>
          <w:rPr>
            <w:noProof/>
            <w:webHidden/>
          </w:rPr>
          <w:fldChar w:fldCharType="separate"/>
        </w:r>
        <w:r w:rsidR="003472DB">
          <w:rPr>
            <w:noProof/>
            <w:webHidden/>
          </w:rPr>
          <w:t>14</w:t>
        </w:r>
        <w:r>
          <w:rPr>
            <w:noProof/>
            <w:webHidden/>
          </w:rPr>
          <w:fldChar w:fldCharType="end"/>
        </w:r>
      </w:hyperlink>
    </w:p>
    <w:p w14:paraId="02676B6B" w14:textId="6768B221" w:rsidR="00014712" w:rsidRDefault="00014712">
      <w:pPr>
        <w:pStyle w:val="24"/>
        <w:rPr>
          <w:rFonts w:asciiTheme="minorHAnsi" w:eastAsiaTheme="minorEastAsia" w:hAnsiTheme="minorHAnsi" w:cstheme="minorBidi"/>
          <w:noProof/>
          <w:kern w:val="2"/>
          <w:szCs w:val="22"/>
        </w:rPr>
      </w:pPr>
      <w:hyperlink w:anchor="_Toc175575273" w:history="1">
        <w:r w:rsidRPr="000F4EE1">
          <w:rPr>
            <w:rStyle w:val="ab"/>
            <w:noProof/>
          </w:rPr>
          <w:t xml:space="preserve">4.8 </w:t>
        </w:r>
        <w:r w:rsidRPr="000F4EE1">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_Toc175575273 \h </w:instrText>
        </w:r>
        <w:r>
          <w:rPr>
            <w:noProof/>
            <w:webHidden/>
          </w:rPr>
        </w:r>
        <w:r>
          <w:rPr>
            <w:noProof/>
            <w:webHidden/>
          </w:rPr>
          <w:fldChar w:fldCharType="separate"/>
        </w:r>
        <w:r w:rsidR="003472DB">
          <w:rPr>
            <w:noProof/>
            <w:webHidden/>
          </w:rPr>
          <w:t>15</w:t>
        </w:r>
        <w:r>
          <w:rPr>
            <w:noProof/>
            <w:webHidden/>
          </w:rPr>
          <w:fldChar w:fldCharType="end"/>
        </w:r>
      </w:hyperlink>
    </w:p>
    <w:p w14:paraId="54908FA8" w14:textId="6B8BAA68" w:rsidR="00014712" w:rsidRDefault="00014712">
      <w:pPr>
        <w:pStyle w:val="12"/>
        <w:rPr>
          <w:rFonts w:asciiTheme="minorHAnsi" w:eastAsiaTheme="minorEastAsia" w:hAnsiTheme="minorHAnsi" w:cstheme="minorBidi"/>
          <w:noProof/>
          <w:szCs w:val="22"/>
        </w:rPr>
      </w:pPr>
      <w:hyperlink w:anchor="_Toc175575274" w:history="1">
        <w:r w:rsidRPr="000F4EE1">
          <w:rPr>
            <w:rStyle w:val="ab"/>
            <w:b/>
            <w:bCs/>
            <w:noProof/>
          </w:rPr>
          <w:t xml:space="preserve">5  </w:t>
        </w:r>
        <w:r w:rsidRPr="000F4EE1">
          <w:rPr>
            <w:rStyle w:val="ab"/>
            <w:b/>
            <w:bCs/>
            <w:noProof/>
          </w:rPr>
          <w:t>托管人报告</w:t>
        </w:r>
        <w:r>
          <w:rPr>
            <w:noProof/>
            <w:webHidden/>
          </w:rPr>
          <w:tab/>
        </w:r>
        <w:r>
          <w:rPr>
            <w:noProof/>
            <w:webHidden/>
          </w:rPr>
          <w:fldChar w:fldCharType="begin"/>
        </w:r>
        <w:r>
          <w:rPr>
            <w:noProof/>
            <w:webHidden/>
          </w:rPr>
          <w:instrText xml:space="preserve"> PAGEREF _Toc175575274 \h </w:instrText>
        </w:r>
        <w:r>
          <w:rPr>
            <w:noProof/>
            <w:webHidden/>
          </w:rPr>
        </w:r>
        <w:r>
          <w:rPr>
            <w:noProof/>
            <w:webHidden/>
          </w:rPr>
          <w:fldChar w:fldCharType="separate"/>
        </w:r>
        <w:r w:rsidR="003472DB">
          <w:rPr>
            <w:noProof/>
            <w:webHidden/>
          </w:rPr>
          <w:t>15</w:t>
        </w:r>
        <w:r>
          <w:rPr>
            <w:noProof/>
            <w:webHidden/>
          </w:rPr>
          <w:fldChar w:fldCharType="end"/>
        </w:r>
      </w:hyperlink>
    </w:p>
    <w:p w14:paraId="48E40B2E" w14:textId="540416F1" w:rsidR="00014712" w:rsidRDefault="00014712">
      <w:pPr>
        <w:pStyle w:val="24"/>
        <w:rPr>
          <w:rFonts w:asciiTheme="minorHAnsi" w:eastAsiaTheme="minorEastAsia" w:hAnsiTheme="minorHAnsi" w:cstheme="minorBidi"/>
          <w:noProof/>
          <w:kern w:val="2"/>
          <w:szCs w:val="22"/>
        </w:rPr>
      </w:pPr>
      <w:hyperlink w:anchor="_Toc175575275" w:history="1">
        <w:r w:rsidRPr="000F4EE1">
          <w:rPr>
            <w:rStyle w:val="ab"/>
            <w:noProof/>
          </w:rPr>
          <w:t xml:space="preserve">5.1 </w:t>
        </w:r>
        <w:r w:rsidRPr="000F4EE1">
          <w:rPr>
            <w:rStyle w:val="ab"/>
            <w:noProof/>
          </w:rPr>
          <w:t>报告期内本基金托管人遵规守信情况声明</w:t>
        </w:r>
        <w:r>
          <w:rPr>
            <w:noProof/>
            <w:webHidden/>
          </w:rPr>
          <w:tab/>
        </w:r>
        <w:r>
          <w:rPr>
            <w:noProof/>
            <w:webHidden/>
          </w:rPr>
          <w:fldChar w:fldCharType="begin"/>
        </w:r>
        <w:r>
          <w:rPr>
            <w:noProof/>
            <w:webHidden/>
          </w:rPr>
          <w:instrText xml:space="preserve"> PAGEREF _Toc175575275 \h </w:instrText>
        </w:r>
        <w:r>
          <w:rPr>
            <w:noProof/>
            <w:webHidden/>
          </w:rPr>
        </w:r>
        <w:r>
          <w:rPr>
            <w:noProof/>
            <w:webHidden/>
          </w:rPr>
          <w:fldChar w:fldCharType="separate"/>
        </w:r>
        <w:r w:rsidR="003472DB">
          <w:rPr>
            <w:noProof/>
            <w:webHidden/>
          </w:rPr>
          <w:t>15</w:t>
        </w:r>
        <w:r>
          <w:rPr>
            <w:noProof/>
            <w:webHidden/>
          </w:rPr>
          <w:fldChar w:fldCharType="end"/>
        </w:r>
      </w:hyperlink>
    </w:p>
    <w:p w14:paraId="6F8DCACF" w14:textId="34E86E16" w:rsidR="00014712" w:rsidRDefault="00014712">
      <w:pPr>
        <w:pStyle w:val="24"/>
        <w:rPr>
          <w:rFonts w:asciiTheme="minorHAnsi" w:eastAsiaTheme="minorEastAsia" w:hAnsiTheme="minorHAnsi" w:cstheme="minorBidi"/>
          <w:noProof/>
          <w:kern w:val="2"/>
          <w:szCs w:val="22"/>
        </w:rPr>
      </w:pPr>
      <w:hyperlink w:anchor="_Toc175575276" w:history="1">
        <w:r w:rsidRPr="000F4EE1">
          <w:rPr>
            <w:rStyle w:val="ab"/>
            <w:noProof/>
          </w:rPr>
          <w:t xml:space="preserve">5.2 </w:t>
        </w:r>
        <w:r w:rsidRPr="000F4EE1">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_Toc175575276 \h </w:instrText>
        </w:r>
        <w:r>
          <w:rPr>
            <w:noProof/>
            <w:webHidden/>
          </w:rPr>
        </w:r>
        <w:r>
          <w:rPr>
            <w:noProof/>
            <w:webHidden/>
          </w:rPr>
          <w:fldChar w:fldCharType="separate"/>
        </w:r>
        <w:r w:rsidR="003472DB">
          <w:rPr>
            <w:noProof/>
            <w:webHidden/>
          </w:rPr>
          <w:t>15</w:t>
        </w:r>
        <w:r>
          <w:rPr>
            <w:noProof/>
            <w:webHidden/>
          </w:rPr>
          <w:fldChar w:fldCharType="end"/>
        </w:r>
      </w:hyperlink>
    </w:p>
    <w:p w14:paraId="2DAA6501" w14:textId="2F19E37F" w:rsidR="00014712" w:rsidRDefault="00014712">
      <w:pPr>
        <w:pStyle w:val="24"/>
        <w:rPr>
          <w:rFonts w:asciiTheme="minorHAnsi" w:eastAsiaTheme="minorEastAsia" w:hAnsiTheme="minorHAnsi" w:cstheme="minorBidi"/>
          <w:noProof/>
          <w:kern w:val="2"/>
          <w:szCs w:val="22"/>
        </w:rPr>
      </w:pPr>
      <w:hyperlink w:anchor="_Toc175575277" w:history="1">
        <w:r w:rsidRPr="000F4EE1">
          <w:rPr>
            <w:rStyle w:val="ab"/>
            <w:noProof/>
          </w:rPr>
          <w:t xml:space="preserve">5.3 </w:t>
        </w:r>
        <w:r w:rsidRPr="000F4EE1">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_Toc175575277 \h </w:instrText>
        </w:r>
        <w:r>
          <w:rPr>
            <w:noProof/>
            <w:webHidden/>
          </w:rPr>
        </w:r>
        <w:r>
          <w:rPr>
            <w:noProof/>
            <w:webHidden/>
          </w:rPr>
          <w:fldChar w:fldCharType="separate"/>
        </w:r>
        <w:r w:rsidR="003472DB">
          <w:rPr>
            <w:noProof/>
            <w:webHidden/>
          </w:rPr>
          <w:t>15</w:t>
        </w:r>
        <w:r>
          <w:rPr>
            <w:noProof/>
            <w:webHidden/>
          </w:rPr>
          <w:fldChar w:fldCharType="end"/>
        </w:r>
      </w:hyperlink>
    </w:p>
    <w:p w14:paraId="7CF1B04D" w14:textId="456C9712" w:rsidR="00014712" w:rsidRDefault="00014712">
      <w:pPr>
        <w:pStyle w:val="12"/>
        <w:rPr>
          <w:rFonts w:asciiTheme="minorHAnsi" w:eastAsiaTheme="minorEastAsia" w:hAnsiTheme="minorHAnsi" w:cstheme="minorBidi"/>
          <w:noProof/>
          <w:szCs w:val="22"/>
        </w:rPr>
      </w:pPr>
      <w:hyperlink w:anchor="_Toc175575278" w:history="1">
        <w:r w:rsidRPr="000F4EE1">
          <w:rPr>
            <w:rStyle w:val="ab"/>
            <w:b/>
            <w:bCs/>
            <w:noProof/>
          </w:rPr>
          <w:t xml:space="preserve">6  </w:t>
        </w:r>
        <w:r w:rsidRPr="000F4EE1">
          <w:rPr>
            <w:rStyle w:val="ab"/>
            <w:b/>
            <w:bCs/>
            <w:noProof/>
          </w:rPr>
          <w:t>半年度财务会计报告（未经审计）</w:t>
        </w:r>
        <w:r>
          <w:rPr>
            <w:noProof/>
            <w:webHidden/>
          </w:rPr>
          <w:tab/>
        </w:r>
        <w:r>
          <w:rPr>
            <w:noProof/>
            <w:webHidden/>
          </w:rPr>
          <w:fldChar w:fldCharType="begin"/>
        </w:r>
        <w:r>
          <w:rPr>
            <w:noProof/>
            <w:webHidden/>
          </w:rPr>
          <w:instrText xml:space="preserve"> PAGEREF _Toc175575278 \h </w:instrText>
        </w:r>
        <w:r>
          <w:rPr>
            <w:noProof/>
            <w:webHidden/>
          </w:rPr>
        </w:r>
        <w:r>
          <w:rPr>
            <w:noProof/>
            <w:webHidden/>
          </w:rPr>
          <w:fldChar w:fldCharType="separate"/>
        </w:r>
        <w:r w:rsidR="003472DB">
          <w:rPr>
            <w:noProof/>
            <w:webHidden/>
          </w:rPr>
          <w:t>15</w:t>
        </w:r>
        <w:r>
          <w:rPr>
            <w:noProof/>
            <w:webHidden/>
          </w:rPr>
          <w:fldChar w:fldCharType="end"/>
        </w:r>
      </w:hyperlink>
    </w:p>
    <w:p w14:paraId="5F056B1D" w14:textId="74464399" w:rsidR="00014712" w:rsidRDefault="00014712">
      <w:pPr>
        <w:pStyle w:val="24"/>
        <w:rPr>
          <w:rFonts w:asciiTheme="minorHAnsi" w:eastAsiaTheme="minorEastAsia" w:hAnsiTheme="minorHAnsi" w:cstheme="minorBidi"/>
          <w:noProof/>
          <w:kern w:val="2"/>
          <w:szCs w:val="22"/>
        </w:rPr>
      </w:pPr>
      <w:hyperlink w:anchor="_Toc175575279" w:history="1">
        <w:r w:rsidRPr="000F4EE1">
          <w:rPr>
            <w:rStyle w:val="ab"/>
            <w:noProof/>
          </w:rPr>
          <w:t xml:space="preserve">6.1 </w:t>
        </w:r>
        <w:r w:rsidRPr="000F4EE1">
          <w:rPr>
            <w:rStyle w:val="ab"/>
            <w:noProof/>
          </w:rPr>
          <w:t>资产负债表</w:t>
        </w:r>
        <w:r>
          <w:rPr>
            <w:noProof/>
            <w:webHidden/>
          </w:rPr>
          <w:tab/>
        </w:r>
        <w:r>
          <w:rPr>
            <w:noProof/>
            <w:webHidden/>
          </w:rPr>
          <w:fldChar w:fldCharType="begin"/>
        </w:r>
        <w:r>
          <w:rPr>
            <w:noProof/>
            <w:webHidden/>
          </w:rPr>
          <w:instrText xml:space="preserve"> PAGEREF _Toc175575279 \h </w:instrText>
        </w:r>
        <w:r>
          <w:rPr>
            <w:noProof/>
            <w:webHidden/>
          </w:rPr>
        </w:r>
        <w:r>
          <w:rPr>
            <w:noProof/>
            <w:webHidden/>
          </w:rPr>
          <w:fldChar w:fldCharType="separate"/>
        </w:r>
        <w:r w:rsidR="003472DB">
          <w:rPr>
            <w:noProof/>
            <w:webHidden/>
          </w:rPr>
          <w:t>15</w:t>
        </w:r>
        <w:r>
          <w:rPr>
            <w:noProof/>
            <w:webHidden/>
          </w:rPr>
          <w:fldChar w:fldCharType="end"/>
        </w:r>
      </w:hyperlink>
    </w:p>
    <w:p w14:paraId="6DEB1C29" w14:textId="273F66E5" w:rsidR="00014712" w:rsidRDefault="00014712">
      <w:pPr>
        <w:pStyle w:val="24"/>
        <w:rPr>
          <w:rFonts w:asciiTheme="minorHAnsi" w:eastAsiaTheme="minorEastAsia" w:hAnsiTheme="minorHAnsi" w:cstheme="minorBidi"/>
          <w:noProof/>
          <w:kern w:val="2"/>
          <w:szCs w:val="22"/>
        </w:rPr>
      </w:pPr>
      <w:hyperlink w:anchor="_Toc175575280" w:history="1">
        <w:r w:rsidRPr="000F4EE1">
          <w:rPr>
            <w:rStyle w:val="ab"/>
            <w:noProof/>
          </w:rPr>
          <w:t xml:space="preserve">6.2 </w:t>
        </w:r>
        <w:r w:rsidRPr="000F4EE1">
          <w:rPr>
            <w:rStyle w:val="ab"/>
            <w:noProof/>
          </w:rPr>
          <w:t>利润表</w:t>
        </w:r>
        <w:r>
          <w:rPr>
            <w:noProof/>
            <w:webHidden/>
          </w:rPr>
          <w:tab/>
        </w:r>
        <w:r>
          <w:rPr>
            <w:noProof/>
            <w:webHidden/>
          </w:rPr>
          <w:fldChar w:fldCharType="begin"/>
        </w:r>
        <w:r>
          <w:rPr>
            <w:noProof/>
            <w:webHidden/>
          </w:rPr>
          <w:instrText xml:space="preserve"> PAGEREF _Toc175575280 \h </w:instrText>
        </w:r>
        <w:r>
          <w:rPr>
            <w:noProof/>
            <w:webHidden/>
          </w:rPr>
        </w:r>
        <w:r>
          <w:rPr>
            <w:noProof/>
            <w:webHidden/>
          </w:rPr>
          <w:fldChar w:fldCharType="separate"/>
        </w:r>
        <w:r w:rsidR="003472DB">
          <w:rPr>
            <w:noProof/>
            <w:webHidden/>
          </w:rPr>
          <w:t>17</w:t>
        </w:r>
        <w:r>
          <w:rPr>
            <w:noProof/>
            <w:webHidden/>
          </w:rPr>
          <w:fldChar w:fldCharType="end"/>
        </w:r>
      </w:hyperlink>
    </w:p>
    <w:p w14:paraId="6FA44EEC" w14:textId="085132E7" w:rsidR="00014712" w:rsidRDefault="00014712">
      <w:pPr>
        <w:pStyle w:val="24"/>
        <w:rPr>
          <w:rFonts w:asciiTheme="minorHAnsi" w:eastAsiaTheme="minorEastAsia" w:hAnsiTheme="minorHAnsi" w:cstheme="minorBidi"/>
          <w:noProof/>
          <w:kern w:val="2"/>
          <w:szCs w:val="22"/>
        </w:rPr>
      </w:pPr>
      <w:hyperlink w:anchor="_Toc175575281" w:history="1">
        <w:r w:rsidRPr="000F4EE1">
          <w:rPr>
            <w:rStyle w:val="ab"/>
            <w:noProof/>
          </w:rPr>
          <w:t xml:space="preserve">6.3 </w:t>
        </w:r>
        <w:r w:rsidRPr="000F4EE1">
          <w:rPr>
            <w:rStyle w:val="ab"/>
            <w:rFonts w:ascii="宋体" w:hAnsi="宋体"/>
            <w:noProof/>
          </w:rPr>
          <w:t>净资产变动表</w:t>
        </w:r>
        <w:r>
          <w:rPr>
            <w:noProof/>
            <w:webHidden/>
          </w:rPr>
          <w:tab/>
        </w:r>
        <w:r>
          <w:rPr>
            <w:noProof/>
            <w:webHidden/>
          </w:rPr>
          <w:fldChar w:fldCharType="begin"/>
        </w:r>
        <w:r>
          <w:rPr>
            <w:noProof/>
            <w:webHidden/>
          </w:rPr>
          <w:instrText xml:space="preserve"> PAGEREF _Toc175575281 \h </w:instrText>
        </w:r>
        <w:r>
          <w:rPr>
            <w:noProof/>
            <w:webHidden/>
          </w:rPr>
        </w:r>
        <w:r>
          <w:rPr>
            <w:noProof/>
            <w:webHidden/>
          </w:rPr>
          <w:fldChar w:fldCharType="separate"/>
        </w:r>
        <w:r w:rsidR="003472DB">
          <w:rPr>
            <w:noProof/>
            <w:webHidden/>
          </w:rPr>
          <w:t>18</w:t>
        </w:r>
        <w:r>
          <w:rPr>
            <w:noProof/>
            <w:webHidden/>
          </w:rPr>
          <w:fldChar w:fldCharType="end"/>
        </w:r>
      </w:hyperlink>
    </w:p>
    <w:p w14:paraId="0D74A1A8" w14:textId="760B44DE" w:rsidR="00014712" w:rsidRDefault="00014712">
      <w:pPr>
        <w:pStyle w:val="24"/>
        <w:rPr>
          <w:rFonts w:asciiTheme="minorHAnsi" w:eastAsiaTheme="minorEastAsia" w:hAnsiTheme="minorHAnsi" w:cstheme="minorBidi"/>
          <w:noProof/>
          <w:kern w:val="2"/>
          <w:szCs w:val="22"/>
        </w:rPr>
      </w:pPr>
      <w:hyperlink w:anchor="_Toc175575282" w:history="1">
        <w:r w:rsidRPr="000F4EE1">
          <w:rPr>
            <w:rStyle w:val="ab"/>
            <w:noProof/>
          </w:rPr>
          <w:t xml:space="preserve">6.4 </w:t>
        </w:r>
        <w:r w:rsidRPr="000F4EE1">
          <w:rPr>
            <w:rStyle w:val="ab"/>
            <w:noProof/>
          </w:rPr>
          <w:t>报表附注</w:t>
        </w:r>
        <w:r>
          <w:rPr>
            <w:noProof/>
            <w:webHidden/>
          </w:rPr>
          <w:tab/>
        </w:r>
        <w:r>
          <w:rPr>
            <w:noProof/>
            <w:webHidden/>
          </w:rPr>
          <w:fldChar w:fldCharType="begin"/>
        </w:r>
        <w:r>
          <w:rPr>
            <w:noProof/>
            <w:webHidden/>
          </w:rPr>
          <w:instrText xml:space="preserve"> PAGEREF _Toc175575282 \h </w:instrText>
        </w:r>
        <w:r>
          <w:rPr>
            <w:noProof/>
            <w:webHidden/>
          </w:rPr>
        </w:r>
        <w:r>
          <w:rPr>
            <w:noProof/>
            <w:webHidden/>
          </w:rPr>
          <w:fldChar w:fldCharType="separate"/>
        </w:r>
        <w:r w:rsidR="003472DB">
          <w:rPr>
            <w:noProof/>
            <w:webHidden/>
          </w:rPr>
          <w:t>19</w:t>
        </w:r>
        <w:r>
          <w:rPr>
            <w:noProof/>
            <w:webHidden/>
          </w:rPr>
          <w:fldChar w:fldCharType="end"/>
        </w:r>
      </w:hyperlink>
    </w:p>
    <w:p w14:paraId="4E6A6F7D" w14:textId="25D88C61" w:rsidR="00014712" w:rsidRDefault="00014712">
      <w:pPr>
        <w:pStyle w:val="12"/>
        <w:rPr>
          <w:rFonts w:asciiTheme="minorHAnsi" w:eastAsiaTheme="minorEastAsia" w:hAnsiTheme="minorHAnsi" w:cstheme="minorBidi"/>
          <w:noProof/>
          <w:szCs w:val="22"/>
        </w:rPr>
      </w:pPr>
      <w:hyperlink w:anchor="_Toc175575283" w:history="1">
        <w:r w:rsidRPr="000F4EE1">
          <w:rPr>
            <w:rStyle w:val="ab"/>
            <w:b/>
            <w:bCs/>
            <w:noProof/>
          </w:rPr>
          <w:t xml:space="preserve">7  </w:t>
        </w:r>
        <w:r w:rsidRPr="000F4EE1">
          <w:rPr>
            <w:rStyle w:val="ab"/>
            <w:b/>
            <w:bCs/>
            <w:noProof/>
          </w:rPr>
          <w:t>投资组合报告</w:t>
        </w:r>
        <w:r>
          <w:rPr>
            <w:noProof/>
            <w:webHidden/>
          </w:rPr>
          <w:tab/>
        </w:r>
        <w:r>
          <w:rPr>
            <w:noProof/>
            <w:webHidden/>
          </w:rPr>
          <w:fldChar w:fldCharType="begin"/>
        </w:r>
        <w:r>
          <w:rPr>
            <w:noProof/>
            <w:webHidden/>
          </w:rPr>
          <w:instrText xml:space="preserve"> PAGEREF _Toc175575283 \h </w:instrText>
        </w:r>
        <w:r>
          <w:rPr>
            <w:noProof/>
            <w:webHidden/>
          </w:rPr>
        </w:r>
        <w:r>
          <w:rPr>
            <w:noProof/>
            <w:webHidden/>
          </w:rPr>
          <w:fldChar w:fldCharType="separate"/>
        </w:r>
        <w:r w:rsidR="003472DB">
          <w:rPr>
            <w:noProof/>
            <w:webHidden/>
          </w:rPr>
          <w:t>37</w:t>
        </w:r>
        <w:r>
          <w:rPr>
            <w:noProof/>
            <w:webHidden/>
          </w:rPr>
          <w:fldChar w:fldCharType="end"/>
        </w:r>
      </w:hyperlink>
    </w:p>
    <w:p w14:paraId="6443F6DC" w14:textId="267FEF09" w:rsidR="00014712" w:rsidRDefault="00014712">
      <w:pPr>
        <w:pStyle w:val="24"/>
        <w:rPr>
          <w:rFonts w:asciiTheme="minorHAnsi" w:eastAsiaTheme="minorEastAsia" w:hAnsiTheme="minorHAnsi" w:cstheme="minorBidi"/>
          <w:noProof/>
          <w:kern w:val="2"/>
          <w:szCs w:val="22"/>
        </w:rPr>
      </w:pPr>
      <w:hyperlink w:anchor="_Toc175575284" w:history="1">
        <w:r w:rsidRPr="000F4EE1">
          <w:rPr>
            <w:rStyle w:val="ab"/>
            <w:noProof/>
          </w:rPr>
          <w:t xml:space="preserve">7.1 </w:t>
        </w:r>
        <w:r w:rsidRPr="000F4EE1">
          <w:rPr>
            <w:rStyle w:val="ab"/>
            <w:noProof/>
          </w:rPr>
          <w:t>期末基金资产组合情况</w:t>
        </w:r>
        <w:r>
          <w:rPr>
            <w:noProof/>
            <w:webHidden/>
          </w:rPr>
          <w:tab/>
        </w:r>
        <w:r>
          <w:rPr>
            <w:noProof/>
            <w:webHidden/>
          </w:rPr>
          <w:fldChar w:fldCharType="begin"/>
        </w:r>
        <w:r>
          <w:rPr>
            <w:noProof/>
            <w:webHidden/>
          </w:rPr>
          <w:instrText xml:space="preserve"> PAGEREF _Toc175575284 \h </w:instrText>
        </w:r>
        <w:r>
          <w:rPr>
            <w:noProof/>
            <w:webHidden/>
          </w:rPr>
        </w:r>
        <w:r>
          <w:rPr>
            <w:noProof/>
            <w:webHidden/>
          </w:rPr>
          <w:fldChar w:fldCharType="separate"/>
        </w:r>
        <w:r w:rsidR="003472DB">
          <w:rPr>
            <w:noProof/>
            <w:webHidden/>
          </w:rPr>
          <w:t>37</w:t>
        </w:r>
        <w:r>
          <w:rPr>
            <w:noProof/>
            <w:webHidden/>
          </w:rPr>
          <w:fldChar w:fldCharType="end"/>
        </w:r>
      </w:hyperlink>
    </w:p>
    <w:p w14:paraId="1E6237B5" w14:textId="4CA31406" w:rsidR="00014712" w:rsidRDefault="00014712">
      <w:pPr>
        <w:pStyle w:val="24"/>
        <w:tabs>
          <w:tab w:val="left" w:pos="1050"/>
        </w:tabs>
        <w:rPr>
          <w:rFonts w:asciiTheme="minorHAnsi" w:eastAsiaTheme="minorEastAsia" w:hAnsiTheme="minorHAnsi" w:cstheme="minorBidi"/>
          <w:noProof/>
          <w:kern w:val="2"/>
          <w:szCs w:val="22"/>
        </w:rPr>
      </w:pPr>
      <w:hyperlink w:anchor="_Toc175575285" w:history="1">
        <w:r w:rsidRPr="000F4EE1">
          <w:rPr>
            <w:rStyle w:val="ab"/>
            <w:noProof/>
          </w:rPr>
          <w:t>7.2</w:t>
        </w:r>
        <w:r>
          <w:rPr>
            <w:rFonts w:asciiTheme="minorHAnsi" w:eastAsiaTheme="minorEastAsia" w:hAnsiTheme="minorHAnsi" w:cstheme="minorBidi"/>
            <w:noProof/>
            <w:kern w:val="2"/>
            <w:szCs w:val="22"/>
          </w:rPr>
          <w:tab/>
        </w:r>
        <w:r w:rsidRPr="000F4EE1">
          <w:rPr>
            <w:rStyle w:val="ab"/>
            <w:noProof/>
          </w:rPr>
          <w:t>期末投资目标基金明细</w:t>
        </w:r>
        <w:r>
          <w:rPr>
            <w:noProof/>
            <w:webHidden/>
          </w:rPr>
          <w:tab/>
        </w:r>
        <w:r>
          <w:rPr>
            <w:noProof/>
            <w:webHidden/>
          </w:rPr>
          <w:fldChar w:fldCharType="begin"/>
        </w:r>
        <w:r>
          <w:rPr>
            <w:noProof/>
            <w:webHidden/>
          </w:rPr>
          <w:instrText xml:space="preserve"> PAGEREF _Toc175575285 \h </w:instrText>
        </w:r>
        <w:r>
          <w:rPr>
            <w:noProof/>
            <w:webHidden/>
          </w:rPr>
        </w:r>
        <w:r>
          <w:rPr>
            <w:noProof/>
            <w:webHidden/>
          </w:rPr>
          <w:fldChar w:fldCharType="separate"/>
        </w:r>
        <w:r w:rsidR="003472DB">
          <w:rPr>
            <w:noProof/>
            <w:webHidden/>
          </w:rPr>
          <w:t>38</w:t>
        </w:r>
        <w:r>
          <w:rPr>
            <w:noProof/>
            <w:webHidden/>
          </w:rPr>
          <w:fldChar w:fldCharType="end"/>
        </w:r>
      </w:hyperlink>
    </w:p>
    <w:p w14:paraId="38FFCFCE" w14:textId="2909249E" w:rsidR="00014712" w:rsidRDefault="00014712">
      <w:pPr>
        <w:pStyle w:val="24"/>
        <w:rPr>
          <w:rFonts w:asciiTheme="minorHAnsi" w:eastAsiaTheme="minorEastAsia" w:hAnsiTheme="minorHAnsi" w:cstheme="minorBidi"/>
          <w:noProof/>
          <w:kern w:val="2"/>
          <w:szCs w:val="22"/>
        </w:rPr>
      </w:pPr>
      <w:hyperlink w:anchor="_Toc175575286" w:history="1">
        <w:r w:rsidRPr="000F4EE1">
          <w:rPr>
            <w:rStyle w:val="ab"/>
            <w:noProof/>
          </w:rPr>
          <w:t xml:space="preserve">7.3 </w:t>
        </w:r>
        <w:r w:rsidRPr="000F4EE1">
          <w:rPr>
            <w:rStyle w:val="ab"/>
            <w:noProof/>
          </w:rPr>
          <w:t>报告期末按行业分类的股票投资组合</w:t>
        </w:r>
        <w:bookmarkStart w:id="4" w:name="_GoBack"/>
        <w:bookmarkEnd w:id="4"/>
        <w:r>
          <w:rPr>
            <w:noProof/>
            <w:webHidden/>
          </w:rPr>
          <w:tab/>
        </w:r>
        <w:r>
          <w:rPr>
            <w:noProof/>
            <w:webHidden/>
          </w:rPr>
          <w:fldChar w:fldCharType="begin"/>
        </w:r>
        <w:r>
          <w:rPr>
            <w:noProof/>
            <w:webHidden/>
          </w:rPr>
          <w:instrText xml:space="preserve"> PAGEREF _Toc175575286 \h </w:instrText>
        </w:r>
        <w:r>
          <w:rPr>
            <w:noProof/>
            <w:webHidden/>
          </w:rPr>
        </w:r>
        <w:r>
          <w:rPr>
            <w:noProof/>
            <w:webHidden/>
          </w:rPr>
          <w:fldChar w:fldCharType="separate"/>
        </w:r>
        <w:r w:rsidR="003472DB">
          <w:rPr>
            <w:noProof/>
            <w:webHidden/>
          </w:rPr>
          <w:t>38</w:t>
        </w:r>
        <w:r>
          <w:rPr>
            <w:noProof/>
            <w:webHidden/>
          </w:rPr>
          <w:fldChar w:fldCharType="end"/>
        </w:r>
      </w:hyperlink>
    </w:p>
    <w:p w14:paraId="48D3DC64" w14:textId="5A81B7AA" w:rsidR="00014712" w:rsidRDefault="00014712">
      <w:pPr>
        <w:pStyle w:val="24"/>
        <w:rPr>
          <w:rFonts w:asciiTheme="minorHAnsi" w:eastAsiaTheme="minorEastAsia" w:hAnsiTheme="minorHAnsi" w:cstheme="minorBidi"/>
          <w:noProof/>
          <w:kern w:val="2"/>
          <w:szCs w:val="22"/>
        </w:rPr>
      </w:pPr>
      <w:hyperlink w:anchor="_Toc175575287" w:history="1">
        <w:r w:rsidRPr="000F4EE1">
          <w:rPr>
            <w:rStyle w:val="ab"/>
            <w:noProof/>
          </w:rPr>
          <w:t xml:space="preserve">7.4 </w:t>
        </w:r>
        <w:r w:rsidRPr="000F4EE1">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_Toc175575287 \h </w:instrText>
        </w:r>
        <w:r>
          <w:rPr>
            <w:noProof/>
            <w:webHidden/>
          </w:rPr>
        </w:r>
        <w:r>
          <w:rPr>
            <w:noProof/>
            <w:webHidden/>
          </w:rPr>
          <w:fldChar w:fldCharType="separate"/>
        </w:r>
        <w:r w:rsidR="003472DB">
          <w:rPr>
            <w:noProof/>
            <w:webHidden/>
          </w:rPr>
          <w:t>38</w:t>
        </w:r>
        <w:r>
          <w:rPr>
            <w:noProof/>
            <w:webHidden/>
          </w:rPr>
          <w:fldChar w:fldCharType="end"/>
        </w:r>
      </w:hyperlink>
    </w:p>
    <w:p w14:paraId="02BAB7E8" w14:textId="4AD42D7E" w:rsidR="00014712" w:rsidRDefault="00014712">
      <w:pPr>
        <w:pStyle w:val="24"/>
        <w:rPr>
          <w:rFonts w:asciiTheme="minorHAnsi" w:eastAsiaTheme="minorEastAsia" w:hAnsiTheme="minorHAnsi" w:cstheme="minorBidi"/>
          <w:noProof/>
          <w:kern w:val="2"/>
          <w:szCs w:val="22"/>
        </w:rPr>
      </w:pPr>
      <w:hyperlink w:anchor="_Toc175575288" w:history="1">
        <w:r w:rsidRPr="000F4EE1">
          <w:rPr>
            <w:rStyle w:val="ab"/>
            <w:noProof/>
          </w:rPr>
          <w:t xml:space="preserve">7.5 </w:t>
        </w:r>
        <w:r w:rsidRPr="000F4EE1">
          <w:rPr>
            <w:rStyle w:val="ab"/>
            <w:noProof/>
          </w:rPr>
          <w:t>报告期内股票投资组合的重大变动</w:t>
        </w:r>
        <w:r>
          <w:rPr>
            <w:noProof/>
            <w:webHidden/>
          </w:rPr>
          <w:tab/>
        </w:r>
        <w:r>
          <w:rPr>
            <w:noProof/>
            <w:webHidden/>
          </w:rPr>
          <w:fldChar w:fldCharType="begin"/>
        </w:r>
        <w:r>
          <w:rPr>
            <w:noProof/>
            <w:webHidden/>
          </w:rPr>
          <w:instrText xml:space="preserve"> PAGEREF _Toc175575288 \h </w:instrText>
        </w:r>
        <w:r>
          <w:rPr>
            <w:noProof/>
            <w:webHidden/>
          </w:rPr>
        </w:r>
        <w:r>
          <w:rPr>
            <w:noProof/>
            <w:webHidden/>
          </w:rPr>
          <w:fldChar w:fldCharType="separate"/>
        </w:r>
        <w:r w:rsidR="003472DB">
          <w:rPr>
            <w:noProof/>
            <w:webHidden/>
          </w:rPr>
          <w:t>38</w:t>
        </w:r>
        <w:r>
          <w:rPr>
            <w:noProof/>
            <w:webHidden/>
          </w:rPr>
          <w:fldChar w:fldCharType="end"/>
        </w:r>
      </w:hyperlink>
    </w:p>
    <w:p w14:paraId="502DEF03" w14:textId="52E60B85" w:rsidR="00014712" w:rsidRDefault="00014712">
      <w:pPr>
        <w:pStyle w:val="24"/>
        <w:rPr>
          <w:rFonts w:asciiTheme="minorHAnsi" w:eastAsiaTheme="minorEastAsia" w:hAnsiTheme="minorHAnsi" w:cstheme="minorBidi"/>
          <w:noProof/>
          <w:kern w:val="2"/>
          <w:szCs w:val="22"/>
        </w:rPr>
      </w:pPr>
      <w:hyperlink w:anchor="_Toc175575289" w:history="1">
        <w:r w:rsidRPr="000F4EE1">
          <w:rPr>
            <w:rStyle w:val="ab"/>
            <w:noProof/>
          </w:rPr>
          <w:t xml:space="preserve">7.6 </w:t>
        </w:r>
        <w:r w:rsidRPr="000F4EE1">
          <w:rPr>
            <w:rStyle w:val="ab"/>
            <w:noProof/>
          </w:rPr>
          <w:t>期末按债券品种分类的债券投资组合</w:t>
        </w:r>
        <w:r>
          <w:rPr>
            <w:noProof/>
            <w:webHidden/>
          </w:rPr>
          <w:tab/>
        </w:r>
        <w:r>
          <w:rPr>
            <w:noProof/>
            <w:webHidden/>
          </w:rPr>
          <w:fldChar w:fldCharType="begin"/>
        </w:r>
        <w:r>
          <w:rPr>
            <w:noProof/>
            <w:webHidden/>
          </w:rPr>
          <w:instrText xml:space="preserve"> PAGEREF _Toc175575289 \h </w:instrText>
        </w:r>
        <w:r>
          <w:rPr>
            <w:noProof/>
            <w:webHidden/>
          </w:rPr>
        </w:r>
        <w:r>
          <w:rPr>
            <w:noProof/>
            <w:webHidden/>
          </w:rPr>
          <w:fldChar w:fldCharType="separate"/>
        </w:r>
        <w:r w:rsidR="003472DB">
          <w:rPr>
            <w:noProof/>
            <w:webHidden/>
          </w:rPr>
          <w:t>39</w:t>
        </w:r>
        <w:r>
          <w:rPr>
            <w:noProof/>
            <w:webHidden/>
          </w:rPr>
          <w:fldChar w:fldCharType="end"/>
        </w:r>
      </w:hyperlink>
    </w:p>
    <w:p w14:paraId="0D37149F" w14:textId="20A9561F" w:rsidR="00014712" w:rsidRDefault="00014712">
      <w:pPr>
        <w:pStyle w:val="24"/>
        <w:rPr>
          <w:rFonts w:asciiTheme="minorHAnsi" w:eastAsiaTheme="minorEastAsia" w:hAnsiTheme="minorHAnsi" w:cstheme="minorBidi"/>
          <w:noProof/>
          <w:kern w:val="2"/>
          <w:szCs w:val="22"/>
        </w:rPr>
      </w:pPr>
      <w:hyperlink w:anchor="_Toc175575290" w:history="1">
        <w:r w:rsidRPr="000F4EE1">
          <w:rPr>
            <w:rStyle w:val="ab"/>
            <w:noProof/>
          </w:rPr>
          <w:t xml:space="preserve">7.7 </w:t>
        </w:r>
        <w:r w:rsidRPr="000F4EE1">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_Toc175575290 \h </w:instrText>
        </w:r>
        <w:r>
          <w:rPr>
            <w:noProof/>
            <w:webHidden/>
          </w:rPr>
        </w:r>
        <w:r>
          <w:rPr>
            <w:noProof/>
            <w:webHidden/>
          </w:rPr>
          <w:fldChar w:fldCharType="separate"/>
        </w:r>
        <w:r w:rsidR="003472DB">
          <w:rPr>
            <w:noProof/>
            <w:webHidden/>
          </w:rPr>
          <w:t>39</w:t>
        </w:r>
        <w:r>
          <w:rPr>
            <w:noProof/>
            <w:webHidden/>
          </w:rPr>
          <w:fldChar w:fldCharType="end"/>
        </w:r>
      </w:hyperlink>
    </w:p>
    <w:p w14:paraId="151EC9AB" w14:textId="0532B8C2" w:rsidR="00014712" w:rsidRDefault="00014712">
      <w:pPr>
        <w:pStyle w:val="24"/>
        <w:rPr>
          <w:rFonts w:asciiTheme="minorHAnsi" w:eastAsiaTheme="minorEastAsia" w:hAnsiTheme="minorHAnsi" w:cstheme="minorBidi"/>
          <w:noProof/>
          <w:kern w:val="2"/>
          <w:szCs w:val="22"/>
        </w:rPr>
      </w:pPr>
      <w:hyperlink w:anchor="_Toc175575291" w:history="1">
        <w:r w:rsidRPr="000F4EE1">
          <w:rPr>
            <w:rStyle w:val="ab"/>
            <w:noProof/>
          </w:rPr>
          <w:t xml:space="preserve">7.8 </w:t>
        </w:r>
        <w:r w:rsidRPr="000F4EE1">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_Toc175575291 \h </w:instrText>
        </w:r>
        <w:r>
          <w:rPr>
            <w:noProof/>
            <w:webHidden/>
          </w:rPr>
        </w:r>
        <w:r>
          <w:rPr>
            <w:noProof/>
            <w:webHidden/>
          </w:rPr>
          <w:fldChar w:fldCharType="separate"/>
        </w:r>
        <w:r w:rsidR="003472DB">
          <w:rPr>
            <w:noProof/>
            <w:webHidden/>
          </w:rPr>
          <w:t>40</w:t>
        </w:r>
        <w:r>
          <w:rPr>
            <w:noProof/>
            <w:webHidden/>
          </w:rPr>
          <w:fldChar w:fldCharType="end"/>
        </w:r>
      </w:hyperlink>
    </w:p>
    <w:p w14:paraId="592B578C" w14:textId="05E6AF7D" w:rsidR="00014712" w:rsidRDefault="00014712">
      <w:pPr>
        <w:pStyle w:val="24"/>
        <w:rPr>
          <w:rFonts w:asciiTheme="minorHAnsi" w:eastAsiaTheme="minorEastAsia" w:hAnsiTheme="minorHAnsi" w:cstheme="minorBidi"/>
          <w:noProof/>
          <w:kern w:val="2"/>
          <w:szCs w:val="22"/>
        </w:rPr>
      </w:pPr>
      <w:hyperlink w:anchor="_Toc175575292" w:history="1">
        <w:r w:rsidRPr="000F4EE1">
          <w:rPr>
            <w:rStyle w:val="ab"/>
            <w:noProof/>
          </w:rPr>
          <w:t xml:space="preserve">7.9 </w:t>
        </w:r>
        <w:r w:rsidRPr="000F4EE1">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_Toc175575292 \h </w:instrText>
        </w:r>
        <w:r>
          <w:rPr>
            <w:noProof/>
            <w:webHidden/>
          </w:rPr>
        </w:r>
        <w:r>
          <w:rPr>
            <w:noProof/>
            <w:webHidden/>
          </w:rPr>
          <w:fldChar w:fldCharType="separate"/>
        </w:r>
        <w:r w:rsidR="003472DB">
          <w:rPr>
            <w:noProof/>
            <w:webHidden/>
          </w:rPr>
          <w:t>40</w:t>
        </w:r>
        <w:r>
          <w:rPr>
            <w:noProof/>
            <w:webHidden/>
          </w:rPr>
          <w:fldChar w:fldCharType="end"/>
        </w:r>
      </w:hyperlink>
    </w:p>
    <w:p w14:paraId="6ECA7910" w14:textId="4A577702" w:rsidR="00014712" w:rsidRDefault="00014712">
      <w:pPr>
        <w:pStyle w:val="24"/>
        <w:rPr>
          <w:rFonts w:asciiTheme="minorHAnsi" w:eastAsiaTheme="minorEastAsia" w:hAnsiTheme="minorHAnsi" w:cstheme="minorBidi"/>
          <w:noProof/>
          <w:kern w:val="2"/>
          <w:szCs w:val="22"/>
        </w:rPr>
      </w:pPr>
      <w:hyperlink w:anchor="_Toc175575293" w:history="1">
        <w:r w:rsidRPr="000F4EE1">
          <w:rPr>
            <w:rStyle w:val="ab"/>
            <w:noProof/>
          </w:rPr>
          <w:t xml:space="preserve">7.10 </w:t>
        </w:r>
        <w:r w:rsidRPr="000F4EE1">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_Toc175575293 \h </w:instrText>
        </w:r>
        <w:r>
          <w:rPr>
            <w:noProof/>
            <w:webHidden/>
          </w:rPr>
        </w:r>
        <w:r>
          <w:rPr>
            <w:noProof/>
            <w:webHidden/>
          </w:rPr>
          <w:fldChar w:fldCharType="separate"/>
        </w:r>
        <w:r w:rsidR="003472DB">
          <w:rPr>
            <w:noProof/>
            <w:webHidden/>
          </w:rPr>
          <w:t>40</w:t>
        </w:r>
        <w:r>
          <w:rPr>
            <w:noProof/>
            <w:webHidden/>
          </w:rPr>
          <w:fldChar w:fldCharType="end"/>
        </w:r>
      </w:hyperlink>
    </w:p>
    <w:p w14:paraId="68934788" w14:textId="142A3CDE" w:rsidR="00014712" w:rsidRDefault="00014712">
      <w:pPr>
        <w:pStyle w:val="24"/>
        <w:rPr>
          <w:rFonts w:asciiTheme="minorHAnsi" w:eastAsiaTheme="minorEastAsia" w:hAnsiTheme="minorHAnsi" w:cstheme="minorBidi"/>
          <w:noProof/>
          <w:kern w:val="2"/>
          <w:szCs w:val="22"/>
        </w:rPr>
      </w:pPr>
      <w:hyperlink w:anchor="_Toc175575294" w:history="1">
        <w:r w:rsidRPr="000F4EE1">
          <w:rPr>
            <w:rStyle w:val="ab"/>
            <w:noProof/>
          </w:rPr>
          <w:t xml:space="preserve">7.11 </w:t>
        </w:r>
        <w:r w:rsidRPr="000F4EE1">
          <w:rPr>
            <w:rStyle w:val="ab"/>
            <w:noProof/>
          </w:rPr>
          <w:t>本报告期投资基金情况</w:t>
        </w:r>
        <w:r>
          <w:rPr>
            <w:noProof/>
            <w:webHidden/>
          </w:rPr>
          <w:tab/>
        </w:r>
        <w:r>
          <w:rPr>
            <w:noProof/>
            <w:webHidden/>
          </w:rPr>
          <w:fldChar w:fldCharType="begin"/>
        </w:r>
        <w:r>
          <w:rPr>
            <w:noProof/>
            <w:webHidden/>
          </w:rPr>
          <w:instrText xml:space="preserve"> PAGEREF _Toc175575294 \h </w:instrText>
        </w:r>
        <w:r>
          <w:rPr>
            <w:noProof/>
            <w:webHidden/>
          </w:rPr>
        </w:r>
        <w:r>
          <w:rPr>
            <w:noProof/>
            <w:webHidden/>
          </w:rPr>
          <w:fldChar w:fldCharType="separate"/>
        </w:r>
        <w:r w:rsidR="003472DB">
          <w:rPr>
            <w:noProof/>
            <w:webHidden/>
          </w:rPr>
          <w:t>40</w:t>
        </w:r>
        <w:r>
          <w:rPr>
            <w:noProof/>
            <w:webHidden/>
          </w:rPr>
          <w:fldChar w:fldCharType="end"/>
        </w:r>
      </w:hyperlink>
    </w:p>
    <w:p w14:paraId="752C1BD2" w14:textId="0D6E35A8" w:rsidR="00014712" w:rsidRDefault="00014712">
      <w:pPr>
        <w:pStyle w:val="24"/>
        <w:rPr>
          <w:rFonts w:asciiTheme="minorHAnsi" w:eastAsiaTheme="minorEastAsia" w:hAnsiTheme="minorHAnsi" w:cstheme="minorBidi"/>
          <w:noProof/>
          <w:kern w:val="2"/>
          <w:szCs w:val="22"/>
        </w:rPr>
      </w:pPr>
      <w:hyperlink w:anchor="_Toc175575295" w:history="1">
        <w:r w:rsidRPr="000F4EE1">
          <w:rPr>
            <w:rStyle w:val="ab"/>
            <w:noProof/>
          </w:rPr>
          <w:t xml:space="preserve">7.12 </w:t>
        </w:r>
        <w:r w:rsidRPr="000F4EE1">
          <w:rPr>
            <w:rStyle w:val="ab"/>
            <w:noProof/>
          </w:rPr>
          <w:t>投资组合报告附注</w:t>
        </w:r>
        <w:r>
          <w:rPr>
            <w:noProof/>
            <w:webHidden/>
          </w:rPr>
          <w:tab/>
        </w:r>
        <w:r>
          <w:rPr>
            <w:noProof/>
            <w:webHidden/>
          </w:rPr>
          <w:fldChar w:fldCharType="begin"/>
        </w:r>
        <w:r>
          <w:rPr>
            <w:noProof/>
            <w:webHidden/>
          </w:rPr>
          <w:instrText xml:space="preserve"> PAGEREF _Toc175575295 \h </w:instrText>
        </w:r>
        <w:r>
          <w:rPr>
            <w:noProof/>
            <w:webHidden/>
          </w:rPr>
        </w:r>
        <w:r>
          <w:rPr>
            <w:noProof/>
            <w:webHidden/>
          </w:rPr>
          <w:fldChar w:fldCharType="separate"/>
        </w:r>
        <w:r w:rsidR="003472DB">
          <w:rPr>
            <w:noProof/>
            <w:webHidden/>
          </w:rPr>
          <w:t>40</w:t>
        </w:r>
        <w:r>
          <w:rPr>
            <w:noProof/>
            <w:webHidden/>
          </w:rPr>
          <w:fldChar w:fldCharType="end"/>
        </w:r>
      </w:hyperlink>
    </w:p>
    <w:p w14:paraId="38344B50" w14:textId="37CBBB2E" w:rsidR="00014712" w:rsidRDefault="00014712">
      <w:pPr>
        <w:pStyle w:val="12"/>
        <w:rPr>
          <w:rFonts w:asciiTheme="minorHAnsi" w:eastAsiaTheme="minorEastAsia" w:hAnsiTheme="minorHAnsi" w:cstheme="minorBidi"/>
          <w:noProof/>
          <w:szCs w:val="22"/>
        </w:rPr>
      </w:pPr>
      <w:hyperlink w:anchor="_Toc175575296" w:history="1">
        <w:r w:rsidRPr="000F4EE1">
          <w:rPr>
            <w:rStyle w:val="ab"/>
            <w:b/>
            <w:bCs/>
            <w:noProof/>
          </w:rPr>
          <w:t xml:space="preserve">8  </w:t>
        </w:r>
        <w:r w:rsidRPr="000F4EE1">
          <w:rPr>
            <w:rStyle w:val="ab"/>
            <w:b/>
            <w:bCs/>
            <w:noProof/>
          </w:rPr>
          <w:t>基金份额持有人信息</w:t>
        </w:r>
        <w:r>
          <w:rPr>
            <w:noProof/>
            <w:webHidden/>
          </w:rPr>
          <w:tab/>
        </w:r>
        <w:r>
          <w:rPr>
            <w:noProof/>
            <w:webHidden/>
          </w:rPr>
          <w:fldChar w:fldCharType="begin"/>
        </w:r>
        <w:r>
          <w:rPr>
            <w:noProof/>
            <w:webHidden/>
          </w:rPr>
          <w:instrText xml:space="preserve"> PAGEREF _Toc175575296 \h </w:instrText>
        </w:r>
        <w:r>
          <w:rPr>
            <w:noProof/>
            <w:webHidden/>
          </w:rPr>
        </w:r>
        <w:r>
          <w:rPr>
            <w:noProof/>
            <w:webHidden/>
          </w:rPr>
          <w:fldChar w:fldCharType="separate"/>
        </w:r>
        <w:r w:rsidR="003472DB">
          <w:rPr>
            <w:noProof/>
            <w:webHidden/>
          </w:rPr>
          <w:t>41</w:t>
        </w:r>
        <w:r>
          <w:rPr>
            <w:noProof/>
            <w:webHidden/>
          </w:rPr>
          <w:fldChar w:fldCharType="end"/>
        </w:r>
      </w:hyperlink>
    </w:p>
    <w:p w14:paraId="493A1800" w14:textId="494746B3" w:rsidR="00014712" w:rsidRDefault="00014712">
      <w:pPr>
        <w:pStyle w:val="24"/>
        <w:rPr>
          <w:rFonts w:asciiTheme="minorHAnsi" w:eastAsiaTheme="minorEastAsia" w:hAnsiTheme="minorHAnsi" w:cstheme="minorBidi"/>
          <w:noProof/>
          <w:kern w:val="2"/>
          <w:szCs w:val="22"/>
        </w:rPr>
      </w:pPr>
      <w:hyperlink w:anchor="_Toc175575297" w:history="1">
        <w:r w:rsidRPr="000F4EE1">
          <w:rPr>
            <w:rStyle w:val="ab"/>
            <w:noProof/>
          </w:rPr>
          <w:t xml:space="preserve">8.1 </w:t>
        </w:r>
        <w:r w:rsidRPr="000F4EE1">
          <w:rPr>
            <w:rStyle w:val="ab"/>
            <w:noProof/>
          </w:rPr>
          <w:t>期末基金份额持有人户数及持有人结构</w:t>
        </w:r>
        <w:r>
          <w:rPr>
            <w:noProof/>
            <w:webHidden/>
          </w:rPr>
          <w:tab/>
        </w:r>
        <w:r>
          <w:rPr>
            <w:noProof/>
            <w:webHidden/>
          </w:rPr>
          <w:fldChar w:fldCharType="begin"/>
        </w:r>
        <w:r>
          <w:rPr>
            <w:noProof/>
            <w:webHidden/>
          </w:rPr>
          <w:instrText xml:space="preserve"> PAGEREF _Toc175575297 \h </w:instrText>
        </w:r>
        <w:r>
          <w:rPr>
            <w:noProof/>
            <w:webHidden/>
          </w:rPr>
        </w:r>
        <w:r>
          <w:rPr>
            <w:noProof/>
            <w:webHidden/>
          </w:rPr>
          <w:fldChar w:fldCharType="separate"/>
        </w:r>
        <w:r w:rsidR="003472DB">
          <w:rPr>
            <w:noProof/>
            <w:webHidden/>
          </w:rPr>
          <w:t>41</w:t>
        </w:r>
        <w:r>
          <w:rPr>
            <w:noProof/>
            <w:webHidden/>
          </w:rPr>
          <w:fldChar w:fldCharType="end"/>
        </w:r>
      </w:hyperlink>
    </w:p>
    <w:p w14:paraId="54B78CF8" w14:textId="7DE70D0C" w:rsidR="00014712" w:rsidRDefault="00014712">
      <w:pPr>
        <w:pStyle w:val="24"/>
        <w:rPr>
          <w:rFonts w:asciiTheme="minorHAnsi" w:eastAsiaTheme="minorEastAsia" w:hAnsiTheme="minorHAnsi" w:cstheme="minorBidi"/>
          <w:noProof/>
          <w:kern w:val="2"/>
          <w:szCs w:val="22"/>
        </w:rPr>
      </w:pPr>
      <w:hyperlink w:anchor="_Toc175575298" w:history="1">
        <w:r w:rsidRPr="000F4EE1">
          <w:rPr>
            <w:rStyle w:val="ab"/>
            <w:noProof/>
          </w:rPr>
          <w:t xml:space="preserve">8.2 </w:t>
        </w:r>
        <w:r w:rsidRPr="000F4EE1">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_Toc175575298 \h </w:instrText>
        </w:r>
        <w:r>
          <w:rPr>
            <w:noProof/>
            <w:webHidden/>
          </w:rPr>
        </w:r>
        <w:r>
          <w:rPr>
            <w:noProof/>
            <w:webHidden/>
          </w:rPr>
          <w:fldChar w:fldCharType="separate"/>
        </w:r>
        <w:r w:rsidR="003472DB">
          <w:rPr>
            <w:noProof/>
            <w:webHidden/>
          </w:rPr>
          <w:t>42</w:t>
        </w:r>
        <w:r>
          <w:rPr>
            <w:noProof/>
            <w:webHidden/>
          </w:rPr>
          <w:fldChar w:fldCharType="end"/>
        </w:r>
      </w:hyperlink>
    </w:p>
    <w:p w14:paraId="20A7DF30" w14:textId="566BDE46" w:rsidR="00014712" w:rsidRDefault="00014712">
      <w:pPr>
        <w:pStyle w:val="24"/>
        <w:rPr>
          <w:rFonts w:asciiTheme="minorHAnsi" w:eastAsiaTheme="minorEastAsia" w:hAnsiTheme="minorHAnsi" w:cstheme="minorBidi"/>
          <w:noProof/>
          <w:kern w:val="2"/>
          <w:szCs w:val="22"/>
        </w:rPr>
      </w:pPr>
      <w:hyperlink w:anchor="_Toc175575299" w:history="1">
        <w:r w:rsidRPr="000F4EE1">
          <w:rPr>
            <w:rStyle w:val="ab"/>
            <w:noProof/>
          </w:rPr>
          <w:t xml:space="preserve">8.3 </w:t>
        </w:r>
        <w:r w:rsidRPr="000F4EE1">
          <w:rPr>
            <w:rStyle w:val="ab"/>
            <w:noProof/>
          </w:rPr>
          <w:t>发起式基金发起资金持有份额情况</w:t>
        </w:r>
        <w:r>
          <w:rPr>
            <w:noProof/>
            <w:webHidden/>
          </w:rPr>
          <w:tab/>
        </w:r>
        <w:r>
          <w:rPr>
            <w:noProof/>
            <w:webHidden/>
          </w:rPr>
          <w:fldChar w:fldCharType="begin"/>
        </w:r>
        <w:r>
          <w:rPr>
            <w:noProof/>
            <w:webHidden/>
          </w:rPr>
          <w:instrText xml:space="preserve"> PAGEREF _Toc175575299 \h </w:instrText>
        </w:r>
        <w:r>
          <w:rPr>
            <w:noProof/>
            <w:webHidden/>
          </w:rPr>
        </w:r>
        <w:r>
          <w:rPr>
            <w:noProof/>
            <w:webHidden/>
          </w:rPr>
          <w:fldChar w:fldCharType="separate"/>
        </w:r>
        <w:r w:rsidR="003472DB">
          <w:rPr>
            <w:noProof/>
            <w:webHidden/>
          </w:rPr>
          <w:t>42</w:t>
        </w:r>
        <w:r>
          <w:rPr>
            <w:noProof/>
            <w:webHidden/>
          </w:rPr>
          <w:fldChar w:fldCharType="end"/>
        </w:r>
      </w:hyperlink>
    </w:p>
    <w:p w14:paraId="6329E6CA" w14:textId="2F785207" w:rsidR="00014712" w:rsidRDefault="00014712">
      <w:pPr>
        <w:pStyle w:val="12"/>
        <w:rPr>
          <w:rFonts w:asciiTheme="minorHAnsi" w:eastAsiaTheme="minorEastAsia" w:hAnsiTheme="minorHAnsi" w:cstheme="minorBidi"/>
          <w:noProof/>
          <w:szCs w:val="22"/>
        </w:rPr>
      </w:pPr>
      <w:hyperlink w:anchor="_Toc175575300" w:history="1">
        <w:r w:rsidRPr="000F4EE1">
          <w:rPr>
            <w:rStyle w:val="ab"/>
            <w:b/>
            <w:bCs/>
            <w:noProof/>
          </w:rPr>
          <w:t xml:space="preserve">9  </w:t>
        </w:r>
        <w:r w:rsidRPr="000F4EE1">
          <w:rPr>
            <w:rStyle w:val="ab"/>
            <w:b/>
            <w:bCs/>
            <w:noProof/>
          </w:rPr>
          <w:t>开放式基金份额变动</w:t>
        </w:r>
        <w:r>
          <w:rPr>
            <w:noProof/>
            <w:webHidden/>
          </w:rPr>
          <w:tab/>
        </w:r>
        <w:r>
          <w:rPr>
            <w:noProof/>
            <w:webHidden/>
          </w:rPr>
          <w:fldChar w:fldCharType="begin"/>
        </w:r>
        <w:r>
          <w:rPr>
            <w:noProof/>
            <w:webHidden/>
          </w:rPr>
          <w:instrText xml:space="preserve"> PAGEREF _Toc175575300 \h </w:instrText>
        </w:r>
        <w:r>
          <w:rPr>
            <w:noProof/>
            <w:webHidden/>
          </w:rPr>
        </w:r>
        <w:r>
          <w:rPr>
            <w:noProof/>
            <w:webHidden/>
          </w:rPr>
          <w:fldChar w:fldCharType="separate"/>
        </w:r>
        <w:r w:rsidR="003472DB">
          <w:rPr>
            <w:noProof/>
            <w:webHidden/>
          </w:rPr>
          <w:t>42</w:t>
        </w:r>
        <w:r>
          <w:rPr>
            <w:noProof/>
            <w:webHidden/>
          </w:rPr>
          <w:fldChar w:fldCharType="end"/>
        </w:r>
      </w:hyperlink>
    </w:p>
    <w:p w14:paraId="5987AF9E" w14:textId="23EC7FDF" w:rsidR="00014712" w:rsidRDefault="00014712">
      <w:pPr>
        <w:pStyle w:val="12"/>
        <w:rPr>
          <w:rFonts w:asciiTheme="minorHAnsi" w:eastAsiaTheme="minorEastAsia" w:hAnsiTheme="minorHAnsi" w:cstheme="minorBidi"/>
          <w:noProof/>
          <w:szCs w:val="22"/>
        </w:rPr>
      </w:pPr>
      <w:hyperlink w:anchor="_Toc175575301" w:history="1">
        <w:r w:rsidRPr="000F4EE1">
          <w:rPr>
            <w:rStyle w:val="ab"/>
            <w:b/>
            <w:bCs/>
            <w:noProof/>
          </w:rPr>
          <w:t xml:space="preserve">10  </w:t>
        </w:r>
        <w:r w:rsidRPr="000F4EE1">
          <w:rPr>
            <w:rStyle w:val="ab"/>
            <w:b/>
            <w:bCs/>
            <w:noProof/>
          </w:rPr>
          <w:t>重大事件揭示</w:t>
        </w:r>
        <w:r>
          <w:rPr>
            <w:noProof/>
            <w:webHidden/>
          </w:rPr>
          <w:tab/>
        </w:r>
        <w:r>
          <w:rPr>
            <w:noProof/>
            <w:webHidden/>
          </w:rPr>
          <w:fldChar w:fldCharType="begin"/>
        </w:r>
        <w:r>
          <w:rPr>
            <w:noProof/>
            <w:webHidden/>
          </w:rPr>
          <w:instrText xml:space="preserve"> PAGEREF _Toc175575301 \h </w:instrText>
        </w:r>
        <w:r>
          <w:rPr>
            <w:noProof/>
            <w:webHidden/>
          </w:rPr>
        </w:r>
        <w:r>
          <w:rPr>
            <w:noProof/>
            <w:webHidden/>
          </w:rPr>
          <w:fldChar w:fldCharType="separate"/>
        </w:r>
        <w:r w:rsidR="003472DB">
          <w:rPr>
            <w:noProof/>
            <w:webHidden/>
          </w:rPr>
          <w:t>43</w:t>
        </w:r>
        <w:r>
          <w:rPr>
            <w:noProof/>
            <w:webHidden/>
          </w:rPr>
          <w:fldChar w:fldCharType="end"/>
        </w:r>
      </w:hyperlink>
    </w:p>
    <w:p w14:paraId="4569313E" w14:textId="42F240E3" w:rsidR="00014712" w:rsidRDefault="00014712">
      <w:pPr>
        <w:pStyle w:val="24"/>
        <w:tabs>
          <w:tab w:val="left" w:pos="1260"/>
        </w:tabs>
        <w:rPr>
          <w:rFonts w:asciiTheme="minorHAnsi" w:eastAsiaTheme="minorEastAsia" w:hAnsiTheme="minorHAnsi" w:cstheme="minorBidi"/>
          <w:noProof/>
          <w:kern w:val="2"/>
          <w:szCs w:val="22"/>
        </w:rPr>
      </w:pPr>
      <w:hyperlink w:anchor="_Toc175575302" w:history="1">
        <w:r w:rsidRPr="000F4EE1">
          <w:rPr>
            <w:rStyle w:val="ab"/>
            <w:noProof/>
          </w:rPr>
          <w:t>10.1</w:t>
        </w:r>
        <w:r>
          <w:rPr>
            <w:rFonts w:asciiTheme="minorHAnsi" w:eastAsiaTheme="minorEastAsia" w:hAnsiTheme="minorHAnsi" w:cstheme="minorBidi"/>
            <w:noProof/>
            <w:kern w:val="2"/>
            <w:szCs w:val="22"/>
          </w:rPr>
          <w:tab/>
        </w:r>
        <w:r w:rsidRPr="000F4EE1">
          <w:rPr>
            <w:rStyle w:val="ab"/>
            <w:noProof/>
          </w:rPr>
          <w:t>基金份额持有人大会决议</w:t>
        </w:r>
        <w:r>
          <w:rPr>
            <w:noProof/>
            <w:webHidden/>
          </w:rPr>
          <w:tab/>
        </w:r>
        <w:r>
          <w:rPr>
            <w:noProof/>
            <w:webHidden/>
          </w:rPr>
          <w:fldChar w:fldCharType="begin"/>
        </w:r>
        <w:r>
          <w:rPr>
            <w:noProof/>
            <w:webHidden/>
          </w:rPr>
          <w:instrText xml:space="preserve"> PAGEREF _Toc175575302 \h </w:instrText>
        </w:r>
        <w:r>
          <w:rPr>
            <w:noProof/>
            <w:webHidden/>
          </w:rPr>
        </w:r>
        <w:r>
          <w:rPr>
            <w:noProof/>
            <w:webHidden/>
          </w:rPr>
          <w:fldChar w:fldCharType="separate"/>
        </w:r>
        <w:r w:rsidR="003472DB">
          <w:rPr>
            <w:noProof/>
            <w:webHidden/>
          </w:rPr>
          <w:t>43</w:t>
        </w:r>
        <w:r>
          <w:rPr>
            <w:noProof/>
            <w:webHidden/>
          </w:rPr>
          <w:fldChar w:fldCharType="end"/>
        </w:r>
      </w:hyperlink>
    </w:p>
    <w:p w14:paraId="6F92E020" w14:textId="62B02B1D" w:rsidR="00014712" w:rsidRDefault="00014712">
      <w:pPr>
        <w:pStyle w:val="24"/>
        <w:tabs>
          <w:tab w:val="left" w:pos="1260"/>
        </w:tabs>
        <w:rPr>
          <w:rFonts w:asciiTheme="minorHAnsi" w:eastAsiaTheme="minorEastAsia" w:hAnsiTheme="minorHAnsi" w:cstheme="minorBidi"/>
          <w:noProof/>
          <w:kern w:val="2"/>
          <w:szCs w:val="22"/>
        </w:rPr>
      </w:pPr>
      <w:hyperlink w:anchor="_Toc175575303" w:history="1">
        <w:r w:rsidRPr="000F4EE1">
          <w:rPr>
            <w:rStyle w:val="ab"/>
            <w:noProof/>
          </w:rPr>
          <w:t>10.2</w:t>
        </w:r>
        <w:r>
          <w:rPr>
            <w:rFonts w:asciiTheme="minorHAnsi" w:eastAsiaTheme="minorEastAsia" w:hAnsiTheme="minorHAnsi" w:cstheme="minorBidi"/>
            <w:noProof/>
            <w:kern w:val="2"/>
            <w:szCs w:val="22"/>
          </w:rPr>
          <w:tab/>
        </w:r>
        <w:r w:rsidRPr="000F4EE1">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_Toc175575303 \h </w:instrText>
        </w:r>
        <w:r>
          <w:rPr>
            <w:noProof/>
            <w:webHidden/>
          </w:rPr>
        </w:r>
        <w:r>
          <w:rPr>
            <w:noProof/>
            <w:webHidden/>
          </w:rPr>
          <w:fldChar w:fldCharType="separate"/>
        </w:r>
        <w:r w:rsidR="003472DB">
          <w:rPr>
            <w:noProof/>
            <w:webHidden/>
          </w:rPr>
          <w:t>43</w:t>
        </w:r>
        <w:r>
          <w:rPr>
            <w:noProof/>
            <w:webHidden/>
          </w:rPr>
          <w:fldChar w:fldCharType="end"/>
        </w:r>
      </w:hyperlink>
    </w:p>
    <w:p w14:paraId="70AD2C33" w14:textId="29DA0F2C" w:rsidR="00014712" w:rsidRDefault="00014712">
      <w:pPr>
        <w:pStyle w:val="24"/>
        <w:tabs>
          <w:tab w:val="left" w:pos="1260"/>
        </w:tabs>
        <w:rPr>
          <w:rFonts w:asciiTheme="minorHAnsi" w:eastAsiaTheme="minorEastAsia" w:hAnsiTheme="minorHAnsi" w:cstheme="minorBidi"/>
          <w:noProof/>
          <w:kern w:val="2"/>
          <w:szCs w:val="22"/>
        </w:rPr>
      </w:pPr>
      <w:hyperlink w:anchor="_Toc175575304" w:history="1">
        <w:r w:rsidRPr="000F4EE1">
          <w:rPr>
            <w:rStyle w:val="ab"/>
            <w:noProof/>
          </w:rPr>
          <w:t>10.3</w:t>
        </w:r>
        <w:r>
          <w:rPr>
            <w:rFonts w:asciiTheme="minorHAnsi" w:eastAsiaTheme="minorEastAsia" w:hAnsiTheme="minorHAnsi" w:cstheme="minorBidi"/>
            <w:noProof/>
            <w:kern w:val="2"/>
            <w:szCs w:val="22"/>
          </w:rPr>
          <w:tab/>
        </w:r>
        <w:r w:rsidRPr="000F4EE1">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_Toc175575304 \h </w:instrText>
        </w:r>
        <w:r>
          <w:rPr>
            <w:noProof/>
            <w:webHidden/>
          </w:rPr>
        </w:r>
        <w:r>
          <w:rPr>
            <w:noProof/>
            <w:webHidden/>
          </w:rPr>
          <w:fldChar w:fldCharType="separate"/>
        </w:r>
        <w:r w:rsidR="003472DB">
          <w:rPr>
            <w:noProof/>
            <w:webHidden/>
          </w:rPr>
          <w:t>43</w:t>
        </w:r>
        <w:r>
          <w:rPr>
            <w:noProof/>
            <w:webHidden/>
          </w:rPr>
          <w:fldChar w:fldCharType="end"/>
        </w:r>
      </w:hyperlink>
    </w:p>
    <w:p w14:paraId="3E85950B" w14:textId="7913A2D0" w:rsidR="00014712" w:rsidRDefault="00014712">
      <w:pPr>
        <w:pStyle w:val="24"/>
        <w:tabs>
          <w:tab w:val="left" w:pos="1260"/>
        </w:tabs>
        <w:rPr>
          <w:rFonts w:asciiTheme="minorHAnsi" w:eastAsiaTheme="minorEastAsia" w:hAnsiTheme="minorHAnsi" w:cstheme="minorBidi"/>
          <w:noProof/>
          <w:kern w:val="2"/>
          <w:szCs w:val="22"/>
        </w:rPr>
      </w:pPr>
      <w:hyperlink w:anchor="_Toc175575305" w:history="1">
        <w:r w:rsidRPr="000F4EE1">
          <w:rPr>
            <w:rStyle w:val="ab"/>
            <w:noProof/>
          </w:rPr>
          <w:t>10.4</w:t>
        </w:r>
        <w:r>
          <w:rPr>
            <w:rFonts w:asciiTheme="minorHAnsi" w:eastAsiaTheme="minorEastAsia" w:hAnsiTheme="minorHAnsi" w:cstheme="minorBidi"/>
            <w:noProof/>
            <w:kern w:val="2"/>
            <w:szCs w:val="22"/>
          </w:rPr>
          <w:tab/>
        </w:r>
        <w:r w:rsidRPr="000F4EE1">
          <w:rPr>
            <w:rStyle w:val="ab"/>
            <w:noProof/>
          </w:rPr>
          <w:t>基金投资策略的改变</w:t>
        </w:r>
        <w:r>
          <w:rPr>
            <w:noProof/>
            <w:webHidden/>
          </w:rPr>
          <w:tab/>
        </w:r>
        <w:r>
          <w:rPr>
            <w:noProof/>
            <w:webHidden/>
          </w:rPr>
          <w:fldChar w:fldCharType="begin"/>
        </w:r>
        <w:r>
          <w:rPr>
            <w:noProof/>
            <w:webHidden/>
          </w:rPr>
          <w:instrText xml:space="preserve"> PAGEREF _Toc175575305 \h </w:instrText>
        </w:r>
        <w:r>
          <w:rPr>
            <w:noProof/>
            <w:webHidden/>
          </w:rPr>
        </w:r>
        <w:r>
          <w:rPr>
            <w:noProof/>
            <w:webHidden/>
          </w:rPr>
          <w:fldChar w:fldCharType="separate"/>
        </w:r>
        <w:r w:rsidR="003472DB">
          <w:rPr>
            <w:noProof/>
            <w:webHidden/>
          </w:rPr>
          <w:t>43</w:t>
        </w:r>
        <w:r>
          <w:rPr>
            <w:noProof/>
            <w:webHidden/>
          </w:rPr>
          <w:fldChar w:fldCharType="end"/>
        </w:r>
      </w:hyperlink>
    </w:p>
    <w:p w14:paraId="25B38BDB" w14:textId="04C134E0" w:rsidR="00014712" w:rsidRDefault="00014712">
      <w:pPr>
        <w:pStyle w:val="24"/>
        <w:rPr>
          <w:rFonts w:asciiTheme="minorHAnsi" w:eastAsiaTheme="minorEastAsia" w:hAnsiTheme="minorHAnsi" w:cstheme="minorBidi"/>
          <w:noProof/>
          <w:kern w:val="2"/>
          <w:szCs w:val="22"/>
        </w:rPr>
      </w:pPr>
      <w:hyperlink w:anchor="_Toc175575306" w:history="1">
        <w:r w:rsidRPr="000F4EE1">
          <w:rPr>
            <w:rStyle w:val="ab"/>
            <w:noProof/>
          </w:rPr>
          <w:t>10.5</w:t>
        </w:r>
        <w:r w:rsidRPr="000F4EE1">
          <w:rPr>
            <w:rStyle w:val="ab"/>
            <w:noProof/>
          </w:rPr>
          <w:t>为基金进行审计的会计师事务所情况</w:t>
        </w:r>
        <w:r>
          <w:rPr>
            <w:noProof/>
            <w:webHidden/>
          </w:rPr>
          <w:tab/>
        </w:r>
        <w:r>
          <w:rPr>
            <w:noProof/>
            <w:webHidden/>
          </w:rPr>
          <w:fldChar w:fldCharType="begin"/>
        </w:r>
        <w:r>
          <w:rPr>
            <w:noProof/>
            <w:webHidden/>
          </w:rPr>
          <w:instrText xml:space="preserve"> PAGEREF _Toc175575306 \h </w:instrText>
        </w:r>
        <w:r>
          <w:rPr>
            <w:noProof/>
            <w:webHidden/>
          </w:rPr>
        </w:r>
        <w:r>
          <w:rPr>
            <w:noProof/>
            <w:webHidden/>
          </w:rPr>
          <w:fldChar w:fldCharType="separate"/>
        </w:r>
        <w:r w:rsidR="003472DB">
          <w:rPr>
            <w:noProof/>
            <w:webHidden/>
          </w:rPr>
          <w:t>43</w:t>
        </w:r>
        <w:r>
          <w:rPr>
            <w:noProof/>
            <w:webHidden/>
          </w:rPr>
          <w:fldChar w:fldCharType="end"/>
        </w:r>
      </w:hyperlink>
    </w:p>
    <w:p w14:paraId="7409279F" w14:textId="245342F9" w:rsidR="00014712" w:rsidRDefault="00014712">
      <w:pPr>
        <w:pStyle w:val="24"/>
        <w:rPr>
          <w:rFonts w:asciiTheme="minorHAnsi" w:eastAsiaTheme="minorEastAsia" w:hAnsiTheme="minorHAnsi" w:cstheme="minorBidi"/>
          <w:noProof/>
          <w:kern w:val="2"/>
          <w:szCs w:val="22"/>
        </w:rPr>
      </w:pPr>
      <w:hyperlink w:anchor="_Toc175575307" w:history="1">
        <w:r w:rsidRPr="000F4EE1">
          <w:rPr>
            <w:rStyle w:val="ab"/>
            <w:noProof/>
          </w:rPr>
          <w:t xml:space="preserve">10.6 </w:t>
        </w:r>
        <w:r w:rsidRPr="000F4EE1">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_Toc175575307 \h </w:instrText>
        </w:r>
        <w:r>
          <w:rPr>
            <w:noProof/>
            <w:webHidden/>
          </w:rPr>
        </w:r>
        <w:r>
          <w:rPr>
            <w:noProof/>
            <w:webHidden/>
          </w:rPr>
          <w:fldChar w:fldCharType="separate"/>
        </w:r>
        <w:r w:rsidR="003472DB">
          <w:rPr>
            <w:noProof/>
            <w:webHidden/>
          </w:rPr>
          <w:t>43</w:t>
        </w:r>
        <w:r>
          <w:rPr>
            <w:noProof/>
            <w:webHidden/>
          </w:rPr>
          <w:fldChar w:fldCharType="end"/>
        </w:r>
      </w:hyperlink>
    </w:p>
    <w:p w14:paraId="1E420184" w14:textId="57CB17D9" w:rsidR="00014712" w:rsidRDefault="00014712">
      <w:pPr>
        <w:pStyle w:val="24"/>
        <w:rPr>
          <w:rFonts w:asciiTheme="minorHAnsi" w:eastAsiaTheme="minorEastAsia" w:hAnsiTheme="minorHAnsi" w:cstheme="minorBidi"/>
          <w:noProof/>
          <w:kern w:val="2"/>
          <w:szCs w:val="22"/>
        </w:rPr>
      </w:pPr>
      <w:hyperlink w:anchor="_Toc175575308" w:history="1">
        <w:r w:rsidRPr="000F4EE1">
          <w:rPr>
            <w:rStyle w:val="ab"/>
            <w:noProof/>
          </w:rPr>
          <w:t xml:space="preserve">10.6.1 </w:t>
        </w:r>
        <w:r w:rsidRPr="000F4EE1">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_Toc175575308 \h </w:instrText>
        </w:r>
        <w:r>
          <w:rPr>
            <w:noProof/>
            <w:webHidden/>
          </w:rPr>
        </w:r>
        <w:r>
          <w:rPr>
            <w:noProof/>
            <w:webHidden/>
          </w:rPr>
          <w:fldChar w:fldCharType="separate"/>
        </w:r>
        <w:r w:rsidR="003472DB">
          <w:rPr>
            <w:noProof/>
            <w:webHidden/>
          </w:rPr>
          <w:t>43</w:t>
        </w:r>
        <w:r>
          <w:rPr>
            <w:noProof/>
            <w:webHidden/>
          </w:rPr>
          <w:fldChar w:fldCharType="end"/>
        </w:r>
      </w:hyperlink>
    </w:p>
    <w:p w14:paraId="6540D714" w14:textId="6BEDB821" w:rsidR="00014712" w:rsidRDefault="00014712">
      <w:pPr>
        <w:pStyle w:val="24"/>
        <w:rPr>
          <w:rFonts w:asciiTheme="minorHAnsi" w:eastAsiaTheme="minorEastAsia" w:hAnsiTheme="minorHAnsi" w:cstheme="minorBidi"/>
          <w:noProof/>
          <w:kern w:val="2"/>
          <w:szCs w:val="22"/>
        </w:rPr>
      </w:pPr>
      <w:hyperlink w:anchor="_Toc175575309" w:history="1">
        <w:r w:rsidRPr="000F4EE1">
          <w:rPr>
            <w:rStyle w:val="ab"/>
            <w:noProof/>
          </w:rPr>
          <w:t xml:space="preserve">10.6.2 </w:t>
        </w:r>
        <w:r w:rsidRPr="000F4EE1">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_Toc175575309 \h </w:instrText>
        </w:r>
        <w:r>
          <w:rPr>
            <w:noProof/>
            <w:webHidden/>
          </w:rPr>
        </w:r>
        <w:r>
          <w:rPr>
            <w:noProof/>
            <w:webHidden/>
          </w:rPr>
          <w:fldChar w:fldCharType="separate"/>
        </w:r>
        <w:r w:rsidR="003472DB">
          <w:rPr>
            <w:noProof/>
            <w:webHidden/>
          </w:rPr>
          <w:t>43</w:t>
        </w:r>
        <w:r>
          <w:rPr>
            <w:noProof/>
            <w:webHidden/>
          </w:rPr>
          <w:fldChar w:fldCharType="end"/>
        </w:r>
      </w:hyperlink>
    </w:p>
    <w:p w14:paraId="038807F7" w14:textId="33A0EDA9" w:rsidR="00014712" w:rsidRDefault="00014712">
      <w:pPr>
        <w:pStyle w:val="24"/>
        <w:rPr>
          <w:rFonts w:asciiTheme="minorHAnsi" w:eastAsiaTheme="minorEastAsia" w:hAnsiTheme="minorHAnsi" w:cstheme="minorBidi"/>
          <w:noProof/>
          <w:kern w:val="2"/>
          <w:szCs w:val="22"/>
        </w:rPr>
      </w:pPr>
      <w:hyperlink w:anchor="_Toc175575310" w:history="1">
        <w:r w:rsidRPr="000F4EE1">
          <w:rPr>
            <w:rStyle w:val="ab"/>
            <w:noProof/>
          </w:rPr>
          <w:t>10.7</w:t>
        </w:r>
        <w:r w:rsidRPr="000F4EE1">
          <w:rPr>
            <w:rStyle w:val="ab"/>
            <w:noProof/>
          </w:rPr>
          <w:t>基金租用证券公司交易单元的有关情况</w:t>
        </w:r>
        <w:r>
          <w:rPr>
            <w:noProof/>
            <w:webHidden/>
          </w:rPr>
          <w:tab/>
        </w:r>
        <w:r>
          <w:rPr>
            <w:noProof/>
            <w:webHidden/>
          </w:rPr>
          <w:fldChar w:fldCharType="begin"/>
        </w:r>
        <w:r>
          <w:rPr>
            <w:noProof/>
            <w:webHidden/>
          </w:rPr>
          <w:instrText xml:space="preserve"> PAGEREF _Toc175575310 \h </w:instrText>
        </w:r>
        <w:r>
          <w:rPr>
            <w:noProof/>
            <w:webHidden/>
          </w:rPr>
        </w:r>
        <w:r>
          <w:rPr>
            <w:noProof/>
            <w:webHidden/>
          </w:rPr>
          <w:fldChar w:fldCharType="separate"/>
        </w:r>
        <w:r w:rsidR="003472DB">
          <w:rPr>
            <w:noProof/>
            <w:webHidden/>
          </w:rPr>
          <w:t>43</w:t>
        </w:r>
        <w:r>
          <w:rPr>
            <w:noProof/>
            <w:webHidden/>
          </w:rPr>
          <w:fldChar w:fldCharType="end"/>
        </w:r>
      </w:hyperlink>
    </w:p>
    <w:p w14:paraId="14A63F36" w14:textId="64B24190" w:rsidR="00014712" w:rsidRDefault="00014712">
      <w:pPr>
        <w:pStyle w:val="24"/>
        <w:rPr>
          <w:rFonts w:asciiTheme="minorHAnsi" w:eastAsiaTheme="minorEastAsia" w:hAnsiTheme="minorHAnsi" w:cstheme="minorBidi"/>
          <w:noProof/>
          <w:kern w:val="2"/>
          <w:szCs w:val="22"/>
        </w:rPr>
      </w:pPr>
      <w:hyperlink w:anchor="_Toc175575311" w:history="1">
        <w:r w:rsidRPr="000F4EE1">
          <w:rPr>
            <w:rStyle w:val="ab"/>
            <w:noProof/>
          </w:rPr>
          <w:t xml:space="preserve">10.8 </w:t>
        </w:r>
        <w:r w:rsidRPr="000F4EE1">
          <w:rPr>
            <w:rStyle w:val="ab"/>
            <w:noProof/>
          </w:rPr>
          <w:t>其他重大事件</w:t>
        </w:r>
        <w:r>
          <w:rPr>
            <w:noProof/>
            <w:webHidden/>
          </w:rPr>
          <w:tab/>
        </w:r>
        <w:r>
          <w:rPr>
            <w:noProof/>
            <w:webHidden/>
          </w:rPr>
          <w:fldChar w:fldCharType="begin"/>
        </w:r>
        <w:r>
          <w:rPr>
            <w:noProof/>
            <w:webHidden/>
          </w:rPr>
          <w:instrText xml:space="preserve"> PAGEREF _Toc175575311 \h </w:instrText>
        </w:r>
        <w:r>
          <w:rPr>
            <w:noProof/>
            <w:webHidden/>
          </w:rPr>
        </w:r>
        <w:r>
          <w:rPr>
            <w:noProof/>
            <w:webHidden/>
          </w:rPr>
          <w:fldChar w:fldCharType="separate"/>
        </w:r>
        <w:r w:rsidR="003472DB">
          <w:rPr>
            <w:noProof/>
            <w:webHidden/>
          </w:rPr>
          <w:t>44</w:t>
        </w:r>
        <w:r>
          <w:rPr>
            <w:noProof/>
            <w:webHidden/>
          </w:rPr>
          <w:fldChar w:fldCharType="end"/>
        </w:r>
      </w:hyperlink>
    </w:p>
    <w:p w14:paraId="48D3C219" w14:textId="1B72F1E5" w:rsidR="00014712" w:rsidRDefault="00014712">
      <w:pPr>
        <w:pStyle w:val="12"/>
        <w:rPr>
          <w:rFonts w:asciiTheme="minorHAnsi" w:eastAsiaTheme="minorEastAsia" w:hAnsiTheme="minorHAnsi" w:cstheme="minorBidi"/>
          <w:noProof/>
          <w:szCs w:val="22"/>
        </w:rPr>
      </w:pPr>
      <w:hyperlink w:anchor="_Toc175575312" w:history="1">
        <w:r w:rsidRPr="000F4EE1">
          <w:rPr>
            <w:rStyle w:val="ab"/>
            <w:b/>
            <w:bCs/>
            <w:noProof/>
          </w:rPr>
          <w:t xml:space="preserve">11  </w:t>
        </w:r>
        <w:r w:rsidRPr="000F4EE1">
          <w:rPr>
            <w:rStyle w:val="ab"/>
            <w:b/>
            <w:bCs/>
            <w:noProof/>
          </w:rPr>
          <w:t>影响投资者决策的其他重要信息</w:t>
        </w:r>
        <w:r>
          <w:rPr>
            <w:noProof/>
            <w:webHidden/>
          </w:rPr>
          <w:tab/>
        </w:r>
        <w:r>
          <w:rPr>
            <w:noProof/>
            <w:webHidden/>
          </w:rPr>
          <w:fldChar w:fldCharType="begin"/>
        </w:r>
        <w:r>
          <w:rPr>
            <w:noProof/>
            <w:webHidden/>
          </w:rPr>
          <w:instrText xml:space="preserve"> PAGEREF _Toc175575312 \h </w:instrText>
        </w:r>
        <w:r>
          <w:rPr>
            <w:noProof/>
            <w:webHidden/>
          </w:rPr>
        </w:r>
        <w:r>
          <w:rPr>
            <w:noProof/>
            <w:webHidden/>
          </w:rPr>
          <w:fldChar w:fldCharType="separate"/>
        </w:r>
        <w:r w:rsidR="003472DB">
          <w:rPr>
            <w:noProof/>
            <w:webHidden/>
          </w:rPr>
          <w:t>45</w:t>
        </w:r>
        <w:r>
          <w:rPr>
            <w:noProof/>
            <w:webHidden/>
          </w:rPr>
          <w:fldChar w:fldCharType="end"/>
        </w:r>
      </w:hyperlink>
    </w:p>
    <w:p w14:paraId="7ECA1DDB" w14:textId="1709EE2B" w:rsidR="00014712" w:rsidRDefault="00014712">
      <w:pPr>
        <w:pStyle w:val="12"/>
        <w:rPr>
          <w:rFonts w:asciiTheme="minorHAnsi" w:eastAsiaTheme="minorEastAsia" w:hAnsiTheme="minorHAnsi" w:cstheme="minorBidi"/>
          <w:noProof/>
          <w:szCs w:val="22"/>
        </w:rPr>
      </w:pPr>
      <w:hyperlink w:anchor="_Toc175575313" w:history="1">
        <w:r w:rsidRPr="000F4EE1">
          <w:rPr>
            <w:rStyle w:val="ab"/>
            <w:b/>
            <w:bCs/>
            <w:noProof/>
          </w:rPr>
          <w:t xml:space="preserve">12  </w:t>
        </w:r>
        <w:r w:rsidRPr="000F4EE1">
          <w:rPr>
            <w:rStyle w:val="ab"/>
            <w:b/>
            <w:bCs/>
            <w:noProof/>
          </w:rPr>
          <w:t>备查文件目录</w:t>
        </w:r>
        <w:r>
          <w:rPr>
            <w:noProof/>
            <w:webHidden/>
          </w:rPr>
          <w:tab/>
        </w:r>
        <w:r>
          <w:rPr>
            <w:noProof/>
            <w:webHidden/>
          </w:rPr>
          <w:fldChar w:fldCharType="begin"/>
        </w:r>
        <w:r>
          <w:rPr>
            <w:noProof/>
            <w:webHidden/>
          </w:rPr>
          <w:instrText xml:space="preserve"> PAGEREF _Toc175575313 \h </w:instrText>
        </w:r>
        <w:r>
          <w:rPr>
            <w:noProof/>
            <w:webHidden/>
          </w:rPr>
        </w:r>
        <w:r>
          <w:rPr>
            <w:noProof/>
            <w:webHidden/>
          </w:rPr>
          <w:fldChar w:fldCharType="separate"/>
        </w:r>
        <w:r w:rsidR="003472DB">
          <w:rPr>
            <w:noProof/>
            <w:webHidden/>
          </w:rPr>
          <w:t>45</w:t>
        </w:r>
        <w:r>
          <w:rPr>
            <w:noProof/>
            <w:webHidden/>
          </w:rPr>
          <w:fldChar w:fldCharType="end"/>
        </w:r>
      </w:hyperlink>
    </w:p>
    <w:p w14:paraId="2AE86687" w14:textId="32026D69" w:rsidR="00014712" w:rsidRDefault="00014712">
      <w:pPr>
        <w:pStyle w:val="24"/>
        <w:rPr>
          <w:rFonts w:asciiTheme="minorHAnsi" w:eastAsiaTheme="minorEastAsia" w:hAnsiTheme="minorHAnsi" w:cstheme="minorBidi"/>
          <w:noProof/>
          <w:kern w:val="2"/>
          <w:szCs w:val="22"/>
        </w:rPr>
      </w:pPr>
      <w:hyperlink w:anchor="_Toc175575314" w:history="1">
        <w:r w:rsidRPr="000F4EE1">
          <w:rPr>
            <w:rStyle w:val="ab"/>
            <w:noProof/>
          </w:rPr>
          <w:t xml:space="preserve">12.1 </w:t>
        </w:r>
        <w:r w:rsidRPr="000F4EE1">
          <w:rPr>
            <w:rStyle w:val="ab"/>
            <w:noProof/>
          </w:rPr>
          <w:t>备查文件目录</w:t>
        </w:r>
        <w:r>
          <w:rPr>
            <w:noProof/>
            <w:webHidden/>
          </w:rPr>
          <w:tab/>
        </w:r>
        <w:r>
          <w:rPr>
            <w:noProof/>
            <w:webHidden/>
          </w:rPr>
          <w:fldChar w:fldCharType="begin"/>
        </w:r>
        <w:r>
          <w:rPr>
            <w:noProof/>
            <w:webHidden/>
          </w:rPr>
          <w:instrText xml:space="preserve"> PAGEREF _Toc175575314 \h </w:instrText>
        </w:r>
        <w:r>
          <w:rPr>
            <w:noProof/>
            <w:webHidden/>
          </w:rPr>
        </w:r>
        <w:r>
          <w:rPr>
            <w:noProof/>
            <w:webHidden/>
          </w:rPr>
          <w:fldChar w:fldCharType="separate"/>
        </w:r>
        <w:r w:rsidR="003472DB">
          <w:rPr>
            <w:noProof/>
            <w:webHidden/>
          </w:rPr>
          <w:t>45</w:t>
        </w:r>
        <w:r>
          <w:rPr>
            <w:noProof/>
            <w:webHidden/>
          </w:rPr>
          <w:fldChar w:fldCharType="end"/>
        </w:r>
      </w:hyperlink>
    </w:p>
    <w:p w14:paraId="30B20835" w14:textId="3BBD0996" w:rsidR="00014712" w:rsidRDefault="00014712">
      <w:pPr>
        <w:pStyle w:val="24"/>
        <w:rPr>
          <w:rFonts w:asciiTheme="minorHAnsi" w:eastAsiaTheme="minorEastAsia" w:hAnsiTheme="minorHAnsi" w:cstheme="minorBidi"/>
          <w:noProof/>
          <w:kern w:val="2"/>
          <w:szCs w:val="22"/>
        </w:rPr>
      </w:pPr>
      <w:hyperlink w:anchor="_Toc175575315" w:history="1">
        <w:r w:rsidRPr="000F4EE1">
          <w:rPr>
            <w:rStyle w:val="ab"/>
            <w:noProof/>
          </w:rPr>
          <w:t xml:space="preserve">12.2 </w:t>
        </w:r>
        <w:r w:rsidRPr="000F4EE1">
          <w:rPr>
            <w:rStyle w:val="ab"/>
            <w:noProof/>
          </w:rPr>
          <w:t>存放地点</w:t>
        </w:r>
        <w:r>
          <w:rPr>
            <w:noProof/>
            <w:webHidden/>
          </w:rPr>
          <w:tab/>
        </w:r>
        <w:r>
          <w:rPr>
            <w:noProof/>
            <w:webHidden/>
          </w:rPr>
          <w:fldChar w:fldCharType="begin"/>
        </w:r>
        <w:r>
          <w:rPr>
            <w:noProof/>
            <w:webHidden/>
          </w:rPr>
          <w:instrText xml:space="preserve"> PAGEREF _Toc175575315 \h </w:instrText>
        </w:r>
        <w:r>
          <w:rPr>
            <w:noProof/>
            <w:webHidden/>
          </w:rPr>
        </w:r>
        <w:r>
          <w:rPr>
            <w:noProof/>
            <w:webHidden/>
          </w:rPr>
          <w:fldChar w:fldCharType="separate"/>
        </w:r>
        <w:r w:rsidR="003472DB">
          <w:rPr>
            <w:noProof/>
            <w:webHidden/>
          </w:rPr>
          <w:t>45</w:t>
        </w:r>
        <w:r>
          <w:rPr>
            <w:noProof/>
            <w:webHidden/>
          </w:rPr>
          <w:fldChar w:fldCharType="end"/>
        </w:r>
      </w:hyperlink>
    </w:p>
    <w:p w14:paraId="38F1B7D0" w14:textId="428FE4DB" w:rsidR="00014712" w:rsidRDefault="00014712">
      <w:pPr>
        <w:pStyle w:val="24"/>
        <w:rPr>
          <w:rFonts w:asciiTheme="minorHAnsi" w:eastAsiaTheme="minorEastAsia" w:hAnsiTheme="minorHAnsi" w:cstheme="minorBidi"/>
          <w:noProof/>
          <w:kern w:val="2"/>
          <w:szCs w:val="22"/>
        </w:rPr>
      </w:pPr>
      <w:hyperlink w:anchor="_Toc175575316" w:history="1">
        <w:r w:rsidRPr="000F4EE1">
          <w:rPr>
            <w:rStyle w:val="ab"/>
            <w:noProof/>
          </w:rPr>
          <w:t xml:space="preserve">12.3 </w:t>
        </w:r>
        <w:r w:rsidRPr="000F4EE1">
          <w:rPr>
            <w:rStyle w:val="ab"/>
            <w:noProof/>
          </w:rPr>
          <w:t>查阅方式</w:t>
        </w:r>
        <w:r>
          <w:rPr>
            <w:noProof/>
            <w:webHidden/>
          </w:rPr>
          <w:tab/>
        </w:r>
        <w:r>
          <w:rPr>
            <w:noProof/>
            <w:webHidden/>
          </w:rPr>
          <w:fldChar w:fldCharType="begin"/>
        </w:r>
        <w:r>
          <w:rPr>
            <w:noProof/>
            <w:webHidden/>
          </w:rPr>
          <w:instrText xml:space="preserve"> PAGEREF _Toc175575316 \h </w:instrText>
        </w:r>
        <w:r>
          <w:rPr>
            <w:noProof/>
            <w:webHidden/>
          </w:rPr>
        </w:r>
        <w:r>
          <w:rPr>
            <w:noProof/>
            <w:webHidden/>
          </w:rPr>
          <w:fldChar w:fldCharType="separate"/>
        </w:r>
        <w:r w:rsidR="003472DB">
          <w:rPr>
            <w:noProof/>
            <w:webHidden/>
          </w:rPr>
          <w:t>45</w:t>
        </w:r>
        <w:r>
          <w:rPr>
            <w:noProof/>
            <w:webHidden/>
          </w:rPr>
          <w:fldChar w:fldCharType="end"/>
        </w:r>
      </w:hyperlink>
    </w:p>
    <w:p w14:paraId="6B775C72" w14:textId="77777777" w:rsidR="001548F9" w:rsidRPr="007C68A4" w:rsidRDefault="003422A5" w:rsidP="006D141C">
      <w:pPr>
        <w:autoSpaceDE w:val="0"/>
        <w:autoSpaceDN w:val="0"/>
        <w:adjustRightInd w:val="0"/>
        <w:spacing w:before="29" w:line="360" w:lineRule="auto"/>
        <w:ind w:left="15"/>
        <w:jc w:val="center"/>
        <w:rPr>
          <w:b/>
          <w:color w:val="000000" w:themeColor="text1"/>
          <w:kern w:val="0"/>
          <w:szCs w:val="21"/>
        </w:rPr>
      </w:pPr>
      <w:r w:rsidRPr="007C68A4">
        <w:rPr>
          <w:color w:val="000000" w:themeColor="text1"/>
          <w:szCs w:val="21"/>
        </w:rPr>
        <w:fldChar w:fldCharType="end"/>
      </w:r>
    </w:p>
    <w:p w14:paraId="5D227268"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0D8BD654"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48AA0020"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3CD39A86"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1CDBEAC9"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3BCAEE45" w14:textId="77777777"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14:paraId="7323B151" w14:textId="77777777" w:rsidR="00E738BA" w:rsidRPr="007C68A4" w:rsidRDefault="00E738BA">
      <w:pPr>
        <w:widowControl/>
        <w:jc w:val="left"/>
        <w:rPr>
          <w:b/>
          <w:color w:val="000000" w:themeColor="text1"/>
          <w:kern w:val="0"/>
          <w:szCs w:val="21"/>
        </w:rPr>
      </w:pPr>
      <w:r w:rsidRPr="007C68A4">
        <w:rPr>
          <w:b/>
          <w:color w:val="000000" w:themeColor="text1"/>
          <w:kern w:val="0"/>
          <w:szCs w:val="21"/>
        </w:rPr>
        <w:br w:type="page"/>
      </w:r>
    </w:p>
    <w:p w14:paraId="3B5671FA" w14:textId="77777777" w:rsidR="001548F9" w:rsidRPr="007C68A4" w:rsidRDefault="001548F9" w:rsidP="00785EEA">
      <w:pPr>
        <w:pStyle w:val="1"/>
        <w:keepNext/>
        <w:keepLines/>
        <w:widowControl w:val="0"/>
        <w:spacing w:beforeLines="100" w:before="312" w:afterLines="100" w:after="312" w:line="360" w:lineRule="auto"/>
        <w:jc w:val="center"/>
        <w:rPr>
          <w:color w:val="000000" w:themeColor="text1"/>
          <w:sz w:val="21"/>
          <w:szCs w:val="21"/>
          <w:lang w:val="en-US"/>
        </w:rPr>
      </w:pPr>
      <w:bookmarkStart w:id="5" w:name="_Toc225498244"/>
      <w:bookmarkStart w:id="6" w:name="_Toc175575256"/>
      <w:r w:rsidRPr="007C68A4">
        <w:rPr>
          <w:b/>
          <w:bCs/>
          <w:color w:val="000000" w:themeColor="text1"/>
          <w:sz w:val="21"/>
          <w:szCs w:val="21"/>
          <w:lang w:val="en-US"/>
        </w:rPr>
        <w:lastRenderedPageBreak/>
        <w:t xml:space="preserve">2  </w:t>
      </w:r>
      <w:r w:rsidRPr="007C68A4">
        <w:rPr>
          <w:b/>
          <w:bCs/>
          <w:color w:val="000000" w:themeColor="text1"/>
          <w:sz w:val="21"/>
          <w:szCs w:val="21"/>
          <w:lang w:val="en-US"/>
        </w:rPr>
        <w:t>基金简介</w:t>
      </w:r>
      <w:bookmarkEnd w:id="5"/>
      <w:bookmarkEnd w:id="6"/>
    </w:p>
    <w:p w14:paraId="7E5F5FE7"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 w:name="_Toc175575257"/>
      <w:r w:rsidRPr="007C68A4">
        <w:rPr>
          <w:rFonts w:ascii="Times New Roman" w:hAnsi="Times New Roman"/>
          <w:color w:val="000000" w:themeColor="text1"/>
          <w:kern w:val="0"/>
          <w:sz w:val="21"/>
          <w:szCs w:val="21"/>
        </w:rPr>
        <w:t>2.1</w:t>
      </w:r>
      <w:r w:rsidR="00FB07F0"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基金基本情况</w:t>
      </w:r>
      <w:bookmarkEnd w:id="7"/>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7C68A4" w:rsidRPr="007C68A4" w14:paraId="50727DFC" w14:textId="77777777" w:rsidTr="004C1748">
        <w:trPr>
          <w:jc w:val="center"/>
        </w:trPr>
        <w:tc>
          <w:tcPr>
            <w:tcW w:w="3555" w:type="dxa"/>
          </w:tcPr>
          <w:p w14:paraId="2BEF2A30" w14:textId="77777777" w:rsidR="001548F9" w:rsidRPr="007C68A4" w:rsidRDefault="001548F9">
            <w:pPr>
              <w:rPr>
                <w:color w:val="000000" w:themeColor="text1"/>
                <w:kern w:val="0"/>
                <w:szCs w:val="21"/>
              </w:rPr>
            </w:pPr>
            <w:r w:rsidRPr="007C68A4">
              <w:rPr>
                <w:color w:val="000000" w:themeColor="text1"/>
                <w:szCs w:val="21"/>
              </w:rPr>
              <w:t>基金名称</w:t>
            </w:r>
          </w:p>
        </w:tc>
        <w:tc>
          <w:tcPr>
            <w:tcW w:w="5217" w:type="dxa"/>
            <w:gridSpan w:val="2"/>
            <w:vAlign w:val="bottom"/>
          </w:tcPr>
          <w:p w14:paraId="1132444A" w14:textId="77777777" w:rsidR="001548F9" w:rsidRPr="007C68A4" w:rsidRDefault="001548F9" w:rsidP="00611777">
            <w:pPr>
              <w:jc w:val="right"/>
              <w:rPr>
                <w:color w:val="000000" w:themeColor="text1"/>
                <w:szCs w:val="21"/>
              </w:rPr>
            </w:pPr>
            <w:r w:rsidRPr="007C68A4">
              <w:rPr>
                <w:color w:val="000000" w:themeColor="text1"/>
                <w:szCs w:val="21"/>
              </w:rPr>
              <w:t>摩根恒生科技交易型开放式指数证券投资基金发起式联接基金</w:t>
            </w:r>
            <w:r w:rsidRPr="007C68A4">
              <w:rPr>
                <w:color w:val="000000" w:themeColor="text1"/>
                <w:szCs w:val="21"/>
              </w:rPr>
              <w:t>(QDII)</w:t>
            </w:r>
          </w:p>
        </w:tc>
      </w:tr>
      <w:tr w:rsidR="007C68A4" w:rsidRPr="007C68A4" w14:paraId="40780262" w14:textId="77777777" w:rsidTr="004C1748">
        <w:trPr>
          <w:jc w:val="center"/>
        </w:trPr>
        <w:tc>
          <w:tcPr>
            <w:tcW w:w="3555" w:type="dxa"/>
          </w:tcPr>
          <w:p w14:paraId="535801BD" w14:textId="77777777" w:rsidR="001548F9" w:rsidRPr="007C68A4" w:rsidRDefault="001548F9">
            <w:pPr>
              <w:rPr>
                <w:color w:val="000000" w:themeColor="text1"/>
                <w:kern w:val="0"/>
                <w:szCs w:val="21"/>
              </w:rPr>
            </w:pPr>
            <w:r w:rsidRPr="007C68A4">
              <w:rPr>
                <w:color w:val="000000" w:themeColor="text1"/>
                <w:szCs w:val="21"/>
              </w:rPr>
              <w:t>基金简称</w:t>
            </w:r>
          </w:p>
        </w:tc>
        <w:tc>
          <w:tcPr>
            <w:tcW w:w="5217" w:type="dxa"/>
            <w:gridSpan w:val="2"/>
            <w:vAlign w:val="bottom"/>
          </w:tcPr>
          <w:p w14:paraId="72479DA7" w14:textId="77777777" w:rsidR="001548F9" w:rsidRPr="007C68A4" w:rsidRDefault="001548F9" w:rsidP="00611777">
            <w:pPr>
              <w:jc w:val="right"/>
              <w:rPr>
                <w:color w:val="000000" w:themeColor="text1"/>
                <w:szCs w:val="21"/>
              </w:rPr>
            </w:pPr>
            <w:r w:rsidRPr="007C68A4">
              <w:rPr>
                <w:color w:val="000000" w:themeColor="text1"/>
                <w:szCs w:val="21"/>
              </w:rPr>
              <w:t>摩根恒生科技</w:t>
            </w:r>
            <w:r w:rsidRPr="007C68A4">
              <w:rPr>
                <w:color w:val="000000" w:themeColor="text1"/>
                <w:szCs w:val="21"/>
              </w:rPr>
              <w:t>ETF</w:t>
            </w:r>
            <w:r w:rsidRPr="007C68A4">
              <w:rPr>
                <w:color w:val="000000" w:themeColor="text1"/>
                <w:szCs w:val="21"/>
              </w:rPr>
              <w:t>发起式联接</w:t>
            </w:r>
            <w:r w:rsidRPr="007C68A4">
              <w:rPr>
                <w:color w:val="000000" w:themeColor="text1"/>
                <w:szCs w:val="21"/>
              </w:rPr>
              <w:t>(QDII)</w:t>
            </w:r>
          </w:p>
        </w:tc>
      </w:tr>
      <w:tr w:rsidR="007C68A4" w:rsidRPr="007C68A4" w14:paraId="0A56C85A" w14:textId="77777777" w:rsidTr="004C1748">
        <w:trPr>
          <w:jc w:val="center"/>
        </w:trPr>
        <w:tc>
          <w:tcPr>
            <w:tcW w:w="3555" w:type="dxa"/>
            <w:vAlign w:val="center"/>
          </w:tcPr>
          <w:p w14:paraId="57004709" w14:textId="77777777" w:rsidR="000A1902" w:rsidRPr="007C68A4" w:rsidRDefault="000A1902">
            <w:pPr>
              <w:rPr>
                <w:color w:val="000000" w:themeColor="text1"/>
                <w:kern w:val="0"/>
                <w:szCs w:val="21"/>
              </w:rPr>
            </w:pPr>
            <w:r w:rsidRPr="007C68A4">
              <w:rPr>
                <w:color w:val="000000" w:themeColor="text1"/>
                <w:szCs w:val="21"/>
              </w:rPr>
              <w:t>基金主代码</w:t>
            </w:r>
          </w:p>
        </w:tc>
        <w:tc>
          <w:tcPr>
            <w:tcW w:w="5217" w:type="dxa"/>
            <w:gridSpan w:val="2"/>
            <w:vAlign w:val="bottom"/>
          </w:tcPr>
          <w:p w14:paraId="40B21184" w14:textId="77777777" w:rsidR="000A1902" w:rsidRPr="007C68A4" w:rsidRDefault="000A1902" w:rsidP="00611777">
            <w:pPr>
              <w:jc w:val="right"/>
              <w:rPr>
                <w:color w:val="000000" w:themeColor="text1"/>
                <w:szCs w:val="21"/>
              </w:rPr>
            </w:pPr>
            <w:r w:rsidRPr="007C68A4">
              <w:rPr>
                <w:color w:val="000000" w:themeColor="text1"/>
                <w:szCs w:val="21"/>
              </w:rPr>
              <w:t>018577</w:t>
            </w:r>
          </w:p>
        </w:tc>
      </w:tr>
      <w:tr w:rsidR="007C68A4" w:rsidRPr="007C68A4" w14:paraId="351BEC21" w14:textId="77777777" w:rsidTr="00785EEA">
        <w:trPr>
          <w:jc w:val="center"/>
        </w:trPr>
        <w:tc>
          <w:tcPr>
            <w:tcW w:w="3555" w:type="dxa"/>
            <w:vAlign w:val="center"/>
          </w:tcPr>
          <w:p w14:paraId="3E50DE8A" w14:textId="77777777" w:rsidR="000A1902" w:rsidRPr="007C68A4" w:rsidRDefault="000A1902" w:rsidP="00785EEA">
            <w:pPr>
              <w:spacing w:line="360" w:lineRule="auto"/>
              <w:rPr>
                <w:rFonts w:eastAsiaTheme="minorEastAsia"/>
                <w:color w:val="000000" w:themeColor="text1"/>
                <w:szCs w:val="21"/>
              </w:rPr>
            </w:pPr>
            <w:r w:rsidRPr="007C68A4">
              <w:rPr>
                <w:color w:val="000000" w:themeColor="text1"/>
                <w:kern w:val="0"/>
                <w:szCs w:val="21"/>
              </w:rPr>
              <w:t>交易代码</w:t>
            </w:r>
          </w:p>
        </w:tc>
        <w:tc>
          <w:tcPr>
            <w:tcW w:w="5217" w:type="dxa"/>
            <w:gridSpan w:val="2"/>
            <w:vAlign w:val="center"/>
          </w:tcPr>
          <w:p w14:paraId="3F7636AA" w14:textId="77777777" w:rsidR="000A1902" w:rsidRPr="007C68A4" w:rsidRDefault="000A1902" w:rsidP="00611777">
            <w:pPr>
              <w:spacing w:line="360" w:lineRule="auto"/>
              <w:jc w:val="right"/>
              <w:rPr>
                <w:rFonts w:eastAsiaTheme="minorEastAsia"/>
                <w:color w:val="000000" w:themeColor="text1"/>
                <w:szCs w:val="21"/>
              </w:rPr>
            </w:pPr>
            <w:r w:rsidRPr="007C68A4">
              <w:rPr>
                <w:rFonts w:eastAsiaTheme="minorEastAsia"/>
                <w:color w:val="000000" w:themeColor="text1"/>
                <w:szCs w:val="21"/>
              </w:rPr>
              <w:t>018577</w:t>
            </w:r>
          </w:p>
        </w:tc>
      </w:tr>
      <w:tr w:rsidR="007C68A4" w:rsidRPr="007C68A4" w14:paraId="10D09CCA" w14:textId="77777777" w:rsidTr="004C1748">
        <w:trPr>
          <w:jc w:val="center"/>
        </w:trPr>
        <w:tc>
          <w:tcPr>
            <w:tcW w:w="3555" w:type="dxa"/>
          </w:tcPr>
          <w:p w14:paraId="0B3E75B3" w14:textId="77777777" w:rsidR="000A1902" w:rsidRPr="007C68A4" w:rsidRDefault="000A1902">
            <w:pPr>
              <w:rPr>
                <w:color w:val="000000" w:themeColor="text1"/>
                <w:kern w:val="0"/>
                <w:szCs w:val="21"/>
              </w:rPr>
            </w:pPr>
            <w:r w:rsidRPr="007C68A4">
              <w:rPr>
                <w:color w:val="000000" w:themeColor="text1"/>
                <w:szCs w:val="21"/>
              </w:rPr>
              <w:t>基金运作方式</w:t>
            </w:r>
          </w:p>
        </w:tc>
        <w:tc>
          <w:tcPr>
            <w:tcW w:w="5217" w:type="dxa"/>
            <w:gridSpan w:val="2"/>
            <w:vAlign w:val="bottom"/>
          </w:tcPr>
          <w:p w14:paraId="763600FB" w14:textId="77777777" w:rsidR="000A1902" w:rsidRPr="007C68A4" w:rsidRDefault="000A1902" w:rsidP="00611777">
            <w:pPr>
              <w:jc w:val="right"/>
              <w:rPr>
                <w:color w:val="000000" w:themeColor="text1"/>
                <w:szCs w:val="21"/>
              </w:rPr>
            </w:pPr>
            <w:r w:rsidRPr="007C68A4">
              <w:rPr>
                <w:color w:val="000000" w:themeColor="text1"/>
                <w:szCs w:val="21"/>
              </w:rPr>
              <w:t>契约型开放式</w:t>
            </w:r>
          </w:p>
        </w:tc>
      </w:tr>
      <w:tr w:rsidR="007C68A4" w:rsidRPr="007C68A4" w14:paraId="55B28ECD" w14:textId="77777777" w:rsidTr="004C1748">
        <w:trPr>
          <w:jc w:val="center"/>
        </w:trPr>
        <w:tc>
          <w:tcPr>
            <w:tcW w:w="3555" w:type="dxa"/>
          </w:tcPr>
          <w:p w14:paraId="2E1BB1BF" w14:textId="77777777" w:rsidR="000A1902" w:rsidRPr="007C68A4" w:rsidRDefault="000A1902">
            <w:pPr>
              <w:rPr>
                <w:color w:val="000000" w:themeColor="text1"/>
                <w:kern w:val="0"/>
                <w:szCs w:val="21"/>
              </w:rPr>
            </w:pPr>
            <w:r w:rsidRPr="007C68A4">
              <w:rPr>
                <w:color w:val="000000" w:themeColor="text1"/>
                <w:szCs w:val="21"/>
              </w:rPr>
              <w:t>基金合同生效日</w:t>
            </w:r>
          </w:p>
        </w:tc>
        <w:tc>
          <w:tcPr>
            <w:tcW w:w="5217" w:type="dxa"/>
            <w:gridSpan w:val="2"/>
            <w:vAlign w:val="bottom"/>
          </w:tcPr>
          <w:p w14:paraId="777EC759" w14:textId="77777777" w:rsidR="000A1902" w:rsidRPr="007C68A4" w:rsidRDefault="000A1902" w:rsidP="00611777">
            <w:pPr>
              <w:jc w:val="right"/>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18</w:t>
            </w:r>
            <w:r w:rsidRPr="007C68A4">
              <w:rPr>
                <w:color w:val="000000" w:themeColor="text1"/>
                <w:szCs w:val="21"/>
              </w:rPr>
              <w:t>日</w:t>
            </w:r>
          </w:p>
        </w:tc>
      </w:tr>
      <w:tr w:rsidR="007C68A4" w:rsidRPr="007C68A4" w14:paraId="56888279" w14:textId="77777777" w:rsidTr="004C1748">
        <w:trPr>
          <w:jc w:val="center"/>
        </w:trPr>
        <w:tc>
          <w:tcPr>
            <w:tcW w:w="3555" w:type="dxa"/>
          </w:tcPr>
          <w:p w14:paraId="3E1D36D9" w14:textId="77777777" w:rsidR="000A1902" w:rsidRPr="007C68A4" w:rsidRDefault="000A1902">
            <w:pPr>
              <w:rPr>
                <w:color w:val="000000" w:themeColor="text1"/>
                <w:kern w:val="0"/>
                <w:szCs w:val="21"/>
              </w:rPr>
            </w:pPr>
            <w:r w:rsidRPr="007C68A4">
              <w:rPr>
                <w:color w:val="000000" w:themeColor="text1"/>
                <w:szCs w:val="21"/>
              </w:rPr>
              <w:t>基金管理人</w:t>
            </w:r>
          </w:p>
        </w:tc>
        <w:tc>
          <w:tcPr>
            <w:tcW w:w="5217" w:type="dxa"/>
            <w:gridSpan w:val="2"/>
            <w:vAlign w:val="bottom"/>
          </w:tcPr>
          <w:p w14:paraId="01CDFDA6" w14:textId="77777777" w:rsidR="000A1902" w:rsidRPr="007C68A4" w:rsidRDefault="000A1902" w:rsidP="00611777">
            <w:pPr>
              <w:jc w:val="right"/>
              <w:rPr>
                <w:color w:val="000000" w:themeColor="text1"/>
                <w:szCs w:val="21"/>
              </w:rPr>
            </w:pPr>
            <w:r w:rsidRPr="007C68A4">
              <w:rPr>
                <w:color w:val="000000" w:themeColor="text1"/>
                <w:szCs w:val="21"/>
              </w:rPr>
              <w:t>摩根基金管理（中国）有限公司</w:t>
            </w:r>
          </w:p>
        </w:tc>
      </w:tr>
      <w:tr w:rsidR="007C68A4" w:rsidRPr="007C68A4" w14:paraId="5F463336" w14:textId="77777777" w:rsidTr="004C1748">
        <w:trPr>
          <w:jc w:val="center"/>
        </w:trPr>
        <w:tc>
          <w:tcPr>
            <w:tcW w:w="3555" w:type="dxa"/>
          </w:tcPr>
          <w:p w14:paraId="4E024C80" w14:textId="77777777" w:rsidR="000A1902" w:rsidRPr="007C68A4" w:rsidRDefault="000A1902">
            <w:pPr>
              <w:rPr>
                <w:color w:val="000000" w:themeColor="text1"/>
                <w:kern w:val="0"/>
                <w:szCs w:val="21"/>
              </w:rPr>
            </w:pPr>
            <w:r w:rsidRPr="007C68A4">
              <w:rPr>
                <w:color w:val="000000" w:themeColor="text1"/>
                <w:szCs w:val="21"/>
              </w:rPr>
              <w:t>基金托管人</w:t>
            </w:r>
          </w:p>
        </w:tc>
        <w:tc>
          <w:tcPr>
            <w:tcW w:w="5217" w:type="dxa"/>
            <w:gridSpan w:val="2"/>
            <w:vAlign w:val="bottom"/>
          </w:tcPr>
          <w:p w14:paraId="493DB499" w14:textId="77777777" w:rsidR="000A1902" w:rsidRPr="007C68A4" w:rsidRDefault="000A1902" w:rsidP="00611777">
            <w:pPr>
              <w:jc w:val="right"/>
              <w:rPr>
                <w:color w:val="000000" w:themeColor="text1"/>
                <w:szCs w:val="21"/>
              </w:rPr>
            </w:pPr>
            <w:r w:rsidRPr="007C68A4">
              <w:rPr>
                <w:color w:val="000000" w:themeColor="text1"/>
                <w:szCs w:val="21"/>
              </w:rPr>
              <w:t>中国工商银行股份有限公司</w:t>
            </w:r>
          </w:p>
        </w:tc>
      </w:tr>
      <w:tr w:rsidR="007C68A4" w:rsidRPr="007C68A4" w14:paraId="357D09CC" w14:textId="77777777" w:rsidTr="004C1748">
        <w:trPr>
          <w:jc w:val="center"/>
        </w:trPr>
        <w:tc>
          <w:tcPr>
            <w:tcW w:w="3555" w:type="dxa"/>
          </w:tcPr>
          <w:p w14:paraId="23279275" w14:textId="77777777" w:rsidR="000A1902" w:rsidRPr="007C68A4" w:rsidRDefault="000A1902">
            <w:pPr>
              <w:rPr>
                <w:color w:val="000000" w:themeColor="text1"/>
                <w:kern w:val="0"/>
                <w:szCs w:val="21"/>
              </w:rPr>
            </w:pPr>
            <w:r w:rsidRPr="007C68A4">
              <w:rPr>
                <w:color w:val="000000" w:themeColor="text1"/>
                <w:szCs w:val="21"/>
              </w:rPr>
              <w:t>报告期末基金份额总额</w:t>
            </w:r>
          </w:p>
        </w:tc>
        <w:tc>
          <w:tcPr>
            <w:tcW w:w="5217" w:type="dxa"/>
            <w:gridSpan w:val="2"/>
            <w:vAlign w:val="bottom"/>
          </w:tcPr>
          <w:p w14:paraId="402A654D" w14:textId="77777777" w:rsidR="000A1902" w:rsidRPr="007C68A4" w:rsidRDefault="000A1902" w:rsidP="00611777">
            <w:pPr>
              <w:jc w:val="right"/>
              <w:rPr>
                <w:color w:val="000000" w:themeColor="text1"/>
                <w:szCs w:val="21"/>
              </w:rPr>
            </w:pPr>
            <w:r w:rsidRPr="007C68A4">
              <w:rPr>
                <w:color w:val="000000" w:themeColor="text1"/>
                <w:szCs w:val="21"/>
              </w:rPr>
              <w:t>30,744,676.92</w:t>
            </w:r>
            <w:r w:rsidRPr="007C68A4">
              <w:rPr>
                <w:color w:val="000000" w:themeColor="text1"/>
                <w:szCs w:val="21"/>
              </w:rPr>
              <w:t>份</w:t>
            </w:r>
          </w:p>
        </w:tc>
      </w:tr>
      <w:tr w:rsidR="007C68A4" w:rsidRPr="007C68A4" w14:paraId="1C7F15DC" w14:textId="77777777" w:rsidTr="004C1748">
        <w:trPr>
          <w:jc w:val="center"/>
        </w:trPr>
        <w:tc>
          <w:tcPr>
            <w:tcW w:w="3555" w:type="dxa"/>
          </w:tcPr>
          <w:p w14:paraId="18EDB43F" w14:textId="77777777" w:rsidR="000A1902" w:rsidRPr="007C68A4" w:rsidRDefault="000A1902">
            <w:pPr>
              <w:rPr>
                <w:color w:val="000000" w:themeColor="text1"/>
                <w:kern w:val="0"/>
                <w:szCs w:val="21"/>
              </w:rPr>
            </w:pPr>
            <w:r w:rsidRPr="007C68A4">
              <w:rPr>
                <w:color w:val="000000" w:themeColor="text1"/>
                <w:szCs w:val="21"/>
              </w:rPr>
              <w:t>基金合同存续期</w:t>
            </w:r>
          </w:p>
        </w:tc>
        <w:tc>
          <w:tcPr>
            <w:tcW w:w="5217" w:type="dxa"/>
            <w:gridSpan w:val="2"/>
            <w:vAlign w:val="bottom"/>
          </w:tcPr>
          <w:p w14:paraId="7228A642" w14:textId="77777777" w:rsidR="000A1902" w:rsidRPr="007C68A4" w:rsidRDefault="000A1902" w:rsidP="00611777">
            <w:pPr>
              <w:jc w:val="right"/>
              <w:rPr>
                <w:color w:val="000000" w:themeColor="text1"/>
                <w:szCs w:val="21"/>
              </w:rPr>
            </w:pPr>
            <w:r w:rsidRPr="007C68A4">
              <w:rPr>
                <w:color w:val="000000" w:themeColor="text1"/>
                <w:szCs w:val="21"/>
              </w:rPr>
              <w:t>不定期</w:t>
            </w:r>
          </w:p>
        </w:tc>
      </w:tr>
      <w:tr w:rsidR="007C68A4" w:rsidRPr="007C68A4" w14:paraId="77EB16F9" w14:textId="77777777" w:rsidTr="004C1748">
        <w:trPr>
          <w:trHeight w:val="369"/>
          <w:jc w:val="center"/>
        </w:trPr>
        <w:tc>
          <w:tcPr>
            <w:tcW w:w="3555" w:type="dxa"/>
            <w:vAlign w:val="center"/>
          </w:tcPr>
          <w:p w14:paraId="52765158" w14:textId="77777777"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级基金的基金简称</w:t>
            </w:r>
          </w:p>
        </w:tc>
        <w:tc>
          <w:tcPr>
            <w:tcW w:w="2664" w:type="dxa"/>
            <w:vAlign w:val="bottom"/>
          </w:tcPr>
          <w:p w14:paraId="201B6E31" w14:textId="77777777" w:rsidR="000A1902" w:rsidRPr="007C68A4" w:rsidRDefault="000A1902" w:rsidP="00611777">
            <w:pPr>
              <w:jc w:val="right"/>
              <w:rPr>
                <w:color w:val="000000" w:themeColor="text1"/>
                <w:szCs w:val="21"/>
              </w:rPr>
            </w:pPr>
            <w:r w:rsidRPr="007C68A4">
              <w:rPr>
                <w:color w:val="000000" w:themeColor="text1"/>
                <w:szCs w:val="21"/>
              </w:rPr>
              <w:t>摩根恒生科技</w:t>
            </w:r>
            <w:r w:rsidRPr="007C68A4">
              <w:rPr>
                <w:color w:val="000000" w:themeColor="text1"/>
                <w:szCs w:val="21"/>
              </w:rPr>
              <w:t>ETF</w:t>
            </w:r>
            <w:r w:rsidRPr="007C68A4">
              <w:rPr>
                <w:color w:val="000000" w:themeColor="text1"/>
                <w:szCs w:val="21"/>
              </w:rPr>
              <w:t>发起式联接</w:t>
            </w:r>
            <w:r w:rsidRPr="007C68A4">
              <w:rPr>
                <w:color w:val="000000" w:themeColor="text1"/>
                <w:szCs w:val="21"/>
              </w:rPr>
              <w:t>(QDII)A</w:t>
            </w:r>
          </w:p>
        </w:tc>
        <w:tc>
          <w:tcPr>
            <w:tcW w:w="2553" w:type="dxa"/>
            <w:vAlign w:val="bottom"/>
          </w:tcPr>
          <w:p w14:paraId="575F23BE" w14:textId="77777777" w:rsidR="000A1902" w:rsidRPr="007C68A4" w:rsidRDefault="000A1902" w:rsidP="00611777">
            <w:pPr>
              <w:jc w:val="right"/>
              <w:rPr>
                <w:color w:val="000000" w:themeColor="text1"/>
                <w:szCs w:val="21"/>
              </w:rPr>
            </w:pPr>
            <w:r w:rsidRPr="007C68A4">
              <w:rPr>
                <w:color w:val="000000" w:themeColor="text1"/>
                <w:szCs w:val="21"/>
              </w:rPr>
              <w:t>摩根恒生科技</w:t>
            </w:r>
            <w:r w:rsidRPr="007C68A4">
              <w:rPr>
                <w:color w:val="000000" w:themeColor="text1"/>
                <w:szCs w:val="21"/>
              </w:rPr>
              <w:t>ETF</w:t>
            </w:r>
            <w:r w:rsidRPr="007C68A4">
              <w:rPr>
                <w:color w:val="000000" w:themeColor="text1"/>
                <w:szCs w:val="21"/>
              </w:rPr>
              <w:t>发起式联接</w:t>
            </w:r>
            <w:r w:rsidRPr="007C68A4">
              <w:rPr>
                <w:color w:val="000000" w:themeColor="text1"/>
                <w:szCs w:val="21"/>
              </w:rPr>
              <w:t>(QDII)C</w:t>
            </w:r>
          </w:p>
        </w:tc>
      </w:tr>
      <w:tr w:rsidR="007C68A4" w:rsidRPr="007C68A4" w14:paraId="7088EA96" w14:textId="77777777" w:rsidTr="004C1748">
        <w:trPr>
          <w:trHeight w:val="369"/>
          <w:jc w:val="center"/>
        </w:trPr>
        <w:tc>
          <w:tcPr>
            <w:tcW w:w="3555" w:type="dxa"/>
            <w:vAlign w:val="center"/>
          </w:tcPr>
          <w:p w14:paraId="10DD3E54" w14:textId="77777777"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级基金的交易代码</w:t>
            </w:r>
          </w:p>
        </w:tc>
        <w:tc>
          <w:tcPr>
            <w:tcW w:w="2664" w:type="dxa"/>
            <w:vAlign w:val="bottom"/>
          </w:tcPr>
          <w:p w14:paraId="12ACD756" w14:textId="77777777" w:rsidR="000A1902" w:rsidRPr="007C68A4" w:rsidRDefault="000A1902" w:rsidP="00611777">
            <w:pPr>
              <w:jc w:val="right"/>
              <w:rPr>
                <w:color w:val="000000" w:themeColor="text1"/>
                <w:szCs w:val="21"/>
              </w:rPr>
            </w:pPr>
            <w:r w:rsidRPr="007C68A4">
              <w:rPr>
                <w:color w:val="000000" w:themeColor="text1"/>
                <w:szCs w:val="21"/>
              </w:rPr>
              <w:t>018577</w:t>
            </w:r>
          </w:p>
        </w:tc>
        <w:tc>
          <w:tcPr>
            <w:tcW w:w="2553" w:type="dxa"/>
            <w:vAlign w:val="bottom"/>
          </w:tcPr>
          <w:p w14:paraId="0BCDC846" w14:textId="77777777" w:rsidR="000A1902" w:rsidRPr="007C68A4" w:rsidRDefault="000A1902" w:rsidP="00611777">
            <w:pPr>
              <w:jc w:val="right"/>
              <w:rPr>
                <w:color w:val="000000" w:themeColor="text1"/>
                <w:szCs w:val="21"/>
              </w:rPr>
            </w:pPr>
            <w:r w:rsidRPr="007C68A4">
              <w:rPr>
                <w:color w:val="000000" w:themeColor="text1"/>
                <w:szCs w:val="21"/>
              </w:rPr>
              <w:t>018578</w:t>
            </w:r>
          </w:p>
        </w:tc>
      </w:tr>
      <w:tr w:rsidR="007C68A4" w:rsidRPr="007C68A4" w14:paraId="59261AF8" w14:textId="77777777" w:rsidTr="004C1748">
        <w:trPr>
          <w:trHeight w:val="369"/>
          <w:jc w:val="center"/>
        </w:trPr>
        <w:tc>
          <w:tcPr>
            <w:tcW w:w="3555" w:type="dxa"/>
            <w:vAlign w:val="center"/>
          </w:tcPr>
          <w:p w14:paraId="4F9C6F6E" w14:textId="77777777" w:rsidR="000A1902" w:rsidRPr="007C68A4" w:rsidRDefault="000A1902">
            <w:pPr>
              <w:rPr>
                <w:color w:val="000000" w:themeColor="text1"/>
                <w:szCs w:val="21"/>
              </w:rPr>
            </w:pPr>
            <w:r w:rsidRPr="007C68A4">
              <w:rPr>
                <w:color w:val="000000" w:themeColor="text1"/>
                <w:szCs w:val="21"/>
              </w:rPr>
              <w:t>报告期末下属分级基金的份额总额</w:t>
            </w:r>
          </w:p>
        </w:tc>
        <w:tc>
          <w:tcPr>
            <w:tcW w:w="2664" w:type="dxa"/>
            <w:vAlign w:val="bottom"/>
          </w:tcPr>
          <w:p w14:paraId="3F6BC160" w14:textId="77777777" w:rsidR="000A1902" w:rsidRPr="007C68A4" w:rsidRDefault="000A1902" w:rsidP="00611777">
            <w:pPr>
              <w:jc w:val="right"/>
              <w:rPr>
                <w:color w:val="000000" w:themeColor="text1"/>
                <w:szCs w:val="21"/>
              </w:rPr>
            </w:pPr>
            <w:r w:rsidRPr="007C68A4">
              <w:rPr>
                <w:color w:val="000000" w:themeColor="text1"/>
                <w:szCs w:val="21"/>
              </w:rPr>
              <w:t>4,669,515.30</w:t>
            </w:r>
            <w:r w:rsidRPr="007C68A4">
              <w:rPr>
                <w:color w:val="000000" w:themeColor="text1"/>
                <w:szCs w:val="21"/>
              </w:rPr>
              <w:t>份</w:t>
            </w:r>
          </w:p>
        </w:tc>
        <w:tc>
          <w:tcPr>
            <w:tcW w:w="2553" w:type="dxa"/>
            <w:vAlign w:val="bottom"/>
          </w:tcPr>
          <w:p w14:paraId="23E667BA" w14:textId="77777777" w:rsidR="000A1902" w:rsidRPr="007C68A4" w:rsidRDefault="000A1902" w:rsidP="00611777">
            <w:pPr>
              <w:jc w:val="right"/>
              <w:rPr>
                <w:color w:val="000000" w:themeColor="text1"/>
                <w:szCs w:val="21"/>
              </w:rPr>
            </w:pPr>
            <w:r w:rsidRPr="007C68A4">
              <w:rPr>
                <w:color w:val="000000" w:themeColor="text1"/>
                <w:szCs w:val="21"/>
              </w:rPr>
              <w:t>26,075,161.62</w:t>
            </w:r>
            <w:r w:rsidRPr="007C68A4">
              <w:rPr>
                <w:color w:val="000000" w:themeColor="text1"/>
                <w:szCs w:val="21"/>
              </w:rPr>
              <w:t>份</w:t>
            </w:r>
          </w:p>
        </w:tc>
      </w:tr>
    </w:tbl>
    <w:p w14:paraId="25E5721D" w14:textId="77777777" w:rsidR="007D33E1" w:rsidRPr="007C68A4" w:rsidRDefault="007D33E1" w:rsidP="007D33E1">
      <w:pPr>
        <w:spacing w:line="360" w:lineRule="auto"/>
        <w:rPr>
          <w:rFonts w:eastAsiaTheme="minorEastAsia"/>
          <w:b/>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7C68A4">
          <w:rPr>
            <w:rFonts w:eastAsiaTheme="minorEastAsia"/>
            <w:b/>
            <w:color w:val="000000" w:themeColor="text1"/>
            <w:szCs w:val="21"/>
          </w:rPr>
          <w:t xml:space="preserve">2.1.1 </w:t>
        </w:r>
      </w:smartTag>
      <w:r w:rsidRPr="007C68A4">
        <w:rPr>
          <w:rFonts w:eastAsiaTheme="minorEastAsia"/>
          <w:b/>
          <w:color w:val="000000" w:themeColor="text1"/>
          <w:szCs w:val="21"/>
        </w:rPr>
        <w:t>目标基金基本情况</w:t>
      </w:r>
    </w:p>
    <w:tbl>
      <w:tblPr>
        <w:tblW w:w="8846" w:type="dxa"/>
        <w:jc w:val="center"/>
        <w:tblLayout w:type="fixed"/>
        <w:tblLook w:val="0000" w:firstRow="0" w:lastRow="0" w:firstColumn="0" w:lastColumn="0" w:noHBand="0" w:noVBand="0"/>
      </w:tblPr>
      <w:tblGrid>
        <w:gridCol w:w="3574"/>
        <w:gridCol w:w="5272"/>
      </w:tblGrid>
      <w:tr w:rsidR="007C68A4" w:rsidRPr="007C68A4" w14:paraId="17944714"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6E578A17"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2F59801B"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摩根恒生科技交易型开放式指数证券投资基金</w:t>
            </w:r>
            <w:r w:rsidRPr="007C68A4">
              <w:rPr>
                <w:rFonts w:eastAsiaTheme="minorEastAsia"/>
                <w:color w:val="000000" w:themeColor="text1"/>
                <w:szCs w:val="21"/>
              </w:rPr>
              <w:t>(QDII)</w:t>
            </w:r>
          </w:p>
        </w:tc>
      </w:tr>
      <w:tr w:rsidR="007C68A4" w:rsidRPr="007C68A4" w14:paraId="09AF151E"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2E7797BE"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14:paraId="3D0526D2"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513890</w:t>
            </w:r>
          </w:p>
        </w:tc>
      </w:tr>
      <w:tr w:rsidR="007C68A4" w:rsidRPr="007C68A4" w14:paraId="7A13966F"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1CC9D6AC"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14:paraId="063D55DC"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交易型开放式</w:t>
            </w:r>
          </w:p>
        </w:tc>
      </w:tr>
      <w:tr w:rsidR="007C68A4" w:rsidRPr="007C68A4" w14:paraId="3842A4C4"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5C7F2565"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14:paraId="14CA8450"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2021</w:t>
            </w:r>
            <w:r w:rsidRPr="007C68A4">
              <w:rPr>
                <w:rFonts w:eastAsiaTheme="minorEastAsia"/>
                <w:color w:val="000000" w:themeColor="text1"/>
                <w:szCs w:val="21"/>
              </w:rPr>
              <w:t>年</w:t>
            </w:r>
            <w:r w:rsidRPr="007C68A4">
              <w:rPr>
                <w:rFonts w:eastAsiaTheme="minorEastAsia"/>
                <w:color w:val="000000" w:themeColor="text1"/>
                <w:szCs w:val="21"/>
              </w:rPr>
              <w:t>12</w:t>
            </w:r>
            <w:r w:rsidRPr="007C68A4">
              <w:rPr>
                <w:rFonts w:eastAsiaTheme="minorEastAsia"/>
                <w:color w:val="000000" w:themeColor="text1"/>
                <w:szCs w:val="21"/>
              </w:rPr>
              <w:t>月</w:t>
            </w:r>
            <w:r w:rsidRPr="007C68A4">
              <w:rPr>
                <w:rFonts w:eastAsiaTheme="minorEastAsia"/>
                <w:color w:val="000000" w:themeColor="text1"/>
                <w:szCs w:val="21"/>
              </w:rPr>
              <w:t>17</w:t>
            </w:r>
            <w:r w:rsidRPr="007C68A4">
              <w:rPr>
                <w:rFonts w:eastAsiaTheme="minorEastAsia"/>
                <w:color w:val="000000" w:themeColor="text1"/>
                <w:szCs w:val="21"/>
              </w:rPr>
              <w:t>日</w:t>
            </w:r>
          </w:p>
        </w:tc>
      </w:tr>
      <w:tr w:rsidR="007C68A4" w:rsidRPr="007C68A4" w14:paraId="1FA932E8"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6FB7B36A"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14:paraId="756ADCE5"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上海证券交易所</w:t>
            </w:r>
          </w:p>
        </w:tc>
      </w:tr>
      <w:tr w:rsidR="007C68A4" w:rsidRPr="007C68A4" w14:paraId="233BE414"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3912AF8B"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14:paraId="1CE5495B"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2022</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21</w:t>
            </w:r>
            <w:r w:rsidRPr="007C68A4">
              <w:rPr>
                <w:rFonts w:eastAsiaTheme="minorEastAsia"/>
                <w:color w:val="000000" w:themeColor="text1"/>
                <w:szCs w:val="21"/>
              </w:rPr>
              <w:t>日</w:t>
            </w:r>
          </w:p>
        </w:tc>
      </w:tr>
      <w:tr w:rsidR="007C68A4" w:rsidRPr="007C68A4" w14:paraId="1FC24465"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4BA999B3"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447A37FA"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摩根基金管理（中国）有限公司</w:t>
            </w:r>
          </w:p>
        </w:tc>
      </w:tr>
      <w:tr w:rsidR="007C68A4" w:rsidRPr="007C68A4" w14:paraId="48755A3B" w14:textId="77777777"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14:paraId="7AC6909C"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2EA69A2C" w14:textId="77777777"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中国工商银行股份有限公司</w:t>
            </w:r>
          </w:p>
        </w:tc>
      </w:tr>
    </w:tbl>
    <w:p w14:paraId="591377E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 w:name="_Toc175575258"/>
      <w:r w:rsidRPr="007C68A4">
        <w:rPr>
          <w:rFonts w:ascii="Times New Roman" w:hAnsi="Times New Roman"/>
          <w:color w:val="000000" w:themeColor="text1"/>
          <w:kern w:val="0"/>
          <w:sz w:val="21"/>
          <w:szCs w:val="21"/>
        </w:rPr>
        <w:t xml:space="preserve">2.2 </w:t>
      </w:r>
      <w:r w:rsidRPr="007C68A4">
        <w:rPr>
          <w:rFonts w:ascii="Times New Roman" w:hAnsi="Times New Roman"/>
          <w:color w:val="000000" w:themeColor="text1"/>
          <w:kern w:val="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8"/>
      </w:tblGrid>
      <w:tr w:rsidR="007C68A4" w:rsidRPr="007C68A4" w14:paraId="5EC903BA" w14:textId="77777777" w:rsidTr="007D33E1">
        <w:trPr>
          <w:jc w:val="center"/>
        </w:trPr>
        <w:tc>
          <w:tcPr>
            <w:tcW w:w="2092" w:type="dxa"/>
            <w:vAlign w:val="center"/>
          </w:tcPr>
          <w:p w14:paraId="5AEAC289" w14:textId="77777777" w:rsidR="001548F9" w:rsidRPr="007C68A4" w:rsidRDefault="001548F9">
            <w:pPr>
              <w:rPr>
                <w:color w:val="000000" w:themeColor="text1"/>
                <w:szCs w:val="21"/>
              </w:rPr>
            </w:pPr>
            <w:r w:rsidRPr="007C68A4">
              <w:rPr>
                <w:color w:val="000000" w:themeColor="text1"/>
                <w:szCs w:val="21"/>
              </w:rPr>
              <w:t>投资目标</w:t>
            </w:r>
          </w:p>
        </w:tc>
        <w:tc>
          <w:tcPr>
            <w:tcW w:w="6908" w:type="dxa"/>
            <w:vAlign w:val="bottom"/>
          </w:tcPr>
          <w:p w14:paraId="7B35ECC4" w14:textId="77777777" w:rsidR="001548F9" w:rsidRPr="007C68A4" w:rsidRDefault="001548F9">
            <w:pPr>
              <w:rPr>
                <w:color w:val="000000" w:themeColor="text1"/>
                <w:szCs w:val="21"/>
              </w:rPr>
            </w:pPr>
            <w:r w:rsidRPr="007C68A4">
              <w:rPr>
                <w:color w:val="000000" w:themeColor="text1"/>
                <w:szCs w:val="21"/>
              </w:rPr>
              <w:t>通过对目标</w:t>
            </w:r>
            <w:r w:rsidRPr="007C68A4">
              <w:rPr>
                <w:color w:val="000000" w:themeColor="text1"/>
                <w:szCs w:val="21"/>
              </w:rPr>
              <w:t>ETF</w:t>
            </w:r>
            <w:r w:rsidRPr="007C68A4">
              <w:rPr>
                <w:color w:val="000000" w:themeColor="text1"/>
                <w:szCs w:val="21"/>
              </w:rPr>
              <w:t>基金份额的投资，追求跟踪标的指数，获得与指数收益相似的回报。</w:t>
            </w:r>
          </w:p>
        </w:tc>
      </w:tr>
      <w:tr w:rsidR="007C68A4" w:rsidRPr="007C68A4" w14:paraId="11368562" w14:textId="77777777" w:rsidTr="007D33E1">
        <w:trPr>
          <w:jc w:val="center"/>
        </w:trPr>
        <w:tc>
          <w:tcPr>
            <w:tcW w:w="2092" w:type="dxa"/>
            <w:vAlign w:val="center"/>
          </w:tcPr>
          <w:p w14:paraId="60A0DF65" w14:textId="77777777" w:rsidR="001548F9" w:rsidRPr="007C68A4" w:rsidRDefault="001548F9">
            <w:pPr>
              <w:rPr>
                <w:color w:val="000000" w:themeColor="text1"/>
                <w:szCs w:val="21"/>
              </w:rPr>
            </w:pPr>
            <w:r w:rsidRPr="007C68A4">
              <w:rPr>
                <w:color w:val="000000" w:themeColor="text1"/>
                <w:szCs w:val="21"/>
              </w:rPr>
              <w:t>投资策略</w:t>
            </w:r>
          </w:p>
        </w:tc>
        <w:tc>
          <w:tcPr>
            <w:tcW w:w="6908" w:type="dxa"/>
            <w:vAlign w:val="bottom"/>
          </w:tcPr>
          <w:p w14:paraId="16A703F4" w14:textId="77777777" w:rsidR="00FA3CB3" w:rsidRDefault="00052A0D">
            <w:pPr>
              <w:rPr>
                <w:color w:val="000000" w:themeColor="text1"/>
                <w:szCs w:val="21"/>
              </w:rPr>
            </w:pPr>
            <w:r>
              <w:rPr>
                <w:color w:val="000000" w:themeColor="text1"/>
                <w:szCs w:val="21"/>
              </w:rPr>
              <w:t>本基金为摩根恒生科技交易型开放式指数证券投资基金</w:t>
            </w:r>
            <w:r>
              <w:rPr>
                <w:color w:val="000000" w:themeColor="text1"/>
                <w:szCs w:val="21"/>
              </w:rPr>
              <w:t>(QDII)</w:t>
            </w:r>
            <w:r>
              <w:rPr>
                <w:color w:val="000000" w:themeColor="text1"/>
                <w:szCs w:val="21"/>
              </w:rPr>
              <w:t>的联接基金，通过将基金资产主要投资于目标</w:t>
            </w:r>
            <w:r>
              <w:rPr>
                <w:color w:val="000000" w:themeColor="text1"/>
                <w:szCs w:val="21"/>
              </w:rPr>
              <w:t>ETF</w:t>
            </w:r>
            <w:r>
              <w:rPr>
                <w:color w:val="000000" w:themeColor="text1"/>
                <w:szCs w:val="21"/>
              </w:rPr>
              <w:t>基金份额，以实现对标的指数的跟踪。本基金力争日均跟踪偏离度的绝对值不超过</w:t>
            </w:r>
            <w:r>
              <w:rPr>
                <w:color w:val="000000" w:themeColor="text1"/>
                <w:szCs w:val="21"/>
              </w:rPr>
              <w:t>0.35%</w:t>
            </w:r>
            <w:r>
              <w:rPr>
                <w:color w:val="000000" w:themeColor="text1"/>
                <w:szCs w:val="21"/>
              </w:rPr>
              <w:t>，年跟踪误差不</w:t>
            </w:r>
            <w:r>
              <w:rPr>
                <w:color w:val="000000" w:themeColor="text1"/>
                <w:szCs w:val="21"/>
              </w:rPr>
              <w:lastRenderedPageBreak/>
              <w:t>超过</w:t>
            </w:r>
            <w:r>
              <w:rPr>
                <w:color w:val="000000" w:themeColor="text1"/>
                <w:szCs w:val="21"/>
              </w:rPr>
              <w:t>4%</w:t>
            </w:r>
            <w:r>
              <w:rPr>
                <w:color w:val="000000" w:themeColor="text1"/>
                <w:szCs w:val="21"/>
              </w:rPr>
              <w:t>。如因标的指数编制规则调整或其他因素导致跟踪误差超过上述范围，基金管理人应采取合理措施避免跟踪误差进一步扩大。</w:t>
            </w:r>
          </w:p>
          <w:p w14:paraId="204F6E73" w14:textId="77777777" w:rsidR="00FA3CB3" w:rsidRDefault="00052A0D">
            <w:pPr>
              <w:rPr>
                <w:color w:val="000000" w:themeColor="text1"/>
                <w:szCs w:val="21"/>
              </w:rPr>
            </w:pPr>
            <w:r>
              <w:rPr>
                <w:color w:val="000000" w:themeColor="text1"/>
                <w:szCs w:val="21"/>
              </w:rPr>
              <w:t>基金也可以通过买入标的指数成份股来跟踪标的指数。为了提高投资效率，基金还可以根据风险管理原则，少量投资于股指期货、股票期权和其他经中国证监会允许的衍生工具等。</w:t>
            </w:r>
          </w:p>
          <w:p w14:paraId="224CFE35" w14:textId="77777777" w:rsidR="00FA3CB3" w:rsidRDefault="00052A0D">
            <w:pPr>
              <w:rPr>
                <w:color w:val="000000" w:themeColor="text1"/>
                <w:szCs w:val="21"/>
              </w:rPr>
            </w:pPr>
            <w:r>
              <w:rPr>
                <w:color w:val="000000" w:themeColor="text1"/>
                <w:szCs w:val="21"/>
              </w:rPr>
              <w:t>1</w:t>
            </w:r>
            <w:r>
              <w:rPr>
                <w:color w:val="000000" w:themeColor="text1"/>
                <w:szCs w:val="21"/>
              </w:rPr>
              <w:t>、目标</w:t>
            </w:r>
            <w:r>
              <w:rPr>
                <w:color w:val="000000" w:themeColor="text1"/>
                <w:szCs w:val="21"/>
              </w:rPr>
              <w:t>ETF</w:t>
            </w:r>
            <w:r>
              <w:rPr>
                <w:color w:val="000000" w:themeColor="text1"/>
                <w:szCs w:val="21"/>
              </w:rPr>
              <w:t>投资策略</w:t>
            </w:r>
          </w:p>
          <w:p w14:paraId="7EC0F537" w14:textId="77777777" w:rsidR="00FA3CB3" w:rsidRDefault="00052A0D">
            <w:pPr>
              <w:rPr>
                <w:color w:val="000000" w:themeColor="text1"/>
                <w:szCs w:val="21"/>
              </w:rPr>
            </w:pPr>
            <w:r>
              <w:rPr>
                <w:color w:val="000000" w:themeColor="text1"/>
                <w:szCs w:val="21"/>
              </w:rPr>
              <w:t>为了实现追踪误差最小化，本基金投资于目标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。当目标</w:t>
            </w:r>
            <w:r>
              <w:rPr>
                <w:color w:val="000000" w:themeColor="text1"/>
                <w:szCs w:val="21"/>
              </w:rPr>
              <w:t>ETF</w:t>
            </w:r>
            <w:r>
              <w:rPr>
                <w:color w:val="000000" w:themeColor="text1"/>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color w:val="000000" w:themeColor="text1"/>
                <w:szCs w:val="21"/>
              </w:rPr>
              <w:t>ETF</w:t>
            </w:r>
            <w:r>
              <w:rPr>
                <w:color w:val="000000" w:themeColor="text1"/>
                <w:szCs w:val="21"/>
              </w:rPr>
              <w:t>的买卖。本基金还可适度参与目标</w:t>
            </w:r>
            <w:r>
              <w:rPr>
                <w:color w:val="000000" w:themeColor="text1"/>
                <w:szCs w:val="21"/>
              </w:rPr>
              <w:t>ETF</w:t>
            </w:r>
            <w:r>
              <w:rPr>
                <w:color w:val="000000" w:themeColor="text1"/>
                <w:szCs w:val="21"/>
              </w:rPr>
              <w:t>基金份额交易和申购、赎回之间的套利，以增强基金收益。</w:t>
            </w:r>
          </w:p>
          <w:p w14:paraId="4B8C4780" w14:textId="77777777" w:rsidR="00FA3CB3" w:rsidRDefault="00052A0D">
            <w:pPr>
              <w:rPr>
                <w:color w:val="000000" w:themeColor="text1"/>
                <w:szCs w:val="21"/>
              </w:rPr>
            </w:pPr>
            <w:r>
              <w:rPr>
                <w:color w:val="000000" w:themeColor="text1"/>
                <w:szCs w:val="21"/>
              </w:rPr>
              <w:t>本基金可以基金资产特殊申购目标</w:t>
            </w:r>
            <w:r>
              <w:rPr>
                <w:color w:val="000000" w:themeColor="text1"/>
                <w:szCs w:val="21"/>
              </w:rPr>
              <w:t>ETF</w:t>
            </w:r>
            <w:r>
              <w:rPr>
                <w:color w:val="000000" w:themeColor="text1"/>
                <w:szCs w:val="21"/>
              </w:rPr>
              <w:t>份额，以进行基金建仓。</w:t>
            </w:r>
          </w:p>
          <w:p w14:paraId="5F9FD18A" w14:textId="77777777" w:rsidR="001548F9" w:rsidRPr="007C68A4" w:rsidRDefault="001548F9">
            <w:pPr>
              <w:rPr>
                <w:color w:val="000000" w:themeColor="text1"/>
                <w:szCs w:val="21"/>
              </w:rPr>
            </w:pPr>
            <w:r w:rsidRPr="007C68A4">
              <w:rPr>
                <w:color w:val="000000" w:themeColor="text1"/>
                <w:szCs w:val="21"/>
              </w:rPr>
              <w:t>2</w:t>
            </w:r>
            <w:r w:rsidRPr="007C68A4">
              <w:rPr>
                <w:color w:val="000000" w:themeColor="text1"/>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7C68A4" w:rsidRPr="007C68A4" w14:paraId="1F23A8DF" w14:textId="77777777" w:rsidTr="007D33E1">
        <w:trPr>
          <w:jc w:val="center"/>
        </w:trPr>
        <w:tc>
          <w:tcPr>
            <w:tcW w:w="2092" w:type="dxa"/>
            <w:vAlign w:val="center"/>
          </w:tcPr>
          <w:p w14:paraId="73A7C9CE" w14:textId="77777777" w:rsidR="001548F9" w:rsidRPr="007C68A4" w:rsidRDefault="001548F9">
            <w:pPr>
              <w:rPr>
                <w:color w:val="000000" w:themeColor="text1"/>
                <w:szCs w:val="21"/>
              </w:rPr>
            </w:pPr>
            <w:r w:rsidRPr="007C68A4">
              <w:rPr>
                <w:color w:val="000000" w:themeColor="text1"/>
                <w:szCs w:val="21"/>
              </w:rPr>
              <w:lastRenderedPageBreak/>
              <w:t>业绩比较基准</w:t>
            </w:r>
          </w:p>
        </w:tc>
        <w:tc>
          <w:tcPr>
            <w:tcW w:w="6908" w:type="dxa"/>
            <w:vAlign w:val="bottom"/>
          </w:tcPr>
          <w:p w14:paraId="06F5CF70" w14:textId="77777777" w:rsidR="001548F9" w:rsidRPr="007C68A4" w:rsidRDefault="001548F9">
            <w:pPr>
              <w:rPr>
                <w:color w:val="000000" w:themeColor="text1"/>
                <w:szCs w:val="21"/>
              </w:rPr>
            </w:pPr>
            <w:r w:rsidRPr="007C68A4">
              <w:rPr>
                <w:color w:val="000000" w:themeColor="text1"/>
                <w:szCs w:val="21"/>
              </w:rPr>
              <w:t>经估值汇率调整的恒生科技指数收益率</w:t>
            </w:r>
            <w:r w:rsidRPr="007C68A4">
              <w:rPr>
                <w:color w:val="000000" w:themeColor="text1"/>
                <w:szCs w:val="21"/>
              </w:rPr>
              <w:t>×95%</w:t>
            </w:r>
            <w:r w:rsidRPr="007C68A4">
              <w:rPr>
                <w:color w:val="000000" w:themeColor="text1"/>
                <w:szCs w:val="21"/>
              </w:rPr>
              <w:t>＋活期存款利率（税后）</w:t>
            </w:r>
            <w:r w:rsidRPr="007C68A4">
              <w:rPr>
                <w:color w:val="000000" w:themeColor="text1"/>
                <w:szCs w:val="21"/>
              </w:rPr>
              <w:t>×5%</w:t>
            </w:r>
          </w:p>
        </w:tc>
      </w:tr>
      <w:tr w:rsidR="007C68A4" w:rsidRPr="007C68A4" w14:paraId="25698AFE" w14:textId="77777777" w:rsidTr="007D33E1">
        <w:trPr>
          <w:jc w:val="center"/>
        </w:trPr>
        <w:tc>
          <w:tcPr>
            <w:tcW w:w="2092" w:type="dxa"/>
            <w:vAlign w:val="center"/>
          </w:tcPr>
          <w:p w14:paraId="36123ACB" w14:textId="77777777" w:rsidR="001548F9" w:rsidRPr="007C68A4" w:rsidRDefault="001548F9">
            <w:pPr>
              <w:rPr>
                <w:color w:val="000000" w:themeColor="text1"/>
                <w:szCs w:val="21"/>
              </w:rPr>
            </w:pPr>
            <w:r w:rsidRPr="007C68A4">
              <w:rPr>
                <w:color w:val="000000" w:themeColor="text1"/>
                <w:szCs w:val="21"/>
              </w:rPr>
              <w:t>风险收益特征</w:t>
            </w:r>
          </w:p>
        </w:tc>
        <w:tc>
          <w:tcPr>
            <w:tcW w:w="6908" w:type="dxa"/>
            <w:vAlign w:val="bottom"/>
          </w:tcPr>
          <w:p w14:paraId="74665808" w14:textId="77777777" w:rsidR="00FA3CB3" w:rsidRDefault="00052A0D">
            <w:pPr>
              <w:rPr>
                <w:color w:val="000000" w:themeColor="text1"/>
                <w:szCs w:val="21"/>
              </w:rPr>
            </w:pPr>
            <w:r>
              <w:rPr>
                <w:color w:val="000000" w:themeColor="text1"/>
                <w:szCs w:val="21"/>
              </w:rPr>
              <w:t>本基金为</w:t>
            </w:r>
            <w:r>
              <w:rPr>
                <w:color w:val="000000" w:themeColor="text1"/>
                <w:szCs w:val="21"/>
              </w:rPr>
              <w:t>ETF</w:t>
            </w:r>
            <w:r>
              <w:rPr>
                <w:color w:val="000000" w:themeColor="text1"/>
                <w:szCs w:val="21"/>
              </w:rPr>
              <w:t>联接基金，具有与目标</w:t>
            </w:r>
            <w:r>
              <w:rPr>
                <w:color w:val="000000" w:themeColor="text1"/>
                <w:szCs w:val="21"/>
              </w:rPr>
              <w:t>ETF</w:t>
            </w:r>
            <w:r>
              <w:rPr>
                <w:color w:val="000000" w:themeColor="text1"/>
                <w:szCs w:val="21"/>
              </w:rPr>
              <w:t>相似的风险收益特征。目标</w:t>
            </w:r>
            <w:r>
              <w:rPr>
                <w:color w:val="000000" w:themeColor="text1"/>
                <w:szCs w:val="21"/>
              </w:rPr>
              <w:t>ETF</w:t>
            </w:r>
            <w:r>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w:t>
            </w:r>
          </w:p>
          <w:p w14:paraId="154C2664" w14:textId="77777777" w:rsidR="001548F9" w:rsidRPr="007C68A4" w:rsidRDefault="001548F9">
            <w:pPr>
              <w:rPr>
                <w:color w:val="000000" w:themeColor="text1"/>
                <w:szCs w:val="21"/>
              </w:rPr>
            </w:pPr>
            <w:r w:rsidRPr="007C68A4">
              <w:rPr>
                <w:color w:val="000000" w:themeColor="text1"/>
                <w:szCs w:val="21"/>
              </w:rPr>
              <w:t>本基金可投资于境外证券，除了需要承担与境内证券投资基金类似的市场波动风险等一般投资风险之外，本基金还面临汇率风险等境外证券市场投资所面临的特别投资风险。</w:t>
            </w:r>
          </w:p>
        </w:tc>
      </w:tr>
    </w:tbl>
    <w:p w14:paraId="5D0602BF" w14:textId="77777777" w:rsidR="007D33E1" w:rsidRPr="007C68A4" w:rsidRDefault="007D33E1" w:rsidP="007D33E1">
      <w:pPr>
        <w:spacing w:line="360" w:lineRule="auto"/>
        <w:rPr>
          <w:rFonts w:eastAsiaTheme="minorEastAsia"/>
          <w:b/>
          <w:color w:val="000000" w:themeColor="text1"/>
          <w:szCs w:val="21"/>
        </w:rPr>
      </w:pPr>
      <w:r w:rsidRPr="007C68A4">
        <w:rPr>
          <w:rFonts w:eastAsiaTheme="minorEastAsia"/>
          <w:b/>
          <w:color w:val="000000" w:themeColor="text1"/>
          <w:szCs w:val="21"/>
        </w:rPr>
        <w:t xml:space="preserve">2.2.1 </w:t>
      </w:r>
      <w:r w:rsidRPr="007C68A4">
        <w:rPr>
          <w:rFonts w:eastAsiaTheme="minorEastAsia"/>
          <w:b/>
          <w:color w:val="000000" w:themeColor="text1"/>
          <w:szCs w:val="21"/>
        </w:rPr>
        <w:t>目标基金产品说明</w:t>
      </w:r>
    </w:p>
    <w:tbl>
      <w:tblPr>
        <w:tblW w:w="0" w:type="auto"/>
        <w:jc w:val="center"/>
        <w:tblLayout w:type="fixed"/>
        <w:tblLook w:val="0000" w:firstRow="0" w:lastRow="0" w:firstColumn="0" w:lastColumn="0" w:noHBand="0" w:noVBand="0"/>
      </w:tblPr>
      <w:tblGrid>
        <w:gridCol w:w="2123"/>
        <w:gridCol w:w="6939"/>
      </w:tblGrid>
      <w:tr w:rsidR="007C68A4" w:rsidRPr="007C68A4" w14:paraId="1C65F6D3"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4AA4365F"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14:paraId="18C6C450"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本基金采用被动指数化投资，紧密跟踪标的指数，追求跟踪偏离度和跟踪误差最小化。</w:t>
            </w:r>
          </w:p>
        </w:tc>
      </w:tr>
      <w:tr w:rsidR="007C68A4" w:rsidRPr="007C68A4" w14:paraId="7930F3C4"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0EBAB441"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14:paraId="2BA1CC8C"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可能贴近标的指数的表现，有效控制跟踪误差。</w:t>
            </w:r>
          </w:p>
        </w:tc>
      </w:tr>
      <w:tr w:rsidR="007C68A4" w:rsidRPr="007C68A4" w14:paraId="3EF27F48"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6604AF65"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14:paraId="5CC9A602"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本基金的业绩比较基准为经估值汇率调整的恒生科技指数（</w:t>
            </w:r>
            <w:r w:rsidRPr="007C68A4">
              <w:rPr>
                <w:rFonts w:eastAsiaTheme="minorEastAsia"/>
                <w:color w:val="000000" w:themeColor="text1"/>
                <w:szCs w:val="21"/>
              </w:rPr>
              <w:t>HSTECH</w:t>
            </w:r>
            <w:r w:rsidRPr="007C68A4">
              <w:rPr>
                <w:rFonts w:eastAsiaTheme="minorEastAsia"/>
                <w:color w:val="000000" w:themeColor="text1"/>
                <w:szCs w:val="21"/>
              </w:rPr>
              <w:t>）收益率。本基金标的指数变更的，相应更换基金名称和业绩比较基准，并在履行适当程序后及时公告。</w:t>
            </w:r>
          </w:p>
        </w:tc>
      </w:tr>
      <w:tr w:rsidR="007C68A4" w:rsidRPr="007C68A4" w14:paraId="331E976E" w14:textId="77777777"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14:paraId="7809BDDA" w14:textId="77777777"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14:paraId="28C54617" w14:textId="77777777"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w:t>
            </w:r>
            <w:r w:rsidRPr="007C68A4">
              <w:rPr>
                <w:rFonts w:eastAsiaTheme="minorEastAsia"/>
                <w:color w:val="000000" w:themeColor="text1"/>
                <w:szCs w:val="21"/>
              </w:rPr>
              <w:t xml:space="preserve"> </w:t>
            </w:r>
            <w:r w:rsidRPr="007C68A4">
              <w:rPr>
                <w:rFonts w:eastAsiaTheme="minorEastAsia"/>
                <w:color w:val="000000" w:themeColor="text1"/>
                <w:szCs w:val="21"/>
              </w:rPr>
              <w:t>本基金可投资于境外证券，除了需要承担与境内证券投资基金类似的市场波动风险等一般投资风险之外，本基金还面临汇率风险等境外证券市场投资所面临的特别投资风险。</w:t>
            </w:r>
          </w:p>
        </w:tc>
      </w:tr>
    </w:tbl>
    <w:p w14:paraId="37A41DD8"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 w:name="_Toc225498247"/>
      <w:bookmarkStart w:id="10" w:name="_Toc175575259"/>
      <w:r w:rsidRPr="007C68A4">
        <w:rPr>
          <w:rFonts w:ascii="Times New Roman" w:hAnsi="Times New Roman"/>
          <w:color w:val="000000" w:themeColor="text1"/>
          <w:kern w:val="0"/>
          <w:sz w:val="21"/>
          <w:szCs w:val="21"/>
        </w:rPr>
        <w:lastRenderedPageBreak/>
        <w:t xml:space="preserve">2.3 </w:t>
      </w:r>
      <w:r w:rsidRPr="007C68A4">
        <w:rPr>
          <w:rFonts w:ascii="Times New Roman" w:hAnsi="Times New Roman"/>
          <w:color w:val="000000" w:themeColor="text1"/>
          <w:kern w:val="0"/>
          <w:sz w:val="21"/>
          <w:szCs w:val="21"/>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7C68A4" w:rsidRPr="007C68A4" w14:paraId="482DC8B4" w14:textId="77777777" w:rsidTr="00446684">
        <w:trPr>
          <w:jc w:val="center"/>
        </w:trPr>
        <w:tc>
          <w:tcPr>
            <w:tcW w:w="2631" w:type="dxa"/>
            <w:gridSpan w:val="2"/>
            <w:vAlign w:val="center"/>
          </w:tcPr>
          <w:p w14:paraId="2E19BADE"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项目</w:t>
            </w:r>
          </w:p>
        </w:tc>
        <w:tc>
          <w:tcPr>
            <w:tcW w:w="3060" w:type="dxa"/>
            <w:vAlign w:val="center"/>
          </w:tcPr>
          <w:p w14:paraId="2C22907F" w14:textId="77777777" w:rsidR="001548F9" w:rsidRPr="007C68A4" w:rsidRDefault="001548F9">
            <w:pPr>
              <w:jc w:val="center"/>
              <w:rPr>
                <w:color w:val="000000" w:themeColor="text1"/>
                <w:szCs w:val="21"/>
              </w:rPr>
            </w:pPr>
            <w:r w:rsidRPr="007C68A4">
              <w:rPr>
                <w:color w:val="000000" w:themeColor="text1"/>
                <w:szCs w:val="21"/>
              </w:rPr>
              <w:t>基金管理人</w:t>
            </w:r>
          </w:p>
        </w:tc>
        <w:tc>
          <w:tcPr>
            <w:tcW w:w="3060" w:type="dxa"/>
            <w:vAlign w:val="center"/>
          </w:tcPr>
          <w:p w14:paraId="450E144E" w14:textId="77777777" w:rsidR="001548F9" w:rsidRPr="007C68A4" w:rsidRDefault="001548F9">
            <w:pPr>
              <w:jc w:val="center"/>
              <w:rPr>
                <w:color w:val="000000" w:themeColor="text1"/>
                <w:szCs w:val="21"/>
              </w:rPr>
            </w:pPr>
            <w:r w:rsidRPr="007C68A4">
              <w:rPr>
                <w:color w:val="000000" w:themeColor="text1"/>
                <w:szCs w:val="21"/>
              </w:rPr>
              <w:t>基金托管人</w:t>
            </w:r>
          </w:p>
        </w:tc>
      </w:tr>
      <w:tr w:rsidR="007C68A4" w:rsidRPr="007C68A4" w14:paraId="2BF05280" w14:textId="77777777" w:rsidTr="00446684">
        <w:trPr>
          <w:jc w:val="center"/>
        </w:trPr>
        <w:tc>
          <w:tcPr>
            <w:tcW w:w="2631" w:type="dxa"/>
            <w:gridSpan w:val="2"/>
            <w:vAlign w:val="center"/>
          </w:tcPr>
          <w:p w14:paraId="1F798F76" w14:textId="77777777" w:rsidR="001548F9" w:rsidRPr="007C68A4" w:rsidRDefault="001548F9">
            <w:pPr>
              <w:autoSpaceDE w:val="0"/>
              <w:autoSpaceDN w:val="0"/>
              <w:adjustRightInd w:val="0"/>
              <w:spacing w:before="29" w:line="288" w:lineRule="auto"/>
              <w:ind w:left="15"/>
              <w:rPr>
                <w:color w:val="000000" w:themeColor="text1"/>
                <w:kern w:val="0"/>
                <w:szCs w:val="21"/>
              </w:rPr>
            </w:pPr>
            <w:r w:rsidRPr="007C68A4">
              <w:rPr>
                <w:color w:val="000000" w:themeColor="text1"/>
                <w:kern w:val="0"/>
                <w:szCs w:val="21"/>
              </w:rPr>
              <w:t>名称</w:t>
            </w:r>
          </w:p>
        </w:tc>
        <w:tc>
          <w:tcPr>
            <w:tcW w:w="3060" w:type="dxa"/>
            <w:vAlign w:val="center"/>
          </w:tcPr>
          <w:p w14:paraId="15817531"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摩根基金管理（中国）有限公司</w:t>
            </w:r>
          </w:p>
        </w:tc>
        <w:tc>
          <w:tcPr>
            <w:tcW w:w="3060" w:type="dxa"/>
            <w:vAlign w:val="center"/>
          </w:tcPr>
          <w:p w14:paraId="22798BAE"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中国工商银行股份有限公司</w:t>
            </w:r>
          </w:p>
        </w:tc>
      </w:tr>
      <w:tr w:rsidR="007C68A4" w:rsidRPr="007C68A4" w14:paraId="67E869F1" w14:textId="77777777" w:rsidTr="00446684">
        <w:trPr>
          <w:jc w:val="center"/>
        </w:trPr>
        <w:tc>
          <w:tcPr>
            <w:tcW w:w="1260" w:type="dxa"/>
            <w:vMerge w:val="restart"/>
            <w:vAlign w:val="center"/>
          </w:tcPr>
          <w:p w14:paraId="3D99CC7F" w14:textId="77777777" w:rsidR="001548F9" w:rsidRPr="007C68A4" w:rsidRDefault="001548F9">
            <w:pPr>
              <w:autoSpaceDE w:val="0"/>
              <w:autoSpaceDN w:val="0"/>
              <w:adjustRightInd w:val="0"/>
              <w:spacing w:before="29" w:line="360" w:lineRule="auto"/>
              <w:ind w:left="15"/>
              <w:rPr>
                <w:color w:val="000000" w:themeColor="text1"/>
                <w:kern w:val="0"/>
                <w:szCs w:val="21"/>
              </w:rPr>
            </w:pPr>
            <w:r w:rsidRPr="007C68A4">
              <w:rPr>
                <w:color w:val="000000" w:themeColor="text1"/>
                <w:szCs w:val="21"/>
              </w:rPr>
              <w:t>信息披露负责人</w:t>
            </w:r>
          </w:p>
        </w:tc>
        <w:tc>
          <w:tcPr>
            <w:tcW w:w="1371" w:type="dxa"/>
            <w:vAlign w:val="center"/>
          </w:tcPr>
          <w:p w14:paraId="5046EF5D" w14:textId="77777777" w:rsidR="001548F9" w:rsidRPr="007C68A4" w:rsidRDefault="001548F9">
            <w:pPr>
              <w:jc w:val="center"/>
              <w:rPr>
                <w:color w:val="000000" w:themeColor="text1"/>
                <w:szCs w:val="21"/>
              </w:rPr>
            </w:pPr>
            <w:r w:rsidRPr="007C68A4">
              <w:rPr>
                <w:color w:val="000000" w:themeColor="text1"/>
                <w:szCs w:val="21"/>
              </w:rPr>
              <w:t>姓名</w:t>
            </w:r>
          </w:p>
        </w:tc>
        <w:tc>
          <w:tcPr>
            <w:tcW w:w="3060" w:type="dxa"/>
            <w:vAlign w:val="bottom"/>
          </w:tcPr>
          <w:p w14:paraId="4C59AAB6"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邹树波</w:t>
            </w:r>
          </w:p>
        </w:tc>
        <w:tc>
          <w:tcPr>
            <w:tcW w:w="3060" w:type="dxa"/>
            <w:vAlign w:val="bottom"/>
          </w:tcPr>
          <w:p w14:paraId="26F6DF7C"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郭明</w:t>
            </w:r>
          </w:p>
        </w:tc>
      </w:tr>
      <w:tr w:rsidR="007C68A4" w:rsidRPr="007C68A4" w14:paraId="54226413" w14:textId="77777777" w:rsidTr="00446684">
        <w:trPr>
          <w:jc w:val="center"/>
        </w:trPr>
        <w:tc>
          <w:tcPr>
            <w:tcW w:w="2631" w:type="dxa"/>
            <w:vMerge/>
            <w:vAlign w:val="center"/>
          </w:tcPr>
          <w:p w14:paraId="5A3530D8" w14:textId="77777777" w:rsidR="001548F9" w:rsidRPr="007C68A4" w:rsidRDefault="001548F9">
            <w:pPr>
              <w:widowControl/>
              <w:jc w:val="left"/>
              <w:rPr>
                <w:color w:val="000000" w:themeColor="text1"/>
                <w:kern w:val="0"/>
                <w:szCs w:val="21"/>
              </w:rPr>
            </w:pPr>
          </w:p>
        </w:tc>
        <w:tc>
          <w:tcPr>
            <w:tcW w:w="1371" w:type="dxa"/>
            <w:vAlign w:val="center"/>
          </w:tcPr>
          <w:p w14:paraId="459FB6B2"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联系电话</w:t>
            </w:r>
          </w:p>
        </w:tc>
        <w:tc>
          <w:tcPr>
            <w:tcW w:w="3060" w:type="dxa"/>
            <w:vAlign w:val="bottom"/>
          </w:tcPr>
          <w:p w14:paraId="1B30978B"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021-38794888</w:t>
            </w:r>
          </w:p>
        </w:tc>
        <w:tc>
          <w:tcPr>
            <w:tcW w:w="3060" w:type="dxa"/>
            <w:vAlign w:val="bottom"/>
          </w:tcPr>
          <w:p w14:paraId="323270E9" w14:textId="77777777"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010-66105799</w:t>
            </w:r>
          </w:p>
        </w:tc>
      </w:tr>
      <w:tr w:rsidR="007C68A4" w:rsidRPr="007C68A4" w14:paraId="47999F4A" w14:textId="77777777" w:rsidTr="00446684">
        <w:trPr>
          <w:jc w:val="center"/>
        </w:trPr>
        <w:tc>
          <w:tcPr>
            <w:tcW w:w="2631" w:type="dxa"/>
            <w:vMerge/>
            <w:vAlign w:val="center"/>
          </w:tcPr>
          <w:p w14:paraId="4666070A" w14:textId="77777777" w:rsidR="001548F9" w:rsidRPr="007C68A4" w:rsidRDefault="001548F9">
            <w:pPr>
              <w:widowControl/>
              <w:jc w:val="left"/>
              <w:rPr>
                <w:color w:val="000000" w:themeColor="text1"/>
                <w:kern w:val="0"/>
                <w:szCs w:val="21"/>
              </w:rPr>
            </w:pPr>
          </w:p>
        </w:tc>
        <w:tc>
          <w:tcPr>
            <w:tcW w:w="1371" w:type="dxa"/>
            <w:vAlign w:val="center"/>
          </w:tcPr>
          <w:p w14:paraId="5328F82D" w14:textId="77777777"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电子邮箱</w:t>
            </w:r>
          </w:p>
        </w:tc>
        <w:tc>
          <w:tcPr>
            <w:tcW w:w="3060" w:type="dxa"/>
            <w:vAlign w:val="bottom"/>
          </w:tcPr>
          <w:p w14:paraId="65C5C59D"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services@jpmamc.com</w:t>
            </w:r>
          </w:p>
        </w:tc>
        <w:tc>
          <w:tcPr>
            <w:tcW w:w="3060" w:type="dxa"/>
            <w:vAlign w:val="bottom"/>
          </w:tcPr>
          <w:p w14:paraId="6F3B0E1F"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custody@icbc.com.cn</w:t>
            </w:r>
          </w:p>
        </w:tc>
      </w:tr>
      <w:tr w:rsidR="007C68A4" w:rsidRPr="007C68A4" w14:paraId="08B8F90E" w14:textId="77777777" w:rsidTr="00446684">
        <w:trPr>
          <w:jc w:val="center"/>
        </w:trPr>
        <w:tc>
          <w:tcPr>
            <w:tcW w:w="2631" w:type="dxa"/>
            <w:gridSpan w:val="2"/>
            <w:vAlign w:val="center"/>
          </w:tcPr>
          <w:p w14:paraId="6B80C69A" w14:textId="77777777" w:rsidR="001548F9" w:rsidRPr="007C68A4" w:rsidRDefault="001548F9">
            <w:pPr>
              <w:rPr>
                <w:color w:val="000000" w:themeColor="text1"/>
                <w:szCs w:val="21"/>
              </w:rPr>
            </w:pPr>
            <w:r w:rsidRPr="007C68A4">
              <w:rPr>
                <w:color w:val="000000" w:themeColor="text1"/>
                <w:szCs w:val="21"/>
              </w:rPr>
              <w:t>客户服务电话</w:t>
            </w:r>
          </w:p>
        </w:tc>
        <w:tc>
          <w:tcPr>
            <w:tcW w:w="3060" w:type="dxa"/>
            <w:vAlign w:val="bottom"/>
          </w:tcPr>
          <w:p w14:paraId="464FF14A"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400-889-4888</w:t>
            </w:r>
          </w:p>
        </w:tc>
        <w:tc>
          <w:tcPr>
            <w:tcW w:w="3060" w:type="dxa"/>
            <w:vAlign w:val="bottom"/>
          </w:tcPr>
          <w:p w14:paraId="03E87ABB"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95588</w:t>
            </w:r>
          </w:p>
        </w:tc>
      </w:tr>
      <w:tr w:rsidR="007C68A4" w:rsidRPr="007C68A4" w14:paraId="54AFC104" w14:textId="77777777" w:rsidTr="00446684">
        <w:trPr>
          <w:jc w:val="center"/>
        </w:trPr>
        <w:tc>
          <w:tcPr>
            <w:tcW w:w="2631" w:type="dxa"/>
            <w:gridSpan w:val="2"/>
            <w:vAlign w:val="center"/>
          </w:tcPr>
          <w:p w14:paraId="3B374C80" w14:textId="77777777" w:rsidR="001548F9" w:rsidRPr="007C68A4" w:rsidRDefault="001548F9">
            <w:pPr>
              <w:rPr>
                <w:color w:val="000000" w:themeColor="text1"/>
                <w:szCs w:val="21"/>
              </w:rPr>
            </w:pPr>
            <w:r w:rsidRPr="007C68A4">
              <w:rPr>
                <w:color w:val="000000" w:themeColor="text1"/>
                <w:szCs w:val="21"/>
              </w:rPr>
              <w:t>传真</w:t>
            </w:r>
          </w:p>
        </w:tc>
        <w:tc>
          <w:tcPr>
            <w:tcW w:w="3060" w:type="dxa"/>
            <w:vAlign w:val="bottom"/>
          </w:tcPr>
          <w:p w14:paraId="537EB01A"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021-20628400</w:t>
            </w:r>
          </w:p>
        </w:tc>
        <w:tc>
          <w:tcPr>
            <w:tcW w:w="3060" w:type="dxa"/>
            <w:vAlign w:val="bottom"/>
          </w:tcPr>
          <w:p w14:paraId="3E36BAF9"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010-66105798</w:t>
            </w:r>
          </w:p>
        </w:tc>
      </w:tr>
      <w:tr w:rsidR="007C68A4" w:rsidRPr="007C68A4" w14:paraId="69A49CFD" w14:textId="77777777" w:rsidTr="00446684">
        <w:trPr>
          <w:jc w:val="center"/>
        </w:trPr>
        <w:tc>
          <w:tcPr>
            <w:tcW w:w="2631" w:type="dxa"/>
            <w:gridSpan w:val="2"/>
            <w:vAlign w:val="center"/>
          </w:tcPr>
          <w:p w14:paraId="758C9921" w14:textId="77777777" w:rsidR="001548F9" w:rsidRPr="007C68A4" w:rsidRDefault="001548F9">
            <w:pPr>
              <w:rPr>
                <w:color w:val="000000" w:themeColor="text1"/>
                <w:szCs w:val="21"/>
              </w:rPr>
            </w:pPr>
            <w:r w:rsidRPr="007C68A4">
              <w:rPr>
                <w:color w:val="000000" w:themeColor="text1"/>
                <w:szCs w:val="21"/>
              </w:rPr>
              <w:t>注册地址</w:t>
            </w:r>
          </w:p>
        </w:tc>
        <w:tc>
          <w:tcPr>
            <w:tcW w:w="3060" w:type="dxa"/>
            <w:vAlign w:val="bottom"/>
          </w:tcPr>
          <w:p w14:paraId="2DDB8FA9"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14:paraId="5B2305DC"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北京市西城区复兴门内大街</w:t>
            </w:r>
            <w:r w:rsidRPr="007C68A4">
              <w:rPr>
                <w:color w:val="000000" w:themeColor="text1"/>
                <w:kern w:val="0"/>
                <w:szCs w:val="21"/>
              </w:rPr>
              <w:t xml:space="preserve">55 </w:t>
            </w:r>
            <w:r w:rsidRPr="007C68A4">
              <w:rPr>
                <w:color w:val="000000" w:themeColor="text1"/>
                <w:kern w:val="0"/>
                <w:szCs w:val="21"/>
              </w:rPr>
              <w:t>号</w:t>
            </w:r>
          </w:p>
        </w:tc>
      </w:tr>
      <w:tr w:rsidR="007C68A4" w:rsidRPr="007C68A4" w14:paraId="20B8DD7D" w14:textId="77777777" w:rsidTr="00446684">
        <w:trPr>
          <w:jc w:val="center"/>
        </w:trPr>
        <w:tc>
          <w:tcPr>
            <w:tcW w:w="2631" w:type="dxa"/>
            <w:gridSpan w:val="2"/>
            <w:vAlign w:val="center"/>
          </w:tcPr>
          <w:p w14:paraId="6B278E78" w14:textId="77777777" w:rsidR="001548F9" w:rsidRPr="007C68A4" w:rsidRDefault="001548F9">
            <w:pPr>
              <w:rPr>
                <w:color w:val="000000" w:themeColor="text1"/>
                <w:szCs w:val="21"/>
              </w:rPr>
            </w:pPr>
            <w:r w:rsidRPr="007C68A4">
              <w:rPr>
                <w:color w:val="000000" w:themeColor="text1"/>
                <w:szCs w:val="21"/>
              </w:rPr>
              <w:t>办公地址</w:t>
            </w:r>
          </w:p>
        </w:tc>
        <w:tc>
          <w:tcPr>
            <w:tcW w:w="3060" w:type="dxa"/>
            <w:vAlign w:val="bottom"/>
          </w:tcPr>
          <w:p w14:paraId="67917565"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中国（上海）自由贸易试验区陆家嘴环路</w:t>
            </w:r>
            <w:r w:rsidRPr="007C68A4">
              <w:rPr>
                <w:color w:val="000000" w:themeColor="text1"/>
                <w:kern w:val="0"/>
                <w:szCs w:val="21"/>
              </w:rPr>
              <w:t>479</w:t>
            </w:r>
            <w:r w:rsidRPr="007C68A4">
              <w:rPr>
                <w:color w:val="000000" w:themeColor="text1"/>
                <w:kern w:val="0"/>
                <w:szCs w:val="21"/>
              </w:rPr>
              <w:t>号</w:t>
            </w:r>
            <w:r w:rsidRPr="007C68A4">
              <w:rPr>
                <w:color w:val="000000" w:themeColor="text1"/>
                <w:kern w:val="0"/>
                <w:szCs w:val="21"/>
              </w:rPr>
              <w:t>42</w:t>
            </w:r>
            <w:r w:rsidRPr="007C68A4">
              <w:rPr>
                <w:color w:val="000000" w:themeColor="text1"/>
                <w:kern w:val="0"/>
                <w:szCs w:val="21"/>
              </w:rPr>
              <w:t>层和</w:t>
            </w:r>
            <w:r w:rsidRPr="007C68A4">
              <w:rPr>
                <w:color w:val="000000" w:themeColor="text1"/>
                <w:kern w:val="0"/>
                <w:szCs w:val="21"/>
              </w:rPr>
              <w:t>43</w:t>
            </w:r>
            <w:r w:rsidRPr="007C68A4">
              <w:rPr>
                <w:color w:val="000000" w:themeColor="text1"/>
                <w:kern w:val="0"/>
                <w:szCs w:val="21"/>
              </w:rPr>
              <w:t>层</w:t>
            </w:r>
          </w:p>
        </w:tc>
        <w:tc>
          <w:tcPr>
            <w:tcW w:w="3060" w:type="dxa"/>
            <w:vAlign w:val="bottom"/>
          </w:tcPr>
          <w:p w14:paraId="5251A1CC"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北京市西城区复兴门内大街</w:t>
            </w:r>
            <w:r w:rsidRPr="007C68A4">
              <w:rPr>
                <w:color w:val="000000" w:themeColor="text1"/>
                <w:kern w:val="0"/>
                <w:szCs w:val="21"/>
              </w:rPr>
              <w:t xml:space="preserve">55 </w:t>
            </w:r>
            <w:r w:rsidRPr="007C68A4">
              <w:rPr>
                <w:color w:val="000000" w:themeColor="text1"/>
                <w:kern w:val="0"/>
                <w:szCs w:val="21"/>
              </w:rPr>
              <w:t>号</w:t>
            </w:r>
          </w:p>
        </w:tc>
      </w:tr>
      <w:tr w:rsidR="007C68A4" w:rsidRPr="007C68A4" w14:paraId="26C38AA1" w14:textId="77777777" w:rsidTr="00446684">
        <w:trPr>
          <w:jc w:val="center"/>
        </w:trPr>
        <w:tc>
          <w:tcPr>
            <w:tcW w:w="2631" w:type="dxa"/>
            <w:gridSpan w:val="2"/>
            <w:vAlign w:val="center"/>
          </w:tcPr>
          <w:p w14:paraId="6F15B7BC" w14:textId="77777777" w:rsidR="001548F9" w:rsidRPr="007C68A4" w:rsidRDefault="001548F9">
            <w:pPr>
              <w:rPr>
                <w:color w:val="000000" w:themeColor="text1"/>
                <w:szCs w:val="21"/>
              </w:rPr>
            </w:pPr>
            <w:r w:rsidRPr="007C68A4">
              <w:rPr>
                <w:color w:val="000000" w:themeColor="text1"/>
                <w:szCs w:val="21"/>
              </w:rPr>
              <w:t>邮政编码</w:t>
            </w:r>
          </w:p>
        </w:tc>
        <w:tc>
          <w:tcPr>
            <w:tcW w:w="3060" w:type="dxa"/>
            <w:vAlign w:val="bottom"/>
          </w:tcPr>
          <w:p w14:paraId="2F369166"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200120</w:t>
            </w:r>
          </w:p>
        </w:tc>
        <w:tc>
          <w:tcPr>
            <w:tcW w:w="3060" w:type="dxa"/>
            <w:vAlign w:val="bottom"/>
          </w:tcPr>
          <w:p w14:paraId="5B74B152"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100140</w:t>
            </w:r>
          </w:p>
        </w:tc>
      </w:tr>
      <w:tr w:rsidR="007C68A4" w:rsidRPr="007C68A4" w14:paraId="60D7F62E" w14:textId="77777777" w:rsidTr="00446684">
        <w:trPr>
          <w:jc w:val="center"/>
        </w:trPr>
        <w:tc>
          <w:tcPr>
            <w:tcW w:w="2631" w:type="dxa"/>
            <w:gridSpan w:val="2"/>
            <w:vAlign w:val="center"/>
          </w:tcPr>
          <w:p w14:paraId="36AA1549" w14:textId="77777777" w:rsidR="001548F9" w:rsidRPr="007C68A4" w:rsidRDefault="001548F9">
            <w:pPr>
              <w:rPr>
                <w:color w:val="000000" w:themeColor="text1"/>
                <w:szCs w:val="21"/>
              </w:rPr>
            </w:pPr>
            <w:r w:rsidRPr="007C68A4">
              <w:rPr>
                <w:color w:val="000000" w:themeColor="text1"/>
                <w:szCs w:val="21"/>
              </w:rPr>
              <w:t>法定代表人</w:t>
            </w:r>
          </w:p>
        </w:tc>
        <w:tc>
          <w:tcPr>
            <w:tcW w:w="3060" w:type="dxa"/>
            <w:vAlign w:val="bottom"/>
          </w:tcPr>
          <w:p w14:paraId="35FF6058"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王琼慧</w:t>
            </w:r>
          </w:p>
        </w:tc>
        <w:tc>
          <w:tcPr>
            <w:tcW w:w="3060" w:type="dxa"/>
            <w:vAlign w:val="bottom"/>
          </w:tcPr>
          <w:p w14:paraId="211FED1B" w14:textId="77777777"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廖林</w:t>
            </w:r>
          </w:p>
        </w:tc>
      </w:tr>
    </w:tbl>
    <w:p w14:paraId="580C2697"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1" w:name="_Toc225498248"/>
      <w:bookmarkStart w:id="12" w:name="_Toc175575260"/>
      <w:r w:rsidRPr="007C68A4">
        <w:rPr>
          <w:rFonts w:ascii="Times New Roman" w:hAnsi="Times New Roman"/>
          <w:color w:val="000000" w:themeColor="text1"/>
          <w:kern w:val="0"/>
          <w:sz w:val="21"/>
          <w:szCs w:val="21"/>
        </w:rPr>
        <w:t xml:space="preserve">2.4 </w:t>
      </w:r>
      <w:r w:rsidRPr="007C68A4">
        <w:rPr>
          <w:rFonts w:ascii="Times New Roman" w:hAnsi="Times New Roman"/>
          <w:color w:val="000000" w:themeColor="text1"/>
          <w:kern w:val="0"/>
          <w:sz w:val="21"/>
          <w:szCs w:val="21"/>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5774"/>
      </w:tblGrid>
      <w:tr w:rsidR="007C68A4" w:rsidRPr="007C68A4" w14:paraId="62E0ED86" w14:textId="77777777" w:rsidTr="00611777">
        <w:trPr>
          <w:jc w:val="center"/>
        </w:trPr>
        <w:tc>
          <w:tcPr>
            <w:tcW w:w="3226" w:type="dxa"/>
            <w:vAlign w:val="center"/>
          </w:tcPr>
          <w:p w14:paraId="65314D90" w14:textId="77777777" w:rsidR="001548F9" w:rsidRPr="007C68A4" w:rsidRDefault="001548F9" w:rsidP="00752ACD">
            <w:pPr>
              <w:tabs>
                <w:tab w:val="left" w:pos="1740"/>
              </w:tabs>
              <w:rPr>
                <w:color w:val="000000" w:themeColor="text1"/>
                <w:szCs w:val="21"/>
              </w:rPr>
            </w:pPr>
            <w:r w:rsidRPr="007C68A4">
              <w:rPr>
                <w:color w:val="000000" w:themeColor="text1"/>
                <w:szCs w:val="21"/>
              </w:rPr>
              <w:t>本基金选定的信息披露报纸名称</w:t>
            </w:r>
          </w:p>
        </w:tc>
        <w:tc>
          <w:tcPr>
            <w:tcW w:w="5774" w:type="dxa"/>
            <w:vAlign w:val="center"/>
          </w:tcPr>
          <w:p w14:paraId="2F797DEE" w14:textId="77777777" w:rsidR="001548F9" w:rsidRPr="007C68A4" w:rsidRDefault="001548F9" w:rsidP="00A9431A">
            <w:pPr>
              <w:tabs>
                <w:tab w:val="left" w:pos="1740"/>
              </w:tabs>
              <w:rPr>
                <w:color w:val="000000" w:themeColor="text1"/>
                <w:szCs w:val="21"/>
              </w:rPr>
            </w:pPr>
            <w:r w:rsidRPr="007C68A4">
              <w:rPr>
                <w:color w:val="000000" w:themeColor="text1"/>
                <w:szCs w:val="21"/>
              </w:rPr>
              <w:t>《上海证券报》</w:t>
            </w:r>
          </w:p>
        </w:tc>
      </w:tr>
      <w:tr w:rsidR="007C68A4" w:rsidRPr="007C68A4" w14:paraId="3A51F6B7" w14:textId="77777777" w:rsidTr="00611777">
        <w:trPr>
          <w:jc w:val="center"/>
        </w:trPr>
        <w:tc>
          <w:tcPr>
            <w:tcW w:w="3226" w:type="dxa"/>
            <w:vAlign w:val="center"/>
          </w:tcPr>
          <w:p w14:paraId="6A051441" w14:textId="77777777" w:rsidR="001548F9" w:rsidRPr="007C68A4" w:rsidRDefault="001548F9" w:rsidP="00752ACD">
            <w:pPr>
              <w:tabs>
                <w:tab w:val="left" w:pos="1740"/>
              </w:tabs>
              <w:rPr>
                <w:color w:val="000000" w:themeColor="text1"/>
                <w:szCs w:val="21"/>
              </w:rPr>
            </w:pPr>
            <w:r w:rsidRPr="007C68A4">
              <w:rPr>
                <w:color w:val="000000" w:themeColor="text1"/>
                <w:szCs w:val="21"/>
              </w:rPr>
              <w:t>登载基金</w:t>
            </w:r>
            <w:r w:rsidR="002C7939" w:rsidRPr="007C68A4">
              <w:rPr>
                <w:color w:val="000000" w:themeColor="text1"/>
                <w:szCs w:val="21"/>
              </w:rPr>
              <w:t>中期</w:t>
            </w:r>
            <w:r w:rsidRPr="007C68A4">
              <w:rPr>
                <w:color w:val="000000" w:themeColor="text1"/>
                <w:szCs w:val="21"/>
              </w:rPr>
              <w:t>报告正文的管理人互联网网址</w:t>
            </w:r>
          </w:p>
        </w:tc>
        <w:tc>
          <w:tcPr>
            <w:tcW w:w="5774" w:type="dxa"/>
            <w:vAlign w:val="center"/>
          </w:tcPr>
          <w:p w14:paraId="5FE6F500" w14:textId="77777777" w:rsidR="001548F9" w:rsidRPr="007C68A4" w:rsidRDefault="001548F9" w:rsidP="00A9431A">
            <w:pPr>
              <w:tabs>
                <w:tab w:val="left" w:pos="1740"/>
              </w:tabs>
              <w:rPr>
                <w:color w:val="000000" w:themeColor="text1"/>
                <w:szCs w:val="21"/>
              </w:rPr>
            </w:pPr>
            <w:r w:rsidRPr="007C68A4">
              <w:rPr>
                <w:color w:val="000000" w:themeColor="text1"/>
                <w:szCs w:val="21"/>
              </w:rPr>
              <w:t>am.jpmorgan.com/cn</w:t>
            </w:r>
          </w:p>
        </w:tc>
      </w:tr>
      <w:tr w:rsidR="007C68A4" w:rsidRPr="007C68A4" w14:paraId="2AD8054E" w14:textId="77777777" w:rsidTr="00611777">
        <w:trPr>
          <w:jc w:val="center"/>
        </w:trPr>
        <w:tc>
          <w:tcPr>
            <w:tcW w:w="3226" w:type="dxa"/>
            <w:vAlign w:val="center"/>
          </w:tcPr>
          <w:p w14:paraId="75728BAA" w14:textId="77777777" w:rsidR="001548F9" w:rsidRPr="007C68A4" w:rsidRDefault="001548F9" w:rsidP="00752ACD">
            <w:pPr>
              <w:tabs>
                <w:tab w:val="left" w:pos="1740"/>
              </w:tabs>
              <w:rPr>
                <w:color w:val="000000" w:themeColor="text1"/>
                <w:szCs w:val="21"/>
              </w:rPr>
            </w:pPr>
            <w:r w:rsidRPr="007C68A4">
              <w:rPr>
                <w:color w:val="000000" w:themeColor="text1"/>
                <w:szCs w:val="21"/>
              </w:rPr>
              <w:t>基金</w:t>
            </w:r>
            <w:r w:rsidR="00C96118" w:rsidRPr="007C68A4">
              <w:rPr>
                <w:color w:val="000000" w:themeColor="text1"/>
                <w:szCs w:val="21"/>
              </w:rPr>
              <w:t>中期</w:t>
            </w:r>
            <w:r w:rsidRPr="007C68A4">
              <w:rPr>
                <w:color w:val="000000" w:themeColor="text1"/>
                <w:szCs w:val="21"/>
              </w:rPr>
              <w:t>报告备置地点</w:t>
            </w:r>
          </w:p>
        </w:tc>
        <w:tc>
          <w:tcPr>
            <w:tcW w:w="5774" w:type="dxa"/>
            <w:vAlign w:val="center"/>
          </w:tcPr>
          <w:p w14:paraId="4664FA02" w14:textId="77777777" w:rsidR="001548F9" w:rsidRPr="007C68A4" w:rsidRDefault="001548F9" w:rsidP="00A9431A">
            <w:pPr>
              <w:tabs>
                <w:tab w:val="left" w:pos="1740"/>
              </w:tabs>
              <w:rPr>
                <w:color w:val="000000" w:themeColor="text1"/>
                <w:szCs w:val="21"/>
              </w:rPr>
            </w:pPr>
            <w:r w:rsidRPr="007C68A4">
              <w:rPr>
                <w:color w:val="000000" w:themeColor="text1"/>
                <w:szCs w:val="21"/>
              </w:rPr>
              <w:t>基金管理人、基金托管人的办公场所</w:t>
            </w:r>
          </w:p>
        </w:tc>
      </w:tr>
    </w:tbl>
    <w:p w14:paraId="3C504E5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3" w:name="_Toc225498249"/>
      <w:bookmarkStart w:id="14" w:name="_Toc175575261"/>
      <w:r w:rsidRPr="007C68A4">
        <w:rPr>
          <w:rFonts w:ascii="Times New Roman" w:hAnsi="Times New Roman"/>
          <w:color w:val="000000" w:themeColor="text1"/>
          <w:kern w:val="0"/>
          <w:sz w:val="21"/>
          <w:szCs w:val="21"/>
        </w:rPr>
        <w:t xml:space="preserve">2.5 </w:t>
      </w:r>
      <w:r w:rsidRPr="007C68A4">
        <w:rPr>
          <w:rFonts w:ascii="Times New Roman" w:hAnsi="Times New Roman"/>
          <w:color w:val="000000" w:themeColor="text1"/>
          <w:kern w:val="0"/>
          <w:sz w:val="21"/>
          <w:szCs w:val="21"/>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C68A4" w:rsidRPr="007C68A4" w14:paraId="7953BD13" w14:textId="77777777" w:rsidTr="00446684">
        <w:trPr>
          <w:jc w:val="center"/>
        </w:trPr>
        <w:tc>
          <w:tcPr>
            <w:tcW w:w="1951" w:type="dxa"/>
          </w:tcPr>
          <w:p w14:paraId="6FDB1522" w14:textId="77777777" w:rsidR="001548F9" w:rsidRPr="007C68A4" w:rsidRDefault="001548F9">
            <w:pPr>
              <w:tabs>
                <w:tab w:val="left" w:pos="1740"/>
              </w:tabs>
              <w:jc w:val="center"/>
              <w:rPr>
                <w:color w:val="000000" w:themeColor="text1"/>
                <w:szCs w:val="21"/>
              </w:rPr>
            </w:pPr>
            <w:r w:rsidRPr="007C68A4">
              <w:rPr>
                <w:color w:val="000000" w:themeColor="text1"/>
                <w:szCs w:val="21"/>
              </w:rPr>
              <w:t>项目</w:t>
            </w:r>
          </w:p>
        </w:tc>
        <w:tc>
          <w:tcPr>
            <w:tcW w:w="3260" w:type="dxa"/>
          </w:tcPr>
          <w:p w14:paraId="42C6A0E7" w14:textId="77777777" w:rsidR="001548F9" w:rsidRPr="007C68A4" w:rsidRDefault="001548F9">
            <w:pPr>
              <w:tabs>
                <w:tab w:val="left" w:pos="1740"/>
              </w:tabs>
              <w:jc w:val="center"/>
              <w:rPr>
                <w:color w:val="000000" w:themeColor="text1"/>
                <w:szCs w:val="21"/>
              </w:rPr>
            </w:pPr>
            <w:r w:rsidRPr="007C68A4">
              <w:rPr>
                <w:color w:val="000000" w:themeColor="text1"/>
                <w:szCs w:val="21"/>
              </w:rPr>
              <w:t>名称</w:t>
            </w:r>
          </w:p>
        </w:tc>
        <w:tc>
          <w:tcPr>
            <w:tcW w:w="4075" w:type="dxa"/>
          </w:tcPr>
          <w:p w14:paraId="591798F4" w14:textId="77777777" w:rsidR="001548F9" w:rsidRPr="007C68A4" w:rsidRDefault="001548F9">
            <w:pPr>
              <w:tabs>
                <w:tab w:val="left" w:pos="1740"/>
              </w:tabs>
              <w:jc w:val="center"/>
              <w:rPr>
                <w:color w:val="000000" w:themeColor="text1"/>
                <w:szCs w:val="21"/>
              </w:rPr>
            </w:pPr>
            <w:r w:rsidRPr="007C68A4">
              <w:rPr>
                <w:color w:val="000000" w:themeColor="text1"/>
                <w:szCs w:val="21"/>
              </w:rPr>
              <w:t>办公地址</w:t>
            </w:r>
          </w:p>
        </w:tc>
      </w:tr>
      <w:tr w:rsidR="007C68A4" w:rsidRPr="007C68A4" w14:paraId="082C8401" w14:textId="77777777" w:rsidTr="00402489">
        <w:trPr>
          <w:jc w:val="center"/>
        </w:trPr>
        <w:tc>
          <w:tcPr>
            <w:tcW w:w="1951" w:type="dxa"/>
            <w:vAlign w:val="center"/>
          </w:tcPr>
          <w:p w14:paraId="1C898C72" w14:textId="77777777" w:rsidR="001548F9" w:rsidRPr="007C68A4" w:rsidRDefault="001548F9" w:rsidP="00402489">
            <w:pPr>
              <w:tabs>
                <w:tab w:val="left" w:pos="1740"/>
              </w:tabs>
              <w:rPr>
                <w:color w:val="000000" w:themeColor="text1"/>
                <w:szCs w:val="21"/>
              </w:rPr>
            </w:pPr>
            <w:r w:rsidRPr="007C68A4">
              <w:rPr>
                <w:color w:val="000000" w:themeColor="text1"/>
                <w:szCs w:val="21"/>
              </w:rPr>
              <w:t>注册登记机构</w:t>
            </w:r>
          </w:p>
        </w:tc>
        <w:tc>
          <w:tcPr>
            <w:tcW w:w="3260" w:type="dxa"/>
            <w:vAlign w:val="center"/>
          </w:tcPr>
          <w:p w14:paraId="63DDC5B5" w14:textId="77777777" w:rsidR="001548F9" w:rsidRPr="007C68A4" w:rsidRDefault="001548F9" w:rsidP="00402489">
            <w:pPr>
              <w:tabs>
                <w:tab w:val="left" w:pos="1740"/>
              </w:tabs>
              <w:rPr>
                <w:color w:val="000000" w:themeColor="text1"/>
                <w:szCs w:val="21"/>
              </w:rPr>
            </w:pPr>
            <w:r w:rsidRPr="007C68A4">
              <w:rPr>
                <w:color w:val="000000" w:themeColor="text1"/>
                <w:szCs w:val="21"/>
              </w:rPr>
              <w:t>摩根基金管理（中国）有限公司</w:t>
            </w:r>
          </w:p>
        </w:tc>
        <w:tc>
          <w:tcPr>
            <w:tcW w:w="4075" w:type="dxa"/>
            <w:vAlign w:val="center"/>
          </w:tcPr>
          <w:p w14:paraId="4DF697DB" w14:textId="77777777" w:rsidR="001548F9" w:rsidRPr="007C68A4" w:rsidRDefault="001548F9" w:rsidP="00402489">
            <w:pPr>
              <w:tabs>
                <w:tab w:val="left" w:pos="1740"/>
              </w:tabs>
              <w:rPr>
                <w:color w:val="000000" w:themeColor="text1"/>
                <w:szCs w:val="21"/>
              </w:rPr>
            </w:pPr>
            <w:r w:rsidRPr="007C68A4">
              <w:rPr>
                <w:color w:val="000000" w:themeColor="text1"/>
                <w:szCs w:val="21"/>
              </w:rPr>
              <w:t>中国（上海）自由贸易试验区陆家嘴环路</w:t>
            </w:r>
            <w:r w:rsidRPr="007C68A4">
              <w:rPr>
                <w:color w:val="000000" w:themeColor="text1"/>
                <w:szCs w:val="21"/>
              </w:rPr>
              <w:t>479</w:t>
            </w:r>
            <w:r w:rsidRPr="007C68A4">
              <w:rPr>
                <w:color w:val="000000" w:themeColor="text1"/>
                <w:szCs w:val="21"/>
              </w:rPr>
              <w:t>号</w:t>
            </w:r>
            <w:r w:rsidRPr="007C68A4">
              <w:rPr>
                <w:color w:val="000000" w:themeColor="text1"/>
                <w:szCs w:val="21"/>
              </w:rPr>
              <w:t>42</w:t>
            </w:r>
            <w:r w:rsidRPr="007C68A4">
              <w:rPr>
                <w:color w:val="000000" w:themeColor="text1"/>
                <w:szCs w:val="21"/>
              </w:rPr>
              <w:t>层和</w:t>
            </w:r>
            <w:r w:rsidRPr="007C68A4">
              <w:rPr>
                <w:color w:val="000000" w:themeColor="text1"/>
                <w:szCs w:val="21"/>
              </w:rPr>
              <w:t>43</w:t>
            </w:r>
            <w:r w:rsidRPr="007C68A4">
              <w:rPr>
                <w:color w:val="000000" w:themeColor="text1"/>
                <w:szCs w:val="21"/>
              </w:rPr>
              <w:t>层</w:t>
            </w:r>
          </w:p>
        </w:tc>
      </w:tr>
    </w:tbl>
    <w:p w14:paraId="2ED0CCDE"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5" w:name="_Toc225498250"/>
      <w:bookmarkStart w:id="16" w:name="_Toc175575262"/>
      <w:bookmarkStart w:id="17" w:name="_Toc194312019"/>
      <w:bookmarkStart w:id="18" w:name="_Toc193947512"/>
      <w:r w:rsidRPr="007C68A4">
        <w:rPr>
          <w:b/>
          <w:bCs/>
          <w:color w:val="000000" w:themeColor="text1"/>
          <w:sz w:val="21"/>
          <w:szCs w:val="21"/>
          <w:lang w:val="en-US"/>
        </w:rPr>
        <w:t xml:space="preserve">3  </w:t>
      </w:r>
      <w:r w:rsidRPr="007C68A4">
        <w:rPr>
          <w:b/>
          <w:bCs/>
          <w:color w:val="000000" w:themeColor="text1"/>
          <w:sz w:val="21"/>
          <w:szCs w:val="21"/>
          <w:lang w:val="en-US"/>
        </w:rPr>
        <w:t>主要财务指标和基金净值表现</w:t>
      </w:r>
      <w:bookmarkEnd w:id="15"/>
      <w:bookmarkEnd w:id="16"/>
    </w:p>
    <w:p w14:paraId="1B502476"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9" w:name="_Toc286996129"/>
      <w:bookmarkStart w:id="20" w:name="_Toc175575263"/>
      <w:r w:rsidRPr="007C68A4">
        <w:rPr>
          <w:rFonts w:ascii="Times New Roman" w:hAnsi="Times New Roman"/>
          <w:color w:val="000000" w:themeColor="text1"/>
          <w:kern w:val="0"/>
          <w:sz w:val="21"/>
          <w:szCs w:val="21"/>
        </w:rPr>
        <w:t xml:space="preserve">3.1 </w:t>
      </w:r>
      <w:r w:rsidRPr="007C68A4">
        <w:rPr>
          <w:rFonts w:ascii="Times New Roman" w:hAnsi="Times New Roman"/>
          <w:color w:val="000000" w:themeColor="text1"/>
          <w:kern w:val="0"/>
          <w:sz w:val="21"/>
          <w:szCs w:val="21"/>
        </w:rPr>
        <w:t>主要会计数据和财务指标</w:t>
      </w:r>
      <w:bookmarkEnd w:id="19"/>
      <w:bookmarkEnd w:id="20"/>
    </w:p>
    <w:p w14:paraId="6C93851A" w14:textId="77777777" w:rsidR="001548F9" w:rsidRPr="007C68A4" w:rsidRDefault="001548F9" w:rsidP="006D141C">
      <w:pPr>
        <w:autoSpaceDE w:val="0"/>
        <w:autoSpaceDN w:val="0"/>
        <w:adjustRightInd w:val="0"/>
        <w:spacing w:before="29" w:line="288" w:lineRule="auto"/>
        <w:ind w:left="15"/>
        <w:jc w:val="right"/>
        <w:rPr>
          <w:color w:val="000000" w:themeColor="text1"/>
          <w:kern w:val="0"/>
          <w:szCs w:val="21"/>
        </w:rPr>
      </w:pPr>
      <w:r w:rsidRPr="007C68A4">
        <w:rPr>
          <w:color w:val="000000" w:themeColor="text1"/>
          <w:kern w:val="0"/>
          <w:szCs w:val="21"/>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6"/>
        <w:gridCol w:w="2410"/>
        <w:gridCol w:w="2400"/>
      </w:tblGrid>
      <w:tr w:rsidR="007C68A4" w:rsidRPr="007C68A4" w14:paraId="5DC7E335" w14:textId="77777777" w:rsidTr="00B15BF5">
        <w:trPr>
          <w:trHeight w:val="487"/>
        </w:trPr>
        <w:tc>
          <w:tcPr>
            <w:tcW w:w="4546" w:type="dxa"/>
            <w:vMerge w:val="restart"/>
            <w:vAlign w:val="center"/>
          </w:tcPr>
          <w:bookmarkEnd w:id="17"/>
          <w:bookmarkEnd w:id="18"/>
          <w:p w14:paraId="72662629"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3.1.1</w:t>
            </w:r>
            <w:r w:rsidRPr="007C68A4">
              <w:rPr>
                <w:rFonts w:eastAsiaTheme="minorEastAsia"/>
                <w:b/>
                <w:color w:val="000000" w:themeColor="text1"/>
                <w:szCs w:val="21"/>
              </w:rPr>
              <w:t>期间数据和指标</w:t>
            </w:r>
          </w:p>
        </w:tc>
        <w:tc>
          <w:tcPr>
            <w:tcW w:w="4810" w:type="dxa"/>
            <w:gridSpan w:val="2"/>
            <w:vAlign w:val="center"/>
          </w:tcPr>
          <w:p w14:paraId="53D2EC81"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1</w:t>
            </w:r>
            <w:r w:rsidRPr="007C68A4">
              <w:rPr>
                <w:rFonts w:eastAsiaTheme="minorEastAsia"/>
                <w:b/>
                <w:color w:val="000000" w:themeColor="text1"/>
                <w:szCs w:val="21"/>
              </w:rPr>
              <w:t>月</w:t>
            </w:r>
            <w:r w:rsidRPr="007C68A4">
              <w:rPr>
                <w:rFonts w:eastAsiaTheme="minorEastAsia"/>
                <w:b/>
                <w:color w:val="000000" w:themeColor="text1"/>
                <w:szCs w:val="21"/>
              </w:rPr>
              <w:t>1</w:t>
            </w:r>
            <w:r w:rsidRPr="007C68A4">
              <w:rPr>
                <w:rFonts w:eastAsiaTheme="minorEastAsia"/>
                <w:b/>
                <w:color w:val="000000" w:themeColor="text1"/>
                <w:szCs w:val="21"/>
              </w:rPr>
              <w:t>日至</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p>
        </w:tc>
      </w:tr>
      <w:tr w:rsidR="007C68A4" w:rsidRPr="007C68A4" w14:paraId="19A536C1" w14:textId="77777777" w:rsidTr="00B15BF5">
        <w:trPr>
          <w:trHeight w:val="487"/>
        </w:trPr>
        <w:tc>
          <w:tcPr>
            <w:tcW w:w="4546" w:type="dxa"/>
            <w:vMerge/>
            <w:vAlign w:val="center"/>
          </w:tcPr>
          <w:p w14:paraId="586459FE"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1CDD5B23"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w:t>
            </w:r>
            <w:r w:rsidRPr="007C68A4">
              <w:rPr>
                <w:rFonts w:eastAsiaTheme="minorEastAsia"/>
                <w:color w:val="000000" w:themeColor="text1"/>
                <w:szCs w:val="21"/>
              </w:rPr>
              <w:lastRenderedPageBreak/>
              <w:t>式联接</w:t>
            </w:r>
            <w:r w:rsidRPr="007C68A4">
              <w:rPr>
                <w:rFonts w:eastAsiaTheme="minorEastAsia"/>
                <w:color w:val="000000" w:themeColor="text1"/>
                <w:szCs w:val="21"/>
              </w:rPr>
              <w:t>(QDII)A</w:t>
            </w:r>
          </w:p>
        </w:tc>
        <w:tc>
          <w:tcPr>
            <w:tcW w:w="2400" w:type="dxa"/>
            <w:vAlign w:val="center"/>
          </w:tcPr>
          <w:p w14:paraId="72FE1CD6"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lastRenderedPageBreak/>
              <w:t>摩根恒生科技</w:t>
            </w:r>
            <w:r w:rsidRPr="007C68A4">
              <w:rPr>
                <w:rFonts w:eastAsiaTheme="minorEastAsia"/>
                <w:color w:val="000000" w:themeColor="text1"/>
                <w:szCs w:val="21"/>
              </w:rPr>
              <w:t>ETF</w:t>
            </w:r>
            <w:r w:rsidRPr="007C68A4">
              <w:rPr>
                <w:rFonts w:eastAsiaTheme="minorEastAsia"/>
                <w:color w:val="000000" w:themeColor="text1"/>
                <w:szCs w:val="21"/>
              </w:rPr>
              <w:t>发起</w:t>
            </w:r>
            <w:r w:rsidRPr="007C68A4">
              <w:rPr>
                <w:rFonts w:eastAsiaTheme="minorEastAsia"/>
                <w:color w:val="000000" w:themeColor="text1"/>
                <w:szCs w:val="21"/>
              </w:rPr>
              <w:lastRenderedPageBreak/>
              <w:t>式联接</w:t>
            </w:r>
            <w:r w:rsidRPr="007C68A4">
              <w:rPr>
                <w:rFonts w:eastAsiaTheme="minorEastAsia"/>
                <w:color w:val="000000" w:themeColor="text1"/>
                <w:szCs w:val="21"/>
              </w:rPr>
              <w:t>(QDII)C</w:t>
            </w:r>
          </w:p>
        </w:tc>
      </w:tr>
      <w:tr w:rsidR="007C68A4" w:rsidRPr="007C68A4" w14:paraId="7A698BC9" w14:textId="77777777" w:rsidTr="00B15BF5">
        <w:tc>
          <w:tcPr>
            <w:tcW w:w="4546" w:type="dxa"/>
            <w:vAlign w:val="center"/>
          </w:tcPr>
          <w:p w14:paraId="72324B13"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lastRenderedPageBreak/>
              <w:t>本期已实现收益</w:t>
            </w:r>
          </w:p>
        </w:tc>
        <w:tc>
          <w:tcPr>
            <w:tcW w:w="2410" w:type="dxa"/>
            <w:vAlign w:val="center"/>
          </w:tcPr>
          <w:p w14:paraId="0E770441"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-153,308.52</w:t>
            </w:r>
          </w:p>
        </w:tc>
        <w:tc>
          <w:tcPr>
            <w:tcW w:w="2400" w:type="dxa"/>
            <w:vAlign w:val="center"/>
          </w:tcPr>
          <w:p w14:paraId="06EAD7E8"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-1,065,216.14</w:t>
            </w:r>
          </w:p>
        </w:tc>
      </w:tr>
      <w:tr w:rsidR="007C68A4" w:rsidRPr="007C68A4" w14:paraId="79A959A7" w14:textId="77777777" w:rsidTr="00B15BF5">
        <w:trPr>
          <w:trHeight w:val="754"/>
        </w:trPr>
        <w:tc>
          <w:tcPr>
            <w:tcW w:w="4546" w:type="dxa"/>
            <w:vAlign w:val="center"/>
          </w:tcPr>
          <w:p w14:paraId="3E249A2D"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本期利润</w:t>
            </w:r>
          </w:p>
        </w:tc>
        <w:tc>
          <w:tcPr>
            <w:tcW w:w="2410" w:type="dxa"/>
            <w:vAlign w:val="center"/>
          </w:tcPr>
          <w:p w14:paraId="1D3B8971"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-93,118.74</w:t>
            </w:r>
          </w:p>
        </w:tc>
        <w:tc>
          <w:tcPr>
            <w:tcW w:w="2400" w:type="dxa"/>
            <w:vAlign w:val="center"/>
          </w:tcPr>
          <w:p w14:paraId="10146668"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-1,138,568.00</w:t>
            </w:r>
          </w:p>
        </w:tc>
      </w:tr>
      <w:tr w:rsidR="007C68A4" w:rsidRPr="007C68A4" w14:paraId="7F9AB909" w14:textId="77777777" w:rsidTr="00B15BF5">
        <w:tc>
          <w:tcPr>
            <w:tcW w:w="4546" w:type="dxa"/>
            <w:vAlign w:val="center"/>
          </w:tcPr>
          <w:p w14:paraId="70E14C82"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加权平均基金份额本期利润</w:t>
            </w:r>
          </w:p>
        </w:tc>
        <w:tc>
          <w:tcPr>
            <w:tcW w:w="2410" w:type="dxa"/>
            <w:vAlign w:val="center"/>
          </w:tcPr>
          <w:p w14:paraId="0E410659"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-0.0209</w:t>
            </w:r>
          </w:p>
        </w:tc>
        <w:tc>
          <w:tcPr>
            <w:tcW w:w="2400" w:type="dxa"/>
            <w:vAlign w:val="center"/>
          </w:tcPr>
          <w:p w14:paraId="6F9D4631"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-0.0385</w:t>
            </w:r>
          </w:p>
        </w:tc>
      </w:tr>
      <w:tr w:rsidR="007C68A4" w:rsidRPr="007C68A4" w14:paraId="662ABBD8" w14:textId="77777777" w:rsidTr="00B15BF5">
        <w:tc>
          <w:tcPr>
            <w:tcW w:w="4546" w:type="dxa"/>
            <w:vAlign w:val="center"/>
          </w:tcPr>
          <w:p w14:paraId="6DB99C8E"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本期加权平均净值利润率</w:t>
            </w:r>
          </w:p>
        </w:tc>
        <w:tc>
          <w:tcPr>
            <w:tcW w:w="2410" w:type="dxa"/>
            <w:vAlign w:val="center"/>
          </w:tcPr>
          <w:p w14:paraId="04B7F165"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-2.43%</w:t>
            </w:r>
          </w:p>
        </w:tc>
        <w:tc>
          <w:tcPr>
            <w:tcW w:w="2400" w:type="dxa"/>
            <w:vAlign w:val="center"/>
          </w:tcPr>
          <w:p w14:paraId="1FB46245"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-4.52%</w:t>
            </w:r>
          </w:p>
        </w:tc>
      </w:tr>
      <w:tr w:rsidR="007C68A4" w:rsidRPr="007C68A4" w14:paraId="1D9E3503" w14:textId="77777777" w:rsidTr="00B15BF5">
        <w:tc>
          <w:tcPr>
            <w:tcW w:w="4546" w:type="dxa"/>
            <w:vAlign w:val="center"/>
          </w:tcPr>
          <w:p w14:paraId="107531F3"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本期基金份额净值增长率</w:t>
            </w:r>
          </w:p>
        </w:tc>
        <w:tc>
          <w:tcPr>
            <w:tcW w:w="2410" w:type="dxa"/>
            <w:vAlign w:val="center"/>
          </w:tcPr>
          <w:p w14:paraId="7B0A0101"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-3.55%</w:t>
            </w:r>
          </w:p>
        </w:tc>
        <w:tc>
          <w:tcPr>
            <w:tcW w:w="2400" w:type="dxa"/>
            <w:vAlign w:val="center"/>
          </w:tcPr>
          <w:p w14:paraId="49D57960"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-3.59%</w:t>
            </w:r>
          </w:p>
        </w:tc>
      </w:tr>
      <w:tr w:rsidR="007C68A4" w:rsidRPr="007C68A4" w14:paraId="200DF519" w14:textId="77777777" w:rsidTr="00B15BF5">
        <w:tc>
          <w:tcPr>
            <w:tcW w:w="4546" w:type="dxa"/>
            <w:vMerge w:val="restart"/>
            <w:vAlign w:val="center"/>
          </w:tcPr>
          <w:p w14:paraId="59648576"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3.1.2</w:t>
            </w:r>
            <w:r w:rsidRPr="007C68A4">
              <w:rPr>
                <w:rFonts w:eastAsiaTheme="minorEastAsia"/>
                <w:b/>
                <w:color w:val="000000" w:themeColor="text1"/>
                <w:szCs w:val="21"/>
              </w:rPr>
              <w:t>期末数据和指标</w:t>
            </w:r>
          </w:p>
        </w:tc>
        <w:tc>
          <w:tcPr>
            <w:tcW w:w="4810" w:type="dxa"/>
            <w:gridSpan w:val="2"/>
            <w:vAlign w:val="center"/>
          </w:tcPr>
          <w:p w14:paraId="0060E3C0"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14:paraId="5F42DE0A" w14:textId="77777777" w:rsidTr="00B15BF5">
        <w:trPr>
          <w:trHeight w:val="373"/>
        </w:trPr>
        <w:tc>
          <w:tcPr>
            <w:tcW w:w="4546" w:type="dxa"/>
            <w:vMerge/>
            <w:vAlign w:val="center"/>
          </w:tcPr>
          <w:p w14:paraId="52808A56"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2847EDB2" w14:textId="77777777"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tc>
        <w:tc>
          <w:tcPr>
            <w:tcW w:w="2400" w:type="dxa"/>
            <w:vAlign w:val="center"/>
          </w:tcPr>
          <w:p w14:paraId="6A768114" w14:textId="77777777"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tc>
      </w:tr>
      <w:tr w:rsidR="007C68A4" w:rsidRPr="007C68A4" w14:paraId="62D03F6A" w14:textId="77777777" w:rsidTr="00B15BF5">
        <w:tc>
          <w:tcPr>
            <w:tcW w:w="4546" w:type="dxa"/>
            <w:vAlign w:val="center"/>
          </w:tcPr>
          <w:p w14:paraId="234D168D"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期末可供分配利润</w:t>
            </w:r>
          </w:p>
        </w:tc>
        <w:tc>
          <w:tcPr>
            <w:tcW w:w="2410" w:type="dxa"/>
            <w:vAlign w:val="center"/>
          </w:tcPr>
          <w:p w14:paraId="5F66EECB"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-636,215.85</w:t>
            </w:r>
          </w:p>
        </w:tc>
        <w:tc>
          <w:tcPr>
            <w:tcW w:w="2400" w:type="dxa"/>
            <w:vAlign w:val="center"/>
          </w:tcPr>
          <w:p w14:paraId="0AE3DE35"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-3,590,311.28</w:t>
            </w:r>
          </w:p>
        </w:tc>
      </w:tr>
      <w:tr w:rsidR="007C68A4" w:rsidRPr="007C68A4" w14:paraId="6E7385A5" w14:textId="77777777" w:rsidTr="00B15BF5">
        <w:tc>
          <w:tcPr>
            <w:tcW w:w="4546" w:type="dxa"/>
            <w:vAlign w:val="center"/>
          </w:tcPr>
          <w:p w14:paraId="6A1DAD22"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期末可供分配基金份额利润</w:t>
            </w:r>
          </w:p>
        </w:tc>
        <w:tc>
          <w:tcPr>
            <w:tcW w:w="2410" w:type="dxa"/>
            <w:vAlign w:val="center"/>
          </w:tcPr>
          <w:p w14:paraId="0F87D336"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-0.1362</w:t>
            </w:r>
          </w:p>
        </w:tc>
        <w:tc>
          <w:tcPr>
            <w:tcW w:w="2400" w:type="dxa"/>
            <w:vAlign w:val="center"/>
          </w:tcPr>
          <w:p w14:paraId="68BE7AA2"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-0.1377</w:t>
            </w:r>
          </w:p>
        </w:tc>
      </w:tr>
      <w:tr w:rsidR="007C68A4" w:rsidRPr="007C68A4" w14:paraId="01956A74" w14:textId="77777777" w:rsidTr="00B15BF5">
        <w:tc>
          <w:tcPr>
            <w:tcW w:w="4546" w:type="dxa"/>
            <w:vAlign w:val="center"/>
          </w:tcPr>
          <w:p w14:paraId="60DB0140"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期末基金资产净值</w:t>
            </w:r>
          </w:p>
        </w:tc>
        <w:tc>
          <w:tcPr>
            <w:tcW w:w="2410" w:type="dxa"/>
            <w:vAlign w:val="center"/>
          </w:tcPr>
          <w:p w14:paraId="4CCBED42"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4,033,299.45</w:t>
            </w:r>
          </w:p>
        </w:tc>
        <w:tc>
          <w:tcPr>
            <w:tcW w:w="2400" w:type="dxa"/>
            <w:vAlign w:val="center"/>
          </w:tcPr>
          <w:p w14:paraId="4659E43A"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22,484,850.34</w:t>
            </w:r>
          </w:p>
        </w:tc>
      </w:tr>
      <w:tr w:rsidR="007C68A4" w:rsidRPr="007C68A4" w14:paraId="2C8FE4F6" w14:textId="77777777" w:rsidTr="00B15BF5">
        <w:tc>
          <w:tcPr>
            <w:tcW w:w="4546" w:type="dxa"/>
            <w:vAlign w:val="center"/>
          </w:tcPr>
          <w:p w14:paraId="5C218E66"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期末基金份额净值</w:t>
            </w:r>
          </w:p>
        </w:tc>
        <w:tc>
          <w:tcPr>
            <w:tcW w:w="2410" w:type="dxa"/>
            <w:vAlign w:val="center"/>
          </w:tcPr>
          <w:p w14:paraId="0E60C9FB"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0.8638</w:t>
            </w:r>
          </w:p>
        </w:tc>
        <w:tc>
          <w:tcPr>
            <w:tcW w:w="2400" w:type="dxa"/>
            <w:vAlign w:val="center"/>
          </w:tcPr>
          <w:p w14:paraId="323168D8"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0.8623</w:t>
            </w:r>
          </w:p>
        </w:tc>
      </w:tr>
      <w:tr w:rsidR="007C68A4" w:rsidRPr="007C68A4" w14:paraId="76899B21" w14:textId="77777777" w:rsidTr="00B15BF5">
        <w:tc>
          <w:tcPr>
            <w:tcW w:w="4546" w:type="dxa"/>
            <w:vMerge w:val="restart"/>
            <w:vAlign w:val="center"/>
          </w:tcPr>
          <w:p w14:paraId="274F7794" w14:textId="77777777"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3.1.3</w:t>
            </w:r>
            <w:r w:rsidRPr="007C68A4">
              <w:rPr>
                <w:rFonts w:eastAsiaTheme="minorEastAsia"/>
                <w:b/>
                <w:color w:val="000000" w:themeColor="text1"/>
                <w:szCs w:val="21"/>
              </w:rPr>
              <w:t>累计期末指标</w:t>
            </w:r>
          </w:p>
        </w:tc>
        <w:tc>
          <w:tcPr>
            <w:tcW w:w="4810" w:type="dxa"/>
            <w:gridSpan w:val="2"/>
            <w:vAlign w:val="center"/>
          </w:tcPr>
          <w:p w14:paraId="2EAB23CF" w14:textId="77777777"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(2024</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14:paraId="178BDBBD" w14:textId="77777777" w:rsidTr="00B15BF5">
        <w:tc>
          <w:tcPr>
            <w:tcW w:w="4546" w:type="dxa"/>
            <w:vMerge/>
            <w:vAlign w:val="center"/>
          </w:tcPr>
          <w:p w14:paraId="18114683" w14:textId="77777777" w:rsidR="00B15BF5" w:rsidRPr="007C68A4" w:rsidRDefault="00B15BF5" w:rsidP="00B15BF5">
            <w:pPr>
              <w:widowControl/>
              <w:jc w:val="left"/>
              <w:rPr>
                <w:rFonts w:eastAsiaTheme="minorEastAsia"/>
                <w:b/>
                <w:color w:val="000000" w:themeColor="text1"/>
                <w:szCs w:val="21"/>
              </w:rPr>
            </w:pPr>
          </w:p>
        </w:tc>
        <w:tc>
          <w:tcPr>
            <w:tcW w:w="2410" w:type="dxa"/>
            <w:vAlign w:val="center"/>
          </w:tcPr>
          <w:p w14:paraId="69CADD70"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tc>
        <w:tc>
          <w:tcPr>
            <w:tcW w:w="2400" w:type="dxa"/>
            <w:vAlign w:val="center"/>
          </w:tcPr>
          <w:p w14:paraId="269E0754"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tc>
      </w:tr>
      <w:tr w:rsidR="007C68A4" w:rsidRPr="007C68A4" w14:paraId="5F7DFB25" w14:textId="77777777" w:rsidTr="00B15BF5">
        <w:tc>
          <w:tcPr>
            <w:tcW w:w="4546" w:type="dxa"/>
            <w:vAlign w:val="center"/>
          </w:tcPr>
          <w:p w14:paraId="6B799A4E" w14:textId="77777777"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基金份额累计净值增长率</w:t>
            </w:r>
          </w:p>
        </w:tc>
        <w:tc>
          <w:tcPr>
            <w:tcW w:w="2410" w:type="dxa"/>
            <w:vAlign w:val="center"/>
          </w:tcPr>
          <w:p w14:paraId="33218877"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-13.62%</w:t>
            </w:r>
          </w:p>
        </w:tc>
        <w:tc>
          <w:tcPr>
            <w:tcW w:w="2400" w:type="dxa"/>
            <w:vAlign w:val="center"/>
          </w:tcPr>
          <w:p w14:paraId="287D06E3" w14:textId="77777777"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-13.77%</w:t>
            </w:r>
          </w:p>
        </w:tc>
      </w:tr>
    </w:tbl>
    <w:p w14:paraId="7F189B9F" w14:textId="77777777" w:rsidR="002B507F" w:rsidRPr="002B507F" w:rsidRDefault="002B507F" w:rsidP="002B507F">
      <w:pPr>
        <w:tabs>
          <w:tab w:val="left" w:pos="426"/>
        </w:tabs>
        <w:jc w:val="left"/>
        <w:rPr>
          <w:color w:val="000000" w:themeColor="text1"/>
          <w:kern w:val="0"/>
          <w:szCs w:val="21"/>
        </w:rPr>
      </w:pPr>
      <w:r w:rsidRPr="002B507F">
        <w:rPr>
          <w:rFonts w:hint="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6E171327" w14:textId="77777777" w:rsidR="002B507F" w:rsidRDefault="002B507F" w:rsidP="002B507F">
      <w:pPr>
        <w:tabs>
          <w:tab w:val="left" w:pos="426"/>
        </w:tabs>
        <w:jc w:val="left"/>
        <w:rPr>
          <w:color w:val="000000" w:themeColor="text1"/>
          <w:kern w:val="0"/>
          <w:szCs w:val="21"/>
        </w:rPr>
      </w:pPr>
      <w:r w:rsidRPr="002B507F">
        <w:rPr>
          <w:rFonts w:hint="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646AAB2" w14:textId="77777777" w:rsidR="002B507F" w:rsidRPr="002B507F" w:rsidRDefault="002B507F" w:rsidP="00F94FD7">
      <w:pPr>
        <w:tabs>
          <w:tab w:val="left" w:pos="426"/>
        </w:tabs>
        <w:jc w:val="left"/>
        <w:rPr>
          <w:color w:val="000000" w:themeColor="text1"/>
          <w:szCs w:val="21"/>
        </w:rPr>
      </w:pPr>
    </w:p>
    <w:p w14:paraId="600F14F3"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1" w:name="_Toc225498252"/>
      <w:bookmarkStart w:id="22" w:name="_Toc175575264"/>
      <w:r w:rsidRPr="007C68A4">
        <w:rPr>
          <w:rFonts w:ascii="Times New Roman" w:hAnsi="Times New Roman"/>
          <w:color w:val="000000" w:themeColor="text1"/>
          <w:kern w:val="0"/>
          <w:sz w:val="21"/>
          <w:szCs w:val="21"/>
        </w:rPr>
        <w:t xml:space="preserve">3.2 </w:t>
      </w:r>
      <w:r w:rsidRPr="007C68A4">
        <w:rPr>
          <w:rFonts w:ascii="Times New Roman" w:hAnsi="Times New Roman"/>
          <w:color w:val="000000" w:themeColor="text1"/>
          <w:kern w:val="0"/>
          <w:sz w:val="21"/>
          <w:szCs w:val="21"/>
        </w:rPr>
        <w:t>基金净值表现</w:t>
      </w:r>
      <w:bookmarkEnd w:id="21"/>
      <w:bookmarkEnd w:id="22"/>
    </w:p>
    <w:p w14:paraId="3DA3A78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3.2.1 </w:t>
      </w:r>
      <w:r w:rsidRPr="007C68A4">
        <w:rPr>
          <w:b/>
          <w:color w:val="000000" w:themeColor="text1"/>
          <w:kern w:val="0"/>
          <w:szCs w:val="21"/>
        </w:rPr>
        <w:t>基金份额净值增长率及其与同期业绩比较基准收益率的比较</w:t>
      </w:r>
    </w:p>
    <w:p w14:paraId="4A5E2262" w14:textId="77777777" w:rsidR="00B15BF5" w:rsidRPr="007C68A4" w:rsidRDefault="00B15BF5" w:rsidP="00B15BF5">
      <w:pPr>
        <w:pStyle w:val="22"/>
        <w:spacing w:line="360"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摩根恒生科技</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(QDII)A</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9"/>
        <w:gridCol w:w="1420"/>
        <w:gridCol w:w="1280"/>
        <w:gridCol w:w="1413"/>
        <w:gridCol w:w="1276"/>
        <w:gridCol w:w="1417"/>
        <w:gridCol w:w="1294"/>
      </w:tblGrid>
      <w:tr w:rsidR="007C68A4" w:rsidRPr="007C68A4" w14:paraId="319F96BA" w14:textId="77777777" w:rsidTr="00C16415">
        <w:trPr>
          <w:jc w:val="center"/>
        </w:trPr>
        <w:tc>
          <w:tcPr>
            <w:tcW w:w="1579" w:type="dxa"/>
            <w:vAlign w:val="center"/>
          </w:tcPr>
          <w:p w14:paraId="1859E29E" w14:textId="77777777" w:rsidR="001548F9" w:rsidRPr="007C68A4" w:rsidRDefault="001548F9">
            <w:pPr>
              <w:jc w:val="center"/>
              <w:rPr>
                <w:color w:val="000000" w:themeColor="text1"/>
                <w:szCs w:val="21"/>
              </w:rPr>
            </w:pPr>
            <w:r w:rsidRPr="007C68A4">
              <w:rPr>
                <w:color w:val="000000" w:themeColor="text1"/>
                <w:szCs w:val="21"/>
              </w:rPr>
              <w:t>阶段</w:t>
            </w:r>
          </w:p>
        </w:tc>
        <w:tc>
          <w:tcPr>
            <w:tcW w:w="1420" w:type="dxa"/>
            <w:vAlign w:val="center"/>
          </w:tcPr>
          <w:p w14:paraId="4B579925" w14:textId="77777777" w:rsidR="001548F9" w:rsidRPr="007C68A4" w:rsidRDefault="001548F9">
            <w:pPr>
              <w:jc w:val="center"/>
              <w:rPr>
                <w:color w:val="000000" w:themeColor="text1"/>
                <w:szCs w:val="21"/>
              </w:rPr>
            </w:pPr>
            <w:r w:rsidRPr="007C68A4">
              <w:rPr>
                <w:color w:val="000000" w:themeColor="text1"/>
                <w:szCs w:val="21"/>
              </w:rPr>
              <w:t>份额净值增长率</w:t>
            </w:r>
            <w:r w:rsidRPr="007C68A4">
              <w:rPr>
                <w:rFonts w:ascii="宋体" w:hAnsi="宋体" w:cs="宋体" w:hint="eastAsia"/>
                <w:color w:val="000000" w:themeColor="text1"/>
                <w:szCs w:val="21"/>
              </w:rPr>
              <w:t>①</w:t>
            </w:r>
          </w:p>
        </w:tc>
        <w:tc>
          <w:tcPr>
            <w:tcW w:w="1280" w:type="dxa"/>
            <w:vAlign w:val="center"/>
          </w:tcPr>
          <w:p w14:paraId="7A9B00CC" w14:textId="77777777" w:rsidR="001548F9" w:rsidRPr="007C68A4" w:rsidRDefault="001548F9">
            <w:pPr>
              <w:jc w:val="center"/>
              <w:rPr>
                <w:color w:val="000000" w:themeColor="text1"/>
                <w:szCs w:val="21"/>
              </w:rPr>
            </w:pPr>
            <w:r w:rsidRPr="007C68A4">
              <w:rPr>
                <w:color w:val="000000" w:themeColor="text1"/>
                <w:szCs w:val="21"/>
              </w:rPr>
              <w:t>份额净值增长率标准差</w:t>
            </w:r>
            <w:r w:rsidRPr="007C68A4">
              <w:rPr>
                <w:rFonts w:ascii="宋体" w:hAnsi="宋体" w:cs="宋体" w:hint="eastAsia"/>
                <w:color w:val="000000" w:themeColor="text1"/>
                <w:szCs w:val="21"/>
              </w:rPr>
              <w:t>②</w:t>
            </w:r>
          </w:p>
        </w:tc>
        <w:tc>
          <w:tcPr>
            <w:tcW w:w="1413" w:type="dxa"/>
            <w:vAlign w:val="center"/>
          </w:tcPr>
          <w:p w14:paraId="277A8294" w14:textId="77777777" w:rsidR="001548F9" w:rsidRPr="007C68A4" w:rsidRDefault="001548F9">
            <w:pPr>
              <w:jc w:val="center"/>
              <w:rPr>
                <w:color w:val="000000" w:themeColor="text1"/>
                <w:szCs w:val="21"/>
              </w:rPr>
            </w:pPr>
            <w:r w:rsidRPr="007C68A4">
              <w:rPr>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14:paraId="21F033F8" w14:textId="77777777" w:rsidR="001548F9" w:rsidRPr="007C68A4" w:rsidRDefault="001548F9">
            <w:pPr>
              <w:jc w:val="center"/>
              <w:rPr>
                <w:color w:val="000000" w:themeColor="text1"/>
                <w:szCs w:val="21"/>
              </w:rPr>
            </w:pPr>
            <w:r w:rsidRPr="007C68A4">
              <w:rPr>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14:paraId="17068085" w14:textId="77777777" w:rsidR="001548F9" w:rsidRPr="007C68A4" w:rsidRDefault="001548F9">
            <w:pPr>
              <w:jc w:val="center"/>
              <w:rPr>
                <w:color w:val="000000" w:themeColor="text1"/>
                <w:szCs w:val="21"/>
              </w:rPr>
            </w:pPr>
            <w:r w:rsidRPr="007C68A4">
              <w:rPr>
                <w:rFonts w:ascii="宋体" w:hAnsi="宋体" w:cs="宋体" w:hint="eastAsia"/>
                <w:color w:val="000000" w:themeColor="text1"/>
                <w:szCs w:val="21"/>
              </w:rPr>
              <w:t>①</w:t>
            </w:r>
            <w:r w:rsidRPr="007C68A4">
              <w:rPr>
                <w:color w:val="000000" w:themeColor="text1"/>
                <w:szCs w:val="21"/>
              </w:rPr>
              <w:t>－</w:t>
            </w:r>
            <w:r w:rsidRPr="007C68A4">
              <w:rPr>
                <w:rFonts w:ascii="宋体" w:hAnsi="宋体" w:cs="宋体" w:hint="eastAsia"/>
                <w:color w:val="000000" w:themeColor="text1"/>
                <w:szCs w:val="21"/>
              </w:rPr>
              <w:t>③</w:t>
            </w:r>
          </w:p>
        </w:tc>
        <w:tc>
          <w:tcPr>
            <w:tcW w:w="1294" w:type="dxa"/>
            <w:vAlign w:val="center"/>
          </w:tcPr>
          <w:p w14:paraId="6F7D3678" w14:textId="77777777" w:rsidR="001548F9" w:rsidRPr="007C68A4" w:rsidRDefault="001548F9">
            <w:pPr>
              <w:jc w:val="center"/>
              <w:rPr>
                <w:color w:val="000000" w:themeColor="text1"/>
                <w:szCs w:val="21"/>
              </w:rPr>
            </w:pPr>
            <w:r w:rsidRPr="007C68A4">
              <w:rPr>
                <w:rFonts w:ascii="宋体" w:hAnsi="宋体" w:cs="宋体" w:hint="eastAsia"/>
                <w:color w:val="000000" w:themeColor="text1"/>
                <w:szCs w:val="21"/>
              </w:rPr>
              <w:t>②</w:t>
            </w:r>
            <w:r w:rsidRPr="007C68A4">
              <w:rPr>
                <w:color w:val="000000" w:themeColor="text1"/>
                <w:szCs w:val="21"/>
              </w:rPr>
              <w:t>－</w:t>
            </w:r>
            <w:r w:rsidRPr="007C68A4">
              <w:rPr>
                <w:rFonts w:ascii="宋体" w:hAnsi="宋体" w:cs="宋体" w:hint="eastAsia"/>
                <w:color w:val="000000" w:themeColor="text1"/>
                <w:szCs w:val="21"/>
              </w:rPr>
              <w:t>④</w:t>
            </w:r>
          </w:p>
        </w:tc>
      </w:tr>
      <w:tr w:rsidR="00FA3CB3" w14:paraId="285929DC" w14:textId="77777777">
        <w:trPr>
          <w:jc w:val="center"/>
        </w:trPr>
        <w:tc>
          <w:tcPr>
            <w:tcW w:w="1579" w:type="dxa"/>
            <w:vAlign w:val="center"/>
          </w:tcPr>
          <w:p w14:paraId="52661E3C" w14:textId="77777777" w:rsidR="00FA3CB3" w:rsidRDefault="00052A0D">
            <w:pPr>
              <w:jc w:val="left"/>
            </w:pPr>
            <w:r>
              <w:rPr>
                <w:color w:val="000000" w:themeColor="text1"/>
                <w:szCs w:val="21"/>
              </w:rPr>
              <w:t>过去一个月</w:t>
            </w:r>
          </w:p>
        </w:tc>
        <w:tc>
          <w:tcPr>
            <w:tcW w:w="1420" w:type="dxa"/>
            <w:vAlign w:val="center"/>
          </w:tcPr>
          <w:p w14:paraId="32A2B445" w14:textId="77777777" w:rsidR="00FA3CB3" w:rsidRDefault="00052A0D">
            <w:pPr>
              <w:jc w:val="center"/>
            </w:pPr>
            <w:r>
              <w:rPr>
                <w:color w:val="000000" w:themeColor="text1"/>
                <w:szCs w:val="21"/>
              </w:rPr>
              <w:t>-3.02%</w:t>
            </w:r>
          </w:p>
        </w:tc>
        <w:tc>
          <w:tcPr>
            <w:tcW w:w="1280" w:type="dxa"/>
            <w:vAlign w:val="center"/>
          </w:tcPr>
          <w:p w14:paraId="26EA980E" w14:textId="77777777" w:rsidR="00FA3CB3" w:rsidRDefault="00052A0D">
            <w:pPr>
              <w:jc w:val="center"/>
            </w:pPr>
            <w:r>
              <w:rPr>
                <w:color w:val="000000" w:themeColor="text1"/>
                <w:szCs w:val="21"/>
              </w:rPr>
              <w:t>1.39%</w:t>
            </w:r>
          </w:p>
        </w:tc>
        <w:tc>
          <w:tcPr>
            <w:tcW w:w="1413" w:type="dxa"/>
            <w:vAlign w:val="center"/>
          </w:tcPr>
          <w:p w14:paraId="10D81486" w14:textId="77777777" w:rsidR="00FA3CB3" w:rsidRDefault="00052A0D">
            <w:pPr>
              <w:jc w:val="center"/>
            </w:pPr>
            <w:r>
              <w:rPr>
                <w:color w:val="000000" w:themeColor="text1"/>
                <w:szCs w:val="21"/>
              </w:rPr>
              <w:t>-3.15%</w:t>
            </w:r>
          </w:p>
        </w:tc>
        <w:tc>
          <w:tcPr>
            <w:tcW w:w="1276" w:type="dxa"/>
            <w:vAlign w:val="center"/>
          </w:tcPr>
          <w:p w14:paraId="4C981E70" w14:textId="77777777" w:rsidR="00FA3CB3" w:rsidRDefault="00052A0D">
            <w:pPr>
              <w:jc w:val="center"/>
            </w:pPr>
            <w:r>
              <w:rPr>
                <w:color w:val="000000" w:themeColor="text1"/>
                <w:szCs w:val="21"/>
              </w:rPr>
              <w:t>1.46%</w:t>
            </w:r>
          </w:p>
        </w:tc>
        <w:tc>
          <w:tcPr>
            <w:tcW w:w="1417" w:type="dxa"/>
            <w:vAlign w:val="center"/>
          </w:tcPr>
          <w:p w14:paraId="02D48CA7" w14:textId="77777777" w:rsidR="00FA3CB3" w:rsidRDefault="00052A0D">
            <w:pPr>
              <w:jc w:val="center"/>
            </w:pPr>
            <w:r>
              <w:rPr>
                <w:color w:val="000000" w:themeColor="text1"/>
                <w:szCs w:val="21"/>
              </w:rPr>
              <w:t>0.13%</w:t>
            </w:r>
          </w:p>
        </w:tc>
        <w:tc>
          <w:tcPr>
            <w:tcW w:w="1294" w:type="dxa"/>
            <w:vAlign w:val="center"/>
          </w:tcPr>
          <w:p w14:paraId="2F248D9A" w14:textId="77777777" w:rsidR="00FA3CB3" w:rsidRDefault="00052A0D">
            <w:pPr>
              <w:jc w:val="center"/>
            </w:pPr>
            <w:r>
              <w:rPr>
                <w:color w:val="000000" w:themeColor="text1"/>
                <w:szCs w:val="21"/>
              </w:rPr>
              <w:t>-0.07%</w:t>
            </w:r>
          </w:p>
        </w:tc>
      </w:tr>
      <w:tr w:rsidR="00FA3CB3" w14:paraId="0CCA30D9" w14:textId="77777777">
        <w:trPr>
          <w:jc w:val="center"/>
        </w:trPr>
        <w:tc>
          <w:tcPr>
            <w:tcW w:w="1579" w:type="dxa"/>
            <w:vAlign w:val="center"/>
          </w:tcPr>
          <w:p w14:paraId="7FA7B063" w14:textId="77777777" w:rsidR="00FA3CB3" w:rsidRDefault="00052A0D">
            <w:pPr>
              <w:jc w:val="left"/>
            </w:pPr>
            <w:r>
              <w:rPr>
                <w:color w:val="000000" w:themeColor="text1"/>
                <w:szCs w:val="21"/>
              </w:rPr>
              <w:t>过去三个月</w:t>
            </w:r>
          </w:p>
        </w:tc>
        <w:tc>
          <w:tcPr>
            <w:tcW w:w="1420" w:type="dxa"/>
            <w:vAlign w:val="center"/>
          </w:tcPr>
          <w:p w14:paraId="5F26D381" w14:textId="77777777" w:rsidR="00FA3CB3" w:rsidRDefault="00052A0D">
            <w:pPr>
              <w:jc w:val="center"/>
            </w:pPr>
            <w:r>
              <w:rPr>
                <w:color w:val="000000" w:themeColor="text1"/>
                <w:szCs w:val="21"/>
              </w:rPr>
              <w:t>2.93%</w:t>
            </w:r>
          </w:p>
        </w:tc>
        <w:tc>
          <w:tcPr>
            <w:tcW w:w="1280" w:type="dxa"/>
            <w:vAlign w:val="center"/>
          </w:tcPr>
          <w:p w14:paraId="6F8CDA58" w14:textId="77777777" w:rsidR="00FA3CB3" w:rsidRDefault="00052A0D">
            <w:pPr>
              <w:jc w:val="center"/>
            </w:pPr>
            <w:r>
              <w:rPr>
                <w:color w:val="000000" w:themeColor="text1"/>
                <w:szCs w:val="21"/>
              </w:rPr>
              <w:t>1.97%</w:t>
            </w:r>
          </w:p>
        </w:tc>
        <w:tc>
          <w:tcPr>
            <w:tcW w:w="1413" w:type="dxa"/>
            <w:vAlign w:val="center"/>
          </w:tcPr>
          <w:p w14:paraId="09A1640C" w14:textId="77777777" w:rsidR="00FA3CB3" w:rsidRDefault="00052A0D">
            <w:pPr>
              <w:jc w:val="center"/>
            </w:pPr>
            <w:r>
              <w:rPr>
                <w:color w:val="000000" w:themeColor="text1"/>
                <w:szCs w:val="21"/>
              </w:rPr>
              <w:t>2.76%</w:t>
            </w:r>
          </w:p>
        </w:tc>
        <w:tc>
          <w:tcPr>
            <w:tcW w:w="1276" w:type="dxa"/>
            <w:vAlign w:val="center"/>
          </w:tcPr>
          <w:p w14:paraId="0F87E06D" w14:textId="77777777" w:rsidR="00FA3CB3" w:rsidRDefault="00052A0D">
            <w:pPr>
              <w:jc w:val="center"/>
            </w:pPr>
            <w:r>
              <w:rPr>
                <w:color w:val="000000" w:themeColor="text1"/>
                <w:szCs w:val="21"/>
              </w:rPr>
              <w:t>1.99%</w:t>
            </w:r>
          </w:p>
        </w:tc>
        <w:tc>
          <w:tcPr>
            <w:tcW w:w="1417" w:type="dxa"/>
            <w:vAlign w:val="center"/>
          </w:tcPr>
          <w:p w14:paraId="6AB974AF" w14:textId="77777777" w:rsidR="00FA3CB3" w:rsidRDefault="00052A0D">
            <w:pPr>
              <w:jc w:val="center"/>
            </w:pPr>
            <w:r>
              <w:rPr>
                <w:color w:val="000000" w:themeColor="text1"/>
                <w:szCs w:val="21"/>
              </w:rPr>
              <w:t>0.17%</w:t>
            </w:r>
          </w:p>
        </w:tc>
        <w:tc>
          <w:tcPr>
            <w:tcW w:w="1294" w:type="dxa"/>
            <w:vAlign w:val="center"/>
          </w:tcPr>
          <w:p w14:paraId="67BE5B87" w14:textId="77777777" w:rsidR="00FA3CB3" w:rsidRDefault="00052A0D">
            <w:pPr>
              <w:jc w:val="center"/>
            </w:pPr>
            <w:r>
              <w:rPr>
                <w:color w:val="000000" w:themeColor="text1"/>
                <w:szCs w:val="21"/>
              </w:rPr>
              <w:t>-0.02%</w:t>
            </w:r>
          </w:p>
        </w:tc>
      </w:tr>
      <w:tr w:rsidR="00FA3CB3" w14:paraId="4411BA79" w14:textId="77777777">
        <w:trPr>
          <w:jc w:val="center"/>
        </w:trPr>
        <w:tc>
          <w:tcPr>
            <w:tcW w:w="1579" w:type="dxa"/>
            <w:vAlign w:val="center"/>
          </w:tcPr>
          <w:p w14:paraId="43C0B066" w14:textId="77777777" w:rsidR="00FA3CB3" w:rsidRDefault="00052A0D">
            <w:pPr>
              <w:jc w:val="left"/>
            </w:pPr>
            <w:r>
              <w:rPr>
                <w:color w:val="000000" w:themeColor="text1"/>
                <w:szCs w:val="21"/>
              </w:rPr>
              <w:t>过去六个月</w:t>
            </w:r>
          </w:p>
        </w:tc>
        <w:tc>
          <w:tcPr>
            <w:tcW w:w="1420" w:type="dxa"/>
            <w:vAlign w:val="center"/>
          </w:tcPr>
          <w:p w14:paraId="523C2267" w14:textId="77777777" w:rsidR="00FA3CB3" w:rsidRDefault="00052A0D">
            <w:pPr>
              <w:jc w:val="center"/>
            </w:pPr>
            <w:r>
              <w:rPr>
                <w:color w:val="000000" w:themeColor="text1"/>
                <w:szCs w:val="21"/>
              </w:rPr>
              <w:t>-3.55%</w:t>
            </w:r>
          </w:p>
        </w:tc>
        <w:tc>
          <w:tcPr>
            <w:tcW w:w="1280" w:type="dxa"/>
            <w:vAlign w:val="center"/>
          </w:tcPr>
          <w:p w14:paraId="6800B217" w14:textId="77777777" w:rsidR="00FA3CB3" w:rsidRDefault="00052A0D">
            <w:pPr>
              <w:jc w:val="center"/>
            </w:pPr>
            <w:r>
              <w:rPr>
                <w:color w:val="000000" w:themeColor="text1"/>
                <w:szCs w:val="21"/>
              </w:rPr>
              <w:t>2.04%</w:t>
            </w:r>
          </w:p>
        </w:tc>
        <w:tc>
          <w:tcPr>
            <w:tcW w:w="1413" w:type="dxa"/>
            <w:vAlign w:val="center"/>
          </w:tcPr>
          <w:p w14:paraId="7DBD130A" w14:textId="77777777" w:rsidR="00FA3CB3" w:rsidRDefault="00052A0D">
            <w:pPr>
              <w:jc w:val="center"/>
            </w:pPr>
            <w:r>
              <w:rPr>
                <w:color w:val="000000" w:themeColor="text1"/>
                <w:szCs w:val="21"/>
              </w:rPr>
              <w:t>-4.65%</w:t>
            </w:r>
          </w:p>
        </w:tc>
        <w:tc>
          <w:tcPr>
            <w:tcW w:w="1276" w:type="dxa"/>
            <w:vAlign w:val="center"/>
          </w:tcPr>
          <w:p w14:paraId="59905C0B" w14:textId="77777777" w:rsidR="00FA3CB3" w:rsidRDefault="00052A0D">
            <w:pPr>
              <w:jc w:val="center"/>
            </w:pPr>
            <w:r>
              <w:rPr>
                <w:color w:val="000000" w:themeColor="text1"/>
                <w:szCs w:val="21"/>
              </w:rPr>
              <w:t>2.11%</w:t>
            </w:r>
          </w:p>
        </w:tc>
        <w:tc>
          <w:tcPr>
            <w:tcW w:w="1417" w:type="dxa"/>
            <w:vAlign w:val="center"/>
          </w:tcPr>
          <w:p w14:paraId="1228041D" w14:textId="77777777" w:rsidR="00FA3CB3" w:rsidRDefault="00052A0D">
            <w:pPr>
              <w:jc w:val="center"/>
            </w:pPr>
            <w:r>
              <w:rPr>
                <w:color w:val="000000" w:themeColor="text1"/>
                <w:szCs w:val="21"/>
              </w:rPr>
              <w:t>1.10%</w:t>
            </w:r>
          </w:p>
        </w:tc>
        <w:tc>
          <w:tcPr>
            <w:tcW w:w="1294" w:type="dxa"/>
            <w:vAlign w:val="center"/>
          </w:tcPr>
          <w:p w14:paraId="24329884" w14:textId="77777777" w:rsidR="00FA3CB3" w:rsidRDefault="00052A0D">
            <w:pPr>
              <w:jc w:val="center"/>
            </w:pPr>
            <w:r>
              <w:rPr>
                <w:color w:val="000000" w:themeColor="text1"/>
                <w:szCs w:val="21"/>
              </w:rPr>
              <w:t>-0.07%</w:t>
            </w:r>
          </w:p>
        </w:tc>
      </w:tr>
      <w:tr w:rsidR="00FA3CB3" w14:paraId="1A521082" w14:textId="77777777">
        <w:trPr>
          <w:jc w:val="center"/>
        </w:trPr>
        <w:tc>
          <w:tcPr>
            <w:tcW w:w="1579" w:type="dxa"/>
            <w:vAlign w:val="center"/>
          </w:tcPr>
          <w:p w14:paraId="772B8879" w14:textId="77777777" w:rsidR="00FA3CB3" w:rsidRDefault="00052A0D">
            <w:pPr>
              <w:jc w:val="left"/>
            </w:pPr>
            <w:r>
              <w:rPr>
                <w:color w:val="000000" w:themeColor="text1"/>
                <w:szCs w:val="21"/>
              </w:rPr>
              <w:t>过去一年</w:t>
            </w:r>
          </w:p>
        </w:tc>
        <w:tc>
          <w:tcPr>
            <w:tcW w:w="1420" w:type="dxa"/>
            <w:vAlign w:val="center"/>
          </w:tcPr>
          <w:p w14:paraId="5C1F85F6" w14:textId="77777777" w:rsidR="00FA3CB3" w:rsidRDefault="00052A0D">
            <w:pPr>
              <w:jc w:val="center"/>
            </w:pPr>
            <w:r>
              <w:rPr>
                <w:color w:val="000000" w:themeColor="text1"/>
                <w:szCs w:val="21"/>
              </w:rPr>
              <w:t>-</w:t>
            </w:r>
          </w:p>
        </w:tc>
        <w:tc>
          <w:tcPr>
            <w:tcW w:w="1280" w:type="dxa"/>
            <w:vAlign w:val="center"/>
          </w:tcPr>
          <w:p w14:paraId="40631FE2" w14:textId="77777777" w:rsidR="00FA3CB3" w:rsidRDefault="00052A0D">
            <w:pPr>
              <w:jc w:val="center"/>
            </w:pPr>
            <w:r>
              <w:rPr>
                <w:color w:val="000000" w:themeColor="text1"/>
                <w:szCs w:val="21"/>
              </w:rPr>
              <w:t>-</w:t>
            </w:r>
          </w:p>
        </w:tc>
        <w:tc>
          <w:tcPr>
            <w:tcW w:w="1413" w:type="dxa"/>
            <w:vAlign w:val="center"/>
          </w:tcPr>
          <w:p w14:paraId="35CB020F" w14:textId="77777777" w:rsidR="00FA3CB3" w:rsidRDefault="00052A0D">
            <w:pPr>
              <w:jc w:val="center"/>
            </w:pPr>
            <w:r>
              <w:rPr>
                <w:color w:val="000000" w:themeColor="text1"/>
                <w:szCs w:val="21"/>
              </w:rPr>
              <w:t>-</w:t>
            </w:r>
          </w:p>
        </w:tc>
        <w:tc>
          <w:tcPr>
            <w:tcW w:w="1276" w:type="dxa"/>
            <w:vAlign w:val="center"/>
          </w:tcPr>
          <w:p w14:paraId="481AD4F0" w14:textId="77777777" w:rsidR="00FA3CB3" w:rsidRDefault="00052A0D">
            <w:pPr>
              <w:jc w:val="center"/>
            </w:pPr>
            <w:r>
              <w:rPr>
                <w:color w:val="000000" w:themeColor="text1"/>
                <w:szCs w:val="21"/>
              </w:rPr>
              <w:t>-</w:t>
            </w:r>
          </w:p>
        </w:tc>
        <w:tc>
          <w:tcPr>
            <w:tcW w:w="1417" w:type="dxa"/>
            <w:vAlign w:val="center"/>
          </w:tcPr>
          <w:p w14:paraId="4867CCB6" w14:textId="77777777" w:rsidR="00FA3CB3" w:rsidRDefault="00052A0D">
            <w:pPr>
              <w:jc w:val="center"/>
            </w:pPr>
            <w:r>
              <w:rPr>
                <w:color w:val="000000" w:themeColor="text1"/>
                <w:szCs w:val="21"/>
              </w:rPr>
              <w:t>-</w:t>
            </w:r>
          </w:p>
        </w:tc>
        <w:tc>
          <w:tcPr>
            <w:tcW w:w="1294" w:type="dxa"/>
            <w:vAlign w:val="center"/>
          </w:tcPr>
          <w:p w14:paraId="51252D92" w14:textId="77777777" w:rsidR="00FA3CB3" w:rsidRDefault="00052A0D">
            <w:pPr>
              <w:jc w:val="center"/>
            </w:pPr>
            <w:r>
              <w:rPr>
                <w:color w:val="000000" w:themeColor="text1"/>
                <w:szCs w:val="21"/>
              </w:rPr>
              <w:t>-</w:t>
            </w:r>
          </w:p>
        </w:tc>
      </w:tr>
      <w:tr w:rsidR="00FA3CB3" w14:paraId="7F84430B" w14:textId="77777777">
        <w:trPr>
          <w:jc w:val="center"/>
        </w:trPr>
        <w:tc>
          <w:tcPr>
            <w:tcW w:w="1579" w:type="dxa"/>
            <w:vAlign w:val="center"/>
          </w:tcPr>
          <w:p w14:paraId="5950163B" w14:textId="77777777" w:rsidR="00FA3CB3" w:rsidRDefault="00052A0D">
            <w:pPr>
              <w:jc w:val="left"/>
            </w:pPr>
            <w:r>
              <w:rPr>
                <w:color w:val="000000" w:themeColor="text1"/>
                <w:szCs w:val="21"/>
              </w:rPr>
              <w:t>过去三年</w:t>
            </w:r>
          </w:p>
        </w:tc>
        <w:tc>
          <w:tcPr>
            <w:tcW w:w="1420" w:type="dxa"/>
            <w:vAlign w:val="center"/>
          </w:tcPr>
          <w:p w14:paraId="7071A874" w14:textId="77777777" w:rsidR="00FA3CB3" w:rsidRDefault="00052A0D">
            <w:pPr>
              <w:jc w:val="center"/>
            </w:pPr>
            <w:r>
              <w:rPr>
                <w:color w:val="000000" w:themeColor="text1"/>
                <w:szCs w:val="21"/>
              </w:rPr>
              <w:t>-</w:t>
            </w:r>
          </w:p>
        </w:tc>
        <w:tc>
          <w:tcPr>
            <w:tcW w:w="1280" w:type="dxa"/>
            <w:vAlign w:val="center"/>
          </w:tcPr>
          <w:p w14:paraId="53584DDF" w14:textId="77777777" w:rsidR="00FA3CB3" w:rsidRDefault="00052A0D">
            <w:pPr>
              <w:jc w:val="center"/>
            </w:pPr>
            <w:r>
              <w:rPr>
                <w:color w:val="000000" w:themeColor="text1"/>
                <w:szCs w:val="21"/>
              </w:rPr>
              <w:t>-</w:t>
            </w:r>
          </w:p>
        </w:tc>
        <w:tc>
          <w:tcPr>
            <w:tcW w:w="1413" w:type="dxa"/>
            <w:vAlign w:val="center"/>
          </w:tcPr>
          <w:p w14:paraId="7DB034DB" w14:textId="77777777" w:rsidR="00FA3CB3" w:rsidRDefault="00052A0D">
            <w:pPr>
              <w:jc w:val="center"/>
            </w:pPr>
            <w:r>
              <w:rPr>
                <w:color w:val="000000" w:themeColor="text1"/>
                <w:szCs w:val="21"/>
              </w:rPr>
              <w:t>-</w:t>
            </w:r>
          </w:p>
        </w:tc>
        <w:tc>
          <w:tcPr>
            <w:tcW w:w="1276" w:type="dxa"/>
            <w:vAlign w:val="center"/>
          </w:tcPr>
          <w:p w14:paraId="6BE8B562" w14:textId="77777777" w:rsidR="00FA3CB3" w:rsidRDefault="00052A0D">
            <w:pPr>
              <w:jc w:val="center"/>
            </w:pPr>
            <w:r>
              <w:rPr>
                <w:color w:val="000000" w:themeColor="text1"/>
                <w:szCs w:val="21"/>
              </w:rPr>
              <w:t>-</w:t>
            </w:r>
          </w:p>
        </w:tc>
        <w:tc>
          <w:tcPr>
            <w:tcW w:w="1417" w:type="dxa"/>
            <w:vAlign w:val="center"/>
          </w:tcPr>
          <w:p w14:paraId="59836C4F" w14:textId="77777777" w:rsidR="00FA3CB3" w:rsidRDefault="00052A0D">
            <w:pPr>
              <w:jc w:val="center"/>
            </w:pPr>
            <w:r>
              <w:rPr>
                <w:color w:val="000000" w:themeColor="text1"/>
                <w:szCs w:val="21"/>
              </w:rPr>
              <w:t>-</w:t>
            </w:r>
          </w:p>
        </w:tc>
        <w:tc>
          <w:tcPr>
            <w:tcW w:w="1294" w:type="dxa"/>
            <w:vAlign w:val="center"/>
          </w:tcPr>
          <w:p w14:paraId="21DEE858" w14:textId="77777777" w:rsidR="00FA3CB3" w:rsidRDefault="00052A0D">
            <w:pPr>
              <w:jc w:val="center"/>
            </w:pPr>
            <w:r>
              <w:rPr>
                <w:color w:val="000000" w:themeColor="text1"/>
                <w:szCs w:val="21"/>
              </w:rPr>
              <w:t>-</w:t>
            </w:r>
          </w:p>
        </w:tc>
      </w:tr>
      <w:tr w:rsidR="00FA3CB3" w14:paraId="02D7C998" w14:textId="77777777">
        <w:trPr>
          <w:jc w:val="center"/>
        </w:trPr>
        <w:tc>
          <w:tcPr>
            <w:tcW w:w="1579" w:type="dxa"/>
            <w:vAlign w:val="center"/>
          </w:tcPr>
          <w:p w14:paraId="100CFD5A" w14:textId="77777777" w:rsidR="00FA3CB3" w:rsidRDefault="00052A0D">
            <w:pPr>
              <w:jc w:val="left"/>
            </w:pPr>
            <w:r>
              <w:rPr>
                <w:color w:val="000000" w:themeColor="text1"/>
                <w:szCs w:val="21"/>
              </w:rPr>
              <w:t>自基金合同生效起至今</w:t>
            </w:r>
          </w:p>
        </w:tc>
        <w:tc>
          <w:tcPr>
            <w:tcW w:w="1420" w:type="dxa"/>
            <w:vAlign w:val="center"/>
          </w:tcPr>
          <w:p w14:paraId="5D601F04" w14:textId="77777777" w:rsidR="00FA3CB3" w:rsidRDefault="00052A0D">
            <w:pPr>
              <w:jc w:val="center"/>
            </w:pPr>
            <w:r>
              <w:rPr>
                <w:color w:val="000000" w:themeColor="text1"/>
                <w:szCs w:val="21"/>
              </w:rPr>
              <w:t>-13.62%</w:t>
            </w:r>
          </w:p>
        </w:tc>
        <w:tc>
          <w:tcPr>
            <w:tcW w:w="1280" w:type="dxa"/>
            <w:vAlign w:val="center"/>
          </w:tcPr>
          <w:p w14:paraId="4B92B492" w14:textId="77777777" w:rsidR="00FA3CB3" w:rsidRDefault="00052A0D">
            <w:pPr>
              <w:jc w:val="center"/>
            </w:pPr>
            <w:r>
              <w:rPr>
                <w:color w:val="000000" w:themeColor="text1"/>
                <w:szCs w:val="21"/>
              </w:rPr>
              <w:t>1.89%</w:t>
            </w:r>
          </w:p>
        </w:tc>
        <w:tc>
          <w:tcPr>
            <w:tcW w:w="1413" w:type="dxa"/>
            <w:vAlign w:val="center"/>
          </w:tcPr>
          <w:p w14:paraId="56260FE4" w14:textId="77777777" w:rsidR="00FA3CB3" w:rsidRDefault="00052A0D">
            <w:pPr>
              <w:jc w:val="center"/>
            </w:pPr>
            <w:r>
              <w:rPr>
                <w:color w:val="000000" w:themeColor="text1"/>
                <w:szCs w:val="21"/>
              </w:rPr>
              <w:t>-15.13%</w:t>
            </w:r>
          </w:p>
        </w:tc>
        <w:tc>
          <w:tcPr>
            <w:tcW w:w="1276" w:type="dxa"/>
            <w:vAlign w:val="center"/>
          </w:tcPr>
          <w:p w14:paraId="0D3C8947" w14:textId="77777777" w:rsidR="00FA3CB3" w:rsidRDefault="00052A0D">
            <w:pPr>
              <w:jc w:val="center"/>
            </w:pPr>
            <w:r>
              <w:rPr>
                <w:color w:val="000000" w:themeColor="text1"/>
                <w:szCs w:val="21"/>
              </w:rPr>
              <w:t>2.01%</w:t>
            </w:r>
          </w:p>
        </w:tc>
        <w:tc>
          <w:tcPr>
            <w:tcW w:w="1417" w:type="dxa"/>
            <w:vAlign w:val="center"/>
          </w:tcPr>
          <w:p w14:paraId="666B2E66" w14:textId="77777777" w:rsidR="00FA3CB3" w:rsidRDefault="00052A0D">
            <w:pPr>
              <w:jc w:val="center"/>
            </w:pPr>
            <w:r>
              <w:rPr>
                <w:color w:val="000000" w:themeColor="text1"/>
                <w:szCs w:val="21"/>
              </w:rPr>
              <w:t>1.51%</w:t>
            </w:r>
          </w:p>
        </w:tc>
        <w:tc>
          <w:tcPr>
            <w:tcW w:w="1294" w:type="dxa"/>
            <w:vAlign w:val="center"/>
          </w:tcPr>
          <w:p w14:paraId="38DFF571" w14:textId="77777777" w:rsidR="00FA3CB3" w:rsidRDefault="00052A0D">
            <w:pPr>
              <w:jc w:val="center"/>
            </w:pPr>
            <w:r>
              <w:rPr>
                <w:color w:val="000000" w:themeColor="text1"/>
                <w:szCs w:val="21"/>
              </w:rPr>
              <w:t>-0.12%</w:t>
            </w:r>
          </w:p>
        </w:tc>
      </w:tr>
    </w:tbl>
    <w:p w14:paraId="2B5D8205"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摩根恒生科技</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(QDII)C</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8"/>
        <w:gridCol w:w="1275"/>
        <w:gridCol w:w="1418"/>
        <w:gridCol w:w="1276"/>
        <w:gridCol w:w="1417"/>
        <w:gridCol w:w="1276"/>
      </w:tblGrid>
      <w:tr w:rsidR="007C68A4" w:rsidRPr="007C68A4" w14:paraId="179A8686" w14:textId="77777777" w:rsidTr="00C16415">
        <w:tc>
          <w:tcPr>
            <w:tcW w:w="1560" w:type="dxa"/>
            <w:vAlign w:val="center"/>
          </w:tcPr>
          <w:p w14:paraId="3D51BD54"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阶段</w:t>
            </w:r>
          </w:p>
        </w:tc>
        <w:tc>
          <w:tcPr>
            <w:tcW w:w="1418" w:type="dxa"/>
            <w:vAlign w:val="center"/>
          </w:tcPr>
          <w:p w14:paraId="03D92340"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w:t>
            </w:r>
            <w:r w:rsidRPr="007C68A4">
              <w:rPr>
                <w:rFonts w:ascii="宋体" w:hAnsi="宋体" w:cs="宋体" w:hint="eastAsia"/>
                <w:color w:val="000000" w:themeColor="text1"/>
                <w:szCs w:val="21"/>
              </w:rPr>
              <w:t>①</w:t>
            </w:r>
          </w:p>
        </w:tc>
        <w:tc>
          <w:tcPr>
            <w:tcW w:w="1275" w:type="dxa"/>
            <w:vAlign w:val="center"/>
          </w:tcPr>
          <w:p w14:paraId="3C29F8A9"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份额净值增长率标准差</w:t>
            </w:r>
            <w:r w:rsidRPr="007C68A4">
              <w:rPr>
                <w:rFonts w:ascii="宋体" w:hAnsi="宋体" w:cs="宋体" w:hint="eastAsia"/>
                <w:color w:val="000000" w:themeColor="text1"/>
                <w:szCs w:val="21"/>
              </w:rPr>
              <w:lastRenderedPageBreak/>
              <w:t>②</w:t>
            </w:r>
          </w:p>
        </w:tc>
        <w:tc>
          <w:tcPr>
            <w:tcW w:w="1418" w:type="dxa"/>
            <w:vAlign w:val="center"/>
          </w:tcPr>
          <w:p w14:paraId="31353DE4"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lastRenderedPageBreak/>
              <w:t>业绩比较基准收益率</w:t>
            </w:r>
            <w:r w:rsidRPr="007C68A4">
              <w:rPr>
                <w:rFonts w:ascii="宋体" w:hAnsi="宋体" w:cs="宋体" w:hint="eastAsia"/>
                <w:color w:val="000000" w:themeColor="text1"/>
                <w:szCs w:val="21"/>
              </w:rPr>
              <w:t>③</w:t>
            </w:r>
          </w:p>
        </w:tc>
        <w:tc>
          <w:tcPr>
            <w:tcW w:w="1276" w:type="dxa"/>
            <w:vAlign w:val="center"/>
          </w:tcPr>
          <w:p w14:paraId="62942D24" w14:textId="77777777"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业绩比较基准收益率标</w:t>
            </w:r>
            <w:r w:rsidRPr="007C68A4">
              <w:rPr>
                <w:rFonts w:eastAsiaTheme="minorEastAsia"/>
                <w:color w:val="000000" w:themeColor="text1"/>
                <w:szCs w:val="21"/>
              </w:rPr>
              <w:lastRenderedPageBreak/>
              <w:t>准差</w:t>
            </w:r>
            <w:r w:rsidRPr="007C68A4">
              <w:rPr>
                <w:rFonts w:ascii="宋体" w:hAnsi="宋体" w:cs="宋体" w:hint="eastAsia"/>
                <w:color w:val="000000" w:themeColor="text1"/>
                <w:szCs w:val="21"/>
              </w:rPr>
              <w:t>④</w:t>
            </w:r>
          </w:p>
        </w:tc>
        <w:tc>
          <w:tcPr>
            <w:tcW w:w="1417" w:type="dxa"/>
            <w:vAlign w:val="center"/>
          </w:tcPr>
          <w:p w14:paraId="6994ABB2" w14:textId="77777777"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lastRenderedPageBreak/>
              <w:t>①</w:t>
            </w:r>
            <w:r w:rsidRPr="007C68A4">
              <w:rPr>
                <w:rFonts w:eastAsiaTheme="minorEastAsia"/>
                <w:color w:val="000000" w:themeColor="text1"/>
                <w:szCs w:val="21"/>
              </w:rPr>
              <w:t>－</w:t>
            </w:r>
            <w:r w:rsidRPr="007C68A4">
              <w:rPr>
                <w:rFonts w:ascii="宋体" w:hAnsi="宋体" w:cs="宋体" w:hint="eastAsia"/>
                <w:color w:val="000000" w:themeColor="text1"/>
                <w:szCs w:val="21"/>
              </w:rPr>
              <w:t>③</w:t>
            </w:r>
          </w:p>
        </w:tc>
        <w:tc>
          <w:tcPr>
            <w:tcW w:w="1276" w:type="dxa"/>
            <w:vAlign w:val="center"/>
          </w:tcPr>
          <w:p w14:paraId="078BC1E8" w14:textId="77777777"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②</w:t>
            </w:r>
            <w:r w:rsidRPr="007C68A4">
              <w:rPr>
                <w:rFonts w:eastAsiaTheme="minorEastAsia"/>
                <w:color w:val="000000" w:themeColor="text1"/>
                <w:szCs w:val="21"/>
              </w:rPr>
              <w:t>－</w:t>
            </w:r>
            <w:r w:rsidRPr="007C68A4">
              <w:rPr>
                <w:rFonts w:ascii="宋体" w:hAnsi="宋体" w:cs="宋体" w:hint="eastAsia"/>
                <w:color w:val="000000" w:themeColor="text1"/>
                <w:szCs w:val="21"/>
              </w:rPr>
              <w:t>④</w:t>
            </w:r>
          </w:p>
        </w:tc>
      </w:tr>
      <w:tr w:rsidR="00FA3CB3" w14:paraId="61872395" w14:textId="77777777">
        <w:tc>
          <w:tcPr>
            <w:tcW w:w="1560" w:type="dxa"/>
            <w:vAlign w:val="center"/>
          </w:tcPr>
          <w:p w14:paraId="1E2780B9" w14:textId="77777777" w:rsidR="00FA3CB3" w:rsidRDefault="00052A0D">
            <w:pPr>
              <w:jc w:val="left"/>
            </w:pPr>
            <w:r>
              <w:rPr>
                <w:rFonts w:eastAsiaTheme="minorEastAsia"/>
                <w:color w:val="000000" w:themeColor="text1"/>
                <w:szCs w:val="21"/>
              </w:rPr>
              <w:t>过去一个月</w:t>
            </w:r>
          </w:p>
        </w:tc>
        <w:tc>
          <w:tcPr>
            <w:tcW w:w="1418" w:type="dxa"/>
            <w:vAlign w:val="center"/>
          </w:tcPr>
          <w:p w14:paraId="6C81FBF7" w14:textId="77777777" w:rsidR="00FA3CB3" w:rsidRDefault="00052A0D">
            <w:pPr>
              <w:jc w:val="center"/>
            </w:pPr>
            <w:r>
              <w:rPr>
                <w:rFonts w:eastAsiaTheme="minorEastAsia"/>
                <w:color w:val="000000" w:themeColor="text1"/>
                <w:szCs w:val="21"/>
              </w:rPr>
              <w:t>-3.06%</w:t>
            </w:r>
          </w:p>
        </w:tc>
        <w:tc>
          <w:tcPr>
            <w:tcW w:w="1275" w:type="dxa"/>
            <w:vAlign w:val="center"/>
          </w:tcPr>
          <w:p w14:paraId="51AC2CDD" w14:textId="77777777" w:rsidR="00FA3CB3" w:rsidRDefault="00052A0D">
            <w:pPr>
              <w:jc w:val="center"/>
            </w:pPr>
            <w:r>
              <w:rPr>
                <w:rFonts w:eastAsiaTheme="minorEastAsia"/>
                <w:color w:val="000000" w:themeColor="text1"/>
                <w:szCs w:val="21"/>
              </w:rPr>
              <w:t>1.39%</w:t>
            </w:r>
          </w:p>
        </w:tc>
        <w:tc>
          <w:tcPr>
            <w:tcW w:w="1418" w:type="dxa"/>
            <w:vAlign w:val="center"/>
          </w:tcPr>
          <w:p w14:paraId="5541F71F" w14:textId="77777777" w:rsidR="00FA3CB3" w:rsidRDefault="00052A0D">
            <w:pPr>
              <w:jc w:val="center"/>
            </w:pPr>
            <w:r>
              <w:rPr>
                <w:rFonts w:eastAsiaTheme="minorEastAsia"/>
                <w:color w:val="000000" w:themeColor="text1"/>
                <w:szCs w:val="21"/>
              </w:rPr>
              <w:t>-3.15%</w:t>
            </w:r>
          </w:p>
        </w:tc>
        <w:tc>
          <w:tcPr>
            <w:tcW w:w="1276" w:type="dxa"/>
            <w:vAlign w:val="center"/>
          </w:tcPr>
          <w:p w14:paraId="5EB23C1F" w14:textId="77777777" w:rsidR="00FA3CB3" w:rsidRDefault="00052A0D">
            <w:pPr>
              <w:jc w:val="center"/>
            </w:pPr>
            <w:r>
              <w:rPr>
                <w:rFonts w:eastAsiaTheme="minorEastAsia"/>
                <w:color w:val="000000" w:themeColor="text1"/>
                <w:szCs w:val="21"/>
              </w:rPr>
              <w:t>1.46%</w:t>
            </w:r>
          </w:p>
        </w:tc>
        <w:tc>
          <w:tcPr>
            <w:tcW w:w="1417" w:type="dxa"/>
            <w:vAlign w:val="center"/>
          </w:tcPr>
          <w:p w14:paraId="76B9659F" w14:textId="77777777" w:rsidR="00FA3CB3" w:rsidRDefault="00052A0D">
            <w:pPr>
              <w:jc w:val="center"/>
            </w:pPr>
            <w:r>
              <w:rPr>
                <w:rFonts w:eastAsiaTheme="minorEastAsia"/>
                <w:color w:val="000000" w:themeColor="text1"/>
                <w:szCs w:val="21"/>
              </w:rPr>
              <w:t>0.09%</w:t>
            </w:r>
          </w:p>
        </w:tc>
        <w:tc>
          <w:tcPr>
            <w:tcW w:w="1276" w:type="dxa"/>
            <w:vAlign w:val="center"/>
          </w:tcPr>
          <w:p w14:paraId="417C8856" w14:textId="77777777" w:rsidR="00FA3CB3" w:rsidRDefault="00052A0D">
            <w:pPr>
              <w:jc w:val="center"/>
            </w:pPr>
            <w:r>
              <w:rPr>
                <w:rFonts w:eastAsiaTheme="minorEastAsia"/>
                <w:color w:val="000000" w:themeColor="text1"/>
                <w:szCs w:val="21"/>
              </w:rPr>
              <w:t>-0.07%</w:t>
            </w:r>
          </w:p>
        </w:tc>
      </w:tr>
      <w:tr w:rsidR="00FA3CB3" w14:paraId="535DDAAD" w14:textId="77777777">
        <w:tc>
          <w:tcPr>
            <w:tcW w:w="1560" w:type="dxa"/>
            <w:vAlign w:val="center"/>
          </w:tcPr>
          <w:p w14:paraId="186CEAE4" w14:textId="77777777" w:rsidR="00FA3CB3" w:rsidRDefault="00052A0D">
            <w:pPr>
              <w:jc w:val="left"/>
            </w:pPr>
            <w:r>
              <w:rPr>
                <w:rFonts w:eastAsiaTheme="minorEastAsia"/>
                <w:color w:val="000000" w:themeColor="text1"/>
                <w:szCs w:val="21"/>
              </w:rPr>
              <w:t>过去三个月</w:t>
            </w:r>
          </w:p>
        </w:tc>
        <w:tc>
          <w:tcPr>
            <w:tcW w:w="1418" w:type="dxa"/>
            <w:vAlign w:val="center"/>
          </w:tcPr>
          <w:p w14:paraId="257BE58D" w14:textId="77777777" w:rsidR="00FA3CB3" w:rsidRDefault="00052A0D">
            <w:pPr>
              <w:jc w:val="center"/>
            </w:pPr>
            <w:r>
              <w:rPr>
                <w:rFonts w:eastAsiaTheme="minorEastAsia"/>
                <w:color w:val="000000" w:themeColor="text1"/>
                <w:szCs w:val="21"/>
              </w:rPr>
              <w:t>2.88%</w:t>
            </w:r>
          </w:p>
        </w:tc>
        <w:tc>
          <w:tcPr>
            <w:tcW w:w="1275" w:type="dxa"/>
            <w:vAlign w:val="center"/>
          </w:tcPr>
          <w:p w14:paraId="1D2218F5" w14:textId="77777777" w:rsidR="00FA3CB3" w:rsidRDefault="00052A0D">
            <w:pPr>
              <w:jc w:val="center"/>
            </w:pPr>
            <w:r>
              <w:rPr>
                <w:rFonts w:eastAsiaTheme="minorEastAsia"/>
                <w:color w:val="000000" w:themeColor="text1"/>
                <w:szCs w:val="21"/>
              </w:rPr>
              <w:t>1.97%</w:t>
            </w:r>
          </w:p>
        </w:tc>
        <w:tc>
          <w:tcPr>
            <w:tcW w:w="1418" w:type="dxa"/>
            <w:vAlign w:val="center"/>
          </w:tcPr>
          <w:p w14:paraId="40243476" w14:textId="77777777" w:rsidR="00FA3CB3" w:rsidRDefault="00052A0D">
            <w:pPr>
              <w:jc w:val="center"/>
            </w:pPr>
            <w:r>
              <w:rPr>
                <w:rFonts w:eastAsiaTheme="minorEastAsia"/>
                <w:color w:val="000000" w:themeColor="text1"/>
                <w:szCs w:val="21"/>
              </w:rPr>
              <w:t>2.76%</w:t>
            </w:r>
          </w:p>
        </w:tc>
        <w:tc>
          <w:tcPr>
            <w:tcW w:w="1276" w:type="dxa"/>
            <w:vAlign w:val="center"/>
          </w:tcPr>
          <w:p w14:paraId="47FD7B51" w14:textId="77777777" w:rsidR="00FA3CB3" w:rsidRDefault="00052A0D">
            <w:pPr>
              <w:jc w:val="center"/>
            </w:pPr>
            <w:r>
              <w:rPr>
                <w:rFonts w:eastAsiaTheme="minorEastAsia"/>
                <w:color w:val="000000" w:themeColor="text1"/>
                <w:szCs w:val="21"/>
              </w:rPr>
              <w:t>1.99%</w:t>
            </w:r>
          </w:p>
        </w:tc>
        <w:tc>
          <w:tcPr>
            <w:tcW w:w="1417" w:type="dxa"/>
            <w:vAlign w:val="center"/>
          </w:tcPr>
          <w:p w14:paraId="6270B435" w14:textId="77777777" w:rsidR="00FA3CB3" w:rsidRDefault="00052A0D">
            <w:pPr>
              <w:jc w:val="center"/>
            </w:pPr>
            <w:r>
              <w:rPr>
                <w:rFonts w:eastAsiaTheme="minorEastAsia"/>
                <w:color w:val="000000" w:themeColor="text1"/>
                <w:szCs w:val="21"/>
              </w:rPr>
              <w:t>0.12%</w:t>
            </w:r>
          </w:p>
        </w:tc>
        <w:tc>
          <w:tcPr>
            <w:tcW w:w="1276" w:type="dxa"/>
            <w:vAlign w:val="center"/>
          </w:tcPr>
          <w:p w14:paraId="18BE30AB" w14:textId="77777777" w:rsidR="00FA3CB3" w:rsidRDefault="00052A0D">
            <w:pPr>
              <w:jc w:val="center"/>
            </w:pPr>
            <w:r>
              <w:rPr>
                <w:rFonts w:eastAsiaTheme="minorEastAsia"/>
                <w:color w:val="000000" w:themeColor="text1"/>
                <w:szCs w:val="21"/>
              </w:rPr>
              <w:t>-0.02%</w:t>
            </w:r>
          </w:p>
        </w:tc>
      </w:tr>
      <w:tr w:rsidR="00FA3CB3" w14:paraId="2C8E2D29" w14:textId="77777777">
        <w:tc>
          <w:tcPr>
            <w:tcW w:w="1560" w:type="dxa"/>
            <w:vAlign w:val="center"/>
          </w:tcPr>
          <w:p w14:paraId="529AEE6C" w14:textId="77777777" w:rsidR="00FA3CB3" w:rsidRDefault="00052A0D">
            <w:pPr>
              <w:jc w:val="left"/>
            </w:pPr>
            <w:r>
              <w:rPr>
                <w:rFonts w:eastAsiaTheme="minorEastAsia"/>
                <w:color w:val="000000" w:themeColor="text1"/>
                <w:szCs w:val="21"/>
              </w:rPr>
              <w:t>过去六个月</w:t>
            </w:r>
          </w:p>
        </w:tc>
        <w:tc>
          <w:tcPr>
            <w:tcW w:w="1418" w:type="dxa"/>
            <w:vAlign w:val="center"/>
          </w:tcPr>
          <w:p w14:paraId="1CB97B54" w14:textId="77777777" w:rsidR="00FA3CB3" w:rsidRDefault="00052A0D">
            <w:pPr>
              <w:jc w:val="center"/>
            </w:pPr>
            <w:r>
              <w:rPr>
                <w:rFonts w:eastAsiaTheme="minorEastAsia"/>
                <w:color w:val="000000" w:themeColor="text1"/>
                <w:szCs w:val="21"/>
              </w:rPr>
              <w:t>-3.59%</w:t>
            </w:r>
          </w:p>
        </w:tc>
        <w:tc>
          <w:tcPr>
            <w:tcW w:w="1275" w:type="dxa"/>
            <w:vAlign w:val="center"/>
          </w:tcPr>
          <w:p w14:paraId="12BD140B" w14:textId="77777777" w:rsidR="00FA3CB3" w:rsidRDefault="00052A0D">
            <w:pPr>
              <w:jc w:val="center"/>
            </w:pPr>
            <w:r>
              <w:rPr>
                <w:rFonts w:eastAsiaTheme="minorEastAsia"/>
                <w:color w:val="000000" w:themeColor="text1"/>
                <w:szCs w:val="21"/>
              </w:rPr>
              <w:t>2.04%</w:t>
            </w:r>
          </w:p>
        </w:tc>
        <w:tc>
          <w:tcPr>
            <w:tcW w:w="1418" w:type="dxa"/>
            <w:vAlign w:val="center"/>
          </w:tcPr>
          <w:p w14:paraId="7AB6AB41" w14:textId="77777777" w:rsidR="00FA3CB3" w:rsidRDefault="00052A0D">
            <w:pPr>
              <w:jc w:val="center"/>
            </w:pPr>
            <w:r>
              <w:rPr>
                <w:rFonts w:eastAsiaTheme="minorEastAsia"/>
                <w:color w:val="000000" w:themeColor="text1"/>
                <w:szCs w:val="21"/>
              </w:rPr>
              <w:t>-4.65%</w:t>
            </w:r>
          </w:p>
        </w:tc>
        <w:tc>
          <w:tcPr>
            <w:tcW w:w="1276" w:type="dxa"/>
            <w:vAlign w:val="center"/>
          </w:tcPr>
          <w:p w14:paraId="4CD4E4D5" w14:textId="77777777" w:rsidR="00FA3CB3" w:rsidRDefault="00052A0D">
            <w:pPr>
              <w:jc w:val="center"/>
            </w:pPr>
            <w:r>
              <w:rPr>
                <w:rFonts w:eastAsiaTheme="minorEastAsia"/>
                <w:color w:val="000000" w:themeColor="text1"/>
                <w:szCs w:val="21"/>
              </w:rPr>
              <w:t>2.11%</w:t>
            </w:r>
          </w:p>
        </w:tc>
        <w:tc>
          <w:tcPr>
            <w:tcW w:w="1417" w:type="dxa"/>
            <w:vAlign w:val="center"/>
          </w:tcPr>
          <w:p w14:paraId="1E5BA1E9" w14:textId="77777777" w:rsidR="00FA3CB3" w:rsidRDefault="00052A0D">
            <w:pPr>
              <w:jc w:val="center"/>
            </w:pPr>
            <w:r>
              <w:rPr>
                <w:rFonts w:eastAsiaTheme="minorEastAsia"/>
                <w:color w:val="000000" w:themeColor="text1"/>
                <w:szCs w:val="21"/>
              </w:rPr>
              <w:t>1.06%</w:t>
            </w:r>
          </w:p>
        </w:tc>
        <w:tc>
          <w:tcPr>
            <w:tcW w:w="1276" w:type="dxa"/>
            <w:vAlign w:val="center"/>
          </w:tcPr>
          <w:p w14:paraId="3C5F3C04" w14:textId="77777777" w:rsidR="00FA3CB3" w:rsidRDefault="00052A0D">
            <w:pPr>
              <w:jc w:val="center"/>
            </w:pPr>
            <w:r>
              <w:rPr>
                <w:rFonts w:eastAsiaTheme="minorEastAsia"/>
                <w:color w:val="000000" w:themeColor="text1"/>
                <w:szCs w:val="21"/>
              </w:rPr>
              <w:t>-0.07%</w:t>
            </w:r>
          </w:p>
        </w:tc>
      </w:tr>
      <w:tr w:rsidR="00FA3CB3" w14:paraId="07299F86" w14:textId="77777777">
        <w:tc>
          <w:tcPr>
            <w:tcW w:w="1560" w:type="dxa"/>
            <w:vAlign w:val="center"/>
          </w:tcPr>
          <w:p w14:paraId="65675136" w14:textId="77777777" w:rsidR="00FA3CB3" w:rsidRDefault="00052A0D">
            <w:pPr>
              <w:jc w:val="left"/>
            </w:pPr>
            <w:r>
              <w:rPr>
                <w:rFonts w:eastAsiaTheme="minorEastAsia"/>
                <w:color w:val="000000" w:themeColor="text1"/>
                <w:szCs w:val="21"/>
              </w:rPr>
              <w:t>过去一年</w:t>
            </w:r>
          </w:p>
        </w:tc>
        <w:tc>
          <w:tcPr>
            <w:tcW w:w="1418" w:type="dxa"/>
            <w:vAlign w:val="center"/>
          </w:tcPr>
          <w:p w14:paraId="47A38438" w14:textId="77777777" w:rsidR="00FA3CB3" w:rsidRDefault="00052A0D">
            <w:pPr>
              <w:jc w:val="center"/>
            </w:pPr>
            <w:r>
              <w:rPr>
                <w:rFonts w:eastAsiaTheme="minorEastAsia"/>
                <w:color w:val="000000" w:themeColor="text1"/>
                <w:szCs w:val="21"/>
              </w:rPr>
              <w:t>-</w:t>
            </w:r>
          </w:p>
        </w:tc>
        <w:tc>
          <w:tcPr>
            <w:tcW w:w="1275" w:type="dxa"/>
            <w:vAlign w:val="center"/>
          </w:tcPr>
          <w:p w14:paraId="67143EFE" w14:textId="77777777" w:rsidR="00FA3CB3" w:rsidRDefault="00052A0D">
            <w:pPr>
              <w:jc w:val="center"/>
            </w:pPr>
            <w:r>
              <w:rPr>
                <w:rFonts w:eastAsiaTheme="minorEastAsia"/>
                <w:color w:val="000000" w:themeColor="text1"/>
                <w:szCs w:val="21"/>
              </w:rPr>
              <w:t>-</w:t>
            </w:r>
          </w:p>
        </w:tc>
        <w:tc>
          <w:tcPr>
            <w:tcW w:w="1418" w:type="dxa"/>
            <w:vAlign w:val="center"/>
          </w:tcPr>
          <w:p w14:paraId="0EC190A2" w14:textId="77777777" w:rsidR="00FA3CB3" w:rsidRDefault="00052A0D">
            <w:pPr>
              <w:jc w:val="center"/>
            </w:pPr>
            <w:r>
              <w:rPr>
                <w:rFonts w:eastAsiaTheme="minorEastAsia"/>
                <w:color w:val="000000" w:themeColor="text1"/>
                <w:szCs w:val="21"/>
              </w:rPr>
              <w:t>-</w:t>
            </w:r>
          </w:p>
        </w:tc>
        <w:tc>
          <w:tcPr>
            <w:tcW w:w="1276" w:type="dxa"/>
            <w:vAlign w:val="center"/>
          </w:tcPr>
          <w:p w14:paraId="32D66215" w14:textId="77777777" w:rsidR="00FA3CB3" w:rsidRDefault="00052A0D">
            <w:pPr>
              <w:jc w:val="center"/>
            </w:pPr>
            <w:r>
              <w:rPr>
                <w:rFonts w:eastAsiaTheme="minorEastAsia"/>
                <w:color w:val="000000" w:themeColor="text1"/>
                <w:szCs w:val="21"/>
              </w:rPr>
              <w:t>-</w:t>
            </w:r>
          </w:p>
        </w:tc>
        <w:tc>
          <w:tcPr>
            <w:tcW w:w="1417" w:type="dxa"/>
            <w:vAlign w:val="center"/>
          </w:tcPr>
          <w:p w14:paraId="657D8130" w14:textId="77777777" w:rsidR="00FA3CB3" w:rsidRDefault="00052A0D">
            <w:pPr>
              <w:jc w:val="center"/>
            </w:pPr>
            <w:r>
              <w:rPr>
                <w:rFonts w:eastAsiaTheme="minorEastAsia"/>
                <w:color w:val="000000" w:themeColor="text1"/>
                <w:szCs w:val="21"/>
              </w:rPr>
              <w:t>-</w:t>
            </w:r>
          </w:p>
        </w:tc>
        <w:tc>
          <w:tcPr>
            <w:tcW w:w="1276" w:type="dxa"/>
            <w:vAlign w:val="center"/>
          </w:tcPr>
          <w:p w14:paraId="1AD20C2B" w14:textId="77777777" w:rsidR="00FA3CB3" w:rsidRDefault="00052A0D">
            <w:pPr>
              <w:jc w:val="center"/>
            </w:pPr>
            <w:r>
              <w:rPr>
                <w:rFonts w:eastAsiaTheme="minorEastAsia"/>
                <w:color w:val="000000" w:themeColor="text1"/>
                <w:szCs w:val="21"/>
              </w:rPr>
              <w:t>-</w:t>
            </w:r>
          </w:p>
        </w:tc>
      </w:tr>
      <w:tr w:rsidR="00FA3CB3" w14:paraId="00177F12" w14:textId="77777777">
        <w:tc>
          <w:tcPr>
            <w:tcW w:w="1560" w:type="dxa"/>
            <w:vAlign w:val="center"/>
          </w:tcPr>
          <w:p w14:paraId="62D9793F" w14:textId="77777777" w:rsidR="00FA3CB3" w:rsidRDefault="00052A0D">
            <w:pPr>
              <w:jc w:val="left"/>
            </w:pPr>
            <w:r>
              <w:rPr>
                <w:rFonts w:eastAsiaTheme="minorEastAsia"/>
                <w:color w:val="000000" w:themeColor="text1"/>
                <w:szCs w:val="21"/>
              </w:rPr>
              <w:t>过去三年</w:t>
            </w:r>
          </w:p>
        </w:tc>
        <w:tc>
          <w:tcPr>
            <w:tcW w:w="1418" w:type="dxa"/>
            <w:vAlign w:val="center"/>
          </w:tcPr>
          <w:p w14:paraId="4C0D4E1D" w14:textId="77777777" w:rsidR="00FA3CB3" w:rsidRDefault="00052A0D">
            <w:pPr>
              <w:jc w:val="center"/>
            </w:pPr>
            <w:r>
              <w:rPr>
                <w:rFonts w:eastAsiaTheme="minorEastAsia"/>
                <w:color w:val="000000" w:themeColor="text1"/>
                <w:szCs w:val="21"/>
              </w:rPr>
              <w:t>-</w:t>
            </w:r>
          </w:p>
        </w:tc>
        <w:tc>
          <w:tcPr>
            <w:tcW w:w="1275" w:type="dxa"/>
            <w:vAlign w:val="center"/>
          </w:tcPr>
          <w:p w14:paraId="357A7B6A" w14:textId="77777777" w:rsidR="00FA3CB3" w:rsidRDefault="00052A0D">
            <w:pPr>
              <w:jc w:val="center"/>
            </w:pPr>
            <w:r>
              <w:rPr>
                <w:rFonts w:eastAsiaTheme="minorEastAsia"/>
                <w:color w:val="000000" w:themeColor="text1"/>
                <w:szCs w:val="21"/>
              </w:rPr>
              <w:t>-</w:t>
            </w:r>
          </w:p>
        </w:tc>
        <w:tc>
          <w:tcPr>
            <w:tcW w:w="1418" w:type="dxa"/>
            <w:vAlign w:val="center"/>
          </w:tcPr>
          <w:p w14:paraId="36DD52EC" w14:textId="77777777" w:rsidR="00FA3CB3" w:rsidRDefault="00052A0D">
            <w:pPr>
              <w:jc w:val="center"/>
            </w:pPr>
            <w:r>
              <w:rPr>
                <w:rFonts w:eastAsiaTheme="minorEastAsia"/>
                <w:color w:val="000000" w:themeColor="text1"/>
                <w:szCs w:val="21"/>
              </w:rPr>
              <w:t>-</w:t>
            </w:r>
          </w:p>
        </w:tc>
        <w:tc>
          <w:tcPr>
            <w:tcW w:w="1276" w:type="dxa"/>
            <w:vAlign w:val="center"/>
          </w:tcPr>
          <w:p w14:paraId="63C2F12A" w14:textId="77777777" w:rsidR="00FA3CB3" w:rsidRDefault="00052A0D">
            <w:pPr>
              <w:jc w:val="center"/>
            </w:pPr>
            <w:r>
              <w:rPr>
                <w:rFonts w:eastAsiaTheme="minorEastAsia"/>
                <w:color w:val="000000" w:themeColor="text1"/>
                <w:szCs w:val="21"/>
              </w:rPr>
              <w:t>-</w:t>
            </w:r>
          </w:p>
        </w:tc>
        <w:tc>
          <w:tcPr>
            <w:tcW w:w="1417" w:type="dxa"/>
            <w:vAlign w:val="center"/>
          </w:tcPr>
          <w:p w14:paraId="48AAB265" w14:textId="77777777" w:rsidR="00FA3CB3" w:rsidRDefault="00052A0D">
            <w:pPr>
              <w:jc w:val="center"/>
            </w:pPr>
            <w:r>
              <w:rPr>
                <w:rFonts w:eastAsiaTheme="minorEastAsia"/>
                <w:color w:val="000000" w:themeColor="text1"/>
                <w:szCs w:val="21"/>
              </w:rPr>
              <w:t>-</w:t>
            </w:r>
          </w:p>
        </w:tc>
        <w:tc>
          <w:tcPr>
            <w:tcW w:w="1276" w:type="dxa"/>
            <w:vAlign w:val="center"/>
          </w:tcPr>
          <w:p w14:paraId="578ABA3C" w14:textId="77777777" w:rsidR="00FA3CB3" w:rsidRDefault="00052A0D">
            <w:pPr>
              <w:jc w:val="center"/>
            </w:pPr>
            <w:r>
              <w:rPr>
                <w:rFonts w:eastAsiaTheme="minorEastAsia"/>
                <w:color w:val="000000" w:themeColor="text1"/>
                <w:szCs w:val="21"/>
              </w:rPr>
              <w:t>-</w:t>
            </w:r>
          </w:p>
        </w:tc>
      </w:tr>
      <w:tr w:rsidR="00FA3CB3" w14:paraId="650D0716" w14:textId="77777777">
        <w:tc>
          <w:tcPr>
            <w:tcW w:w="1560" w:type="dxa"/>
            <w:vAlign w:val="center"/>
          </w:tcPr>
          <w:p w14:paraId="20727EE7" w14:textId="77777777" w:rsidR="00FA3CB3" w:rsidRDefault="00052A0D">
            <w:pPr>
              <w:jc w:val="left"/>
            </w:pPr>
            <w:r>
              <w:rPr>
                <w:rFonts w:eastAsiaTheme="minorEastAsia"/>
                <w:color w:val="000000" w:themeColor="text1"/>
                <w:szCs w:val="21"/>
              </w:rPr>
              <w:t>自基金合同生效起至今</w:t>
            </w:r>
          </w:p>
        </w:tc>
        <w:tc>
          <w:tcPr>
            <w:tcW w:w="1418" w:type="dxa"/>
            <w:vAlign w:val="center"/>
          </w:tcPr>
          <w:p w14:paraId="637B2195" w14:textId="77777777" w:rsidR="00FA3CB3" w:rsidRDefault="00052A0D">
            <w:pPr>
              <w:jc w:val="center"/>
            </w:pPr>
            <w:r>
              <w:rPr>
                <w:rFonts w:eastAsiaTheme="minorEastAsia"/>
                <w:color w:val="000000" w:themeColor="text1"/>
                <w:szCs w:val="21"/>
              </w:rPr>
              <w:t>-13.77%</w:t>
            </w:r>
          </w:p>
        </w:tc>
        <w:tc>
          <w:tcPr>
            <w:tcW w:w="1275" w:type="dxa"/>
            <w:vAlign w:val="center"/>
          </w:tcPr>
          <w:p w14:paraId="05C44B6A" w14:textId="77777777" w:rsidR="00FA3CB3" w:rsidRDefault="00052A0D">
            <w:pPr>
              <w:jc w:val="center"/>
            </w:pPr>
            <w:r>
              <w:rPr>
                <w:rFonts w:eastAsiaTheme="minorEastAsia"/>
                <w:color w:val="000000" w:themeColor="text1"/>
                <w:szCs w:val="21"/>
              </w:rPr>
              <w:t>1.89%</w:t>
            </w:r>
          </w:p>
        </w:tc>
        <w:tc>
          <w:tcPr>
            <w:tcW w:w="1418" w:type="dxa"/>
            <w:vAlign w:val="center"/>
          </w:tcPr>
          <w:p w14:paraId="568DE5C4" w14:textId="77777777" w:rsidR="00FA3CB3" w:rsidRDefault="00052A0D">
            <w:pPr>
              <w:jc w:val="center"/>
            </w:pPr>
            <w:r>
              <w:rPr>
                <w:rFonts w:eastAsiaTheme="minorEastAsia"/>
                <w:color w:val="000000" w:themeColor="text1"/>
                <w:szCs w:val="21"/>
              </w:rPr>
              <w:t>-15.13%</w:t>
            </w:r>
          </w:p>
        </w:tc>
        <w:tc>
          <w:tcPr>
            <w:tcW w:w="1276" w:type="dxa"/>
            <w:vAlign w:val="center"/>
          </w:tcPr>
          <w:p w14:paraId="1CB47C41" w14:textId="77777777" w:rsidR="00FA3CB3" w:rsidRDefault="00052A0D">
            <w:pPr>
              <w:jc w:val="center"/>
            </w:pPr>
            <w:r>
              <w:rPr>
                <w:rFonts w:eastAsiaTheme="minorEastAsia"/>
                <w:color w:val="000000" w:themeColor="text1"/>
                <w:szCs w:val="21"/>
              </w:rPr>
              <w:t>2.01%</w:t>
            </w:r>
          </w:p>
        </w:tc>
        <w:tc>
          <w:tcPr>
            <w:tcW w:w="1417" w:type="dxa"/>
            <w:vAlign w:val="center"/>
          </w:tcPr>
          <w:p w14:paraId="530F7A3E" w14:textId="77777777" w:rsidR="00FA3CB3" w:rsidRDefault="00052A0D">
            <w:pPr>
              <w:jc w:val="center"/>
            </w:pPr>
            <w:r>
              <w:rPr>
                <w:rFonts w:eastAsiaTheme="minorEastAsia"/>
                <w:color w:val="000000" w:themeColor="text1"/>
                <w:szCs w:val="21"/>
              </w:rPr>
              <w:t>1.36%</w:t>
            </w:r>
          </w:p>
        </w:tc>
        <w:tc>
          <w:tcPr>
            <w:tcW w:w="1276" w:type="dxa"/>
            <w:vAlign w:val="center"/>
          </w:tcPr>
          <w:p w14:paraId="13D171F2" w14:textId="77777777" w:rsidR="00FA3CB3" w:rsidRDefault="00052A0D">
            <w:pPr>
              <w:jc w:val="center"/>
            </w:pPr>
            <w:r>
              <w:rPr>
                <w:rFonts w:eastAsiaTheme="minorEastAsia"/>
                <w:color w:val="000000" w:themeColor="text1"/>
                <w:szCs w:val="21"/>
              </w:rPr>
              <w:t>-0.12%</w:t>
            </w:r>
          </w:p>
        </w:tc>
      </w:tr>
    </w:tbl>
    <w:p w14:paraId="3FD5BD58" w14:textId="77777777" w:rsidR="001548F9" w:rsidRPr="007C68A4" w:rsidRDefault="001548F9" w:rsidP="004C1748">
      <w:pPr>
        <w:spacing w:line="360" w:lineRule="auto"/>
        <w:rPr>
          <w:b/>
          <w:color w:val="000000" w:themeColor="text1"/>
          <w:kern w:val="0"/>
          <w:szCs w:val="21"/>
        </w:rPr>
      </w:pPr>
      <w:r w:rsidRPr="007C68A4">
        <w:rPr>
          <w:b/>
          <w:color w:val="000000" w:themeColor="text1"/>
          <w:kern w:val="0"/>
          <w:szCs w:val="21"/>
        </w:rPr>
        <w:t xml:space="preserve">3.2.2 </w:t>
      </w:r>
      <w:r w:rsidR="00BE2139" w:rsidRPr="007C68A4">
        <w:rPr>
          <w:rFonts w:eastAsiaTheme="minorEastAsia"/>
          <w:b/>
          <w:bCs/>
          <w:color w:val="000000" w:themeColor="text1"/>
          <w:sz w:val="24"/>
        </w:rPr>
        <w:t>自基金合同生效以来</w:t>
      </w:r>
      <w:r w:rsidRPr="007C68A4">
        <w:rPr>
          <w:b/>
          <w:color w:val="000000" w:themeColor="text1"/>
          <w:kern w:val="0"/>
          <w:szCs w:val="21"/>
        </w:rPr>
        <w:t>基金份额累计净值增长率变动及其与同期业绩比较基准收益率变动的比较</w:t>
      </w:r>
      <w:r w:rsidRPr="007C68A4">
        <w:rPr>
          <w:b/>
          <w:color w:val="000000" w:themeColor="text1"/>
          <w:kern w:val="0"/>
          <w:szCs w:val="21"/>
        </w:rPr>
        <w:t xml:space="preserve"> </w:t>
      </w:r>
    </w:p>
    <w:p w14:paraId="05CDB775" w14:textId="77777777" w:rsidR="001548F9" w:rsidRPr="007C68A4" w:rsidRDefault="001548F9" w:rsidP="004C1748">
      <w:pPr>
        <w:spacing w:line="360" w:lineRule="auto"/>
        <w:jc w:val="center"/>
        <w:rPr>
          <w:color w:val="000000" w:themeColor="text1"/>
          <w:kern w:val="0"/>
          <w:szCs w:val="21"/>
        </w:rPr>
      </w:pPr>
      <w:r w:rsidRPr="007C68A4">
        <w:rPr>
          <w:color w:val="000000" w:themeColor="text1"/>
          <w:kern w:val="0"/>
          <w:szCs w:val="21"/>
        </w:rPr>
        <w:t>摩根恒生科技交易型开放式指数证券投资基金发起式联接基金</w:t>
      </w:r>
      <w:r w:rsidRPr="007C68A4">
        <w:rPr>
          <w:color w:val="000000" w:themeColor="text1"/>
          <w:kern w:val="0"/>
          <w:szCs w:val="21"/>
        </w:rPr>
        <w:t>(QDII)</w:t>
      </w:r>
    </w:p>
    <w:p w14:paraId="4003B8DA" w14:textId="77777777" w:rsidR="001548F9" w:rsidRPr="007C68A4" w:rsidRDefault="00CE3047" w:rsidP="004C1748">
      <w:pPr>
        <w:spacing w:line="360" w:lineRule="auto"/>
        <w:jc w:val="center"/>
        <w:rPr>
          <w:color w:val="000000" w:themeColor="text1"/>
          <w:kern w:val="0"/>
          <w:szCs w:val="21"/>
        </w:rPr>
      </w:pPr>
      <w:r w:rsidRPr="007C68A4">
        <w:rPr>
          <w:color w:val="000000" w:themeColor="text1"/>
          <w:kern w:val="0"/>
          <w:szCs w:val="21"/>
        </w:rPr>
        <w:t>份额累计净值增长率与业绩比较基准收益率</w:t>
      </w:r>
      <w:r w:rsidR="001548F9" w:rsidRPr="007C68A4">
        <w:rPr>
          <w:color w:val="000000" w:themeColor="text1"/>
          <w:kern w:val="0"/>
          <w:szCs w:val="21"/>
        </w:rPr>
        <w:t>历史走势对比图</w:t>
      </w:r>
    </w:p>
    <w:p w14:paraId="69D7699F" w14:textId="77777777" w:rsidR="00B15BF5" w:rsidRPr="007C68A4" w:rsidRDefault="00777C63" w:rsidP="00B15BF5">
      <w:pPr>
        <w:pStyle w:val="a6"/>
        <w:snapToGrid w:val="0"/>
        <w:spacing w:line="360" w:lineRule="auto"/>
        <w:jc w:val="center"/>
        <w:rPr>
          <w:rFonts w:ascii="Times New Roman" w:hAnsi="Times New Roman"/>
          <w:color w:val="000000" w:themeColor="text1"/>
        </w:rPr>
      </w:pPr>
      <w:r w:rsidRPr="007C68A4">
        <w:rPr>
          <w:rFonts w:ascii="Times New Roman" w:hAnsi="Times New Roman"/>
          <w:color w:val="000000" w:themeColor="text1"/>
        </w:rPr>
        <w:t>（</w:t>
      </w:r>
      <w:r w:rsidR="001548F9" w:rsidRPr="007C68A4">
        <w:rPr>
          <w:rFonts w:ascii="Times New Roman" w:hAnsi="Times New Roman"/>
          <w:color w:val="000000" w:themeColor="text1"/>
        </w:rPr>
        <w:t>2023</w:t>
      </w:r>
      <w:r w:rsidR="001548F9" w:rsidRPr="007C68A4">
        <w:rPr>
          <w:rFonts w:ascii="Times New Roman" w:hAnsi="Times New Roman"/>
          <w:color w:val="000000" w:themeColor="text1"/>
        </w:rPr>
        <w:t>年</w:t>
      </w:r>
      <w:r w:rsidR="001548F9" w:rsidRPr="007C68A4">
        <w:rPr>
          <w:rFonts w:ascii="Times New Roman" w:hAnsi="Times New Roman"/>
          <w:color w:val="000000" w:themeColor="text1"/>
        </w:rPr>
        <w:t>7</w:t>
      </w:r>
      <w:r w:rsidR="001548F9" w:rsidRPr="007C68A4">
        <w:rPr>
          <w:rFonts w:ascii="Times New Roman" w:hAnsi="Times New Roman"/>
          <w:color w:val="000000" w:themeColor="text1"/>
        </w:rPr>
        <w:t>月</w:t>
      </w:r>
      <w:r w:rsidR="001548F9" w:rsidRPr="007C68A4">
        <w:rPr>
          <w:rFonts w:ascii="Times New Roman" w:hAnsi="Times New Roman"/>
          <w:color w:val="000000" w:themeColor="text1"/>
        </w:rPr>
        <w:t>18</w:t>
      </w:r>
      <w:r w:rsidR="001548F9" w:rsidRPr="007C68A4">
        <w:rPr>
          <w:rFonts w:ascii="Times New Roman" w:hAnsi="Times New Roman"/>
          <w:color w:val="000000" w:themeColor="text1"/>
        </w:rPr>
        <w:t>日至</w:t>
      </w:r>
      <w:r w:rsidRPr="007C68A4">
        <w:rPr>
          <w:rFonts w:ascii="Times New Roman" w:hAnsi="Times New Roman"/>
          <w:color w:val="000000" w:themeColor="text1"/>
        </w:rPr>
        <w:t>2024</w:t>
      </w:r>
      <w:r w:rsidRPr="007C68A4">
        <w:rPr>
          <w:rFonts w:ascii="Times New Roman" w:hAnsi="Times New Roman"/>
          <w:color w:val="000000" w:themeColor="text1"/>
        </w:rPr>
        <w:t>年</w:t>
      </w:r>
      <w:r w:rsidRPr="007C68A4">
        <w:rPr>
          <w:rFonts w:ascii="Times New Roman" w:hAnsi="Times New Roman"/>
          <w:color w:val="000000" w:themeColor="text1"/>
        </w:rPr>
        <w:t>6</w:t>
      </w:r>
      <w:r w:rsidRPr="007C68A4">
        <w:rPr>
          <w:rFonts w:ascii="Times New Roman" w:hAnsi="Times New Roman"/>
          <w:color w:val="000000" w:themeColor="text1"/>
        </w:rPr>
        <w:t>月</w:t>
      </w:r>
      <w:r w:rsidRPr="007C68A4">
        <w:rPr>
          <w:rFonts w:ascii="Times New Roman" w:hAnsi="Times New Roman"/>
          <w:color w:val="000000" w:themeColor="text1"/>
        </w:rPr>
        <w:t>30</w:t>
      </w:r>
      <w:r w:rsidRPr="007C68A4">
        <w:rPr>
          <w:rFonts w:ascii="Times New Roman" w:hAnsi="Times New Roman"/>
          <w:color w:val="000000" w:themeColor="text1"/>
        </w:rPr>
        <w:t>日）</w:t>
      </w:r>
    </w:p>
    <w:p w14:paraId="07FBDE38"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摩根恒生科技</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(QDII)A</w:t>
      </w:r>
    </w:p>
    <w:p w14:paraId="6488BB92" w14:textId="77777777" w:rsidR="00B15BF5" w:rsidRPr="007C68A4" w:rsidRDefault="00B15BF5" w:rsidP="00B15BF5">
      <w:pPr>
        <w:pStyle w:val="a6"/>
        <w:snapToGrid w:val="0"/>
        <w:spacing w:line="360" w:lineRule="auto"/>
        <w:rPr>
          <w:rFonts w:ascii="Times New Roman" w:hAnsi="Times New Roman"/>
          <w:color w:val="000000" w:themeColor="text1"/>
        </w:rPr>
      </w:pPr>
    </w:p>
    <w:p w14:paraId="6C90B6D7" w14:textId="77777777" w:rsidR="001548F9" w:rsidRPr="007C68A4" w:rsidRDefault="00D33BAF" w:rsidP="00D82066">
      <w:pPr>
        <w:spacing w:line="360" w:lineRule="auto"/>
        <w:jc w:val="center"/>
        <w:rPr>
          <w:color w:val="000000" w:themeColor="text1"/>
          <w:szCs w:val="21"/>
        </w:rPr>
      </w:pPr>
      <w:r w:rsidRPr="007C68A4">
        <w:rPr>
          <w:noProof/>
          <w:color w:val="000000" w:themeColor="text1"/>
          <w:szCs w:val="21"/>
        </w:rPr>
        <w:drawing>
          <wp:inline distT="0" distB="0" distL="0" distR="0" wp14:anchorId="283A343A" wp14:editId="5BF26F2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6C3380A" w14:textId="77777777"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注：本基金合同生效日为</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7</w:t>
      </w:r>
      <w:r w:rsidRPr="007C68A4">
        <w:rPr>
          <w:rFonts w:eastAsiaTheme="minorEastAsia"/>
          <w:color w:val="000000" w:themeColor="text1"/>
          <w:kern w:val="0"/>
          <w:szCs w:val="21"/>
        </w:rPr>
        <w:t>月</w:t>
      </w:r>
      <w:r w:rsidRPr="007C68A4">
        <w:rPr>
          <w:rFonts w:eastAsiaTheme="minorEastAsia"/>
          <w:color w:val="000000" w:themeColor="text1"/>
          <w:kern w:val="0"/>
          <w:szCs w:val="21"/>
        </w:rPr>
        <w:t>18</w:t>
      </w:r>
      <w:r w:rsidRPr="007C68A4">
        <w:rPr>
          <w:rFonts w:eastAsiaTheme="minorEastAsia"/>
          <w:color w:val="000000" w:themeColor="text1"/>
          <w:kern w:val="0"/>
          <w:szCs w:val="21"/>
        </w:rPr>
        <w:t>日，截至本报告期末本基金合同生效未满一年。本基金建仓期为本基金合同生效日起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14:paraId="0A499AB2" w14:textId="77777777"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摩根恒生科技</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发起式联接</w:t>
      </w:r>
      <w:r w:rsidRPr="007C68A4">
        <w:rPr>
          <w:rFonts w:ascii="Times New Roman" w:eastAsiaTheme="minorEastAsia" w:hAnsi="Times New Roman"/>
          <w:color w:val="000000" w:themeColor="text1"/>
          <w:sz w:val="21"/>
          <w:szCs w:val="21"/>
        </w:rPr>
        <w:t>(QDII)C</w:t>
      </w:r>
    </w:p>
    <w:p w14:paraId="44C067F2" w14:textId="77777777"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r w:rsidRPr="007C68A4">
        <w:rPr>
          <w:rFonts w:ascii="Times New Roman" w:eastAsiaTheme="minorEastAsia" w:hAnsi="Times New Roman"/>
          <w:noProof/>
          <w:color w:val="000000" w:themeColor="text1"/>
          <w:szCs w:val="21"/>
        </w:rPr>
        <w:lastRenderedPageBreak/>
        <w:drawing>
          <wp:inline distT="0" distB="0" distL="0" distR="0" wp14:anchorId="7E9E51ED" wp14:editId="1AB9E47D">
            <wp:extent cx="5759450" cy="3372485"/>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24607B1E" w14:textId="77777777"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注：本基金合同生效日为</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7</w:t>
      </w:r>
      <w:r w:rsidRPr="007C68A4">
        <w:rPr>
          <w:rFonts w:eastAsiaTheme="minorEastAsia"/>
          <w:color w:val="000000" w:themeColor="text1"/>
          <w:kern w:val="0"/>
          <w:szCs w:val="21"/>
        </w:rPr>
        <w:t>月</w:t>
      </w:r>
      <w:r w:rsidRPr="007C68A4">
        <w:rPr>
          <w:rFonts w:eastAsiaTheme="minorEastAsia"/>
          <w:color w:val="000000" w:themeColor="text1"/>
          <w:kern w:val="0"/>
          <w:szCs w:val="21"/>
        </w:rPr>
        <w:t>18</w:t>
      </w:r>
      <w:r w:rsidRPr="007C68A4">
        <w:rPr>
          <w:rFonts w:eastAsiaTheme="minorEastAsia"/>
          <w:color w:val="000000" w:themeColor="text1"/>
          <w:kern w:val="0"/>
          <w:szCs w:val="21"/>
        </w:rPr>
        <w:t>日，截至本报告期末本基金合同生效未满一年。本基金建仓期为本基金合同生效日起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14:paraId="245FFD53" w14:textId="77777777"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p>
    <w:p w14:paraId="11862150" w14:textId="77777777" w:rsidR="00036C1D" w:rsidRPr="007C68A4" w:rsidRDefault="00036C1D" w:rsidP="00036C1D">
      <w:pPr>
        <w:tabs>
          <w:tab w:val="left" w:pos="1800"/>
        </w:tabs>
        <w:spacing w:line="360" w:lineRule="auto"/>
        <w:rPr>
          <w:rFonts w:eastAsiaTheme="minorEastAsia"/>
          <w:color w:val="000000" w:themeColor="text1"/>
          <w:szCs w:val="21"/>
        </w:rPr>
      </w:pPr>
    </w:p>
    <w:p w14:paraId="61B8AA77"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23" w:name="_Toc225498254"/>
      <w:bookmarkStart w:id="24" w:name="_Toc175575265"/>
      <w:r w:rsidRPr="007C68A4">
        <w:rPr>
          <w:b/>
          <w:bCs/>
          <w:color w:val="000000" w:themeColor="text1"/>
          <w:sz w:val="21"/>
          <w:szCs w:val="21"/>
          <w:lang w:val="en-US"/>
        </w:rPr>
        <w:t xml:space="preserve">4  </w:t>
      </w:r>
      <w:r w:rsidRPr="007C68A4">
        <w:rPr>
          <w:b/>
          <w:bCs/>
          <w:color w:val="000000" w:themeColor="text1"/>
          <w:sz w:val="21"/>
          <w:szCs w:val="21"/>
          <w:lang w:val="en-US"/>
        </w:rPr>
        <w:t>管理人报告</w:t>
      </w:r>
      <w:bookmarkEnd w:id="23"/>
      <w:bookmarkEnd w:id="24"/>
    </w:p>
    <w:p w14:paraId="04707E1C"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5" w:name="_Toc175575266"/>
      <w:r w:rsidRPr="007C68A4">
        <w:rPr>
          <w:rFonts w:ascii="Times New Roman" w:hAnsi="Times New Roman"/>
          <w:color w:val="000000" w:themeColor="text1"/>
          <w:kern w:val="0"/>
          <w:sz w:val="21"/>
          <w:szCs w:val="21"/>
        </w:rPr>
        <w:t xml:space="preserve">4.1 </w:t>
      </w:r>
      <w:r w:rsidRPr="007C68A4">
        <w:rPr>
          <w:rFonts w:ascii="Times New Roman" w:hAnsi="Times New Roman"/>
          <w:color w:val="000000" w:themeColor="text1"/>
          <w:kern w:val="0"/>
          <w:sz w:val="21"/>
          <w:szCs w:val="21"/>
        </w:rPr>
        <w:t>基金管理人及基金经理情况</w:t>
      </w:r>
      <w:bookmarkEnd w:id="25"/>
    </w:p>
    <w:p w14:paraId="6AA2BAB5"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4.1.1 </w:t>
      </w:r>
      <w:r w:rsidRPr="007C68A4">
        <w:rPr>
          <w:b/>
          <w:color w:val="000000" w:themeColor="text1"/>
          <w:kern w:val="0"/>
          <w:szCs w:val="21"/>
        </w:rPr>
        <w:t>基金管理人及其管理基金的经验</w:t>
      </w:r>
    </w:p>
    <w:p w14:paraId="7FE196FA"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摩根基金管理（中国）有限公司经中国证券监督管理委员会批准，于</w:t>
      </w:r>
      <w:r w:rsidRPr="007C68A4">
        <w:rPr>
          <w:color w:val="000000" w:themeColor="text1"/>
          <w:szCs w:val="21"/>
        </w:rPr>
        <w:t>2004</w:t>
      </w:r>
      <w:r w:rsidRPr="007C68A4">
        <w:rPr>
          <w:color w:val="000000" w:themeColor="text1"/>
          <w:szCs w:val="21"/>
        </w:rPr>
        <w:t>年</w:t>
      </w:r>
      <w:r w:rsidRPr="007C68A4">
        <w:rPr>
          <w:color w:val="000000" w:themeColor="text1"/>
          <w:szCs w:val="21"/>
        </w:rPr>
        <w:t>5</w:t>
      </w:r>
      <w:r w:rsidRPr="007C68A4">
        <w:rPr>
          <w:color w:val="000000" w:themeColor="text1"/>
          <w:szCs w:val="21"/>
        </w:rPr>
        <w:t>月</w:t>
      </w:r>
      <w:r w:rsidRPr="007C68A4">
        <w:rPr>
          <w:color w:val="000000" w:themeColor="text1"/>
          <w:szCs w:val="21"/>
        </w:rPr>
        <w:t>12</w:t>
      </w:r>
      <w:r w:rsidRPr="007C68A4">
        <w:rPr>
          <w:color w:val="000000" w:themeColor="text1"/>
          <w:szCs w:val="21"/>
        </w:rPr>
        <w:t>日正式成立，注册资本为</w:t>
      </w:r>
      <w:r w:rsidRPr="007C68A4">
        <w:rPr>
          <w:color w:val="000000" w:themeColor="text1"/>
          <w:szCs w:val="21"/>
        </w:rPr>
        <w:t>2.5</w:t>
      </w:r>
      <w:r w:rsidRPr="007C68A4">
        <w:rPr>
          <w:color w:val="000000" w:themeColor="text1"/>
          <w:szCs w:val="21"/>
        </w:rPr>
        <w:t>亿元人民币，注册地上海。</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19</w:t>
      </w:r>
      <w:r w:rsidRPr="007C68A4">
        <w:rPr>
          <w:color w:val="000000" w:themeColor="text1"/>
          <w:szCs w:val="21"/>
        </w:rPr>
        <w:t>日，经中国证监会批准，本公司原股东之一上海国际信托有限公司将其持有的本公司</w:t>
      </w:r>
      <w:r w:rsidRPr="007C68A4">
        <w:rPr>
          <w:color w:val="000000" w:themeColor="text1"/>
          <w:szCs w:val="21"/>
        </w:rPr>
        <w:t>51%</w:t>
      </w:r>
      <w:r w:rsidRPr="007C68A4">
        <w:rPr>
          <w:color w:val="000000" w:themeColor="text1"/>
          <w:szCs w:val="21"/>
        </w:rPr>
        <w:t>股权，与原另一股东</w:t>
      </w:r>
      <w:r w:rsidRPr="007C68A4">
        <w:rPr>
          <w:color w:val="000000" w:themeColor="text1"/>
          <w:szCs w:val="21"/>
        </w:rPr>
        <w:t>JPMorgan Asset Management (UK) Limited</w:t>
      </w:r>
      <w:r w:rsidRPr="007C68A4">
        <w:rPr>
          <w:color w:val="000000" w:themeColor="text1"/>
          <w:szCs w:val="21"/>
        </w:rPr>
        <w:t>将其持有的本公司</w:t>
      </w:r>
      <w:r w:rsidRPr="007C68A4">
        <w:rPr>
          <w:color w:val="000000" w:themeColor="text1"/>
          <w:szCs w:val="21"/>
        </w:rPr>
        <w:t>49%</w:t>
      </w:r>
      <w:r w:rsidRPr="007C68A4">
        <w:rPr>
          <w:color w:val="000000" w:themeColor="text1"/>
          <w:szCs w:val="21"/>
        </w:rPr>
        <w:t>股权转让给摩根资产管理控股公司（</w:t>
      </w:r>
      <w:r w:rsidRPr="007C68A4">
        <w:rPr>
          <w:color w:val="000000" w:themeColor="text1"/>
          <w:szCs w:val="21"/>
        </w:rPr>
        <w:t>JPMorgan Asset Management Holdings Inc.</w:t>
      </w:r>
      <w:r w:rsidRPr="007C68A4">
        <w:rPr>
          <w:color w:val="000000" w:themeColor="text1"/>
          <w:szCs w:val="21"/>
        </w:rPr>
        <w:t>），从而摩根资产管理控股公司取得本公司全部股权。</w:t>
      </w:r>
      <w:r w:rsidRPr="007C68A4">
        <w:rPr>
          <w:color w:val="000000" w:themeColor="text1"/>
          <w:szCs w:val="21"/>
        </w:rPr>
        <w:t>2023</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10</w:t>
      </w:r>
      <w:r w:rsidRPr="007C68A4">
        <w:rPr>
          <w:color w:val="000000" w:themeColor="text1"/>
          <w:szCs w:val="21"/>
        </w:rPr>
        <w:t>日，基金管理人的名称由</w:t>
      </w:r>
      <w:r w:rsidRPr="007C68A4">
        <w:rPr>
          <w:color w:val="000000" w:themeColor="text1"/>
          <w:szCs w:val="21"/>
        </w:rPr>
        <w:t>“</w:t>
      </w:r>
      <w:r w:rsidRPr="007C68A4">
        <w:rPr>
          <w:color w:val="000000" w:themeColor="text1"/>
          <w:szCs w:val="21"/>
        </w:rPr>
        <w:t>上投摩根基金管理有限公司</w:t>
      </w:r>
      <w:r w:rsidRPr="007C68A4">
        <w:rPr>
          <w:color w:val="000000" w:themeColor="text1"/>
          <w:szCs w:val="21"/>
        </w:rPr>
        <w:t>”</w:t>
      </w:r>
      <w:r w:rsidRPr="007C68A4">
        <w:rPr>
          <w:color w:val="000000" w:themeColor="text1"/>
          <w:szCs w:val="21"/>
        </w:rPr>
        <w:t>变更为</w:t>
      </w:r>
      <w:r w:rsidRPr="007C68A4">
        <w:rPr>
          <w:color w:val="000000" w:themeColor="text1"/>
          <w:szCs w:val="21"/>
        </w:rPr>
        <w:t>“</w:t>
      </w:r>
      <w:r w:rsidRPr="007C68A4">
        <w:rPr>
          <w:color w:val="000000" w:themeColor="text1"/>
          <w:szCs w:val="21"/>
        </w:rPr>
        <w:t>摩根基金管理（中国）有限公司</w:t>
      </w:r>
      <w:r w:rsidRPr="007C68A4">
        <w:rPr>
          <w:color w:val="000000" w:themeColor="text1"/>
          <w:szCs w:val="21"/>
        </w:rPr>
        <w:t>”</w:t>
      </w:r>
      <w:r w:rsidRPr="007C68A4">
        <w:rPr>
          <w:color w:val="000000" w:themeColor="text1"/>
          <w:szCs w:val="21"/>
        </w:rPr>
        <w:t>。截至</w:t>
      </w:r>
      <w:r w:rsidRPr="007C68A4">
        <w:rPr>
          <w:color w:val="000000" w:themeColor="text1"/>
          <w:szCs w:val="21"/>
        </w:rPr>
        <w:t xml:space="preserve"> 2024</w:t>
      </w:r>
      <w:r w:rsidRPr="007C68A4">
        <w:rPr>
          <w:color w:val="000000" w:themeColor="text1"/>
          <w:szCs w:val="21"/>
        </w:rPr>
        <w:t>年</w:t>
      </w:r>
      <w:r w:rsidRPr="007C68A4">
        <w:rPr>
          <w:color w:val="000000" w:themeColor="text1"/>
          <w:szCs w:val="21"/>
        </w:rPr>
        <w:t>6</w:t>
      </w:r>
      <w:r w:rsidRPr="007C68A4">
        <w:rPr>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7C68A4">
        <w:rPr>
          <w:color w:val="000000" w:themeColor="text1"/>
          <w:szCs w:val="21"/>
        </w:rPr>
        <w:lastRenderedPageBreak/>
        <w:t>证券投资基金</w:t>
      </w:r>
      <w:r w:rsidRPr="007C68A4">
        <w:rPr>
          <w:color w:val="000000" w:themeColor="text1"/>
          <w:szCs w:val="21"/>
        </w:rPr>
        <w:t>(QDII)</w:t>
      </w:r>
      <w:r w:rsidRPr="007C68A4">
        <w:rPr>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C68A4">
        <w:rPr>
          <w:color w:val="000000" w:themeColor="text1"/>
          <w:szCs w:val="21"/>
        </w:rPr>
        <w:t>(QDII)</w:t>
      </w:r>
      <w:r w:rsidRPr="007C68A4">
        <w:rPr>
          <w:color w:val="000000" w:themeColor="text1"/>
          <w:szCs w:val="21"/>
        </w:rPr>
        <w:t>、摩根新兴动力混合型证券投资基金、摩根强化回报债券型证券投资基金、摩根健康品质生活混合型证券投资基金、摩根全球天然资源混合型证券投资基金</w:t>
      </w:r>
      <w:r w:rsidRPr="007C68A4">
        <w:rPr>
          <w:color w:val="000000" w:themeColor="text1"/>
          <w:szCs w:val="21"/>
        </w:rPr>
        <w:t>(QDII)</w:t>
      </w:r>
      <w:r w:rsidRPr="007C68A4">
        <w:rPr>
          <w:color w:val="000000" w:themeColor="text1"/>
          <w:szCs w:val="21"/>
        </w:rPr>
        <w:t>、摩根核心优选混合型证券投资基金、摩根智选</w:t>
      </w:r>
      <w:r w:rsidRPr="007C68A4">
        <w:rPr>
          <w:color w:val="000000" w:themeColor="text1"/>
          <w:szCs w:val="21"/>
        </w:rPr>
        <w:t>30</w:t>
      </w:r>
      <w:r w:rsidRPr="007C68A4">
        <w:rPr>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C68A4">
        <w:rPr>
          <w:color w:val="000000" w:themeColor="text1"/>
          <w:szCs w:val="21"/>
        </w:rPr>
        <w:t>(QDII)</w:t>
      </w:r>
      <w:r w:rsidRPr="007C68A4">
        <w:rPr>
          <w:color w:val="000000" w:themeColor="text1"/>
          <w:szCs w:val="21"/>
        </w:rPr>
        <w:t>、摩根全球多元配置证券投资基金</w:t>
      </w:r>
      <w:r w:rsidRPr="007C68A4">
        <w:rPr>
          <w:color w:val="000000" w:themeColor="text1"/>
          <w:szCs w:val="21"/>
        </w:rPr>
        <w:t>(QDII-FOF)</w:t>
      </w:r>
      <w:r w:rsidRPr="007C68A4">
        <w:rPr>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C68A4">
        <w:rPr>
          <w:color w:val="000000" w:themeColor="text1"/>
          <w:szCs w:val="21"/>
        </w:rPr>
        <w:t>REITs</w:t>
      </w:r>
      <w:r w:rsidRPr="007C68A4">
        <w:rPr>
          <w:color w:val="000000" w:themeColor="text1"/>
          <w:szCs w:val="21"/>
        </w:rPr>
        <w:t>指数型证券投资基金</w:t>
      </w:r>
      <w:r w:rsidRPr="007C68A4">
        <w:rPr>
          <w:color w:val="000000" w:themeColor="text1"/>
          <w:szCs w:val="21"/>
        </w:rPr>
        <w:t>(QDII)</w:t>
      </w:r>
      <w:r w:rsidRPr="007C68A4">
        <w:rPr>
          <w:color w:val="000000" w:themeColor="text1"/>
          <w:szCs w:val="21"/>
        </w:rPr>
        <w:t>、摩根香港精选港股通混合型证券投资基金、摩根尚睿混合型基金中基金</w:t>
      </w:r>
      <w:r w:rsidRPr="007C68A4">
        <w:rPr>
          <w:color w:val="000000" w:themeColor="text1"/>
          <w:szCs w:val="21"/>
        </w:rPr>
        <w:t>(FOF)</w:t>
      </w:r>
      <w:r w:rsidRPr="007C68A4">
        <w:rPr>
          <w:color w:val="000000" w:themeColor="text1"/>
          <w:szCs w:val="21"/>
        </w:rPr>
        <w:t>、摩根安裕回报混合型证券投资基金、摩根欧洲动力策略股票型证券投资基金</w:t>
      </w:r>
      <w:r w:rsidRPr="007C68A4">
        <w:rPr>
          <w:color w:val="000000" w:themeColor="text1"/>
          <w:szCs w:val="21"/>
        </w:rPr>
        <w:t>(QDII)</w:t>
      </w:r>
      <w:r w:rsidRPr="007C68A4">
        <w:rPr>
          <w:color w:val="000000" w:themeColor="text1"/>
          <w:szCs w:val="21"/>
        </w:rPr>
        <w:t>、摩根核心精选股票型证券投资基金、摩根动力精选混合型证券投资基金、摩根中国生物医药混合型证券投资基金</w:t>
      </w:r>
      <w:r w:rsidRPr="007C68A4">
        <w:rPr>
          <w:color w:val="000000" w:themeColor="text1"/>
          <w:szCs w:val="21"/>
        </w:rPr>
        <w:t>(QDII)</w:t>
      </w:r>
      <w:r w:rsidRPr="007C68A4">
        <w:rPr>
          <w:color w:val="000000" w:themeColor="text1"/>
          <w:szCs w:val="21"/>
        </w:rPr>
        <w:t>、摩根领先优选混合型证券投资基金、摩根日本精选股票型证券投资基金</w:t>
      </w:r>
      <w:r w:rsidRPr="007C68A4">
        <w:rPr>
          <w:color w:val="000000" w:themeColor="text1"/>
          <w:szCs w:val="21"/>
        </w:rPr>
        <w:t>(QDII)</w:t>
      </w:r>
      <w:r w:rsidRPr="007C68A4">
        <w:rPr>
          <w:color w:val="000000" w:themeColor="text1"/>
          <w:szCs w:val="21"/>
        </w:rPr>
        <w:t>、摩根锦程均衡养老目标三年持有期混合型基金中基金</w:t>
      </w:r>
      <w:r w:rsidRPr="007C68A4">
        <w:rPr>
          <w:color w:val="000000" w:themeColor="text1"/>
          <w:szCs w:val="21"/>
        </w:rPr>
        <w:t>(FOF)</w:t>
      </w:r>
      <w:r w:rsidRPr="007C68A4">
        <w:rPr>
          <w:color w:val="000000" w:themeColor="text1"/>
          <w:szCs w:val="21"/>
        </w:rPr>
        <w:t>、摩根瑞益纯债债券型证券投资基金、摩根慧选成长股票型证券投资基金、摩根瑞泰</w:t>
      </w:r>
      <w:r w:rsidRPr="007C68A4">
        <w:rPr>
          <w:color w:val="000000" w:themeColor="text1"/>
          <w:szCs w:val="21"/>
        </w:rPr>
        <w:t>38</w:t>
      </w:r>
      <w:r w:rsidRPr="007C68A4">
        <w:rPr>
          <w:color w:val="000000" w:themeColor="text1"/>
          <w:szCs w:val="21"/>
        </w:rPr>
        <w:t>个月定期开放债券型证券投资基金、摩根锦程稳健养老目标一年持有期混合型基金中基金</w:t>
      </w:r>
      <w:r w:rsidRPr="007C68A4">
        <w:rPr>
          <w:color w:val="000000" w:themeColor="text1"/>
          <w:szCs w:val="21"/>
        </w:rPr>
        <w:t>(FOF)</w:t>
      </w: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股交易型开放式指数证券投资基金、摩根研究驱动股票型证券投资基金、摩根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股交易型开放式指数证券投资基金联接基金、摩根瑞盛</w:t>
      </w:r>
      <w:r w:rsidRPr="007C68A4">
        <w:rPr>
          <w:color w:val="000000" w:themeColor="text1"/>
          <w:szCs w:val="21"/>
        </w:rPr>
        <w:t>87</w:t>
      </w:r>
      <w:r w:rsidRPr="007C68A4">
        <w:rPr>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C68A4">
        <w:rPr>
          <w:color w:val="000000" w:themeColor="text1"/>
          <w:szCs w:val="21"/>
        </w:rPr>
        <w:t>1-3</w:t>
      </w:r>
      <w:r w:rsidRPr="007C68A4">
        <w:rPr>
          <w:color w:val="000000" w:themeColor="text1"/>
          <w:szCs w:val="21"/>
        </w:rPr>
        <w:t>年国开行债券指数证券投资基金、摩根景气甄选混合型证券投资基金、摩根均衡优选混合型证券投资基金、摩根中证沪港深科技</w:t>
      </w:r>
      <w:r w:rsidRPr="007C68A4">
        <w:rPr>
          <w:color w:val="000000" w:themeColor="text1"/>
          <w:szCs w:val="21"/>
        </w:rPr>
        <w:t>100</w:t>
      </w:r>
      <w:r w:rsidRPr="007C68A4">
        <w:rPr>
          <w:color w:val="000000" w:themeColor="text1"/>
          <w:szCs w:val="21"/>
        </w:rPr>
        <w:t>交易型开放式指数证券投资基金、摩根月月盈</w:t>
      </w:r>
      <w:r w:rsidRPr="007C68A4">
        <w:rPr>
          <w:color w:val="000000" w:themeColor="text1"/>
          <w:szCs w:val="21"/>
        </w:rPr>
        <w:t>30</w:t>
      </w:r>
      <w:r w:rsidRPr="007C68A4">
        <w:rPr>
          <w:color w:val="000000" w:themeColor="text1"/>
          <w:szCs w:val="21"/>
        </w:rPr>
        <w:t>天滚动持有发起式短债债券型证券投资基金、摩根恒生科技交易型开放式指数证券投资基金</w:t>
      </w:r>
      <w:r w:rsidRPr="007C68A4">
        <w:rPr>
          <w:color w:val="000000" w:themeColor="text1"/>
          <w:szCs w:val="21"/>
        </w:rPr>
        <w:t>(QDII)</w:t>
      </w:r>
      <w:r w:rsidRPr="007C68A4">
        <w:rPr>
          <w:color w:val="000000" w:themeColor="text1"/>
          <w:szCs w:val="21"/>
        </w:rPr>
        <w:t>、摩根全景优势股票型证券投资基金、摩根沃享远见一年持有期混合型证券投资基金、摩根鑫睿优选一年</w:t>
      </w:r>
      <w:r w:rsidRPr="007C68A4">
        <w:rPr>
          <w:color w:val="000000" w:themeColor="text1"/>
          <w:szCs w:val="21"/>
        </w:rPr>
        <w:lastRenderedPageBreak/>
        <w:t>持有期混合型证券投资基金、摩根博睿均衡一年持有期混合型基金中基金</w:t>
      </w:r>
      <w:r w:rsidRPr="007C68A4">
        <w:rPr>
          <w:color w:val="000000" w:themeColor="text1"/>
          <w:szCs w:val="21"/>
        </w:rPr>
        <w:t>(FOF)</w:t>
      </w:r>
      <w:r w:rsidRPr="007C68A4">
        <w:rPr>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C68A4">
        <w:rPr>
          <w:color w:val="000000" w:themeColor="text1"/>
          <w:szCs w:val="21"/>
        </w:rPr>
        <w:t>60</w:t>
      </w:r>
      <w:r w:rsidRPr="007C68A4">
        <w:rPr>
          <w:color w:val="000000" w:themeColor="text1"/>
          <w:szCs w:val="21"/>
        </w:rPr>
        <w:t>交易型开放式指数证券投资基金、摩根沪深</w:t>
      </w:r>
      <w:r w:rsidRPr="007C68A4">
        <w:rPr>
          <w:color w:val="000000" w:themeColor="text1"/>
          <w:szCs w:val="21"/>
        </w:rPr>
        <w:t>300</w:t>
      </w:r>
      <w:r w:rsidRPr="007C68A4">
        <w:rPr>
          <w:color w:val="000000" w:themeColor="text1"/>
          <w:szCs w:val="21"/>
        </w:rPr>
        <w:t>指数增强型发起式证券投资基金、摩根标普</w:t>
      </w:r>
      <w:r w:rsidRPr="007C68A4">
        <w:rPr>
          <w:color w:val="000000" w:themeColor="text1"/>
          <w:szCs w:val="21"/>
        </w:rPr>
        <w:t>500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、摩根锦颐养老目标日期</w:t>
      </w:r>
      <w:r w:rsidRPr="007C68A4">
        <w:rPr>
          <w:color w:val="000000" w:themeColor="text1"/>
          <w:szCs w:val="21"/>
        </w:rPr>
        <w:t>2035</w:t>
      </w:r>
      <w:r w:rsidRPr="007C68A4">
        <w:rPr>
          <w:color w:val="000000" w:themeColor="text1"/>
          <w:szCs w:val="21"/>
        </w:rPr>
        <w:t>三年持有期混合型发起式基金中基金</w:t>
      </w:r>
      <w:r w:rsidRPr="007C68A4">
        <w:rPr>
          <w:color w:val="000000" w:themeColor="text1"/>
          <w:szCs w:val="21"/>
        </w:rPr>
        <w:t>(FOF)</w:t>
      </w:r>
      <w:r w:rsidRPr="007C68A4">
        <w:rPr>
          <w:color w:val="000000" w:themeColor="text1"/>
          <w:szCs w:val="21"/>
        </w:rPr>
        <w:t>、摩根海外稳健配置混合型证券投资基金</w:t>
      </w:r>
      <w:r w:rsidRPr="007C68A4">
        <w:rPr>
          <w:color w:val="000000" w:themeColor="text1"/>
          <w:szCs w:val="21"/>
        </w:rPr>
        <w:t>(QDII-FOF)</w:t>
      </w:r>
      <w:r w:rsidRPr="007C68A4">
        <w:rPr>
          <w:color w:val="000000" w:themeColor="text1"/>
          <w:szCs w:val="21"/>
        </w:rPr>
        <w:t>、摩根双季鑫</w:t>
      </w:r>
      <w:r w:rsidRPr="007C68A4">
        <w:rPr>
          <w:color w:val="000000" w:themeColor="text1"/>
          <w:szCs w:val="21"/>
        </w:rPr>
        <w:t>6</w:t>
      </w:r>
      <w:r w:rsidRPr="007C68A4">
        <w:rPr>
          <w:color w:val="000000" w:themeColor="text1"/>
          <w:szCs w:val="21"/>
        </w:rPr>
        <w:t>个月持有期债券型发起式基金中基金</w:t>
      </w:r>
      <w:r w:rsidRPr="007C68A4">
        <w:rPr>
          <w:color w:val="000000" w:themeColor="text1"/>
          <w:szCs w:val="21"/>
        </w:rPr>
        <w:t>(FOF)</w:t>
      </w:r>
      <w:r w:rsidRPr="007C68A4">
        <w:rPr>
          <w:color w:val="000000" w:themeColor="text1"/>
          <w:szCs w:val="21"/>
        </w:rPr>
        <w:t>、摩根恒生科技交易型开放式指数证券投资基金发起式联接基金</w:t>
      </w:r>
      <w:r w:rsidRPr="007C68A4">
        <w:rPr>
          <w:color w:val="000000" w:themeColor="text1"/>
          <w:szCs w:val="21"/>
        </w:rPr>
        <w:t xml:space="preserve">(QDII) </w:t>
      </w:r>
      <w:r w:rsidRPr="007C68A4">
        <w:rPr>
          <w:color w:val="000000" w:themeColor="text1"/>
          <w:szCs w:val="21"/>
        </w:rPr>
        <w:t>、摩根世代趋势混合型发起式证券投资基金、摩根纳斯达克</w:t>
      </w:r>
      <w:r w:rsidRPr="007C68A4">
        <w:rPr>
          <w:color w:val="000000" w:themeColor="text1"/>
          <w:szCs w:val="21"/>
        </w:rPr>
        <w:t>100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、摩根瑞锦纯债债券型证券投资基金、摩根标普港股通低波红利交易型开放式指数证券投资基金、摩根中证同业存单</w:t>
      </w:r>
      <w:r w:rsidRPr="007C68A4">
        <w:rPr>
          <w:color w:val="000000" w:themeColor="text1"/>
          <w:szCs w:val="21"/>
        </w:rPr>
        <w:t>AAA</w:t>
      </w:r>
      <w:r w:rsidRPr="007C68A4">
        <w:rPr>
          <w:color w:val="000000" w:themeColor="text1"/>
          <w:szCs w:val="21"/>
        </w:rPr>
        <w:t>指数</w:t>
      </w:r>
      <w:r w:rsidRPr="007C68A4">
        <w:rPr>
          <w:color w:val="000000" w:themeColor="text1"/>
          <w:szCs w:val="21"/>
        </w:rPr>
        <w:t>7</w:t>
      </w:r>
      <w:r w:rsidRPr="007C68A4">
        <w:rPr>
          <w:color w:val="000000" w:themeColor="text1"/>
          <w:szCs w:val="21"/>
        </w:rPr>
        <w:t>天持有期证券投资基金、摩根中证</w:t>
      </w:r>
      <w:r w:rsidRPr="007C68A4">
        <w:rPr>
          <w:color w:val="000000" w:themeColor="text1"/>
          <w:szCs w:val="21"/>
        </w:rPr>
        <w:t>A50</w:t>
      </w:r>
      <w:r w:rsidRPr="007C68A4">
        <w:rPr>
          <w:color w:val="000000" w:themeColor="text1"/>
          <w:szCs w:val="21"/>
        </w:rPr>
        <w:t>交易型开放式指数证券投资基金、摩根悦享回报</w:t>
      </w:r>
      <w:r w:rsidRPr="007C68A4">
        <w:rPr>
          <w:color w:val="000000" w:themeColor="text1"/>
          <w:szCs w:val="21"/>
        </w:rPr>
        <w:t>6</w:t>
      </w:r>
      <w:r w:rsidRPr="007C68A4">
        <w:rPr>
          <w:color w:val="000000" w:themeColor="text1"/>
          <w:szCs w:val="21"/>
        </w:rPr>
        <w:t>个月持有期混合型证券投资基金、摩根中证</w:t>
      </w:r>
      <w:r w:rsidRPr="007C68A4">
        <w:rPr>
          <w:color w:val="000000" w:themeColor="text1"/>
          <w:szCs w:val="21"/>
        </w:rPr>
        <w:t>A50</w:t>
      </w:r>
      <w:r w:rsidRPr="007C68A4">
        <w:rPr>
          <w:color w:val="000000" w:themeColor="text1"/>
          <w:szCs w:val="21"/>
        </w:rPr>
        <w:t>交易型开放式指数证券投资基金发起式联接基金、摩根瑞欣利率债债券型证券投资基金。</w:t>
      </w:r>
    </w:p>
    <w:p w14:paraId="0C6A043D" w14:textId="77777777" w:rsidR="001548F9" w:rsidRPr="007C68A4" w:rsidRDefault="006E34F8"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4.1.2</w:t>
      </w:r>
      <w:r w:rsidR="001548F9" w:rsidRPr="007C68A4">
        <w:rPr>
          <w:b/>
          <w:color w:val="000000" w:themeColor="text1"/>
          <w:kern w:val="0"/>
          <w:szCs w:val="21"/>
        </w:rPr>
        <w:t xml:space="preserve"> </w:t>
      </w:r>
      <w:r w:rsidR="001548F9" w:rsidRPr="007C68A4">
        <w:rPr>
          <w:b/>
          <w:color w:val="000000" w:themeColor="text1"/>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7C68A4" w:rsidRPr="007C68A4" w14:paraId="05D5C09A" w14:textId="77777777" w:rsidTr="00EB1348">
        <w:trPr>
          <w:cantSplit/>
        </w:trPr>
        <w:tc>
          <w:tcPr>
            <w:tcW w:w="1090" w:type="dxa"/>
            <w:vMerge w:val="restart"/>
            <w:vAlign w:val="center"/>
          </w:tcPr>
          <w:p w14:paraId="5A313EBF" w14:textId="77777777" w:rsidR="001548F9" w:rsidRPr="007C68A4" w:rsidRDefault="001548F9">
            <w:pPr>
              <w:jc w:val="center"/>
              <w:rPr>
                <w:color w:val="000000" w:themeColor="text1"/>
                <w:szCs w:val="21"/>
              </w:rPr>
            </w:pPr>
            <w:r w:rsidRPr="007C68A4">
              <w:rPr>
                <w:color w:val="000000" w:themeColor="text1"/>
                <w:szCs w:val="21"/>
              </w:rPr>
              <w:t>姓名</w:t>
            </w:r>
          </w:p>
        </w:tc>
        <w:tc>
          <w:tcPr>
            <w:tcW w:w="1500" w:type="dxa"/>
            <w:vMerge w:val="restart"/>
            <w:vAlign w:val="center"/>
          </w:tcPr>
          <w:p w14:paraId="2E411422" w14:textId="77777777" w:rsidR="001548F9" w:rsidRPr="007C68A4" w:rsidRDefault="001548F9">
            <w:pPr>
              <w:jc w:val="center"/>
              <w:rPr>
                <w:color w:val="000000" w:themeColor="text1"/>
                <w:szCs w:val="21"/>
              </w:rPr>
            </w:pPr>
            <w:r w:rsidRPr="007C68A4">
              <w:rPr>
                <w:color w:val="000000" w:themeColor="text1"/>
                <w:szCs w:val="21"/>
              </w:rPr>
              <w:t>职务</w:t>
            </w:r>
          </w:p>
        </w:tc>
        <w:tc>
          <w:tcPr>
            <w:tcW w:w="2450" w:type="dxa"/>
            <w:gridSpan w:val="2"/>
          </w:tcPr>
          <w:p w14:paraId="11AE21AA" w14:textId="77777777" w:rsidR="001728F8" w:rsidRPr="007C68A4" w:rsidRDefault="001548F9">
            <w:pPr>
              <w:jc w:val="center"/>
              <w:rPr>
                <w:color w:val="000000" w:themeColor="text1"/>
                <w:szCs w:val="21"/>
              </w:rPr>
            </w:pPr>
            <w:r w:rsidRPr="007C68A4">
              <w:rPr>
                <w:color w:val="000000" w:themeColor="text1"/>
                <w:szCs w:val="21"/>
              </w:rPr>
              <w:t>任本基金的基金经理</w:t>
            </w:r>
          </w:p>
          <w:p w14:paraId="604E2AE8" w14:textId="77777777" w:rsidR="001548F9" w:rsidRPr="007C68A4" w:rsidRDefault="001548F9">
            <w:pPr>
              <w:jc w:val="center"/>
              <w:rPr>
                <w:color w:val="000000" w:themeColor="text1"/>
                <w:szCs w:val="21"/>
              </w:rPr>
            </w:pPr>
            <w:r w:rsidRPr="007C68A4">
              <w:rPr>
                <w:color w:val="000000" w:themeColor="text1"/>
                <w:szCs w:val="21"/>
              </w:rPr>
              <w:t>（助理）期限</w:t>
            </w:r>
          </w:p>
        </w:tc>
        <w:tc>
          <w:tcPr>
            <w:tcW w:w="1236" w:type="dxa"/>
            <w:vMerge w:val="restart"/>
            <w:vAlign w:val="center"/>
          </w:tcPr>
          <w:p w14:paraId="31D0F04E" w14:textId="77777777" w:rsidR="001548F9" w:rsidRPr="007C68A4" w:rsidRDefault="001548F9">
            <w:pPr>
              <w:jc w:val="center"/>
              <w:rPr>
                <w:color w:val="000000" w:themeColor="text1"/>
                <w:szCs w:val="21"/>
              </w:rPr>
            </w:pPr>
            <w:r w:rsidRPr="007C68A4">
              <w:rPr>
                <w:color w:val="000000" w:themeColor="text1"/>
                <w:szCs w:val="21"/>
              </w:rPr>
              <w:t>证券从业年限</w:t>
            </w:r>
          </w:p>
        </w:tc>
        <w:tc>
          <w:tcPr>
            <w:tcW w:w="3264" w:type="dxa"/>
            <w:vMerge w:val="restart"/>
            <w:vAlign w:val="center"/>
          </w:tcPr>
          <w:p w14:paraId="379FBB00" w14:textId="77777777" w:rsidR="001548F9" w:rsidRPr="007C68A4" w:rsidRDefault="001548F9">
            <w:pPr>
              <w:jc w:val="center"/>
              <w:rPr>
                <w:color w:val="000000" w:themeColor="text1"/>
                <w:szCs w:val="21"/>
              </w:rPr>
            </w:pPr>
            <w:r w:rsidRPr="007C68A4">
              <w:rPr>
                <w:color w:val="000000" w:themeColor="text1"/>
                <w:szCs w:val="21"/>
              </w:rPr>
              <w:t>说明</w:t>
            </w:r>
          </w:p>
        </w:tc>
      </w:tr>
      <w:tr w:rsidR="007C68A4" w:rsidRPr="007C68A4" w14:paraId="6DD889DE" w14:textId="77777777" w:rsidTr="00EB1348">
        <w:trPr>
          <w:cantSplit/>
        </w:trPr>
        <w:tc>
          <w:tcPr>
            <w:tcW w:w="1090" w:type="dxa"/>
            <w:vMerge/>
            <w:vAlign w:val="center"/>
          </w:tcPr>
          <w:p w14:paraId="744A8000" w14:textId="77777777" w:rsidR="001548F9" w:rsidRPr="007C68A4" w:rsidRDefault="001548F9">
            <w:pPr>
              <w:widowControl/>
              <w:jc w:val="left"/>
              <w:rPr>
                <w:color w:val="000000" w:themeColor="text1"/>
                <w:szCs w:val="21"/>
              </w:rPr>
            </w:pPr>
          </w:p>
        </w:tc>
        <w:tc>
          <w:tcPr>
            <w:tcW w:w="1500" w:type="dxa"/>
            <w:vMerge/>
            <w:vAlign w:val="center"/>
          </w:tcPr>
          <w:p w14:paraId="691D78B5" w14:textId="77777777" w:rsidR="001548F9" w:rsidRPr="007C68A4" w:rsidRDefault="001548F9">
            <w:pPr>
              <w:widowControl/>
              <w:jc w:val="left"/>
              <w:rPr>
                <w:color w:val="000000" w:themeColor="text1"/>
                <w:szCs w:val="21"/>
              </w:rPr>
            </w:pPr>
          </w:p>
        </w:tc>
        <w:tc>
          <w:tcPr>
            <w:tcW w:w="1190" w:type="dxa"/>
            <w:vAlign w:val="center"/>
          </w:tcPr>
          <w:p w14:paraId="2AACA992" w14:textId="77777777" w:rsidR="001548F9" w:rsidRPr="007C68A4" w:rsidRDefault="001548F9">
            <w:pPr>
              <w:jc w:val="center"/>
              <w:rPr>
                <w:color w:val="000000" w:themeColor="text1"/>
                <w:szCs w:val="21"/>
              </w:rPr>
            </w:pPr>
            <w:r w:rsidRPr="007C68A4">
              <w:rPr>
                <w:color w:val="000000" w:themeColor="text1"/>
                <w:szCs w:val="21"/>
              </w:rPr>
              <w:t>任职日期</w:t>
            </w:r>
          </w:p>
        </w:tc>
        <w:tc>
          <w:tcPr>
            <w:tcW w:w="1260" w:type="dxa"/>
            <w:vAlign w:val="center"/>
          </w:tcPr>
          <w:p w14:paraId="3CF21C82" w14:textId="77777777" w:rsidR="001548F9" w:rsidRPr="007C68A4" w:rsidRDefault="001548F9">
            <w:pPr>
              <w:jc w:val="center"/>
              <w:rPr>
                <w:color w:val="000000" w:themeColor="text1"/>
                <w:szCs w:val="21"/>
              </w:rPr>
            </w:pPr>
            <w:r w:rsidRPr="007C68A4">
              <w:rPr>
                <w:color w:val="000000" w:themeColor="text1"/>
                <w:szCs w:val="21"/>
              </w:rPr>
              <w:t>离任日期</w:t>
            </w:r>
          </w:p>
        </w:tc>
        <w:tc>
          <w:tcPr>
            <w:tcW w:w="1236" w:type="dxa"/>
            <w:vMerge/>
            <w:vAlign w:val="center"/>
          </w:tcPr>
          <w:p w14:paraId="2F3C723B" w14:textId="77777777" w:rsidR="001548F9" w:rsidRPr="007C68A4" w:rsidRDefault="001548F9">
            <w:pPr>
              <w:widowControl/>
              <w:jc w:val="left"/>
              <w:rPr>
                <w:color w:val="000000" w:themeColor="text1"/>
                <w:szCs w:val="21"/>
              </w:rPr>
            </w:pPr>
          </w:p>
        </w:tc>
        <w:tc>
          <w:tcPr>
            <w:tcW w:w="3264" w:type="dxa"/>
            <w:vMerge/>
            <w:vAlign w:val="center"/>
          </w:tcPr>
          <w:p w14:paraId="3CF71474" w14:textId="77777777" w:rsidR="001548F9" w:rsidRPr="007C68A4" w:rsidRDefault="001548F9">
            <w:pPr>
              <w:widowControl/>
              <w:jc w:val="left"/>
              <w:rPr>
                <w:color w:val="000000" w:themeColor="text1"/>
                <w:szCs w:val="21"/>
              </w:rPr>
            </w:pPr>
          </w:p>
        </w:tc>
      </w:tr>
      <w:tr w:rsidR="00FA3CB3" w14:paraId="2192D1A9" w14:textId="77777777">
        <w:tc>
          <w:tcPr>
            <w:tcW w:w="1090" w:type="dxa"/>
            <w:vAlign w:val="center"/>
          </w:tcPr>
          <w:p w14:paraId="272E00C9" w14:textId="77777777" w:rsidR="00FA3CB3" w:rsidRDefault="00052A0D">
            <w:pPr>
              <w:jc w:val="center"/>
            </w:pPr>
            <w:r>
              <w:rPr>
                <w:color w:val="000000" w:themeColor="text1"/>
                <w:szCs w:val="21"/>
              </w:rPr>
              <w:t>毛时超</w:t>
            </w:r>
          </w:p>
        </w:tc>
        <w:tc>
          <w:tcPr>
            <w:tcW w:w="1500" w:type="dxa"/>
            <w:vAlign w:val="center"/>
          </w:tcPr>
          <w:p w14:paraId="2AE0F1AB" w14:textId="77777777" w:rsidR="00FA3CB3" w:rsidRDefault="00052A0D">
            <w:pPr>
              <w:jc w:val="center"/>
            </w:pPr>
            <w:r>
              <w:rPr>
                <w:color w:val="000000" w:themeColor="text1"/>
                <w:szCs w:val="21"/>
              </w:rPr>
              <w:t>本基金基金经理</w:t>
            </w:r>
          </w:p>
        </w:tc>
        <w:tc>
          <w:tcPr>
            <w:tcW w:w="1190" w:type="dxa"/>
            <w:vAlign w:val="center"/>
          </w:tcPr>
          <w:p w14:paraId="12A3EE03" w14:textId="77777777" w:rsidR="00FA3CB3" w:rsidRDefault="00052A0D">
            <w:pPr>
              <w:jc w:val="center"/>
            </w:pPr>
            <w:r>
              <w:rPr>
                <w:color w:val="000000" w:themeColor="text1"/>
                <w:szCs w:val="21"/>
              </w:rPr>
              <w:t>2023-07-18</w:t>
            </w:r>
          </w:p>
        </w:tc>
        <w:tc>
          <w:tcPr>
            <w:tcW w:w="1260" w:type="dxa"/>
            <w:vAlign w:val="center"/>
          </w:tcPr>
          <w:p w14:paraId="35EEA81B" w14:textId="77777777" w:rsidR="00FA3CB3" w:rsidRDefault="00052A0D">
            <w:pPr>
              <w:jc w:val="center"/>
            </w:pPr>
            <w:r>
              <w:rPr>
                <w:color w:val="000000" w:themeColor="text1"/>
                <w:szCs w:val="21"/>
              </w:rPr>
              <w:t>-</w:t>
            </w:r>
          </w:p>
        </w:tc>
        <w:tc>
          <w:tcPr>
            <w:tcW w:w="1236" w:type="dxa"/>
            <w:vAlign w:val="center"/>
          </w:tcPr>
          <w:p w14:paraId="1FB3E46F" w14:textId="77777777" w:rsidR="00FA3CB3" w:rsidRDefault="00052A0D">
            <w:pPr>
              <w:jc w:val="center"/>
            </w:pPr>
            <w:r>
              <w:rPr>
                <w:color w:val="000000" w:themeColor="text1"/>
                <w:szCs w:val="21"/>
              </w:rPr>
              <w:t>8</w:t>
            </w:r>
            <w:r>
              <w:rPr>
                <w:color w:val="000000" w:themeColor="text1"/>
                <w:szCs w:val="21"/>
              </w:rPr>
              <w:t>年</w:t>
            </w:r>
          </w:p>
        </w:tc>
        <w:tc>
          <w:tcPr>
            <w:tcW w:w="3264" w:type="dxa"/>
            <w:vAlign w:val="center"/>
          </w:tcPr>
          <w:p w14:paraId="534F3AE2" w14:textId="77777777" w:rsidR="00FA3CB3" w:rsidRDefault="00052A0D">
            <w:r>
              <w:rPr>
                <w:color w:val="000000" w:themeColor="text1"/>
                <w:szCs w:val="21"/>
              </w:rPr>
              <w:t>毛时超先生曾任平安基金管理有限公司量化研究员、基金经理助理、基金经理；自</w:t>
            </w:r>
            <w:r>
              <w:rPr>
                <w:color w:val="000000" w:themeColor="text1"/>
                <w:szCs w:val="21"/>
              </w:rPr>
              <w:t>2021</w:t>
            </w:r>
            <w:r>
              <w:rPr>
                <w:color w:val="000000" w:themeColor="text1"/>
                <w:szCs w:val="21"/>
              </w:rPr>
              <w:t>年</w:t>
            </w:r>
            <w:r>
              <w:rPr>
                <w:color w:val="000000" w:themeColor="text1"/>
                <w:szCs w:val="21"/>
              </w:rPr>
              <w:t>11</w:t>
            </w:r>
            <w:r>
              <w:rPr>
                <w:color w:val="000000" w:themeColor="text1"/>
                <w:szCs w:val="21"/>
              </w:rPr>
              <w:t>月加入摩根基金管理（中国）有限公司（原上投摩根基金管理有限公司），现任指数及量化投资部基金经理。</w:t>
            </w:r>
          </w:p>
        </w:tc>
      </w:tr>
      <w:tr w:rsidR="00FA3CB3" w14:paraId="2C1AB042" w14:textId="77777777">
        <w:tc>
          <w:tcPr>
            <w:tcW w:w="1090" w:type="dxa"/>
            <w:vAlign w:val="center"/>
          </w:tcPr>
          <w:p w14:paraId="188206E8" w14:textId="77777777" w:rsidR="00FA3CB3" w:rsidRDefault="00052A0D">
            <w:pPr>
              <w:jc w:val="center"/>
            </w:pPr>
            <w:r>
              <w:rPr>
                <w:color w:val="000000" w:themeColor="text1"/>
                <w:szCs w:val="21"/>
              </w:rPr>
              <w:t>曲蕾蕾</w:t>
            </w:r>
          </w:p>
        </w:tc>
        <w:tc>
          <w:tcPr>
            <w:tcW w:w="1500" w:type="dxa"/>
            <w:vAlign w:val="center"/>
          </w:tcPr>
          <w:p w14:paraId="4F4FA2D6" w14:textId="77777777" w:rsidR="00FA3CB3" w:rsidRDefault="00052A0D">
            <w:pPr>
              <w:jc w:val="center"/>
            </w:pPr>
            <w:r>
              <w:rPr>
                <w:color w:val="000000" w:themeColor="text1"/>
                <w:szCs w:val="21"/>
              </w:rPr>
              <w:t>本基金基金经理助理</w:t>
            </w:r>
          </w:p>
        </w:tc>
        <w:tc>
          <w:tcPr>
            <w:tcW w:w="1190" w:type="dxa"/>
            <w:vAlign w:val="center"/>
          </w:tcPr>
          <w:p w14:paraId="3D26BA31" w14:textId="77777777" w:rsidR="00FA3CB3" w:rsidRDefault="00052A0D">
            <w:pPr>
              <w:jc w:val="center"/>
            </w:pPr>
            <w:r>
              <w:rPr>
                <w:color w:val="000000" w:themeColor="text1"/>
                <w:szCs w:val="21"/>
              </w:rPr>
              <w:t>2024-04-22</w:t>
            </w:r>
          </w:p>
        </w:tc>
        <w:tc>
          <w:tcPr>
            <w:tcW w:w="1260" w:type="dxa"/>
            <w:vAlign w:val="center"/>
          </w:tcPr>
          <w:p w14:paraId="11C1CA76" w14:textId="77777777" w:rsidR="00FA3CB3" w:rsidRDefault="00052A0D">
            <w:pPr>
              <w:jc w:val="center"/>
            </w:pPr>
            <w:r>
              <w:rPr>
                <w:color w:val="000000" w:themeColor="text1"/>
                <w:szCs w:val="21"/>
              </w:rPr>
              <w:t>-</w:t>
            </w:r>
          </w:p>
        </w:tc>
        <w:tc>
          <w:tcPr>
            <w:tcW w:w="1236" w:type="dxa"/>
            <w:vAlign w:val="center"/>
          </w:tcPr>
          <w:p w14:paraId="5280D07B" w14:textId="77777777" w:rsidR="00FA3CB3" w:rsidRDefault="00052A0D">
            <w:pPr>
              <w:jc w:val="center"/>
            </w:pPr>
            <w:r>
              <w:rPr>
                <w:color w:val="000000" w:themeColor="text1"/>
                <w:szCs w:val="21"/>
              </w:rPr>
              <w:t>8</w:t>
            </w:r>
            <w:r>
              <w:rPr>
                <w:color w:val="000000" w:themeColor="text1"/>
                <w:szCs w:val="21"/>
              </w:rPr>
              <w:t>年</w:t>
            </w:r>
          </w:p>
        </w:tc>
        <w:tc>
          <w:tcPr>
            <w:tcW w:w="3264" w:type="dxa"/>
            <w:vAlign w:val="center"/>
          </w:tcPr>
          <w:p w14:paraId="32CAE0B1" w14:textId="77777777" w:rsidR="00FA3CB3" w:rsidRDefault="00052A0D">
            <w:r>
              <w:rPr>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color w:val="000000" w:themeColor="text1"/>
                <w:szCs w:val="21"/>
              </w:rPr>
              <w:t>2024</w:t>
            </w:r>
            <w:r>
              <w:rPr>
                <w:color w:val="000000" w:themeColor="text1"/>
                <w:szCs w:val="21"/>
              </w:rPr>
              <w:t>年</w:t>
            </w:r>
            <w:r>
              <w:rPr>
                <w:color w:val="000000" w:themeColor="text1"/>
                <w:szCs w:val="21"/>
              </w:rPr>
              <w:t>4</w:t>
            </w:r>
            <w:r>
              <w:rPr>
                <w:color w:val="000000" w:themeColor="text1"/>
                <w:szCs w:val="21"/>
              </w:rPr>
              <w:t>月加入摩根基金管理（中国）有限公司担任指数及量化投资部基金经理助理。</w:t>
            </w:r>
          </w:p>
        </w:tc>
      </w:tr>
    </w:tbl>
    <w:p w14:paraId="16E8922B" w14:textId="77777777" w:rsidR="00FA3CB3" w:rsidRDefault="00052A0D">
      <w:pPr>
        <w:tabs>
          <w:tab w:val="left" w:pos="426"/>
        </w:tabs>
        <w:jc w:val="left"/>
        <w:rPr>
          <w:color w:val="000000" w:themeColor="text1"/>
          <w:kern w:val="0"/>
          <w:szCs w:val="21"/>
        </w:rPr>
      </w:pPr>
      <w:r>
        <w:rPr>
          <w:color w:val="000000" w:themeColor="text1"/>
          <w:kern w:val="0"/>
          <w:szCs w:val="21"/>
        </w:rPr>
        <w:t>注：</w:t>
      </w:r>
      <w:r>
        <w:rPr>
          <w:color w:val="000000" w:themeColor="text1"/>
          <w:kern w:val="0"/>
          <w:szCs w:val="21"/>
        </w:rPr>
        <w:t xml:space="preserve">1. </w:t>
      </w:r>
      <w:r>
        <w:rPr>
          <w:color w:val="000000" w:themeColor="text1"/>
          <w:kern w:val="0"/>
          <w:szCs w:val="21"/>
        </w:rPr>
        <w:t>任职日期和离任日期均指根据公司决定确定的聘任日期和解聘日期。</w:t>
      </w:r>
    </w:p>
    <w:p w14:paraId="733C4C51" w14:textId="77777777" w:rsidR="00FA3CB3" w:rsidRDefault="00052A0D">
      <w:pPr>
        <w:tabs>
          <w:tab w:val="left" w:pos="426"/>
        </w:tabs>
        <w:jc w:val="left"/>
        <w:rPr>
          <w:color w:val="000000" w:themeColor="text1"/>
          <w:kern w:val="0"/>
          <w:szCs w:val="21"/>
        </w:rPr>
      </w:pPr>
      <w:r>
        <w:rPr>
          <w:color w:val="000000" w:themeColor="text1"/>
          <w:kern w:val="0"/>
          <w:szCs w:val="21"/>
        </w:rPr>
        <w:t xml:space="preserve">2. </w:t>
      </w:r>
      <w:r>
        <w:rPr>
          <w:color w:val="000000" w:themeColor="text1"/>
          <w:kern w:val="0"/>
          <w:szCs w:val="21"/>
        </w:rPr>
        <w:t>毛时超先生为本基金首任基金经理，其任职日期指本基金基金合同生效之日。</w:t>
      </w:r>
      <w:r>
        <w:rPr>
          <w:color w:val="000000" w:themeColor="text1"/>
          <w:kern w:val="0"/>
          <w:szCs w:val="21"/>
        </w:rPr>
        <w:t xml:space="preserve"> </w:t>
      </w:r>
    </w:p>
    <w:p w14:paraId="6B48B151" w14:textId="77777777" w:rsidR="001548F9" w:rsidRPr="007C68A4" w:rsidRDefault="001548F9" w:rsidP="00F94FD7">
      <w:pPr>
        <w:tabs>
          <w:tab w:val="left" w:pos="426"/>
        </w:tabs>
        <w:jc w:val="left"/>
        <w:rPr>
          <w:color w:val="000000" w:themeColor="text1"/>
          <w:kern w:val="0"/>
          <w:szCs w:val="21"/>
        </w:rPr>
      </w:pPr>
      <w:r w:rsidRPr="007C68A4">
        <w:rPr>
          <w:color w:val="000000" w:themeColor="text1"/>
          <w:kern w:val="0"/>
          <w:szCs w:val="21"/>
        </w:rPr>
        <w:t xml:space="preserve">3. </w:t>
      </w:r>
      <w:r w:rsidRPr="007C68A4">
        <w:rPr>
          <w:color w:val="000000" w:themeColor="text1"/>
          <w:kern w:val="0"/>
          <w:szCs w:val="21"/>
        </w:rPr>
        <w:t>证券从业的含义遵从行业协会《证券业从业人员资格管理办法》的相关规定。</w:t>
      </w:r>
    </w:p>
    <w:p w14:paraId="5EC74DDC" w14:textId="77777777" w:rsidR="00C45B26" w:rsidRPr="007C68A4" w:rsidRDefault="00C45B26" w:rsidP="00F94FD7">
      <w:pPr>
        <w:tabs>
          <w:tab w:val="left" w:pos="426"/>
        </w:tabs>
        <w:jc w:val="left"/>
        <w:rPr>
          <w:color w:val="000000" w:themeColor="text1"/>
          <w:kern w:val="0"/>
          <w:szCs w:val="21"/>
        </w:rPr>
      </w:pPr>
    </w:p>
    <w:p w14:paraId="1F02DE3F"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6" w:name="_Toc225498256"/>
      <w:bookmarkStart w:id="27" w:name="_Toc175575267"/>
      <w:r w:rsidRPr="007C68A4">
        <w:rPr>
          <w:rFonts w:ascii="Times New Roman" w:hAnsi="Times New Roman"/>
          <w:color w:val="000000" w:themeColor="text1"/>
          <w:kern w:val="0"/>
          <w:sz w:val="21"/>
          <w:szCs w:val="21"/>
        </w:rPr>
        <w:lastRenderedPageBreak/>
        <w:t xml:space="preserve">4.2 </w:t>
      </w:r>
      <w:r w:rsidRPr="007C68A4">
        <w:rPr>
          <w:rFonts w:ascii="Times New Roman" w:hAnsi="Times New Roman"/>
          <w:color w:val="000000" w:themeColor="text1"/>
          <w:kern w:val="0"/>
          <w:sz w:val="21"/>
          <w:szCs w:val="21"/>
        </w:rPr>
        <w:t>管理人对报告期内本基金运作遵规守信情况的说明</w:t>
      </w:r>
      <w:bookmarkEnd w:id="26"/>
      <w:bookmarkEnd w:id="27"/>
    </w:p>
    <w:p w14:paraId="4C14CAE3"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54B8428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8" w:name="_Toc225498257"/>
      <w:bookmarkStart w:id="29" w:name="_Toc175575268"/>
      <w:r w:rsidRPr="007C68A4">
        <w:rPr>
          <w:rFonts w:ascii="Times New Roman" w:hAnsi="Times New Roman"/>
          <w:color w:val="000000" w:themeColor="text1"/>
          <w:kern w:val="0"/>
          <w:sz w:val="21"/>
          <w:szCs w:val="21"/>
        </w:rPr>
        <w:t xml:space="preserve">4.3 </w:t>
      </w:r>
      <w:r w:rsidRPr="007C68A4">
        <w:rPr>
          <w:rFonts w:ascii="Times New Roman" w:hAnsi="Times New Roman"/>
          <w:color w:val="000000" w:themeColor="text1"/>
          <w:kern w:val="0"/>
          <w:sz w:val="21"/>
          <w:szCs w:val="21"/>
        </w:rPr>
        <w:t>管理人对报告期内公平交易情况的专项说明</w:t>
      </w:r>
      <w:bookmarkEnd w:id="28"/>
      <w:bookmarkEnd w:id="29"/>
    </w:p>
    <w:p w14:paraId="3BDDFE21"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4.3.1 </w:t>
      </w:r>
      <w:r w:rsidRPr="007C68A4">
        <w:rPr>
          <w:b/>
          <w:color w:val="000000" w:themeColor="text1"/>
          <w:kern w:val="0"/>
          <w:szCs w:val="21"/>
        </w:rPr>
        <w:t>公平交易制度的执行情况</w:t>
      </w:r>
    </w:p>
    <w:p w14:paraId="4E6B08D6" w14:textId="77777777" w:rsidR="00FA3CB3" w:rsidRDefault="00052A0D">
      <w:pPr>
        <w:spacing w:line="360" w:lineRule="auto"/>
        <w:ind w:firstLineChars="200" w:firstLine="420"/>
        <w:rPr>
          <w:color w:val="000000" w:themeColor="text1"/>
          <w:szCs w:val="21"/>
        </w:rPr>
      </w:pPr>
      <w:r>
        <w:rPr>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B3ED334" w14:textId="77777777" w:rsidR="00FA3CB3" w:rsidRDefault="00052A0D">
      <w:pPr>
        <w:spacing w:line="360" w:lineRule="auto"/>
        <w:ind w:firstLineChars="200" w:firstLine="420"/>
        <w:rPr>
          <w:color w:val="000000" w:themeColor="text1"/>
          <w:szCs w:val="21"/>
        </w:rPr>
      </w:pPr>
      <w:r>
        <w:rPr>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4396D73" w14:textId="77777777"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报告期内，通过对不同投资组合之间的收益率差异比较、对同向交易和反向交易的交易时机和交易价差监控分析，未发现整体公平交易执行出现异常的情况。</w:t>
      </w:r>
    </w:p>
    <w:p w14:paraId="1A289C7D"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4.3.2 </w:t>
      </w:r>
      <w:r w:rsidRPr="007C68A4">
        <w:rPr>
          <w:b/>
          <w:color w:val="000000" w:themeColor="text1"/>
          <w:kern w:val="0"/>
          <w:szCs w:val="21"/>
        </w:rPr>
        <w:t>异常交易行为的专项说明</w:t>
      </w:r>
    </w:p>
    <w:p w14:paraId="2308145F" w14:textId="77777777" w:rsidR="00FA3CB3" w:rsidRDefault="00052A0D">
      <w:pPr>
        <w:spacing w:line="360" w:lineRule="auto"/>
        <w:ind w:firstLineChars="200" w:firstLine="420"/>
        <w:rPr>
          <w:color w:val="000000" w:themeColor="text1"/>
          <w:kern w:val="0"/>
          <w:szCs w:val="21"/>
        </w:rPr>
      </w:pPr>
      <w:r>
        <w:rPr>
          <w:color w:val="000000" w:themeColor="text1"/>
          <w:szCs w:val="21"/>
        </w:rPr>
        <w:t>报告期内，通过对交易价格、交易时间、交易方向等的抽样分析，公司未发现存在异常交易行为。</w:t>
      </w:r>
    </w:p>
    <w:p w14:paraId="08023364"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报告期内，所有投资组合参与的交易所公开竞价同日反向交易成交较少的单边交易量超过该证券当日成交量的</w:t>
      </w:r>
      <w:r w:rsidRPr="007C68A4">
        <w:rPr>
          <w:color w:val="000000" w:themeColor="text1"/>
          <w:szCs w:val="21"/>
        </w:rPr>
        <w:t>5%</w:t>
      </w:r>
      <w:r w:rsidRPr="007C68A4">
        <w:rPr>
          <w:color w:val="000000" w:themeColor="text1"/>
          <w:szCs w:val="21"/>
        </w:rPr>
        <w:t>的情形：无。</w:t>
      </w:r>
      <w:r w:rsidRPr="007C68A4">
        <w:rPr>
          <w:color w:val="000000" w:themeColor="text1"/>
          <w:szCs w:val="21"/>
        </w:rPr>
        <w:t xml:space="preserve"> </w:t>
      </w:r>
    </w:p>
    <w:p w14:paraId="577A439E" w14:textId="77777777" w:rsidR="00C02A8F"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0" w:name="_Toc225498258"/>
      <w:bookmarkStart w:id="31" w:name="_Toc175575269"/>
      <w:r w:rsidRPr="007C68A4">
        <w:rPr>
          <w:rFonts w:ascii="Times New Roman" w:hAnsi="Times New Roman"/>
          <w:color w:val="000000" w:themeColor="text1"/>
          <w:kern w:val="0"/>
          <w:sz w:val="21"/>
          <w:szCs w:val="21"/>
        </w:rPr>
        <w:t xml:space="preserve">4.4 </w:t>
      </w:r>
      <w:r w:rsidRPr="007C68A4">
        <w:rPr>
          <w:rFonts w:ascii="Times New Roman" w:hAnsi="Times New Roman"/>
          <w:color w:val="000000" w:themeColor="text1"/>
          <w:kern w:val="0"/>
          <w:sz w:val="21"/>
          <w:szCs w:val="21"/>
        </w:rPr>
        <w:t>管理人对报告期内基金的投资策略和业绩表现的说明</w:t>
      </w:r>
      <w:bookmarkEnd w:id="30"/>
      <w:bookmarkEnd w:id="31"/>
    </w:p>
    <w:p w14:paraId="0880D866" w14:textId="77777777" w:rsidR="00C02A8F" w:rsidRPr="007C68A4" w:rsidRDefault="00C02A8F" w:rsidP="004C1748">
      <w:pPr>
        <w:spacing w:line="360" w:lineRule="auto"/>
        <w:rPr>
          <w:b/>
          <w:color w:val="000000" w:themeColor="text1"/>
          <w:szCs w:val="21"/>
        </w:rPr>
      </w:pPr>
      <w:r w:rsidRPr="007C68A4">
        <w:rPr>
          <w:b/>
          <w:color w:val="000000" w:themeColor="text1"/>
          <w:szCs w:val="21"/>
        </w:rPr>
        <w:t>4.4.1</w:t>
      </w:r>
      <w:r w:rsidRPr="007C68A4">
        <w:rPr>
          <w:b/>
          <w:color w:val="000000" w:themeColor="text1"/>
          <w:szCs w:val="21"/>
        </w:rPr>
        <w:t>报告期内基金投资策略和运作分析</w:t>
      </w:r>
    </w:p>
    <w:p w14:paraId="51FA65EB" w14:textId="77777777" w:rsidR="001548F9" w:rsidRPr="007C68A4" w:rsidRDefault="00C02A8F" w:rsidP="004C1748">
      <w:pPr>
        <w:spacing w:line="360" w:lineRule="auto"/>
        <w:ind w:firstLineChars="200" w:firstLine="420"/>
        <w:rPr>
          <w:color w:val="000000" w:themeColor="text1"/>
          <w:kern w:val="0"/>
          <w:szCs w:val="21"/>
        </w:rPr>
      </w:pPr>
      <w:r w:rsidRPr="007C68A4">
        <w:rPr>
          <w:color w:val="000000" w:themeColor="text1"/>
          <w:szCs w:val="21"/>
        </w:rPr>
        <w:t>回顾上半年，港股市场较为波动，经历了多轮上涨和回调。</w:t>
      </w:r>
      <w:r w:rsidRPr="007C68A4">
        <w:rPr>
          <w:color w:val="000000" w:themeColor="text1"/>
          <w:szCs w:val="21"/>
        </w:rPr>
        <w:t>1</w:t>
      </w:r>
      <w:r w:rsidRPr="007C68A4">
        <w:rPr>
          <w:color w:val="000000" w:themeColor="text1"/>
          <w:szCs w:val="21"/>
        </w:rPr>
        <w:t>月末至</w:t>
      </w:r>
      <w:r w:rsidRPr="007C68A4">
        <w:rPr>
          <w:color w:val="000000" w:themeColor="text1"/>
          <w:szCs w:val="21"/>
        </w:rPr>
        <w:t>3</w:t>
      </w:r>
      <w:r w:rsidRPr="007C68A4">
        <w:rPr>
          <w:color w:val="000000" w:themeColor="text1"/>
          <w:szCs w:val="21"/>
        </w:rPr>
        <w:t>月中旬国内政策加码助力港股企稳回升。</w:t>
      </w:r>
      <w:r w:rsidRPr="007C68A4">
        <w:rPr>
          <w:color w:val="000000" w:themeColor="text1"/>
          <w:szCs w:val="21"/>
        </w:rPr>
        <w:t>4</w:t>
      </w:r>
      <w:r w:rsidRPr="007C68A4">
        <w:rPr>
          <w:color w:val="000000" w:themeColor="text1"/>
          <w:szCs w:val="21"/>
        </w:rPr>
        <w:t>月下旬港股第二轮上涨主要由于国内地产政策发力及外资回流港股。然而，</w:t>
      </w:r>
      <w:r w:rsidRPr="007C68A4">
        <w:rPr>
          <w:color w:val="000000" w:themeColor="text1"/>
          <w:szCs w:val="21"/>
        </w:rPr>
        <w:t>5</w:t>
      </w:r>
      <w:r w:rsidRPr="007C68A4">
        <w:rPr>
          <w:color w:val="000000" w:themeColor="text1"/>
          <w:szCs w:val="21"/>
        </w:rPr>
        <w:t>月</w:t>
      </w:r>
      <w:r w:rsidRPr="007C68A4">
        <w:rPr>
          <w:color w:val="000000" w:themeColor="text1"/>
          <w:szCs w:val="21"/>
        </w:rPr>
        <w:lastRenderedPageBreak/>
        <w:t>下旬起市场情绪降温，港股进入回调阶段。整体而言，在国内经济延续弱复苏、全球进入大选年、地缘冲突频发的宏观背景下，上半年股市风险偏好不高，资金风格偏向防御。报告期内，恒生科技指数下跌</w:t>
      </w:r>
      <w:r w:rsidRPr="007C68A4">
        <w:rPr>
          <w:color w:val="000000" w:themeColor="text1"/>
          <w:szCs w:val="21"/>
        </w:rPr>
        <w:t>5.57%</w:t>
      </w:r>
      <w:r w:rsidRPr="007C68A4">
        <w:rPr>
          <w:color w:val="000000" w:themeColor="text1"/>
          <w:szCs w:val="21"/>
        </w:rPr>
        <w:t>。</w:t>
      </w:r>
    </w:p>
    <w:p w14:paraId="0E24D04D" w14:textId="77777777" w:rsidR="001548F9" w:rsidRPr="007C68A4" w:rsidRDefault="001548F9" w:rsidP="004C1748">
      <w:pPr>
        <w:spacing w:line="360" w:lineRule="auto"/>
        <w:rPr>
          <w:b/>
          <w:color w:val="000000" w:themeColor="text1"/>
          <w:szCs w:val="21"/>
        </w:rPr>
      </w:pPr>
      <w:r w:rsidRPr="007C68A4">
        <w:rPr>
          <w:b/>
          <w:color w:val="000000" w:themeColor="text1"/>
          <w:szCs w:val="21"/>
        </w:rPr>
        <w:t xml:space="preserve">4.4.2 </w:t>
      </w:r>
      <w:r w:rsidRPr="007C68A4">
        <w:rPr>
          <w:b/>
          <w:color w:val="000000" w:themeColor="text1"/>
          <w:szCs w:val="21"/>
        </w:rPr>
        <w:t>报告期内基金的业绩表现</w:t>
      </w:r>
    </w:p>
    <w:p w14:paraId="3557CAFA" w14:textId="77777777" w:rsidR="00FA3CB3" w:rsidRDefault="00052A0D">
      <w:pPr>
        <w:spacing w:line="360" w:lineRule="auto"/>
        <w:ind w:firstLineChars="200" w:firstLine="420"/>
        <w:rPr>
          <w:color w:val="000000" w:themeColor="text1"/>
          <w:kern w:val="0"/>
          <w:szCs w:val="21"/>
        </w:rPr>
      </w:pPr>
      <w:r>
        <w:rPr>
          <w:color w:val="000000" w:themeColor="text1"/>
          <w:szCs w:val="21"/>
        </w:rPr>
        <w:t>本报告期摩根恒生科技</w:t>
      </w:r>
      <w:r>
        <w:rPr>
          <w:color w:val="000000" w:themeColor="text1"/>
          <w:szCs w:val="21"/>
        </w:rPr>
        <w:t>ETF</w:t>
      </w:r>
      <w:r>
        <w:rPr>
          <w:color w:val="000000" w:themeColor="text1"/>
          <w:szCs w:val="21"/>
        </w:rPr>
        <w:t>联接</w:t>
      </w:r>
      <w:r>
        <w:rPr>
          <w:color w:val="000000" w:themeColor="text1"/>
          <w:szCs w:val="21"/>
        </w:rPr>
        <w:t>A</w:t>
      </w:r>
      <w:r>
        <w:rPr>
          <w:color w:val="000000" w:themeColor="text1"/>
          <w:szCs w:val="21"/>
        </w:rPr>
        <w:t>份额净值增长率为</w:t>
      </w:r>
      <w:r>
        <w:rPr>
          <w:color w:val="000000" w:themeColor="text1"/>
          <w:szCs w:val="21"/>
        </w:rPr>
        <w:t>:-3.55%</w:t>
      </w:r>
      <w:r>
        <w:rPr>
          <w:color w:val="000000" w:themeColor="text1"/>
          <w:szCs w:val="21"/>
        </w:rPr>
        <w:t>，同期业绩比较基准收益率为</w:t>
      </w:r>
      <w:r>
        <w:rPr>
          <w:color w:val="000000" w:themeColor="text1"/>
          <w:szCs w:val="21"/>
        </w:rPr>
        <w:t>:-4.65%</w:t>
      </w:r>
    </w:p>
    <w:p w14:paraId="0412AAB9"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摩根恒生科技</w:t>
      </w:r>
      <w:r w:rsidRPr="007C68A4">
        <w:rPr>
          <w:color w:val="000000" w:themeColor="text1"/>
          <w:szCs w:val="21"/>
        </w:rPr>
        <w:t>ETF</w:t>
      </w:r>
      <w:r w:rsidRPr="007C68A4">
        <w:rPr>
          <w:color w:val="000000" w:themeColor="text1"/>
          <w:szCs w:val="21"/>
        </w:rPr>
        <w:t>联接</w:t>
      </w:r>
      <w:r w:rsidRPr="007C68A4">
        <w:rPr>
          <w:color w:val="000000" w:themeColor="text1"/>
          <w:szCs w:val="21"/>
        </w:rPr>
        <w:t>C</w:t>
      </w:r>
      <w:r w:rsidRPr="007C68A4">
        <w:rPr>
          <w:color w:val="000000" w:themeColor="text1"/>
          <w:szCs w:val="21"/>
        </w:rPr>
        <w:t>份额净值增长率为</w:t>
      </w:r>
      <w:r w:rsidRPr="007C68A4">
        <w:rPr>
          <w:color w:val="000000" w:themeColor="text1"/>
          <w:szCs w:val="21"/>
        </w:rPr>
        <w:t>:-3.59%</w:t>
      </w:r>
      <w:r w:rsidRPr="007C68A4">
        <w:rPr>
          <w:color w:val="000000" w:themeColor="text1"/>
          <w:szCs w:val="21"/>
        </w:rPr>
        <w:t>，同期业绩比较基准收益率为</w:t>
      </w:r>
      <w:r w:rsidRPr="007C68A4">
        <w:rPr>
          <w:color w:val="000000" w:themeColor="text1"/>
          <w:szCs w:val="21"/>
        </w:rPr>
        <w:t>:-4.65%</w:t>
      </w:r>
      <w:r w:rsidRPr="007C68A4">
        <w:rPr>
          <w:color w:val="000000" w:themeColor="text1"/>
          <w:szCs w:val="21"/>
        </w:rPr>
        <w:t>。</w:t>
      </w:r>
    </w:p>
    <w:p w14:paraId="5B2C1CC6"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2" w:name="_Toc225498259"/>
      <w:bookmarkStart w:id="33" w:name="_Toc175575270"/>
      <w:r w:rsidRPr="007C68A4">
        <w:rPr>
          <w:rFonts w:ascii="Times New Roman" w:hAnsi="Times New Roman"/>
          <w:color w:val="000000" w:themeColor="text1"/>
          <w:kern w:val="0"/>
          <w:sz w:val="21"/>
          <w:szCs w:val="21"/>
        </w:rPr>
        <w:t xml:space="preserve">4.5 </w:t>
      </w:r>
      <w:r w:rsidRPr="007C68A4">
        <w:rPr>
          <w:rFonts w:ascii="Times New Roman" w:hAnsi="Times New Roman"/>
          <w:color w:val="000000" w:themeColor="text1"/>
          <w:kern w:val="0"/>
          <w:sz w:val="21"/>
          <w:szCs w:val="21"/>
        </w:rPr>
        <w:t>管理人对宏观经济、证券市场及行业走势的简要展望</w:t>
      </w:r>
      <w:bookmarkEnd w:id="32"/>
      <w:bookmarkEnd w:id="33"/>
    </w:p>
    <w:p w14:paraId="4658C028" w14:textId="77777777"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当前港股市场估值低位，且港股互联网科技板块经过三年调整后，当前估值具有较高的配置性价比。国内经济政策以稳增长为主，地产政策持续优化，港股市场盈利预期改善，有助于港股市场情绪修复。海外方面，美国</w:t>
      </w:r>
      <w:r w:rsidRPr="007C68A4">
        <w:rPr>
          <w:color w:val="000000" w:themeColor="text1"/>
          <w:szCs w:val="21"/>
        </w:rPr>
        <w:t>6</w:t>
      </w:r>
      <w:r w:rsidRPr="007C68A4">
        <w:rPr>
          <w:color w:val="000000" w:themeColor="text1"/>
          <w:szCs w:val="21"/>
        </w:rPr>
        <w:t>月经济数据偏弱带动美联储降息预期升温，降息预期升温有望对港股提供一定支撑。板块方面，以科技股为代表的高弹性和利率敏感型行业或更受益。本基金跟踪的恒生科技指数由</w:t>
      </w:r>
      <w:r w:rsidRPr="007C68A4">
        <w:rPr>
          <w:color w:val="000000" w:themeColor="text1"/>
          <w:szCs w:val="21"/>
        </w:rPr>
        <w:t>30</w:t>
      </w:r>
      <w:r w:rsidRPr="007C68A4">
        <w:rPr>
          <w:color w:val="000000" w:themeColor="text1"/>
          <w:szCs w:val="21"/>
        </w:rPr>
        <w:t>家最大的与科技主题高度相关的香港上市公司组成，以反映科技板块港股上市公司的整体表现。本基金继续采用完全复制的方法跟踪标的指数，争取跟踪误差保持在合理范围内。</w:t>
      </w:r>
    </w:p>
    <w:p w14:paraId="55D08B68"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4" w:name="_Toc247959457"/>
      <w:bookmarkStart w:id="35" w:name="_Toc225570083"/>
      <w:bookmarkStart w:id="36" w:name="_Toc175575271"/>
      <w:r w:rsidRPr="007C68A4">
        <w:rPr>
          <w:rFonts w:ascii="Times New Roman" w:hAnsi="Times New Roman"/>
          <w:color w:val="000000" w:themeColor="text1"/>
          <w:kern w:val="0"/>
          <w:sz w:val="21"/>
          <w:szCs w:val="21"/>
        </w:rPr>
        <w:t xml:space="preserve">4.6 </w:t>
      </w:r>
      <w:r w:rsidRPr="007C68A4">
        <w:rPr>
          <w:rFonts w:ascii="Times New Roman" w:hAnsi="Times New Roman"/>
          <w:color w:val="000000" w:themeColor="text1"/>
          <w:kern w:val="0"/>
          <w:sz w:val="21"/>
          <w:szCs w:val="21"/>
        </w:rPr>
        <w:t>管理人对报告期内基金估值程序等事项的说明</w:t>
      </w:r>
      <w:bookmarkEnd w:id="34"/>
      <w:bookmarkEnd w:id="35"/>
      <w:bookmarkEnd w:id="36"/>
    </w:p>
    <w:p w14:paraId="3C80FC8F" w14:textId="77777777"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B65C361"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7" w:name="_Toc247959458"/>
      <w:bookmarkStart w:id="38" w:name="_Toc225570084"/>
      <w:bookmarkStart w:id="39" w:name="_Toc175575272"/>
      <w:r w:rsidRPr="007C68A4">
        <w:rPr>
          <w:rFonts w:ascii="Times New Roman" w:hAnsi="Times New Roman"/>
          <w:color w:val="000000" w:themeColor="text1"/>
          <w:kern w:val="0"/>
          <w:sz w:val="21"/>
          <w:szCs w:val="21"/>
        </w:rPr>
        <w:t xml:space="preserve">4.7 </w:t>
      </w:r>
      <w:r w:rsidRPr="007C68A4">
        <w:rPr>
          <w:rFonts w:ascii="Times New Roman" w:hAnsi="Times New Roman"/>
          <w:color w:val="000000" w:themeColor="text1"/>
          <w:kern w:val="0"/>
          <w:sz w:val="21"/>
          <w:szCs w:val="21"/>
        </w:rPr>
        <w:t>管理人对报告期内基金利润分配情况的说明</w:t>
      </w:r>
      <w:bookmarkEnd w:id="37"/>
      <w:bookmarkEnd w:id="38"/>
      <w:bookmarkEnd w:id="39"/>
    </w:p>
    <w:p w14:paraId="4A053A60"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459D626C" w14:textId="77777777" w:rsidR="00185785" w:rsidRPr="007C68A4" w:rsidRDefault="00185785" w:rsidP="0009187A">
      <w:pPr>
        <w:pStyle w:val="20"/>
        <w:spacing w:beforeLines="100" w:before="312" w:afterLines="100" w:after="312"/>
        <w:rPr>
          <w:rFonts w:ascii="Times New Roman" w:hAnsi="Times New Roman"/>
          <w:color w:val="000000" w:themeColor="text1"/>
          <w:kern w:val="0"/>
          <w:sz w:val="21"/>
          <w:szCs w:val="21"/>
        </w:rPr>
      </w:pPr>
      <w:bookmarkStart w:id="40" w:name="_Toc175575273"/>
      <w:r w:rsidRPr="007C68A4">
        <w:rPr>
          <w:rFonts w:ascii="Times New Roman" w:hAnsi="Times New Roman"/>
          <w:color w:val="000000" w:themeColor="text1"/>
          <w:kern w:val="0"/>
          <w:sz w:val="21"/>
          <w:szCs w:val="21"/>
        </w:rPr>
        <w:lastRenderedPageBreak/>
        <w:t xml:space="preserve">4.8 </w:t>
      </w:r>
      <w:r w:rsidRPr="007C68A4">
        <w:rPr>
          <w:rFonts w:ascii="Times New Roman" w:hAnsi="Times New Roman"/>
          <w:color w:val="000000" w:themeColor="text1"/>
          <w:kern w:val="0"/>
          <w:sz w:val="21"/>
          <w:szCs w:val="21"/>
        </w:rPr>
        <w:t>报告期内管理人对本基金持有人数或基金资产净值预警情形的说明</w:t>
      </w:r>
      <w:bookmarkEnd w:id="40"/>
    </w:p>
    <w:p w14:paraId="41D59224" w14:textId="77777777" w:rsidR="00185785" w:rsidRPr="007C68A4" w:rsidRDefault="00185785" w:rsidP="00A60186">
      <w:pPr>
        <w:spacing w:line="360" w:lineRule="auto"/>
        <w:ind w:firstLineChars="200" w:firstLine="420"/>
        <w:rPr>
          <w:color w:val="000000" w:themeColor="text1"/>
          <w:kern w:val="0"/>
          <w:szCs w:val="21"/>
        </w:rPr>
      </w:pPr>
      <w:r w:rsidRPr="007C68A4">
        <w:rPr>
          <w:color w:val="000000" w:themeColor="text1"/>
          <w:kern w:val="0"/>
          <w:szCs w:val="21"/>
        </w:rPr>
        <w:t>无。</w:t>
      </w:r>
    </w:p>
    <w:p w14:paraId="39543ECD"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41" w:name="_Toc225498263"/>
      <w:bookmarkStart w:id="42" w:name="_Toc175575274"/>
      <w:r w:rsidRPr="007C68A4">
        <w:rPr>
          <w:b/>
          <w:bCs/>
          <w:color w:val="000000" w:themeColor="text1"/>
          <w:sz w:val="21"/>
          <w:szCs w:val="21"/>
          <w:lang w:val="en-US"/>
        </w:rPr>
        <w:t xml:space="preserve">5  </w:t>
      </w:r>
      <w:r w:rsidRPr="007C68A4">
        <w:rPr>
          <w:b/>
          <w:bCs/>
          <w:color w:val="000000" w:themeColor="text1"/>
          <w:sz w:val="21"/>
          <w:szCs w:val="21"/>
          <w:lang w:val="en-US"/>
        </w:rPr>
        <w:t>托管人报告</w:t>
      </w:r>
      <w:bookmarkEnd w:id="41"/>
      <w:bookmarkEnd w:id="42"/>
    </w:p>
    <w:p w14:paraId="6FFA228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3" w:name="_Toc225498264"/>
      <w:bookmarkStart w:id="44" w:name="_Toc175575275"/>
      <w:r w:rsidRPr="007C68A4">
        <w:rPr>
          <w:rFonts w:ascii="Times New Roman" w:hAnsi="Times New Roman"/>
          <w:color w:val="000000" w:themeColor="text1"/>
          <w:kern w:val="0"/>
          <w:sz w:val="21"/>
          <w:szCs w:val="21"/>
        </w:rPr>
        <w:t xml:space="preserve">5.1 </w:t>
      </w:r>
      <w:r w:rsidRPr="007C68A4">
        <w:rPr>
          <w:rFonts w:ascii="Times New Roman" w:hAnsi="Times New Roman"/>
          <w:color w:val="000000" w:themeColor="text1"/>
          <w:kern w:val="0"/>
          <w:sz w:val="21"/>
          <w:szCs w:val="21"/>
        </w:rPr>
        <w:t>报告期内本基金托管人遵规守信情况声明</w:t>
      </w:r>
      <w:bookmarkEnd w:id="43"/>
      <w:bookmarkEnd w:id="44"/>
    </w:p>
    <w:p w14:paraId="6A0A7525"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2E3CF4F8"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5" w:name="_Toc225498265"/>
      <w:bookmarkStart w:id="46" w:name="_Toc175575276"/>
      <w:r w:rsidRPr="007C68A4">
        <w:rPr>
          <w:rFonts w:ascii="Times New Roman" w:hAnsi="Times New Roman"/>
          <w:color w:val="000000" w:themeColor="text1"/>
          <w:kern w:val="0"/>
          <w:sz w:val="21"/>
          <w:szCs w:val="21"/>
        </w:rPr>
        <w:t xml:space="preserve">5.2 </w:t>
      </w:r>
      <w:r w:rsidRPr="007C68A4">
        <w:rPr>
          <w:rFonts w:ascii="Times New Roman" w:hAnsi="Times New Roman"/>
          <w:color w:val="000000" w:themeColor="text1"/>
          <w:kern w:val="0"/>
          <w:sz w:val="21"/>
          <w:szCs w:val="21"/>
        </w:rPr>
        <w:t>托管人对报告期内本基金投资运作遵规守信、净值计算、利润分配等情况的</w:t>
      </w:r>
      <w:bookmarkEnd w:id="45"/>
      <w:r w:rsidRPr="007C68A4">
        <w:rPr>
          <w:rFonts w:ascii="Times New Roman" w:hAnsi="Times New Roman"/>
          <w:color w:val="000000" w:themeColor="text1"/>
          <w:kern w:val="0"/>
          <w:sz w:val="21"/>
          <w:szCs w:val="21"/>
        </w:rPr>
        <w:t>说明</w:t>
      </w:r>
      <w:bookmarkEnd w:id="46"/>
    </w:p>
    <w:p w14:paraId="738E907A" w14:textId="77777777" w:rsidR="00FA3CB3" w:rsidRDefault="00052A0D">
      <w:pPr>
        <w:spacing w:line="360" w:lineRule="auto"/>
        <w:ind w:firstLineChars="200" w:firstLine="420"/>
        <w:rPr>
          <w:color w:val="000000" w:themeColor="text1"/>
          <w:kern w:val="0"/>
          <w:szCs w:val="21"/>
        </w:rPr>
      </w:pPr>
      <w:r>
        <w:rPr>
          <w:color w:val="000000" w:themeColor="text1"/>
          <w:szCs w:val="21"/>
        </w:rPr>
        <w:t>本报告期内，本基金的管理人</w:t>
      </w:r>
      <w:r>
        <w:rPr>
          <w:color w:val="000000" w:themeColor="text1"/>
          <w:szCs w:val="21"/>
        </w:rPr>
        <w:t>——</w:t>
      </w:r>
      <w:r>
        <w:rPr>
          <w:color w:val="000000" w:themeColor="text1"/>
          <w:szCs w:val="21"/>
        </w:rPr>
        <w:t>摩根基金管理（中国）有限公司在本基金的投资运作、基金资产净值计算、基金份额申购赎回价格计算、基金费用开支等问题上，托管人未发现损害基金份额持有人利益的行为。</w:t>
      </w:r>
    </w:p>
    <w:p w14:paraId="3F4995FA" w14:textId="77777777"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本报告期内本基金未进行利润分配。</w:t>
      </w:r>
    </w:p>
    <w:p w14:paraId="050B62D4"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7" w:name="_Toc225498266"/>
      <w:bookmarkStart w:id="48" w:name="_Toc175575277"/>
      <w:r w:rsidRPr="007C68A4">
        <w:rPr>
          <w:rFonts w:ascii="Times New Roman" w:hAnsi="Times New Roman"/>
          <w:color w:val="000000" w:themeColor="text1"/>
          <w:kern w:val="0"/>
          <w:sz w:val="21"/>
          <w:szCs w:val="21"/>
        </w:rPr>
        <w:t xml:space="preserve">5.3 </w:t>
      </w:r>
      <w:r w:rsidRPr="007C68A4">
        <w:rPr>
          <w:rFonts w:ascii="Times New Roman" w:hAnsi="Times New Roman"/>
          <w:color w:val="000000" w:themeColor="text1"/>
          <w:kern w:val="0"/>
          <w:sz w:val="21"/>
          <w:szCs w:val="21"/>
        </w:rPr>
        <w:t>托管人对本</w:t>
      </w:r>
      <w:r w:rsidR="00F05A60" w:rsidRPr="007C68A4">
        <w:rPr>
          <w:rFonts w:ascii="Times New Roman" w:hAnsi="Times New Roman"/>
          <w:color w:val="000000" w:themeColor="text1"/>
          <w:kern w:val="0"/>
          <w:sz w:val="21"/>
          <w:szCs w:val="21"/>
        </w:rPr>
        <w:t>中期</w:t>
      </w:r>
      <w:r w:rsidRPr="007C68A4">
        <w:rPr>
          <w:rFonts w:ascii="Times New Roman" w:hAnsi="Times New Roman"/>
          <w:color w:val="000000" w:themeColor="text1"/>
          <w:kern w:val="0"/>
          <w:sz w:val="21"/>
          <w:szCs w:val="21"/>
        </w:rPr>
        <w:t>报告中财务信息等内容的真实、准确和完整发表意见</w:t>
      </w:r>
      <w:bookmarkEnd w:id="47"/>
      <w:bookmarkEnd w:id="48"/>
    </w:p>
    <w:p w14:paraId="20DB0BAD"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本托管人依法对摩根基金管理（中国）有限公司编制和披露的本基金</w:t>
      </w:r>
      <w:r w:rsidRPr="007C68A4">
        <w:rPr>
          <w:color w:val="000000" w:themeColor="text1"/>
          <w:szCs w:val="21"/>
        </w:rPr>
        <w:t>2024</w:t>
      </w:r>
      <w:r w:rsidRPr="007C68A4">
        <w:rPr>
          <w:color w:val="000000" w:themeColor="text1"/>
          <w:szCs w:val="21"/>
        </w:rPr>
        <w:t>年中期报告中财务指标、净值表现、利润分配情况、财务会计报告、投资组合报告等内容进行了核查，以上内容真实、准确和完整。</w:t>
      </w:r>
    </w:p>
    <w:p w14:paraId="0E5BA938" w14:textId="77777777" w:rsidR="00F51F7F" w:rsidRPr="00B079CA" w:rsidRDefault="00F51F7F" w:rsidP="00F51F7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374532312"/>
      <w:bookmarkStart w:id="50" w:name="_Toc175575278"/>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9"/>
      <w:bookmarkEnd w:id="50"/>
    </w:p>
    <w:p w14:paraId="6D7773C0" w14:textId="77777777" w:rsidR="00F51F7F" w:rsidRPr="00B079CA" w:rsidRDefault="00F51F7F" w:rsidP="00F51F7F">
      <w:pPr>
        <w:pStyle w:val="20"/>
        <w:spacing w:before="0" w:after="0"/>
        <w:rPr>
          <w:rFonts w:ascii="Times New Roman" w:eastAsiaTheme="minorEastAsia" w:hAnsi="Times New Roman"/>
          <w:color w:val="000000" w:themeColor="text1"/>
          <w:kern w:val="0"/>
          <w:sz w:val="21"/>
          <w:szCs w:val="21"/>
        </w:rPr>
      </w:pPr>
      <w:bookmarkStart w:id="51" w:name="_Toc225498268"/>
      <w:bookmarkStart w:id="52" w:name="_Toc374532313"/>
      <w:bookmarkStart w:id="53" w:name="_Toc17557527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51"/>
      <w:bookmarkEnd w:id="52"/>
      <w:bookmarkEnd w:id="53"/>
    </w:p>
    <w:p w14:paraId="1AA0859D" w14:textId="77777777"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会计主体：摩根恒生科技交易型开放式指数证券投资基金发起式联接基金</w:t>
      </w:r>
      <w:r w:rsidRPr="00B079CA">
        <w:rPr>
          <w:rFonts w:eastAsiaTheme="minorEastAsia"/>
          <w:color w:val="000000" w:themeColor="text1"/>
          <w:szCs w:val="21"/>
        </w:rPr>
        <w:t>(QDII)</w:t>
      </w:r>
    </w:p>
    <w:p w14:paraId="1B328B10" w14:textId="77777777" w:rsidR="00F51F7F" w:rsidRPr="00B079CA" w:rsidRDefault="00F51F7F" w:rsidP="00F51F7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D0DB309"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51F7F" w:rsidRPr="00B079CA" w14:paraId="309833B1" w14:textId="77777777" w:rsidTr="004C117B">
        <w:tc>
          <w:tcPr>
            <w:tcW w:w="2880" w:type="dxa"/>
            <w:vAlign w:val="center"/>
          </w:tcPr>
          <w:p w14:paraId="119A5263"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8576C04"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CD7BD4D"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B8629BB"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4FBE763"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EE8B5EE"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7A44C2" w:rsidRPr="00B079CA" w14:paraId="5EAF3E46" w14:textId="77777777" w:rsidTr="004C117B">
        <w:tc>
          <w:tcPr>
            <w:tcW w:w="2880" w:type="dxa"/>
            <w:vAlign w:val="center"/>
          </w:tcPr>
          <w:p w14:paraId="5A03EB09" w14:textId="77777777" w:rsidR="007A44C2" w:rsidRPr="00B079CA" w:rsidRDefault="007A44C2" w:rsidP="007A44C2">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35C9B06" w14:textId="77777777" w:rsidR="007A44C2" w:rsidRPr="00B079CA" w:rsidRDefault="007A44C2" w:rsidP="007A44C2">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2B41E73"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0129D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DF94839" w14:textId="77777777" w:rsidTr="004C117B">
        <w:tc>
          <w:tcPr>
            <w:tcW w:w="2880" w:type="dxa"/>
            <w:vAlign w:val="center"/>
          </w:tcPr>
          <w:p w14:paraId="03F4F879" w14:textId="77777777" w:rsidR="007A44C2" w:rsidRPr="00B079CA" w:rsidRDefault="007A44C2" w:rsidP="007A44C2">
            <w:pPr>
              <w:rPr>
                <w:rFonts w:eastAsiaTheme="minorEastAsia"/>
                <w:color w:val="000000" w:themeColor="text1"/>
                <w:szCs w:val="21"/>
              </w:rPr>
            </w:pPr>
            <w:r w:rsidRPr="00E15564">
              <w:rPr>
                <w:rFonts w:hint="eastAsia"/>
                <w:szCs w:val="21"/>
              </w:rPr>
              <w:t>货币资金</w:t>
            </w:r>
          </w:p>
        </w:tc>
        <w:tc>
          <w:tcPr>
            <w:tcW w:w="1080" w:type="dxa"/>
            <w:vAlign w:val="center"/>
          </w:tcPr>
          <w:p w14:paraId="67ECF9CB" w14:textId="5EBCEDB4" w:rsidR="007A44C2" w:rsidRPr="00B079CA" w:rsidRDefault="007A44C2" w:rsidP="007A44C2">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0937D7A9" w14:textId="77777777" w:rsidR="007A44C2" w:rsidRPr="00B079CA" w:rsidRDefault="007A44C2" w:rsidP="007A44C2">
            <w:pPr>
              <w:jc w:val="right"/>
              <w:rPr>
                <w:rFonts w:eastAsiaTheme="minorEastAsia"/>
                <w:color w:val="000000" w:themeColor="text1"/>
                <w:szCs w:val="21"/>
              </w:rPr>
            </w:pPr>
            <w:r w:rsidRPr="00E15564">
              <w:rPr>
                <w:szCs w:val="21"/>
              </w:rPr>
              <w:t>1,264,696.87</w:t>
            </w:r>
          </w:p>
        </w:tc>
        <w:tc>
          <w:tcPr>
            <w:tcW w:w="2520" w:type="dxa"/>
            <w:vAlign w:val="bottom"/>
          </w:tcPr>
          <w:p w14:paraId="3E592BFC" w14:textId="77777777" w:rsidR="007A44C2" w:rsidRPr="00B079CA" w:rsidRDefault="007A44C2" w:rsidP="007A44C2">
            <w:pPr>
              <w:jc w:val="right"/>
              <w:rPr>
                <w:rFonts w:eastAsiaTheme="minorEastAsia"/>
                <w:color w:val="000000" w:themeColor="text1"/>
                <w:szCs w:val="21"/>
              </w:rPr>
            </w:pPr>
            <w:r w:rsidRPr="00E15564">
              <w:rPr>
                <w:szCs w:val="21"/>
              </w:rPr>
              <w:t>1,586,105.79</w:t>
            </w:r>
          </w:p>
        </w:tc>
      </w:tr>
      <w:tr w:rsidR="007A44C2" w:rsidRPr="00B079CA" w14:paraId="62D8DBF3" w14:textId="77777777" w:rsidTr="004C117B">
        <w:tc>
          <w:tcPr>
            <w:tcW w:w="2880" w:type="dxa"/>
            <w:vAlign w:val="center"/>
          </w:tcPr>
          <w:p w14:paraId="5F549F34"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lastRenderedPageBreak/>
              <w:t>结算备付金</w:t>
            </w:r>
          </w:p>
        </w:tc>
        <w:tc>
          <w:tcPr>
            <w:tcW w:w="1080" w:type="dxa"/>
            <w:vAlign w:val="center"/>
          </w:tcPr>
          <w:p w14:paraId="4C6C6854"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5EB4191"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19,779.11</w:t>
            </w:r>
          </w:p>
        </w:tc>
        <w:tc>
          <w:tcPr>
            <w:tcW w:w="2520" w:type="dxa"/>
            <w:vAlign w:val="center"/>
          </w:tcPr>
          <w:p w14:paraId="5D3F5CD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7,296.08</w:t>
            </w:r>
          </w:p>
        </w:tc>
      </w:tr>
      <w:tr w:rsidR="007A44C2" w:rsidRPr="00B079CA" w14:paraId="360E3A65" w14:textId="77777777" w:rsidTr="004C117B">
        <w:tc>
          <w:tcPr>
            <w:tcW w:w="2880" w:type="dxa"/>
            <w:vAlign w:val="center"/>
          </w:tcPr>
          <w:p w14:paraId="347AD631"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6777D244"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ACA6AF1"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3,298.86</w:t>
            </w:r>
          </w:p>
        </w:tc>
        <w:tc>
          <w:tcPr>
            <w:tcW w:w="2520" w:type="dxa"/>
            <w:vAlign w:val="center"/>
          </w:tcPr>
          <w:p w14:paraId="4275A38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3,053.74</w:t>
            </w:r>
          </w:p>
        </w:tc>
      </w:tr>
      <w:tr w:rsidR="007A44C2" w:rsidRPr="00B079CA" w14:paraId="58D53CCC" w14:textId="77777777" w:rsidTr="004C117B">
        <w:tc>
          <w:tcPr>
            <w:tcW w:w="2880" w:type="dxa"/>
            <w:vAlign w:val="center"/>
          </w:tcPr>
          <w:p w14:paraId="5AE306D0"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2893666" w14:textId="10F801AA"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74F8C2E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25,777,456.17</w:t>
            </w:r>
          </w:p>
        </w:tc>
        <w:tc>
          <w:tcPr>
            <w:tcW w:w="2520" w:type="dxa"/>
            <w:vAlign w:val="center"/>
          </w:tcPr>
          <w:p w14:paraId="065A7F6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33,429,408.49</w:t>
            </w:r>
          </w:p>
        </w:tc>
      </w:tr>
      <w:tr w:rsidR="007A44C2" w:rsidRPr="00B079CA" w14:paraId="086C2B06" w14:textId="77777777" w:rsidTr="004C117B">
        <w:tc>
          <w:tcPr>
            <w:tcW w:w="2880" w:type="dxa"/>
            <w:vAlign w:val="center"/>
          </w:tcPr>
          <w:p w14:paraId="078A3D6C"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D630D82"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3C0A13B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A20A2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20323D09" w14:textId="77777777" w:rsidTr="004C117B">
        <w:tc>
          <w:tcPr>
            <w:tcW w:w="2880" w:type="dxa"/>
            <w:vAlign w:val="center"/>
          </w:tcPr>
          <w:p w14:paraId="38BB4924" w14:textId="77777777" w:rsidR="007A44C2" w:rsidRPr="00B079CA" w:rsidRDefault="007A44C2" w:rsidP="007A44C2">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3F1BA41"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6B8310B9"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25,169,032.00</w:t>
            </w:r>
          </w:p>
        </w:tc>
        <w:tc>
          <w:tcPr>
            <w:tcW w:w="2520" w:type="dxa"/>
            <w:vAlign w:val="center"/>
          </w:tcPr>
          <w:p w14:paraId="1E25837E"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32,719,470.41</w:t>
            </w:r>
          </w:p>
        </w:tc>
      </w:tr>
      <w:tr w:rsidR="007A44C2" w:rsidRPr="00B079CA" w14:paraId="3148774C" w14:textId="77777777" w:rsidTr="004C117B">
        <w:tc>
          <w:tcPr>
            <w:tcW w:w="2880" w:type="dxa"/>
            <w:vAlign w:val="center"/>
          </w:tcPr>
          <w:p w14:paraId="425C47F4"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694132A1"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0540464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608,424.17</w:t>
            </w:r>
          </w:p>
        </w:tc>
        <w:tc>
          <w:tcPr>
            <w:tcW w:w="2520" w:type="dxa"/>
            <w:vAlign w:val="center"/>
          </w:tcPr>
          <w:p w14:paraId="0DD4A19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709,938.08</w:t>
            </w:r>
          </w:p>
        </w:tc>
      </w:tr>
      <w:tr w:rsidR="007A44C2" w:rsidRPr="00B079CA" w14:paraId="0426129E" w14:textId="77777777" w:rsidTr="004C117B">
        <w:tc>
          <w:tcPr>
            <w:tcW w:w="2880" w:type="dxa"/>
            <w:vAlign w:val="center"/>
          </w:tcPr>
          <w:p w14:paraId="44157D18"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76CDD6F"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677AB63"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F6DA6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0A57781F" w14:textId="77777777" w:rsidTr="004C117B">
        <w:tc>
          <w:tcPr>
            <w:tcW w:w="2880" w:type="dxa"/>
            <w:vAlign w:val="center"/>
          </w:tcPr>
          <w:p w14:paraId="43A4DF69" w14:textId="77777777" w:rsidR="007A44C2" w:rsidRPr="00B079CA" w:rsidRDefault="007A44C2" w:rsidP="007A44C2">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71B98D6" w14:textId="77777777" w:rsidR="007A44C2" w:rsidRPr="00B079CA" w:rsidRDefault="007A44C2" w:rsidP="007A44C2">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8C30D7A" w14:textId="77777777" w:rsidR="007A44C2" w:rsidRPr="00B079CA" w:rsidRDefault="007A44C2" w:rsidP="007A44C2">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E8E2F4" w14:textId="77777777" w:rsidR="007A44C2" w:rsidRPr="00B079CA" w:rsidRDefault="007A44C2" w:rsidP="007A44C2">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525CCF50" w14:textId="77777777" w:rsidTr="004C117B">
        <w:tc>
          <w:tcPr>
            <w:tcW w:w="2880" w:type="dxa"/>
            <w:vAlign w:val="center"/>
          </w:tcPr>
          <w:p w14:paraId="58A7E9B1" w14:textId="77777777" w:rsidR="007A44C2" w:rsidRPr="00B079CA" w:rsidRDefault="007A44C2" w:rsidP="007A44C2">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CBD207D" w14:textId="77777777" w:rsidR="007A44C2" w:rsidRPr="00B079CA" w:rsidRDefault="007A44C2" w:rsidP="007A44C2">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E94388C" w14:textId="77777777" w:rsidR="007A44C2" w:rsidRPr="00B079CA" w:rsidRDefault="007A44C2" w:rsidP="007A44C2">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4A243B" w14:textId="77777777" w:rsidR="007A44C2" w:rsidRPr="00B079CA" w:rsidRDefault="007A44C2" w:rsidP="007A44C2">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F390445" w14:textId="77777777" w:rsidTr="004C117B">
        <w:tc>
          <w:tcPr>
            <w:tcW w:w="2880" w:type="dxa"/>
            <w:vAlign w:val="center"/>
          </w:tcPr>
          <w:p w14:paraId="4D8A0EC5"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4658C2F" w14:textId="1564801F"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6BFC12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61424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7AE8D92" w14:textId="77777777" w:rsidTr="004C117B">
        <w:tc>
          <w:tcPr>
            <w:tcW w:w="2880" w:type="dxa"/>
            <w:vAlign w:val="center"/>
          </w:tcPr>
          <w:p w14:paraId="4965C0C7"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FA179EB" w14:textId="4B93E2ED"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0CF0E3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61A97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E63A09B" w14:textId="77777777" w:rsidTr="004C117B">
        <w:tc>
          <w:tcPr>
            <w:tcW w:w="2880" w:type="dxa"/>
            <w:vAlign w:val="center"/>
          </w:tcPr>
          <w:p w14:paraId="2E7A105A"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BD21F45"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670653F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D0D40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09196D83" w14:textId="77777777" w:rsidTr="004C117B">
        <w:tc>
          <w:tcPr>
            <w:tcW w:w="2880" w:type="dxa"/>
            <w:vAlign w:val="center"/>
          </w:tcPr>
          <w:p w14:paraId="4F1548D4"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E97C3DB"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1F419668"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33D259"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A1042EC" w14:textId="77777777" w:rsidTr="004C117B">
        <w:tc>
          <w:tcPr>
            <w:tcW w:w="2880" w:type="dxa"/>
            <w:vAlign w:val="center"/>
          </w:tcPr>
          <w:p w14:paraId="2F8AF183"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00600DE7"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00020C3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280,854.66</w:t>
            </w:r>
          </w:p>
        </w:tc>
        <w:tc>
          <w:tcPr>
            <w:tcW w:w="2520" w:type="dxa"/>
            <w:vAlign w:val="center"/>
          </w:tcPr>
          <w:p w14:paraId="699A934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284,931.98</w:t>
            </w:r>
          </w:p>
        </w:tc>
      </w:tr>
      <w:tr w:rsidR="007A44C2" w:rsidRPr="00B079CA" w14:paraId="4C6963D9" w14:textId="77777777" w:rsidTr="004C117B">
        <w:tc>
          <w:tcPr>
            <w:tcW w:w="2880" w:type="dxa"/>
            <w:vAlign w:val="center"/>
          </w:tcPr>
          <w:p w14:paraId="0CE44A61"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D061B45"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5E50EA1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31BE9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22EAB1C" w14:textId="77777777" w:rsidTr="004C117B">
        <w:tc>
          <w:tcPr>
            <w:tcW w:w="2880" w:type="dxa"/>
            <w:vAlign w:val="center"/>
          </w:tcPr>
          <w:p w14:paraId="02285021"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F96C2BA" w14:textId="03758ABF"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5B9310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9A2FF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266B9DE6" w14:textId="77777777" w:rsidTr="004C117B">
        <w:tc>
          <w:tcPr>
            <w:tcW w:w="2880" w:type="dxa"/>
            <w:vAlign w:val="center"/>
          </w:tcPr>
          <w:p w14:paraId="33673A99"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A3FC8DD"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2520" w:type="dxa"/>
            <w:vAlign w:val="center"/>
          </w:tcPr>
          <w:p w14:paraId="1C09927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27,346,085.67</w:t>
            </w:r>
          </w:p>
        </w:tc>
        <w:tc>
          <w:tcPr>
            <w:tcW w:w="2520" w:type="dxa"/>
            <w:vAlign w:val="center"/>
          </w:tcPr>
          <w:p w14:paraId="364594D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35,310,796.08</w:t>
            </w:r>
          </w:p>
        </w:tc>
      </w:tr>
      <w:tr w:rsidR="00F51F7F" w:rsidRPr="00B079CA" w14:paraId="310125DA" w14:textId="77777777" w:rsidTr="004C117B">
        <w:tc>
          <w:tcPr>
            <w:tcW w:w="2880" w:type="dxa"/>
            <w:vAlign w:val="center"/>
          </w:tcPr>
          <w:p w14:paraId="09955753"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143CBAA"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0E921A8"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ABD0F42"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1FF4006"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8481958"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51F7F" w:rsidRPr="00B079CA" w14:paraId="23440FEC" w14:textId="77777777" w:rsidTr="004C117B">
        <w:tc>
          <w:tcPr>
            <w:tcW w:w="2880" w:type="dxa"/>
            <w:vAlign w:val="center"/>
          </w:tcPr>
          <w:p w14:paraId="1415F0B8"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8C07220"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9E700B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12D36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77805C4B" w14:textId="77777777" w:rsidTr="004C117B">
        <w:tc>
          <w:tcPr>
            <w:tcW w:w="2880" w:type="dxa"/>
            <w:vAlign w:val="center"/>
          </w:tcPr>
          <w:p w14:paraId="0523A8DB"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4117E0C"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E1D7DCE"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7033CE"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74F4F1FE" w14:textId="77777777" w:rsidTr="004C117B">
        <w:tc>
          <w:tcPr>
            <w:tcW w:w="2880" w:type="dxa"/>
            <w:vAlign w:val="center"/>
          </w:tcPr>
          <w:p w14:paraId="1261B032"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8B126E2"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F2D993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5AFEF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42D0DC82" w14:textId="77777777" w:rsidTr="004C117B">
        <w:tc>
          <w:tcPr>
            <w:tcW w:w="2880" w:type="dxa"/>
            <w:vAlign w:val="center"/>
          </w:tcPr>
          <w:p w14:paraId="73F4A56A"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B7AD55D" w14:textId="5B020E93"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257FC0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6C1E3E"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10E73A4" w14:textId="77777777" w:rsidTr="004C117B">
        <w:tc>
          <w:tcPr>
            <w:tcW w:w="2880" w:type="dxa"/>
            <w:vAlign w:val="center"/>
          </w:tcPr>
          <w:p w14:paraId="61A84999"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01C5019"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2939769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868E51"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3FA5F071" w14:textId="77777777" w:rsidTr="004C117B">
        <w:tc>
          <w:tcPr>
            <w:tcW w:w="2880" w:type="dxa"/>
            <w:vAlign w:val="center"/>
          </w:tcPr>
          <w:p w14:paraId="52775FF3"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48A8D368"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bottom"/>
          </w:tcPr>
          <w:p w14:paraId="0FC3065D"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47D7DF7F"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F228522" w14:textId="77777777" w:rsidTr="004C117B">
        <w:tc>
          <w:tcPr>
            <w:tcW w:w="2880" w:type="dxa"/>
            <w:vAlign w:val="center"/>
          </w:tcPr>
          <w:p w14:paraId="5C05E8B4"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9BD306F"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19F7F38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702,029.65</w:t>
            </w:r>
          </w:p>
        </w:tc>
        <w:tc>
          <w:tcPr>
            <w:tcW w:w="2520" w:type="dxa"/>
            <w:vAlign w:val="center"/>
          </w:tcPr>
          <w:p w14:paraId="58458C41"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1,306,708.84</w:t>
            </w:r>
          </w:p>
        </w:tc>
      </w:tr>
      <w:tr w:rsidR="007A44C2" w:rsidRPr="00B079CA" w14:paraId="0EC055B9" w14:textId="77777777" w:rsidTr="004C117B">
        <w:tc>
          <w:tcPr>
            <w:tcW w:w="2880" w:type="dxa"/>
            <w:vAlign w:val="center"/>
          </w:tcPr>
          <w:p w14:paraId="6A5A5C4A"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793754D"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5F07CC7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497.58</w:t>
            </w:r>
          </w:p>
        </w:tc>
        <w:tc>
          <w:tcPr>
            <w:tcW w:w="2520" w:type="dxa"/>
            <w:vAlign w:val="center"/>
          </w:tcPr>
          <w:p w14:paraId="493B9B4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721.17</w:t>
            </w:r>
          </w:p>
        </w:tc>
      </w:tr>
      <w:tr w:rsidR="007A44C2" w:rsidRPr="00B079CA" w14:paraId="024E7A56" w14:textId="77777777" w:rsidTr="004C117B">
        <w:tc>
          <w:tcPr>
            <w:tcW w:w="2880" w:type="dxa"/>
            <w:vAlign w:val="center"/>
          </w:tcPr>
          <w:p w14:paraId="03A561C4"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AA46195"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0F4098F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99.52</w:t>
            </w:r>
          </w:p>
        </w:tc>
        <w:tc>
          <w:tcPr>
            <w:tcW w:w="2520" w:type="dxa"/>
            <w:vAlign w:val="center"/>
          </w:tcPr>
          <w:p w14:paraId="3C396E6F"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144.23</w:t>
            </w:r>
          </w:p>
        </w:tc>
      </w:tr>
      <w:tr w:rsidR="007A44C2" w:rsidRPr="00B079CA" w14:paraId="705A0E20" w14:textId="77777777" w:rsidTr="004C117B">
        <w:tc>
          <w:tcPr>
            <w:tcW w:w="2880" w:type="dxa"/>
            <w:vAlign w:val="center"/>
          </w:tcPr>
          <w:p w14:paraId="17B7D8D6"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30647F0"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23028387"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5,527.57</w:t>
            </w:r>
          </w:p>
        </w:tc>
        <w:tc>
          <w:tcPr>
            <w:tcW w:w="2520" w:type="dxa"/>
            <w:vAlign w:val="center"/>
          </w:tcPr>
          <w:p w14:paraId="327C948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7,521.99</w:t>
            </w:r>
          </w:p>
        </w:tc>
      </w:tr>
      <w:tr w:rsidR="007A44C2" w:rsidRPr="00B079CA" w14:paraId="1B697D7B" w14:textId="77777777" w:rsidTr="004C117B">
        <w:tc>
          <w:tcPr>
            <w:tcW w:w="2880" w:type="dxa"/>
            <w:vAlign w:val="center"/>
          </w:tcPr>
          <w:p w14:paraId="49DCC5BB" w14:textId="77777777" w:rsidR="007A44C2" w:rsidRPr="00B079CA" w:rsidRDefault="007A44C2" w:rsidP="007A44C2">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59A6430"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F024353"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DDC8B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D9835D1" w14:textId="77777777" w:rsidTr="004C117B">
        <w:tc>
          <w:tcPr>
            <w:tcW w:w="2880" w:type="dxa"/>
            <w:vAlign w:val="center"/>
          </w:tcPr>
          <w:p w14:paraId="38FF943A"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FE645EB"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001521D7"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BFE3F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491B294" w14:textId="77777777" w:rsidTr="004C117B">
        <w:tc>
          <w:tcPr>
            <w:tcW w:w="2880" w:type="dxa"/>
            <w:vAlign w:val="center"/>
          </w:tcPr>
          <w:p w14:paraId="03559348"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4FFEA7B"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68D3226F"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DCED8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02824E15" w14:textId="77777777" w:rsidTr="004C117B">
        <w:tc>
          <w:tcPr>
            <w:tcW w:w="2880" w:type="dxa"/>
            <w:vAlign w:val="center"/>
          </w:tcPr>
          <w:p w14:paraId="447CC3BD"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16DF9B0"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310881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429CB2"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331A9C6F" w14:textId="77777777" w:rsidTr="004C117B">
        <w:tc>
          <w:tcPr>
            <w:tcW w:w="2880" w:type="dxa"/>
            <w:vAlign w:val="center"/>
          </w:tcPr>
          <w:p w14:paraId="5BFA20F1"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5CEA8ED" w14:textId="78F60207"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43361BF"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119,781.56</w:t>
            </w:r>
          </w:p>
        </w:tc>
        <w:tc>
          <w:tcPr>
            <w:tcW w:w="2520" w:type="dxa"/>
            <w:vAlign w:val="center"/>
          </w:tcPr>
          <w:p w14:paraId="4239811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110,000.00</w:t>
            </w:r>
          </w:p>
        </w:tc>
      </w:tr>
      <w:tr w:rsidR="007A44C2" w:rsidRPr="00B079CA" w14:paraId="0B348625" w14:textId="77777777" w:rsidTr="004C117B">
        <w:tc>
          <w:tcPr>
            <w:tcW w:w="2880" w:type="dxa"/>
            <w:vAlign w:val="center"/>
          </w:tcPr>
          <w:p w14:paraId="1EF02DEF" w14:textId="77777777" w:rsidR="007A44C2" w:rsidRPr="00B079CA" w:rsidRDefault="007A44C2" w:rsidP="007A44C2">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F1EFAF8"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2520" w:type="dxa"/>
            <w:vAlign w:val="center"/>
          </w:tcPr>
          <w:p w14:paraId="628EF16E"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827,935.88</w:t>
            </w:r>
          </w:p>
        </w:tc>
        <w:tc>
          <w:tcPr>
            <w:tcW w:w="2520" w:type="dxa"/>
            <w:vAlign w:val="center"/>
          </w:tcPr>
          <w:p w14:paraId="20D0F43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1,425,096.23</w:t>
            </w:r>
          </w:p>
        </w:tc>
      </w:tr>
      <w:tr w:rsidR="007A44C2" w:rsidRPr="00B079CA" w14:paraId="53CEE240" w14:textId="77777777" w:rsidTr="004C117B">
        <w:tc>
          <w:tcPr>
            <w:tcW w:w="2880" w:type="dxa"/>
            <w:vAlign w:val="center"/>
          </w:tcPr>
          <w:p w14:paraId="790AEF76" w14:textId="77777777" w:rsidR="007A44C2" w:rsidRPr="00B079CA" w:rsidRDefault="007A44C2" w:rsidP="007A44C2">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39180A6"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700120A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4F1B1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5119F0A3" w14:textId="77777777" w:rsidTr="004C117B">
        <w:tc>
          <w:tcPr>
            <w:tcW w:w="2880" w:type="dxa"/>
            <w:vAlign w:val="center"/>
          </w:tcPr>
          <w:p w14:paraId="42CA8133"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DCB5419" w14:textId="10B8C493"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C66235E"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30,744,676.92</w:t>
            </w:r>
          </w:p>
        </w:tc>
        <w:tc>
          <w:tcPr>
            <w:tcW w:w="2520" w:type="dxa"/>
            <w:vAlign w:val="center"/>
          </w:tcPr>
          <w:p w14:paraId="6567905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37,880,431.09</w:t>
            </w:r>
          </w:p>
        </w:tc>
      </w:tr>
      <w:tr w:rsidR="007A44C2" w:rsidRPr="00B079CA" w14:paraId="52230C16" w14:textId="77777777" w:rsidTr="004C117B">
        <w:tc>
          <w:tcPr>
            <w:tcW w:w="2880" w:type="dxa"/>
            <w:vAlign w:val="center"/>
          </w:tcPr>
          <w:p w14:paraId="6B318789"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629894E" w14:textId="1B5A02F6"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2855CF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-4,226,527.13</w:t>
            </w:r>
          </w:p>
        </w:tc>
        <w:tc>
          <w:tcPr>
            <w:tcW w:w="2520" w:type="dxa"/>
            <w:vAlign w:val="center"/>
          </w:tcPr>
          <w:p w14:paraId="314C2B3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-3,994,731.24</w:t>
            </w:r>
          </w:p>
        </w:tc>
      </w:tr>
      <w:tr w:rsidR="007A44C2" w:rsidRPr="00B079CA" w14:paraId="5112D8F3" w14:textId="77777777" w:rsidTr="004C117B">
        <w:tc>
          <w:tcPr>
            <w:tcW w:w="2880" w:type="dxa"/>
            <w:vAlign w:val="center"/>
          </w:tcPr>
          <w:p w14:paraId="259394CA" w14:textId="77777777" w:rsidR="007A44C2" w:rsidRPr="00B079CA" w:rsidRDefault="007A44C2" w:rsidP="007A44C2">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9BFD955"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40016473"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26,518,149.79</w:t>
            </w:r>
          </w:p>
        </w:tc>
        <w:tc>
          <w:tcPr>
            <w:tcW w:w="2520" w:type="dxa"/>
            <w:vAlign w:val="center"/>
          </w:tcPr>
          <w:p w14:paraId="1077701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33,885,699.85</w:t>
            </w:r>
          </w:p>
        </w:tc>
      </w:tr>
      <w:tr w:rsidR="007A44C2" w:rsidRPr="00B079CA" w14:paraId="6D5B45F5" w14:textId="77777777" w:rsidTr="004C117B">
        <w:tc>
          <w:tcPr>
            <w:tcW w:w="2880" w:type="dxa"/>
            <w:vAlign w:val="center"/>
          </w:tcPr>
          <w:p w14:paraId="5B19B286" w14:textId="77777777" w:rsidR="007A44C2" w:rsidRPr="00B079CA" w:rsidRDefault="007A44C2" w:rsidP="007A44C2">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3E2AD21"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2520" w:type="dxa"/>
            <w:vAlign w:val="center"/>
          </w:tcPr>
          <w:p w14:paraId="2A18746D"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27,346,085.67</w:t>
            </w:r>
          </w:p>
        </w:tc>
        <w:tc>
          <w:tcPr>
            <w:tcW w:w="2520" w:type="dxa"/>
            <w:vAlign w:val="center"/>
          </w:tcPr>
          <w:p w14:paraId="07373E3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35,310,796.08</w:t>
            </w:r>
          </w:p>
        </w:tc>
      </w:tr>
    </w:tbl>
    <w:p w14:paraId="6197B0C0" w14:textId="77777777" w:rsidR="00FA3CB3" w:rsidRDefault="00052A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:30,744,676.92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364B38F" w14:textId="77777777" w:rsidR="00FA3CB3" w:rsidRDefault="00052A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:0.8638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:4,669,515.30</w:t>
      </w:r>
      <w:r>
        <w:rPr>
          <w:rFonts w:eastAsiaTheme="minorEastAsia"/>
          <w:color w:val="000000" w:themeColor="text1"/>
          <w:kern w:val="0"/>
          <w:szCs w:val="21"/>
        </w:rPr>
        <w:t>份</w:t>
      </w:r>
      <w:r>
        <w:rPr>
          <w:rFonts w:eastAsiaTheme="minorEastAsia"/>
          <w:color w:val="000000" w:themeColor="text1"/>
          <w:kern w:val="0"/>
          <w:szCs w:val="21"/>
        </w:rPr>
        <w:t>,</w:t>
      </w:r>
    </w:p>
    <w:p w14:paraId="19492774" w14:textId="77777777" w:rsidR="00F51F7F" w:rsidRPr="00B079CA" w:rsidRDefault="00F51F7F" w:rsidP="00F51F7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:0.8623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:26,075,161.62</w:t>
      </w:r>
      <w:r w:rsidRPr="00B079CA">
        <w:rPr>
          <w:rFonts w:eastAsiaTheme="minorEastAsia"/>
          <w:color w:val="000000" w:themeColor="text1"/>
          <w:kern w:val="0"/>
          <w:szCs w:val="21"/>
        </w:rPr>
        <w:t>份。</w:t>
      </w:r>
    </w:p>
    <w:p w14:paraId="267B50F4" w14:textId="77777777" w:rsidR="00F51F7F" w:rsidRPr="00B079CA" w:rsidRDefault="00F51F7F" w:rsidP="00F51F7F">
      <w:pPr>
        <w:pStyle w:val="20"/>
        <w:spacing w:beforeLines="100" w:before="312" w:after="0"/>
        <w:rPr>
          <w:rFonts w:ascii="Times New Roman" w:eastAsiaTheme="minorEastAsia" w:hAnsi="Times New Roman"/>
          <w:color w:val="000000" w:themeColor="text1"/>
          <w:kern w:val="0"/>
          <w:sz w:val="21"/>
          <w:szCs w:val="21"/>
        </w:rPr>
      </w:pPr>
      <w:bookmarkStart w:id="54" w:name="_Toc225498269"/>
      <w:bookmarkStart w:id="55" w:name="_Toc374532314"/>
      <w:bookmarkStart w:id="56" w:name="_Toc17557528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4"/>
      <w:bookmarkEnd w:id="55"/>
      <w:bookmarkEnd w:id="56"/>
    </w:p>
    <w:p w14:paraId="63DD62E0"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(QDII)</w:t>
      </w:r>
    </w:p>
    <w:p w14:paraId="3F271B18"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A473AE3"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B507F" w:rsidRPr="00B079CA" w14:paraId="781D67B7" w14:textId="77777777" w:rsidTr="002B507F">
        <w:tc>
          <w:tcPr>
            <w:tcW w:w="3420" w:type="dxa"/>
            <w:vAlign w:val="center"/>
          </w:tcPr>
          <w:p w14:paraId="79AB0821"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163C8E2"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5C1E5958"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3567D9B"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2B507F" w:rsidRPr="00B079CA" w14:paraId="6DD12930" w14:textId="77777777" w:rsidTr="002B507F">
        <w:tc>
          <w:tcPr>
            <w:tcW w:w="3420" w:type="dxa"/>
            <w:vAlign w:val="center"/>
          </w:tcPr>
          <w:p w14:paraId="1B20D177" w14:textId="77777777" w:rsidR="00F51F7F" w:rsidRPr="00B079CA" w:rsidRDefault="00F51F7F"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51090FB" w14:textId="77777777" w:rsidR="00F51F7F" w:rsidRPr="00B079CA" w:rsidRDefault="00F51F7F" w:rsidP="004C117B">
            <w:pPr>
              <w:pStyle w:val="aff1"/>
              <w:jc w:val="center"/>
              <w:rPr>
                <w:rFonts w:ascii="Times New Roman" w:eastAsiaTheme="minorEastAsia" w:hAnsi="Times New Roman"/>
                <w:b/>
                <w:color w:val="000000" w:themeColor="text1"/>
                <w:sz w:val="21"/>
                <w:szCs w:val="21"/>
              </w:rPr>
            </w:pPr>
          </w:p>
        </w:tc>
        <w:tc>
          <w:tcPr>
            <w:tcW w:w="4500" w:type="dxa"/>
            <w:vAlign w:val="bottom"/>
          </w:tcPr>
          <w:p w14:paraId="7796C359" w14:textId="77777777" w:rsidR="00F51F7F" w:rsidRPr="00B079CA" w:rsidRDefault="00F51F7F" w:rsidP="004C117B">
            <w:pPr>
              <w:jc w:val="right"/>
              <w:rPr>
                <w:rFonts w:eastAsiaTheme="minorEastAsia"/>
                <w:b/>
                <w:bCs/>
                <w:color w:val="000000" w:themeColor="text1"/>
                <w:szCs w:val="21"/>
              </w:rPr>
            </w:pPr>
            <w:r w:rsidRPr="00B079CA">
              <w:rPr>
                <w:rFonts w:eastAsiaTheme="minorEastAsia"/>
                <w:b/>
                <w:bCs/>
                <w:color w:val="000000" w:themeColor="text1"/>
                <w:szCs w:val="21"/>
              </w:rPr>
              <w:t>-1,150,214.63</w:t>
            </w:r>
          </w:p>
        </w:tc>
      </w:tr>
      <w:tr w:rsidR="002B507F" w:rsidRPr="00B079CA" w14:paraId="302E893D" w14:textId="77777777" w:rsidTr="002B507F">
        <w:tc>
          <w:tcPr>
            <w:tcW w:w="3420" w:type="dxa"/>
            <w:vAlign w:val="center"/>
          </w:tcPr>
          <w:p w14:paraId="0C25FA05" w14:textId="77777777" w:rsidR="00F51F7F" w:rsidRPr="00B079CA" w:rsidRDefault="00F51F7F"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7F554BB" w14:textId="77777777" w:rsidR="00F51F7F" w:rsidRPr="00B079CA" w:rsidRDefault="00F51F7F" w:rsidP="004C117B">
            <w:pPr>
              <w:pStyle w:val="aff1"/>
              <w:jc w:val="center"/>
              <w:rPr>
                <w:rFonts w:ascii="Times New Roman" w:eastAsiaTheme="minorEastAsia" w:hAnsi="Times New Roman"/>
                <w:color w:val="000000" w:themeColor="text1"/>
                <w:sz w:val="21"/>
                <w:szCs w:val="21"/>
              </w:rPr>
            </w:pPr>
          </w:p>
        </w:tc>
        <w:tc>
          <w:tcPr>
            <w:tcW w:w="4500" w:type="dxa"/>
            <w:vAlign w:val="center"/>
          </w:tcPr>
          <w:p w14:paraId="09C04548"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2,973.99</w:t>
            </w:r>
          </w:p>
        </w:tc>
      </w:tr>
      <w:tr w:rsidR="007A44C2" w:rsidRPr="00B079CA" w14:paraId="29BD5C64" w14:textId="77777777" w:rsidTr="002B507F">
        <w:tc>
          <w:tcPr>
            <w:tcW w:w="3420" w:type="dxa"/>
            <w:vAlign w:val="center"/>
          </w:tcPr>
          <w:p w14:paraId="0453B7D7"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AC05BF2" w14:textId="41A731F5"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6094062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2,504.47</w:t>
            </w:r>
          </w:p>
        </w:tc>
      </w:tr>
      <w:tr w:rsidR="007A44C2" w:rsidRPr="00B079CA" w14:paraId="5DDC86DD" w14:textId="77777777" w:rsidTr="002B507F">
        <w:tc>
          <w:tcPr>
            <w:tcW w:w="3420" w:type="dxa"/>
            <w:vAlign w:val="center"/>
          </w:tcPr>
          <w:p w14:paraId="608E27B7"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8968AF2"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525D3C3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23EC4DF3" w14:textId="77777777" w:rsidTr="002B507F">
        <w:tc>
          <w:tcPr>
            <w:tcW w:w="3420" w:type="dxa"/>
            <w:vAlign w:val="center"/>
          </w:tcPr>
          <w:p w14:paraId="702EA78C"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8DE88D7"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1C34780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D97C679" w14:textId="77777777" w:rsidTr="002B507F">
        <w:tc>
          <w:tcPr>
            <w:tcW w:w="3420" w:type="dxa"/>
            <w:vAlign w:val="center"/>
          </w:tcPr>
          <w:p w14:paraId="3B7734BA"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72E880D"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7F265BA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469.52</w:t>
            </w:r>
          </w:p>
        </w:tc>
      </w:tr>
      <w:tr w:rsidR="007A44C2" w:rsidRPr="00B079CA" w14:paraId="7AFF3584" w14:textId="77777777" w:rsidTr="002B507F">
        <w:tc>
          <w:tcPr>
            <w:tcW w:w="3420" w:type="dxa"/>
            <w:vAlign w:val="center"/>
          </w:tcPr>
          <w:p w14:paraId="42A60CDD"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7484C54"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2BA52EC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343DB1D4" w14:textId="77777777" w:rsidTr="002B507F">
        <w:tc>
          <w:tcPr>
            <w:tcW w:w="3420" w:type="dxa"/>
            <w:vAlign w:val="center"/>
          </w:tcPr>
          <w:p w14:paraId="2BB50AE1"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B6F3261"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53EC8881"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-1,148,373.95</w:t>
            </w:r>
          </w:p>
        </w:tc>
      </w:tr>
      <w:tr w:rsidR="007A44C2" w:rsidRPr="00B079CA" w14:paraId="7E2F4F39" w14:textId="77777777" w:rsidTr="002B507F">
        <w:tc>
          <w:tcPr>
            <w:tcW w:w="3420" w:type="dxa"/>
            <w:vAlign w:val="center"/>
          </w:tcPr>
          <w:p w14:paraId="3DDBDA3F"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650809F" w14:textId="46345A06"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4963368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3E23E4F" w14:textId="77777777" w:rsidTr="002B507F">
        <w:tc>
          <w:tcPr>
            <w:tcW w:w="3420" w:type="dxa"/>
            <w:vAlign w:val="center"/>
          </w:tcPr>
          <w:p w14:paraId="77FF45C6"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1724B7BD" w14:textId="616E5FBC"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76A99C68"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-1,156,115.04</w:t>
            </w:r>
          </w:p>
        </w:tc>
      </w:tr>
      <w:tr w:rsidR="007A44C2" w:rsidRPr="00B079CA" w14:paraId="53EDB87F" w14:textId="77777777" w:rsidTr="002B507F">
        <w:tc>
          <w:tcPr>
            <w:tcW w:w="3420" w:type="dxa"/>
            <w:vAlign w:val="center"/>
          </w:tcPr>
          <w:p w14:paraId="797D58B4"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8C0E2D5" w14:textId="625B9B0B"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7ACADF84"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7,741.09</w:t>
            </w:r>
          </w:p>
        </w:tc>
      </w:tr>
      <w:tr w:rsidR="007A44C2" w:rsidRPr="00B079CA" w14:paraId="1F5B67E2" w14:textId="77777777" w:rsidTr="002B507F">
        <w:tc>
          <w:tcPr>
            <w:tcW w:w="3420" w:type="dxa"/>
            <w:vAlign w:val="center"/>
          </w:tcPr>
          <w:p w14:paraId="61CBCF8E"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2E6583F"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39D444AD"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36AD1EC5" w14:textId="77777777" w:rsidTr="002B507F">
        <w:tc>
          <w:tcPr>
            <w:tcW w:w="3420" w:type="dxa"/>
            <w:vAlign w:val="center"/>
          </w:tcPr>
          <w:p w14:paraId="10AD0413" w14:textId="77777777" w:rsidR="007A44C2" w:rsidRPr="00B079CA" w:rsidRDefault="007A44C2" w:rsidP="007A44C2">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881FE81" w14:textId="77777777" w:rsidR="007A44C2" w:rsidRPr="00B079CA" w:rsidRDefault="007A44C2" w:rsidP="007A44C2">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14:paraId="0E0D7E26" w14:textId="77777777" w:rsidR="007A44C2" w:rsidRPr="00B079CA" w:rsidRDefault="007A44C2" w:rsidP="007A44C2">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A321DDB" w14:textId="77777777" w:rsidTr="002B507F">
        <w:tc>
          <w:tcPr>
            <w:tcW w:w="3420" w:type="dxa"/>
            <w:vAlign w:val="center"/>
          </w:tcPr>
          <w:p w14:paraId="2A82306D"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F889CAA" w14:textId="6F57D67A"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16EF022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4CE5D478" w14:textId="77777777" w:rsidTr="002B507F">
        <w:tc>
          <w:tcPr>
            <w:tcW w:w="3420" w:type="dxa"/>
            <w:vAlign w:val="center"/>
          </w:tcPr>
          <w:p w14:paraId="1FB0414A"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7C5687B" w14:textId="17CBEC3A"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7B462427"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4B18228C" w14:textId="77777777" w:rsidTr="002B507F">
        <w:tc>
          <w:tcPr>
            <w:tcW w:w="3420" w:type="dxa"/>
            <w:vAlign w:val="center"/>
          </w:tcPr>
          <w:p w14:paraId="2814D371" w14:textId="77777777" w:rsidR="007A44C2" w:rsidRPr="00B079CA" w:rsidRDefault="007A44C2" w:rsidP="007A44C2">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2005358"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bottom"/>
          </w:tcPr>
          <w:p w14:paraId="218A20C6"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1C5EFA68" w14:textId="77777777" w:rsidTr="002B507F">
        <w:tc>
          <w:tcPr>
            <w:tcW w:w="3420" w:type="dxa"/>
            <w:vAlign w:val="center"/>
          </w:tcPr>
          <w:p w14:paraId="77F22DCC"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0D3DC41" w14:textId="053221C0"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7AB567E0"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-13,162.08</w:t>
            </w:r>
          </w:p>
        </w:tc>
      </w:tr>
      <w:tr w:rsidR="007A44C2" w:rsidRPr="00B079CA" w14:paraId="0460613D" w14:textId="77777777" w:rsidTr="002B507F">
        <w:tc>
          <w:tcPr>
            <w:tcW w:w="3420" w:type="dxa"/>
            <w:vAlign w:val="center"/>
          </w:tcPr>
          <w:p w14:paraId="02B92F58" w14:textId="77777777" w:rsidR="007A44C2" w:rsidRPr="00B079CA" w:rsidRDefault="007A44C2" w:rsidP="007A44C2">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559E1FE"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343F886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6CD420FE" w14:textId="77777777" w:rsidTr="002B507F">
        <w:tc>
          <w:tcPr>
            <w:tcW w:w="3420" w:type="dxa"/>
            <w:vAlign w:val="center"/>
          </w:tcPr>
          <w:p w14:paraId="007F0CC6"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519B078" w14:textId="6F456A76"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6593A955"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8,347.41</w:t>
            </w:r>
          </w:p>
        </w:tc>
      </w:tr>
      <w:tr w:rsidR="007A44C2" w:rsidRPr="00B079CA" w14:paraId="56715E06" w14:textId="77777777" w:rsidTr="002B507F">
        <w:tc>
          <w:tcPr>
            <w:tcW w:w="3420" w:type="dxa"/>
            <w:vAlign w:val="center"/>
          </w:tcPr>
          <w:p w14:paraId="2102A337" w14:textId="77777777" w:rsidR="007A44C2" w:rsidRPr="00B079CA" w:rsidRDefault="007A44C2" w:rsidP="007A44C2">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D3C4107"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4500" w:type="dxa"/>
            <w:vAlign w:val="bottom"/>
          </w:tcPr>
          <w:p w14:paraId="0B97B7C3" w14:textId="77777777" w:rsidR="007A44C2" w:rsidRPr="00B079CA" w:rsidRDefault="007A44C2" w:rsidP="007A44C2">
            <w:pPr>
              <w:jc w:val="right"/>
              <w:rPr>
                <w:rFonts w:eastAsiaTheme="minorEastAsia"/>
                <w:b/>
                <w:bCs/>
                <w:color w:val="000000" w:themeColor="text1"/>
                <w:szCs w:val="21"/>
              </w:rPr>
            </w:pPr>
            <w:r w:rsidRPr="00B079CA">
              <w:rPr>
                <w:rFonts w:eastAsiaTheme="minorEastAsia"/>
                <w:b/>
                <w:bCs/>
                <w:color w:val="000000" w:themeColor="text1"/>
                <w:szCs w:val="21"/>
              </w:rPr>
              <w:t>81,472.11</w:t>
            </w:r>
          </w:p>
        </w:tc>
      </w:tr>
      <w:tr w:rsidR="007A44C2" w:rsidRPr="00B079CA" w14:paraId="4832ED12" w14:textId="77777777" w:rsidTr="002B507F">
        <w:tc>
          <w:tcPr>
            <w:tcW w:w="3420" w:type="dxa"/>
            <w:vAlign w:val="center"/>
          </w:tcPr>
          <w:p w14:paraId="5630F022"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E792E08"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79E7AF09"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2,327.68</w:t>
            </w:r>
          </w:p>
        </w:tc>
      </w:tr>
      <w:tr w:rsidR="007A44C2" w:rsidRPr="00B079CA" w14:paraId="6AFF17A3" w14:textId="77777777" w:rsidTr="002B507F">
        <w:tc>
          <w:tcPr>
            <w:tcW w:w="3420" w:type="dxa"/>
            <w:vAlign w:val="center"/>
          </w:tcPr>
          <w:p w14:paraId="64BDAEAB"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BE2BBDF"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244E4D7A"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465.55</w:t>
            </w:r>
          </w:p>
        </w:tc>
      </w:tr>
      <w:tr w:rsidR="007A44C2" w:rsidRPr="00B079CA" w14:paraId="26E5D9B9" w14:textId="77777777" w:rsidTr="002B507F">
        <w:tc>
          <w:tcPr>
            <w:tcW w:w="3420" w:type="dxa"/>
            <w:vAlign w:val="center"/>
          </w:tcPr>
          <w:p w14:paraId="573AABA5"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0D7B448"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6E2BF1BD"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37,574.86</w:t>
            </w:r>
          </w:p>
        </w:tc>
      </w:tr>
      <w:tr w:rsidR="007A44C2" w:rsidRPr="00B079CA" w14:paraId="60E1904B" w14:textId="77777777" w:rsidTr="002B507F">
        <w:tc>
          <w:tcPr>
            <w:tcW w:w="3420" w:type="dxa"/>
            <w:vAlign w:val="center"/>
          </w:tcPr>
          <w:p w14:paraId="5ADE492D"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CAA1B51"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bottom"/>
          </w:tcPr>
          <w:p w14:paraId="44E6AF58"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15101E13" w14:textId="77777777" w:rsidTr="002B507F">
        <w:tc>
          <w:tcPr>
            <w:tcW w:w="3420" w:type="dxa"/>
            <w:vAlign w:val="center"/>
          </w:tcPr>
          <w:p w14:paraId="48697878"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13F6AAA"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48EBB1C8"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192.29</w:t>
            </w:r>
          </w:p>
        </w:tc>
      </w:tr>
      <w:tr w:rsidR="007A44C2" w:rsidRPr="00B079CA" w14:paraId="689A225E" w14:textId="77777777" w:rsidTr="002B507F">
        <w:tc>
          <w:tcPr>
            <w:tcW w:w="3420" w:type="dxa"/>
            <w:vAlign w:val="center"/>
          </w:tcPr>
          <w:p w14:paraId="265E7F45"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12452EAB"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031C1D3B"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192.29</w:t>
            </w:r>
          </w:p>
        </w:tc>
      </w:tr>
      <w:tr w:rsidR="007A44C2" w:rsidRPr="00B079CA" w14:paraId="0B778972" w14:textId="77777777" w:rsidTr="002B507F">
        <w:tc>
          <w:tcPr>
            <w:tcW w:w="3420" w:type="dxa"/>
            <w:vAlign w:val="center"/>
          </w:tcPr>
          <w:p w14:paraId="7C256A5B"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26E1FB7"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bottom"/>
          </w:tcPr>
          <w:p w14:paraId="15C396A9"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1B10D345" w14:textId="77777777" w:rsidTr="002B507F">
        <w:tc>
          <w:tcPr>
            <w:tcW w:w="3420" w:type="dxa"/>
            <w:vAlign w:val="center"/>
          </w:tcPr>
          <w:p w14:paraId="03E088CC"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7ECBE4B"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bottom"/>
          </w:tcPr>
          <w:p w14:paraId="304D2853"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D00FE27" w14:textId="77777777" w:rsidTr="002B507F">
        <w:tc>
          <w:tcPr>
            <w:tcW w:w="3420" w:type="dxa"/>
            <w:vAlign w:val="center"/>
          </w:tcPr>
          <w:p w14:paraId="6F85ACBF" w14:textId="77777777" w:rsidR="007A44C2" w:rsidRPr="00B079CA" w:rsidRDefault="007A44C2" w:rsidP="007A44C2">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640FB71" w14:textId="5512150C" w:rsidR="007A44C2" w:rsidRPr="00B079CA" w:rsidRDefault="007A44C2" w:rsidP="007A44C2">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4500" w:type="dxa"/>
            <w:vAlign w:val="center"/>
          </w:tcPr>
          <w:p w14:paraId="35FB1929"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40,911.73</w:t>
            </w:r>
          </w:p>
        </w:tc>
      </w:tr>
      <w:tr w:rsidR="007A44C2" w:rsidRPr="00B079CA" w14:paraId="7A4098B1" w14:textId="77777777" w:rsidTr="002B507F">
        <w:tc>
          <w:tcPr>
            <w:tcW w:w="3420" w:type="dxa"/>
            <w:vAlign w:val="center"/>
          </w:tcPr>
          <w:p w14:paraId="2A230A37" w14:textId="77777777" w:rsidR="007A44C2" w:rsidRPr="00B079CA" w:rsidRDefault="007A44C2" w:rsidP="007A44C2">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D4BB720"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4500" w:type="dxa"/>
            <w:vAlign w:val="center"/>
          </w:tcPr>
          <w:p w14:paraId="7CBD039D" w14:textId="77777777" w:rsidR="007A44C2" w:rsidRPr="00B079CA" w:rsidRDefault="007A44C2" w:rsidP="007A44C2">
            <w:pPr>
              <w:jc w:val="right"/>
              <w:rPr>
                <w:rFonts w:eastAsiaTheme="minorEastAsia"/>
                <w:b/>
                <w:color w:val="000000" w:themeColor="text1"/>
                <w:szCs w:val="21"/>
              </w:rPr>
            </w:pPr>
            <w:r w:rsidRPr="00B079CA">
              <w:rPr>
                <w:rFonts w:eastAsiaTheme="minorEastAsia"/>
                <w:b/>
                <w:color w:val="000000" w:themeColor="text1"/>
                <w:szCs w:val="21"/>
              </w:rPr>
              <w:t>-1,231,686.74</w:t>
            </w:r>
          </w:p>
        </w:tc>
      </w:tr>
      <w:tr w:rsidR="007A44C2" w:rsidRPr="00B079CA" w14:paraId="13F4824A" w14:textId="77777777" w:rsidTr="002B507F">
        <w:tc>
          <w:tcPr>
            <w:tcW w:w="3420" w:type="dxa"/>
            <w:vAlign w:val="center"/>
          </w:tcPr>
          <w:p w14:paraId="1B2EA57B" w14:textId="77777777" w:rsidR="007A44C2" w:rsidRPr="00B079CA" w:rsidRDefault="007A44C2" w:rsidP="007A44C2">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78F17CE" w14:textId="77777777" w:rsidR="007A44C2" w:rsidRPr="00B079CA" w:rsidRDefault="007A44C2" w:rsidP="007A44C2">
            <w:pPr>
              <w:pStyle w:val="aff1"/>
              <w:jc w:val="center"/>
              <w:rPr>
                <w:rFonts w:ascii="Times New Roman" w:eastAsiaTheme="minorEastAsia" w:hAnsi="Times New Roman"/>
                <w:color w:val="000000" w:themeColor="text1"/>
                <w:sz w:val="21"/>
                <w:szCs w:val="21"/>
              </w:rPr>
            </w:pPr>
          </w:p>
        </w:tc>
        <w:tc>
          <w:tcPr>
            <w:tcW w:w="4500" w:type="dxa"/>
            <w:vAlign w:val="center"/>
          </w:tcPr>
          <w:p w14:paraId="7791158C" w14:textId="77777777" w:rsidR="007A44C2" w:rsidRPr="00B079CA" w:rsidRDefault="007A44C2" w:rsidP="007A44C2">
            <w:pPr>
              <w:jc w:val="right"/>
              <w:rPr>
                <w:rFonts w:eastAsiaTheme="minorEastAsia"/>
                <w:color w:val="000000" w:themeColor="text1"/>
                <w:szCs w:val="21"/>
              </w:rPr>
            </w:pPr>
            <w:r w:rsidRPr="00B079CA">
              <w:rPr>
                <w:rFonts w:eastAsiaTheme="minorEastAsia"/>
                <w:color w:val="000000" w:themeColor="text1"/>
                <w:szCs w:val="21"/>
              </w:rPr>
              <w:t>-</w:t>
            </w:r>
          </w:p>
        </w:tc>
      </w:tr>
      <w:tr w:rsidR="007A44C2" w:rsidRPr="00B079CA" w14:paraId="7AFD1106" w14:textId="77777777" w:rsidTr="002B507F">
        <w:tc>
          <w:tcPr>
            <w:tcW w:w="3420" w:type="dxa"/>
            <w:vAlign w:val="center"/>
          </w:tcPr>
          <w:p w14:paraId="2637100D" w14:textId="77777777" w:rsidR="007A44C2" w:rsidRPr="00B079CA" w:rsidRDefault="007A44C2" w:rsidP="007A44C2">
            <w:pPr>
              <w:rPr>
                <w:rFonts w:eastAsiaTheme="minorEastAsia"/>
                <w:b/>
                <w:color w:val="000000" w:themeColor="text1"/>
                <w:szCs w:val="21"/>
              </w:rPr>
            </w:pPr>
            <w:r w:rsidRPr="00B079CA">
              <w:rPr>
                <w:rFonts w:eastAsiaTheme="minorEastAsia"/>
                <w:b/>
                <w:color w:val="000000" w:themeColor="text1"/>
                <w:szCs w:val="21"/>
              </w:rPr>
              <w:lastRenderedPageBreak/>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96F7AEC"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4500" w:type="dxa"/>
            <w:vAlign w:val="center"/>
          </w:tcPr>
          <w:p w14:paraId="34CB6C0D" w14:textId="77777777" w:rsidR="007A44C2" w:rsidRPr="00B079CA" w:rsidRDefault="007A44C2" w:rsidP="007A44C2">
            <w:pPr>
              <w:jc w:val="right"/>
              <w:rPr>
                <w:rFonts w:eastAsiaTheme="minorEastAsia"/>
                <w:b/>
                <w:color w:val="000000" w:themeColor="text1"/>
                <w:szCs w:val="21"/>
              </w:rPr>
            </w:pPr>
            <w:r w:rsidRPr="00B079CA">
              <w:rPr>
                <w:rFonts w:eastAsiaTheme="minorEastAsia"/>
                <w:b/>
                <w:color w:val="000000" w:themeColor="text1"/>
                <w:szCs w:val="21"/>
              </w:rPr>
              <w:t>-1,231,686.74</w:t>
            </w:r>
          </w:p>
        </w:tc>
      </w:tr>
      <w:tr w:rsidR="007A44C2" w:rsidRPr="00B079CA" w14:paraId="0C9FB6DA" w14:textId="77777777" w:rsidTr="002B507F">
        <w:tc>
          <w:tcPr>
            <w:tcW w:w="3420" w:type="dxa"/>
            <w:vAlign w:val="center"/>
          </w:tcPr>
          <w:p w14:paraId="59831F5F" w14:textId="77777777" w:rsidR="007A44C2" w:rsidRPr="00B079CA" w:rsidRDefault="007A44C2" w:rsidP="007A44C2">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65753A9"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4500" w:type="dxa"/>
            <w:vAlign w:val="bottom"/>
          </w:tcPr>
          <w:p w14:paraId="2F312D33" w14:textId="77777777" w:rsidR="007A44C2" w:rsidRPr="00B079CA" w:rsidRDefault="007A44C2" w:rsidP="007A44C2">
            <w:pPr>
              <w:jc w:val="right"/>
              <w:rPr>
                <w:rFonts w:eastAsiaTheme="minorEastAsia"/>
                <w:b/>
                <w:color w:val="000000" w:themeColor="text1"/>
                <w:szCs w:val="21"/>
              </w:rPr>
            </w:pPr>
            <w:r w:rsidRPr="00B079CA">
              <w:rPr>
                <w:rFonts w:eastAsiaTheme="minorEastAsia"/>
                <w:b/>
                <w:color w:val="000000" w:themeColor="text1"/>
                <w:szCs w:val="21"/>
              </w:rPr>
              <w:t>-</w:t>
            </w:r>
          </w:p>
        </w:tc>
      </w:tr>
      <w:tr w:rsidR="007A44C2" w:rsidRPr="00B079CA" w14:paraId="6C8CD64B" w14:textId="77777777" w:rsidTr="002B507F">
        <w:tc>
          <w:tcPr>
            <w:tcW w:w="3420" w:type="dxa"/>
            <w:vAlign w:val="center"/>
          </w:tcPr>
          <w:p w14:paraId="66367AF2" w14:textId="77777777" w:rsidR="007A44C2" w:rsidRPr="00B079CA" w:rsidRDefault="007A44C2" w:rsidP="007A44C2">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3178721" w14:textId="77777777" w:rsidR="007A44C2" w:rsidRPr="00B079CA" w:rsidRDefault="007A44C2" w:rsidP="007A44C2">
            <w:pPr>
              <w:pStyle w:val="aff1"/>
              <w:jc w:val="center"/>
              <w:rPr>
                <w:rFonts w:ascii="Times New Roman" w:eastAsiaTheme="minorEastAsia" w:hAnsi="Times New Roman"/>
                <w:b/>
                <w:color w:val="000000" w:themeColor="text1"/>
                <w:sz w:val="21"/>
                <w:szCs w:val="21"/>
              </w:rPr>
            </w:pPr>
          </w:p>
        </w:tc>
        <w:tc>
          <w:tcPr>
            <w:tcW w:w="4500" w:type="dxa"/>
            <w:vAlign w:val="bottom"/>
          </w:tcPr>
          <w:p w14:paraId="48A7E86F" w14:textId="77777777" w:rsidR="007A44C2" w:rsidRPr="00B079CA" w:rsidRDefault="007A44C2" w:rsidP="007A44C2">
            <w:pPr>
              <w:jc w:val="right"/>
              <w:rPr>
                <w:rFonts w:eastAsiaTheme="minorEastAsia"/>
                <w:b/>
                <w:color w:val="000000" w:themeColor="text1"/>
                <w:szCs w:val="21"/>
              </w:rPr>
            </w:pPr>
            <w:r w:rsidRPr="00B079CA">
              <w:rPr>
                <w:rFonts w:eastAsiaTheme="minorEastAsia"/>
                <w:b/>
                <w:color w:val="000000" w:themeColor="text1"/>
                <w:szCs w:val="21"/>
              </w:rPr>
              <w:t>-1,231,686.74</w:t>
            </w:r>
          </w:p>
        </w:tc>
      </w:tr>
    </w:tbl>
    <w:p w14:paraId="7205F1A1" w14:textId="77777777" w:rsidR="00F51F7F" w:rsidRPr="00E15564" w:rsidRDefault="00F51F7F" w:rsidP="00F51F7F">
      <w:pPr>
        <w:pStyle w:val="20"/>
        <w:spacing w:beforeLines="100" w:before="312" w:afterLines="100" w:after="312"/>
        <w:rPr>
          <w:rFonts w:ascii="Times New Roman" w:hAnsi="Times New Roman"/>
          <w:kern w:val="0"/>
          <w:sz w:val="21"/>
          <w:szCs w:val="21"/>
        </w:rPr>
      </w:pPr>
      <w:bookmarkStart w:id="57" w:name="_Toc225498270"/>
      <w:bookmarkStart w:id="58" w:name="_Toc175575281"/>
      <w:r w:rsidRPr="00E15564">
        <w:rPr>
          <w:rFonts w:ascii="Times New Roman" w:hAnsi="Times New Roman"/>
          <w:kern w:val="0"/>
          <w:sz w:val="21"/>
          <w:szCs w:val="21"/>
        </w:rPr>
        <w:t xml:space="preserve">6.3 </w:t>
      </w:r>
      <w:bookmarkEnd w:id="57"/>
      <w:r w:rsidRPr="00E15564">
        <w:rPr>
          <w:rFonts w:ascii="宋体" w:hAnsi="宋体" w:hint="eastAsia"/>
          <w:sz w:val="21"/>
          <w:szCs w:val="21"/>
        </w:rPr>
        <w:t>净资产变动表</w:t>
      </w:r>
      <w:bookmarkEnd w:id="58"/>
    </w:p>
    <w:p w14:paraId="6913AD64"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(QDII)</w:t>
      </w:r>
    </w:p>
    <w:p w14:paraId="32EFB191" w14:textId="77777777" w:rsidR="00F51F7F" w:rsidRPr="00B079CA" w:rsidRDefault="00F51F7F" w:rsidP="00F51F7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07BD228" w14:textId="77777777" w:rsidR="00F51F7F" w:rsidRPr="00B079CA" w:rsidRDefault="00F51F7F" w:rsidP="00F51F7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51F7F" w:rsidRPr="00B079CA" w14:paraId="10E710D3" w14:textId="77777777" w:rsidTr="004C117B">
        <w:tc>
          <w:tcPr>
            <w:tcW w:w="1876" w:type="dxa"/>
            <w:vMerge w:val="restart"/>
            <w:vAlign w:val="center"/>
          </w:tcPr>
          <w:p w14:paraId="193A1124" w14:textId="77777777" w:rsidR="00F51F7F" w:rsidRPr="00B079CA" w:rsidRDefault="00F51F7F" w:rsidP="004C117B">
            <w:pPr>
              <w:jc w:val="center"/>
              <w:rPr>
                <w:rFonts w:eastAsiaTheme="minorEastAsia"/>
                <w:b/>
                <w:color w:val="000000" w:themeColor="text1"/>
                <w:szCs w:val="21"/>
              </w:rPr>
            </w:pPr>
            <w:bookmarkStart w:id="59" w:name="_Hlk105665426"/>
            <w:r w:rsidRPr="00B079CA">
              <w:rPr>
                <w:rFonts w:eastAsiaTheme="minorEastAsia"/>
                <w:b/>
                <w:color w:val="000000" w:themeColor="text1"/>
                <w:szCs w:val="21"/>
              </w:rPr>
              <w:t>项目</w:t>
            </w:r>
          </w:p>
        </w:tc>
        <w:tc>
          <w:tcPr>
            <w:tcW w:w="7446" w:type="dxa"/>
            <w:gridSpan w:val="4"/>
          </w:tcPr>
          <w:p w14:paraId="63B045ED"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7C77899C" w14:textId="77777777" w:rsidR="00F51F7F" w:rsidRPr="00B079CA" w:rsidRDefault="00F51F7F"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51F7F" w:rsidRPr="00B079CA" w14:paraId="738B19D8" w14:textId="77777777" w:rsidTr="004C117B">
        <w:tc>
          <w:tcPr>
            <w:tcW w:w="1876" w:type="dxa"/>
            <w:vMerge/>
            <w:vAlign w:val="center"/>
          </w:tcPr>
          <w:p w14:paraId="0B7D188A" w14:textId="77777777" w:rsidR="00F51F7F" w:rsidRPr="00B079CA" w:rsidRDefault="00F51F7F" w:rsidP="004C117B">
            <w:pPr>
              <w:jc w:val="center"/>
              <w:rPr>
                <w:rFonts w:eastAsiaTheme="minorEastAsia"/>
                <w:b/>
                <w:color w:val="000000" w:themeColor="text1"/>
                <w:szCs w:val="21"/>
              </w:rPr>
            </w:pPr>
          </w:p>
        </w:tc>
        <w:tc>
          <w:tcPr>
            <w:tcW w:w="1985" w:type="dxa"/>
            <w:vAlign w:val="center"/>
          </w:tcPr>
          <w:p w14:paraId="59232E36"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5B0C3C8"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953944A"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66CC368" w14:textId="77777777" w:rsidR="00F51F7F" w:rsidRPr="00B079CA" w:rsidRDefault="00F51F7F"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5915588" w14:textId="77777777" w:rsidR="00F51F7F" w:rsidRPr="00B079CA" w:rsidRDefault="00F51F7F"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51F7F" w:rsidRPr="00B079CA" w14:paraId="06C0A432" w14:textId="77777777" w:rsidTr="004C117B">
        <w:tc>
          <w:tcPr>
            <w:tcW w:w="1876" w:type="dxa"/>
          </w:tcPr>
          <w:p w14:paraId="3A6B72B3" w14:textId="77777777" w:rsidR="00F51F7F" w:rsidRPr="00B079CA" w:rsidRDefault="00F51F7F"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71C00F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37,880,431.09</w:t>
            </w:r>
          </w:p>
        </w:tc>
        <w:tc>
          <w:tcPr>
            <w:tcW w:w="1917" w:type="dxa"/>
            <w:vAlign w:val="center"/>
          </w:tcPr>
          <w:p w14:paraId="185EBA1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5159F1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-3,994,731.24</w:t>
            </w:r>
          </w:p>
        </w:tc>
        <w:tc>
          <w:tcPr>
            <w:tcW w:w="1491" w:type="dxa"/>
            <w:vAlign w:val="center"/>
          </w:tcPr>
          <w:p w14:paraId="2985A2BB"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33,885,699.85</w:t>
            </w:r>
          </w:p>
        </w:tc>
      </w:tr>
      <w:tr w:rsidR="00F51F7F" w:rsidRPr="00B079CA" w14:paraId="401BE019" w14:textId="77777777" w:rsidTr="004C117B">
        <w:tc>
          <w:tcPr>
            <w:tcW w:w="1876" w:type="dxa"/>
          </w:tcPr>
          <w:p w14:paraId="2767D7D9" w14:textId="77777777"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5D076D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37,880,431.09</w:t>
            </w:r>
          </w:p>
        </w:tc>
        <w:tc>
          <w:tcPr>
            <w:tcW w:w="1917" w:type="dxa"/>
            <w:vAlign w:val="center"/>
          </w:tcPr>
          <w:p w14:paraId="396B521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38591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-3,994,731.24</w:t>
            </w:r>
          </w:p>
        </w:tc>
        <w:tc>
          <w:tcPr>
            <w:tcW w:w="1491" w:type="dxa"/>
            <w:vAlign w:val="center"/>
          </w:tcPr>
          <w:p w14:paraId="3DBE144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33,885,699.85</w:t>
            </w:r>
          </w:p>
        </w:tc>
      </w:tr>
      <w:tr w:rsidR="00F51F7F" w:rsidRPr="00B079CA" w14:paraId="2FB3F3CE" w14:textId="77777777" w:rsidTr="004C117B">
        <w:tc>
          <w:tcPr>
            <w:tcW w:w="1876" w:type="dxa"/>
          </w:tcPr>
          <w:p w14:paraId="0870FACC"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152242C"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-7,135,754.17</w:t>
            </w:r>
          </w:p>
        </w:tc>
        <w:tc>
          <w:tcPr>
            <w:tcW w:w="1917" w:type="dxa"/>
            <w:vAlign w:val="center"/>
          </w:tcPr>
          <w:p w14:paraId="7742916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D24D6E"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-231,795.89</w:t>
            </w:r>
          </w:p>
        </w:tc>
        <w:tc>
          <w:tcPr>
            <w:tcW w:w="1491" w:type="dxa"/>
            <w:vAlign w:val="center"/>
          </w:tcPr>
          <w:p w14:paraId="51F1436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-7,367,550.06</w:t>
            </w:r>
          </w:p>
        </w:tc>
      </w:tr>
      <w:tr w:rsidR="00F51F7F" w:rsidRPr="00B079CA" w14:paraId="343E3AE9" w14:textId="77777777" w:rsidTr="004C117B">
        <w:tc>
          <w:tcPr>
            <w:tcW w:w="1876" w:type="dxa"/>
          </w:tcPr>
          <w:p w14:paraId="259CE574" w14:textId="77777777" w:rsidR="00F51F7F" w:rsidRPr="00B079CA" w:rsidRDefault="00F51F7F"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F1B4EC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5AA3EFA"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3EBB0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-1,231,686.74</w:t>
            </w:r>
          </w:p>
        </w:tc>
        <w:tc>
          <w:tcPr>
            <w:tcW w:w="1491" w:type="dxa"/>
            <w:vAlign w:val="center"/>
          </w:tcPr>
          <w:p w14:paraId="749932C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-1,231,686.74</w:t>
            </w:r>
          </w:p>
        </w:tc>
      </w:tr>
      <w:tr w:rsidR="00F51F7F" w:rsidRPr="00B079CA" w14:paraId="03882151" w14:textId="77777777" w:rsidTr="004C117B">
        <w:tc>
          <w:tcPr>
            <w:tcW w:w="1876" w:type="dxa"/>
          </w:tcPr>
          <w:p w14:paraId="5266DA14" w14:textId="77777777" w:rsidR="00F51F7F" w:rsidRPr="00B079CA" w:rsidRDefault="00F51F7F"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EC91E83"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-7,135,754.17</w:t>
            </w:r>
          </w:p>
        </w:tc>
        <w:tc>
          <w:tcPr>
            <w:tcW w:w="1917" w:type="dxa"/>
            <w:vAlign w:val="center"/>
          </w:tcPr>
          <w:p w14:paraId="14A45AF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4355C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999,890.85</w:t>
            </w:r>
          </w:p>
        </w:tc>
        <w:tc>
          <w:tcPr>
            <w:tcW w:w="1491" w:type="dxa"/>
            <w:vAlign w:val="center"/>
          </w:tcPr>
          <w:p w14:paraId="323DAFA5"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-6,135,863.32</w:t>
            </w:r>
          </w:p>
        </w:tc>
      </w:tr>
      <w:tr w:rsidR="00F51F7F" w:rsidRPr="00B079CA" w14:paraId="5D50B489" w14:textId="77777777" w:rsidTr="004C117B">
        <w:tc>
          <w:tcPr>
            <w:tcW w:w="1876" w:type="dxa"/>
          </w:tcPr>
          <w:p w14:paraId="1872D028" w14:textId="77777777" w:rsidR="00F51F7F" w:rsidRPr="00B079CA" w:rsidRDefault="00F51F7F"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7A85D0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36,712,899.99</w:t>
            </w:r>
          </w:p>
        </w:tc>
        <w:tc>
          <w:tcPr>
            <w:tcW w:w="1917" w:type="dxa"/>
            <w:vAlign w:val="center"/>
          </w:tcPr>
          <w:p w14:paraId="6106C9B6"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752CF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-5,528,913.46</w:t>
            </w:r>
          </w:p>
        </w:tc>
        <w:tc>
          <w:tcPr>
            <w:tcW w:w="1491" w:type="dxa"/>
            <w:vAlign w:val="center"/>
          </w:tcPr>
          <w:p w14:paraId="164B2ED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31,183,986.53</w:t>
            </w:r>
          </w:p>
        </w:tc>
      </w:tr>
      <w:tr w:rsidR="00F51F7F" w:rsidRPr="00B079CA" w14:paraId="247F6748" w14:textId="77777777" w:rsidTr="004C117B">
        <w:tc>
          <w:tcPr>
            <w:tcW w:w="1876" w:type="dxa"/>
          </w:tcPr>
          <w:p w14:paraId="7C2AE214" w14:textId="77777777" w:rsidR="00F51F7F" w:rsidRPr="00B079CA" w:rsidRDefault="00F51F7F"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430123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-43,848,654.16</w:t>
            </w:r>
          </w:p>
        </w:tc>
        <w:tc>
          <w:tcPr>
            <w:tcW w:w="1917" w:type="dxa"/>
            <w:vAlign w:val="center"/>
          </w:tcPr>
          <w:p w14:paraId="13370EF7"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45C47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6,528,804.31</w:t>
            </w:r>
          </w:p>
        </w:tc>
        <w:tc>
          <w:tcPr>
            <w:tcW w:w="1491" w:type="dxa"/>
            <w:vAlign w:val="center"/>
          </w:tcPr>
          <w:p w14:paraId="098DEB0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-37,319,849.85</w:t>
            </w:r>
          </w:p>
        </w:tc>
      </w:tr>
      <w:tr w:rsidR="00F51F7F" w:rsidRPr="00B079CA" w14:paraId="247FFCDC" w14:textId="77777777" w:rsidTr="004C117B">
        <w:tc>
          <w:tcPr>
            <w:tcW w:w="1876" w:type="dxa"/>
          </w:tcPr>
          <w:p w14:paraId="46A9FDE9" w14:textId="77777777" w:rsidR="00F51F7F" w:rsidRPr="00B079CA" w:rsidRDefault="00F51F7F"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27EBBCD"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2F7470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6C5059"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D536CC1"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r>
      <w:tr w:rsidR="00F51F7F" w:rsidRPr="00B079CA" w14:paraId="002A6E93" w14:textId="77777777" w:rsidTr="004C117B">
        <w:tc>
          <w:tcPr>
            <w:tcW w:w="1876" w:type="dxa"/>
          </w:tcPr>
          <w:p w14:paraId="5D14481B" w14:textId="77777777" w:rsidR="00F51F7F" w:rsidRPr="00B079CA" w:rsidRDefault="00F51F7F"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E1F18E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30,744,676.92</w:t>
            </w:r>
          </w:p>
        </w:tc>
        <w:tc>
          <w:tcPr>
            <w:tcW w:w="1917" w:type="dxa"/>
            <w:vAlign w:val="center"/>
          </w:tcPr>
          <w:p w14:paraId="3A0A9794"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65DDCF"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-4,226,527.13</w:t>
            </w:r>
          </w:p>
        </w:tc>
        <w:tc>
          <w:tcPr>
            <w:tcW w:w="1491" w:type="dxa"/>
            <w:vAlign w:val="center"/>
          </w:tcPr>
          <w:p w14:paraId="35FB2E42" w14:textId="77777777" w:rsidR="00F51F7F" w:rsidRPr="00B079CA" w:rsidRDefault="00F51F7F" w:rsidP="004C117B">
            <w:pPr>
              <w:jc w:val="right"/>
              <w:rPr>
                <w:rFonts w:eastAsiaTheme="minorEastAsia"/>
                <w:color w:val="000000" w:themeColor="text1"/>
                <w:szCs w:val="21"/>
              </w:rPr>
            </w:pPr>
            <w:r w:rsidRPr="00B079CA">
              <w:rPr>
                <w:rFonts w:eastAsiaTheme="minorEastAsia"/>
                <w:color w:val="000000" w:themeColor="text1"/>
                <w:szCs w:val="21"/>
              </w:rPr>
              <w:t>26,518,149.79</w:t>
            </w:r>
          </w:p>
        </w:tc>
      </w:tr>
      <w:bookmarkEnd w:id="59"/>
    </w:tbl>
    <w:p w14:paraId="76E0B3A6" w14:textId="77777777" w:rsidR="001548F9" w:rsidRPr="00F51F7F" w:rsidRDefault="001548F9" w:rsidP="005B2B01">
      <w:pPr>
        <w:spacing w:line="288" w:lineRule="auto"/>
        <w:ind w:firstLineChars="200" w:firstLine="420"/>
        <w:jc w:val="left"/>
        <w:rPr>
          <w:color w:val="000000" w:themeColor="text1"/>
          <w:kern w:val="0"/>
          <w:szCs w:val="21"/>
        </w:rPr>
      </w:pPr>
    </w:p>
    <w:p w14:paraId="2558D4A1" w14:textId="77777777" w:rsidR="002A630A" w:rsidRPr="007C68A4" w:rsidRDefault="002A630A" w:rsidP="00EC1ACC">
      <w:pPr>
        <w:spacing w:line="360" w:lineRule="auto"/>
        <w:rPr>
          <w:color w:val="000000" w:themeColor="text1"/>
          <w:szCs w:val="21"/>
        </w:rPr>
      </w:pPr>
      <w:r w:rsidRPr="007C68A4">
        <w:rPr>
          <w:color w:val="000000" w:themeColor="text1"/>
          <w:szCs w:val="21"/>
        </w:rPr>
        <w:t>报表附注为财务报表的组成部分。</w:t>
      </w:r>
    </w:p>
    <w:p w14:paraId="5BE1E6F3" w14:textId="77777777" w:rsidR="002A630A" w:rsidRPr="007C68A4" w:rsidRDefault="002A630A" w:rsidP="00EC1ACC">
      <w:pPr>
        <w:spacing w:line="360" w:lineRule="auto"/>
        <w:rPr>
          <w:color w:val="000000" w:themeColor="text1"/>
          <w:szCs w:val="21"/>
        </w:rPr>
      </w:pPr>
      <w:r w:rsidRPr="007C68A4">
        <w:rPr>
          <w:color w:val="000000" w:themeColor="text1"/>
          <w:szCs w:val="21"/>
        </w:rPr>
        <w:t>本报告</w:t>
      </w:r>
      <w:r w:rsidRPr="007C68A4">
        <w:rPr>
          <w:color w:val="000000" w:themeColor="text1"/>
          <w:szCs w:val="21"/>
        </w:rPr>
        <w:t>6.1</w:t>
      </w:r>
      <w:r w:rsidRPr="007C68A4">
        <w:rPr>
          <w:color w:val="000000" w:themeColor="text1"/>
          <w:szCs w:val="21"/>
        </w:rPr>
        <w:t>至</w:t>
      </w:r>
      <w:r w:rsidRPr="007C68A4">
        <w:rPr>
          <w:color w:val="000000" w:themeColor="text1"/>
          <w:szCs w:val="21"/>
        </w:rPr>
        <w:t>6.4</w:t>
      </w:r>
      <w:r w:rsidRPr="007C68A4">
        <w:rPr>
          <w:color w:val="000000" w:themeColor="text1"/>
          <w:szCs w:val="21"/>
        </w:rPr>
        <w:t>，财务报表由下列负责人签署：</w:t>
      </w:r>
    </w:p>
    <w:p w14:paraId="0465D68B" w14:textId="77777777" w:rsidR="001548F9" w:rsidRPr="007C68A4" w:rsidRDefault="002D20E4" w:rsidP="00F94FD7">
      <w:pPr>
        <w:spacing w:line="360" w:lineRule="auto"/>
        <w:rPr>
          <w:color w:val="000000" w:themeColor="text1"/>
          <w:szCs w:val="21"/>
        </w:rPr>
      </w:pPr>
      <w:r w:rsidRPr="007C68A4">
        <w:rPr>
          <w:color w:val="000000" w:themeColor="text1"/>
          <w:szCs w:val="21"/>
        </w:rPr>
        <w:lastRenderedPageBreak/>
        <w:t>基金管理人</w:t>
      </w:r>
      <w:r w:rsidR="002A630A" w:rsidRPr="007C68A4">
        <w:rPr>
          <w:color w:val="000000" w:themeColor="text1"/>
          <w:szCs w:val="21"/>
        </w:rPr>
        <w:t>负责人：王琼慧，主管会计工作负责人：王敏，会计机构负责人：俞文涵</w:t>
      </w:r>
    </w:p>
    <w:p w14:paraId="51E432F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0" w:name="_Toc225498271"/>
      <w:bookmarkStart w:id="61" w:name="_Toc175575282"/>
      <w:r w:rsidRPr="007C68A4">
        <w:rPr>
          <w:rFonts w:ascii="Times New Roman" w:hAnsi="Times New Roman"/>
          <w:color w:val="000000" w:themeColor="text1"/>
          <w:kern w:val="0"/>
          <w:sz w:val="21"/>
          <w:szCs w:val="21"/>
        </w:rPr>
        <w:t xml:space="preserve">6.4 </w:t>
      </w:r>
      <w:r w:rsidRPr="007C68A4">
        <w:rPr>
          <w:rFonts w:ascii="Times New Roman" w:hAnsi="Times New Roman"/>
          <w:color w:val="000000" w:themeColor="text1"/>
          <w:kern w:val="0"/>
          <w:sz w:val="21"/>
          <w:szCs w:val="21"/>
        </w:rPr>
        <w:t>报表附注</w:t>
      </w:r>
      <w:bookmarkEnd w:id="60"/>
      <w:bookmarkEnd w:id="61"/>
    </w:p>
    <w:p w14:paraId="3A8313FA"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 </w:t>
      </w:r>
      <w:r w:rsidRPr="007C68A4">
        <w:rPr>
          <w:b/>
          <w:color w:val="000000" w:themeColor="text1"/>
          <w:kern w:val="0"/>
          <w:szCs w:val="21"/>
        </w:rPr>
        <w:t>基金基本情况</w:t>
      </w:r>
    </w:p>
    <w:p w14:paraId="51A24226" w14:textId="77777777" w:rsidR="00FA3CB3" w:rsidRDefault="00052A0D">
      <w:pPr>
        <w:spacing w:line="360" w:lineRule="auto"/>
        <w:ind w:firstLineChars="200" w:firstLine="420"/>
        <w:rPr>
          <w:color w:val="000000" w:themeColor="text1"/>
          <w:szCs w:val="21"/>
        </w:rPr>
      </w:pPr>
      <w:r>
        <w:rPr>
          <w:color w:val="000000" w:themeColor="text1"/>
          <w:szCs w:val="21"/>
        </w:rPr>
        <w:t>摩根恒生科技交易型开放式指数证券投资基金发起式联接基金</w:t>
      </w:r>
      <w:r>
        <w:rPr>
          <w:color w:val="000000" w:themeColor="text1"/>
          <w:szCs w:val="21"/>
        </w:rPr>
        <w:t>(QDII) (</w:t>
      </w:r>
      <w:r>
        <w:rPr>
          <w:color w:val="000000" w:themeColor="text1"/>
          <w:szCs w:val="21"/>
        </w:rPr>
        <w:t>以下简称</w:t>
      </w:r>
      <w:r>
        <w:rPr>
          <w:color w:val="000000" w:themeColor="text1"/>
          <w:szCs w:val="21"/>
        </w:rPr>
        <w:t>“</w:t>
      </w:r>
      <w:r>
        <w:rPr>
          <w:color w:val="000000" w:themeColor="text1"/>
          <w:szCs w:val="21"/>
        </w:rPr>
        <w:t>本基金</w:t>
      </w:r>
      <w:r>
        <w:rPr>
          <w:color w:val="000000" w:themeColor="text1"/>
          <w:szCs w:val="21"/>
        </w:rPr>
        <w:t>”)</w:t>
      </w:r>
      <w:r>
        <w:rPr>
          <w:color w:val="000000" w:themeColor="text1"/>
          <w:szCs w:val="21"/>
        </w:rPr>
        <w:t>经中国证券监督管理委员会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中国证监会</w:t>
      </w:r>
      <w:r>
        <w:rPr>
          <w:color w:val="000000" w:themeColor="text1"/>
          <w:szCs w:val="21"/>
        </w:rPr>
        <w:t>”)</w:t>
      </w:r>
      <w:r>
        <w:rPr>
          <w:color w:val="000000" w:themeColor="text1"/>
          <w:szCs w:val="21"/>
        </w:rPr>
        <w:t>证监许可</w:t>
      </w:r>
      <w:r>
        <w:rPr>
          <w:color w:val="000000" w:themeColor="text1"/>
          <w:szCs w:val="21"/>
        </w:rPr>
        <w:t>[2023]1037</w:t>
      </w:r>
      <w:r>
        <w:rPr>
          <w:color w:val="000000" w:themeColor="text1"/>
          <w:szCs w:val="21"/>
        </w:rPr>
        <w:t>号《关于准予上投摩根恒生科技交易型开放式指数证券投资基金发起式联接基金</w:t>
      </w:r>
      <w:r>
        <w:rPr>
          <w:color w:val="000000" w:themeColor="text1"/>
          <w:szCs w:val="21"/>
        </w:rPr>
        <w:t>(QDII)</w:t>
      </w:r>
      <w:r>
        <w:rPr>
          <w:color w:val="000000" w:themeColor="text1"/>
          <w:szCs w:val="21"/>
        </w:rPr>
        <w:t>注册的批复》注册，由摩根基金管理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有限公司依照《中华人民共和国证券投资基金法》、《合格境内机构投资者境外证券投资管理试行办法》和《摩根恒生科技交易型开放式指数证券投资基金发起式联接基金</w:t>
      </w:r>
      <w:r>
        <w:rPr>
          <w:color w:val="000000" w:themeColor="text1"/>
          <w:szCs w:val="21"/>
        </w:rPr>
        <w:t>(QDII)</w:t>
      </w:r>
      <w:r>
        <w:rPr>
          <w:color w:val="000000" w:themeColor="text1"/>
          <w:szCs w:val="21"/>
        </w:rPr>
        <w:t>基金合同》负责公开募集。本基金为契约型开放式，存续期限不定，首次设立募集不包括认购资金利息共募集人民币</w:t>
      </w:r>
      <w:r>
        <w:rPr>
          <w:color w:val="000000" w:themeColor="text1"/>
          <w:szCs w:val="21"/>
        </w:rPr>
        <w:t>20,262,753.45</w:t>
      </w:r>
      <w:r>
        <w:rPr>
          <w:color w:val="000000" w:themeColor="text1"/>
          <w:szCs w:val="21"/>
        </w:rPr>
        <w:t>元，业经普华永道中天会计师事务所有限公司普华永道中天验字</w:t>
      </w:r>
      <w:r>
        <w:rPr>
          <w:color w:val="000000" w:themeColor="text1"/>
          <w:szCs w:val="21"/>
        </w:rPr>
        <w:t>(2023)</w:t>
      </w:r>
      <w:r>
        <w:rPr>
          <w:color w:val="000000" w:themeColor="text1"/>
          <w:szCs w:val="21"/>
        </w:rPr>
        <w:t>第</w:t>
      </w:r>
      <w:r>
        <w:rPr>
          <w:color w:val="000000" w:themeColor="text1"/>
          <w:szCs w:val="21"/>
        </w:rPr>
        <w:t>0381</w:t>
      </w:r>
      <w:r>
        <w:rPr>
          <w:color w:val="000000" w:themeColor="text1"/>
          <w:szCs w:val="21"/>
        </w:rPr>
        <w:t>号验资报告予以验证。经向中国证监会备案，《摩根恒生科技交易型开放式指数证券投资基金发起式联接基金</w:t>
      </w:r>
      <w:r>
        <w:rPr>
          <w:color w:val="000000" w:themeColor="text1"/>
          <w:szCs w:val="21"/>
        </w:rPr>
        <w:t>(QDII)</w:t>
      </w:r>
      <w:r>
        <w:rPr>
          <w:color w:val="000000" w:themeColor="text1"/>
          <w:szCs w:val="21"/>
        </w:rPr>
        <w:t>基金合同》于</w:t>
      </w:r>
      <w:r>
        <w:rPr>
          <w:color w:val="000000" w:themeColor="text1"/>
          <w:szCs w:val="21"/>
        </w:rPr>
        <w:t>2023</w:t>
      </w:r>
      <w:r>
        <w:rPr>
          <w:color w:val="000000" w:themeColor="text1"/>
          <w:szCs w:val="21"/>
        </w:rPr>
        <w:t>年</w:t>
      </w:r>
      <w:r>
        <w:rPr>
          <w:color w:val="000000" w:themeColor="text1"/>
          <w:szCs w:val="21"/>
        </w:rPr>
        <w:t>7</w:t>
      </w:r>
      <w:r>
        <w:rPr>
          <w:color w:val="000000" w:themeColor="text1"/>
          <w:szCs w:val="21"/>
        </w:rPr>
        <w:t>月</w:t>
      </w:r>
      <w:r>
        <w:rPr>
          <w:color w:val="000000" w:themeColor="text1"/>
          <w:szCs w:val="21"/>
        </w:rPr>
        <w:t>18</w:t>
      </w:r>
      <w:r>
        <w:rPr>
          <w:color w:val="000000" w:themeColor="text1"/>
          <w:szCs w:val="21"/>
        </w:rPr>
        <w:t>日正式生效，基金合同生效日的基金份额总额为</w:t>
      </w:r>
      <w:r>
        <w:rPr>
          <w:color w:val="000000" w:themeColor="text1"/>
          <w:szCs w:val="21"/>
        </w:rPr>
        <w:t>20,263,104.61</w:t>
      </w:r>
      <w:r>
        <w:rPr>
          <w:color w:val="000000" w:themeColor="text1"/>
          <w:szCs w:val="21"/>
        </w:rPr>
        <w:t>份基金份额，其中认购资金利息折合</w:t>
      </w:r>
      <w:r>
        <w:rPr>
          <w:color w:val="000000" w:themeColor="text1"/>
          <w:szCs w:val="21"/>
        </w:rPr>
        <w:t>351.16</w:t>
      </w:r>
      <w:r>
        <w:rPr>
          <w:color w:val="000000" w:themeColor="text1"/>
          <w:szCs w:val="21"/>
        </w:rPr>
        <w:t>份基金份额。本基金的基金管理人为摩根基金管理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有限公司，基金托管人为中国工商银行股份有限公司，境外资产托管人为香港上海汇丰银行有限公司。</w:t>
      </w:r>
      <w:r>
        <w:rPr>
          <w:color w:val="000000" w:themeColor="text1"/>
          <w:szCs w:val="21"/>
        </w:rPr>
        <w:t xml:space="preserve"> </w:t>
      </w:r>
    </w:p>
    <w:p w14:paraId="58D08DF6" w14:textId="77777777" w:rsidR="00FA3CB3" w:rsidRDefault="00FA3CB3">
      <w:pPr>
        <w:spacing w:line="360" w:lineRule="auto"/>
        <w:ind w:firstLineChars="200" w:firstLine="420"/>
        <w:rPr>
          <w:color w:val="000000" w:themeColor="text1"/>
          <w:szCs w:val="21"/>
        </w:rPr>
      </w:pPr>
    </w:p>
    <w:p w14:paraId="53E2EE42" w14:textId="77777777" w:rsidR="00FA3CB3" w:rsidRDefault="00052A0D">
      <w:pPr>
        <w:spacing w:line="360" w:lineRule="auto"/>
        <w:ind w:firstLineChars="200" w:firstLine="420"/>
        <w:rPr>
          <w:color w:val="000000" w:themeColor="text1"/>
          <w:szCs w:val="21"/>
        </w:rPr>
      </w:pPr>
      <w:r>
        <w:rPr>
          <w:color w:val="000000" w:themeColor="text1"/>
          <w:szCs w:val="21"/>
        </w:rPr>
        <w:t>本基金为发起式基金，发起资金认购方认购本基金的总额不少于人民币</w:t>
      </w:r>
      <w:r>
        <w:rPr>
          <w:color w:val="000000" w:themeColor="text1"/>
          <w:szCs w:val="21"/>
        </w:rPr>
        <w:t>10,000,097.22</w:t>
      </w:r>
      <w:r>
        <w:rPr>
          <w:color w:val="000000" w:themeColor="text1"/>
          <w:szCs w:val="21"/>
        </w:rPr>
        <w:t>元，且发起资金认购方承诺使用发起资金认购的基金份额持期限不少于</w:t>
      </w:r>
      <w:r>
        <w:rPr>
          <w:color w:val="000000" w:themeColor="text1"/>
          <w:szCs w:val="21"/>
        </w:rPr>
        <w:t>3</w:t>
      </w:r>
      <w:r>
        <w:rPr>
          <w:color w:val="000000" w:themeColor="text1"/>
          <w:szCs w:val="21"/>
        </w:rPr>
        <w:t>年。</w:t>
      </w:r>
      <w:r>
        <w:rPr>
          <w:color w:val="000000" w:themeColor="text1"/>
          <w:szCs w:val="21"/>
        </w:rPr>
        <w:t xml:space="preserve"> </w:t>
      </w:r>
    </w:p>
    <w:p w14:paraId="43DB364A" w14:textId="77777777" w:rsidR="00FA3CB3" w:rsidRDefault="00052A0D">
      <w:pPr>
        <w:spacing w:line="360" w:lineRule="auto"/>
        <w:ind w:firstLineChars="200" w:firstLine="420"/>
        <w:rPr>
          <w:color w:val="000000" w:themeColor="text1"/>
          <w:szCs w:val="21"/>
        </w:rPr>
      </w:pPr>
      <w:r>
        <w:rPr>
          <w:color w:val="000000" w:themeColor="text1"/>
          <w:szCs w:val="21"/>
        </w:rPr>
        <w:t>根据《摩根恒生科技交易型开放式指数证券投资基金发起式联接基金</w:t>
      </w:r>
      <w:r>
        <w:rPr>
          <w:color w:val="000000" w:themeColor="text1"/>
          <w:szCs w:val="21"/>
        </w:rPr>
        <w:t>(QDII)</w:t>
      </w:r>
      <w:r>
        <w:rPr>
          <w:color w:val="000000" w:themeColor="text1"/>
          <w:szCs w:val="21"/>
        </w:rPr>
        <w:t>招募说明书》，本基金根据认购</w:t>
      </w:r>
      <w:r>
        <w:rPr>
          <w:color w:val="000000" w:themeColor="text1"/>
          <w:szCs w:val="21"/>
        </w:rPr>
        <w:t>/</w:t>
      </w:r>
      <w:r>
        <w:rPr>
          <w:color w:val="000000" w:themeColor="text1"/>
          <w:szCs w:val="21"/>
        </w:rPr>
        <w:t>申购费用与销售服务费收取方式的不同，将基金份额分为不同的类别。在投资人认购</w:t>
      </w:r>
      <w:r>
        <w:rPr>
          <w:color w:val="000000" w:themeColor="text1"/>
          <w:szCs w:val="21"/>
        </w:rPr>
        <w:t>/</w:t>
      </w:r>
      <w:r>
        <w:rPr>
          <w:color w:val="000000" w:themeColor="text1"/>
          <w:szCs w:val="21"/>
        </w:rPr>
        <w:t>申购时收取认购</w:t>
      </w:r>
      <w:r>
        <w:rPr>
          <w:color w:val="000000" w:themeColor="text1"/>
          <w:szCs w:val="21"/>
        </w:rPr>
        <w:t>/</w:t>
      </w:r>
      <w:r>
        <w:rPr>
          <w:color w:val="000000" w:themeColor="text1"/>
          <w:szCs w:val="21"/>
        </w:rPr>
        <w:t>申购费用，并不再从本类别基金资产中计提销售服务费的基金份额，称为</w:t>
      </w:r>
      <w:r>
        <w:rPr>
          <w:color w:val="000000" w:themeColor="text1"/>
          <w:szCs w:val="21"/>
        </w:rPr>
        <w:t>A</w:t>
      </w:r>
      <w:r>
        <w:rPr>
          <w:color w:val="000000" w:themeColor="text1"/>
          <w:szCs w:val="21"/>
        </w:rPr>
        <w:t>类基金份额；在投资人认购</w:t>
      </w:r>
      <w:r>
        <w:rPr>
          <w:color w:val="000000" w:themeColor="text1"/>
          <w:szCs w:val="21"/>
        </w:rPr>
        <w:t>/</w:t>
      </w:r>
      <w:r>
        <w:rPr>
          <w:color w:val="000000" w:themeColor="text1"/>
          <w:szCs w:val="21"/>
        </w:rPr>
        <w:t>申购时不收取认购</w:t>
      </w:r>
      <w:r>
        <w:rPr>
          <w:color w:val="000000" w:themeColor="text1"/>
          <w:szCs w:val="21"/>
        </w:rPr>
        <w:t>/</w:t>
      </w:r>
      <w:r>
        <w:rPr>
          <w:color w:val="000000" w:themeColor="text1"/>
          <w:szCs w:val="21"/>
        </w:rPr>
        <w:t>申购费用，而从本类别基金资产中计提销售服务费的基金份额，称为</w:t>
      </w:r>
      <w:r>
        <w:rPr>
          <w:color w:val="000000" w:themeColor="text1"/>
          <w:szCs w:val="21"/>
        </w:rPr>
        <w:t>C</w:t>
      </w:r>
      <w:r>
        <w:rPr>
          <w:color w:val="000000" w:themeColor="text1"/>
          <w:szCs w:val="21"/>
        </w:rPr>
        <w:t>类基金份额。本基金</w:t>
      </w:r>
      <w:r>
        <w:rPr>
          <w:color w:val="000000" w:themeColor="text1"/>
          <w:szCs w:val="21"/>
        </w:rPr>
        <w:t>A</w:t>
      </w:r>
      <w:r>
        <w:rPr>
          <w:color w:val="000000" w:themeColor="text1"/>
          <w:szCs w:val="21"/>
        </w:rPr>
        <w:t>类、</w:t>
      </w:r>
      <w:r>
        <w:rPr>
          <w:color w:val="000000" w:themeColor="text1"/>
          <w:szCs w:val="21"/>
        </w:rPr>
        <w:t>C</w:t>
      </w:r>
      <w:r>
        <w:rPr>
          <w:color w:val="000000" w:themeColor="text1"/>
          <w:szCs w:val="21"/>
        </w:rPr>
        <w:t>类基金份额分别设置代码。由于基金费用的不同，本基金</w:t>
      </w:r>
      <w:r>
        <w:rPr>
          <w:color w:val="000000" w:themeColor="text1"/>
          <w:szCs w:val="21"/>
        </w:rPr>
        <w:t>A</w:t>
      </w:r>
      <w:r>
        <w:rPr>
          <w:color w:val="000000" w:themeColor="text1"/>
          <w:szCs w:val="21"/>
        </w:rPr>
        <w:t>类基金份额和</w:t>
      </w:r>
      <w:r>
        <w:rPr>
          <w:color w:val="000000" w:themeColor="text1"/>
          <w:szCs w:val="21"/>
        </w:rPr>
        <w:t>C</w:t>
      </w:r>
      <w:r>
        <w:rPr>
          <w:color w:val="000000" w:themeColor="text1"/>
          <w:szCs w:val="21"/>
        </w:rPr>
        <w:t>类基金份额将分别计算基金份额净值，计算公式为计算日各类别基金资产净值除以计算日发售在外的该类别基金份额总数。</w:t>
      </w:r>
      <w:r>
        <w:rPr>
          <w:color w:val="000000" w:themeColor="text1"/>
          <w:szCs w:val="21"/>
        </w:rPr>
        <w:t xml:space="preserve"> </w:t>
      </w:r>
    </w:p>
    <w:p w14:paraId="4BBE8654" w14:textId="77777777" w:rsidR="00FA3CB3" w:rsidRDefault="00052A0D">
      <w:pPr>
        <w:spacing w:line="360" w:lineRule="auto"/>
        <w:ind w:firstLineChars="200" w:firstLine="420"/>
        <w:rPr>
          <w:color w:val="000000" w:themeColor="text1"/>
          <w:szCs w:val="21"/>
        </w:rPr>
      </w:pPr>
      <w:r>
        <w:rPr>
          <w:color w:val="000000" w:themeColor="text1"/>
          <w:szCs w:val="21"/>
        </w:rPr>
        <w:t>本基金为摩根恒生科技交易型开放式指数证券投资基金</w:t>
      </w:r>
      <w:r>
        <w:rPr>
          <w:color w:val="000000" w:themeColor="text1"/>
          <w:szCs w:val="21"/>
        </w:rPr>
        <w:t>(QDII) (</w:t>
      </w:r>
      <w:r>
        <w:rPr>
          <w:color w:val="000000" w:themeColor="text1"/>
          <w:szCs w:val="21"/>
        </w:rPr>
        <w:t>以下简称</w:t>
      </w:r>
      <w:r>
        <w:rPr>
          <w:color w:val="000000" w:themeColor="text1"/>
          <w:szCs w:val="21"/>
        </w:rPr>
        <w:t>“</w:t>
      </w:r>
      <w:r>
        <w:rPr>
          <w:color w:val="000000" w:themeColor="text1"/>
          <w:szCs w:val="21"/>
        </w:rPr>
        <w:t>目标</w:t>
      </w:r>
      <w:r>
        <w:rPr>
          <w:color w:val="000000" w:themeColor="text1"/>
          <w:szCs w:val="21"/>
        </w:rPr>
        <w:t>ETF”)</w:t>
      </w:r>
      <w:r>
        <w:rPr>
          <w:color w:val="000000" w:themeColor="text1"/>
          <w:szCs w:val="21"/>
        </w:rPr>
        <w:t>的联接基金。目标</w:t>
      </w:r>
      <w:r>
        <w:rPr>
          <w:color w:val="000000" w:themeColor="text1"/>
          <w:szCs w:val="21"/>
        </w:rPr>
        <w:t>ETF</w:t>
      </w:r>
      <w:r>
        <w:rPr>
          <w:color w:val="000000" w:themeColor="text1"/>
          <w:szCs w:val="21"/>
        </w:rPr>
        <w:t>是主要采用完全复制法实现对恒生科技指数</w:t>
      </w:r>
      <w:r>
        <w:rPr>
          <w:color w:val="000000" w:themeColor="text1"/>
          <w:szCs w:val="21"/>
        </w:rPr>
        <w:t>(HSTECH)</w:t>
      </w:r>
      <w:r>
        <w:rPr>
          <w:color w:val="000000" w:themeColor="text1"/>
          <w:szCs w:val="21"/>
        </w:rPr>
        <w:t>紧密跟踪的全被动指数基金，本基金主要通过投资于目标</w:t>
      </w:r>
      <w:r>
        <w:rPr>
          <w:color w:val="000000" w:themeColor="text1"/>
          <w:szCs w:val="21"/>
        </w:rPr>
        <w:t>ETF</w:t>
      </w:r>
      <w:r>
        <w:rPr>
          <w:color w:val="000000" w:themeColor="text1"/>
          <w:szCs w:val="21"/>
        </w:rPr>
        <w:t>实现对业绩比较基准的紧密跟踪，力争日均跟踪偏离度的绝对值不超过</w:t>
      </w:r>
      <w:r>
        <w:rPr>
          <w:color w:val="000000" w:themeColor="text1"/>
          <w:szCs w:val="21"/>
        </w:rPr>
        <w:t>0.35%</w:t>
      </w:r>
      <w:r>
        <w:rPr>
          <w:color w:val="000000" w:themeColor="text1"/>
          <w:szCs w:val="21"/>
        </w:rPr>
        <w:t>，年跟踪误差不超过</w:t>
      </w:r>
      <w:r>
        <w:rPr>
          <w:color w:val="000000" w:themeColor="text1"/>
          <w:szCs w:val="21"/>
        </w:rPr>
        <w:t xml:space="preserve">4% </w:t>
      </w:r>
    </w:p>
    <w:p w14:paraId="67342F5C" w14:textId="77777777" w:rsidR="00FA3CB3" w:rsidRDefault="00052A0D">
      <w:pPr>
        <w:spacing w:line="360" w:lineRule="auto"/>
        <w:ind w:firstLineChars="200" w:firstLine="420"/>
        <w:rPr>
          <w:color w:val="000000" w:themeColor="text1"/>
          <w:szCs w:val="21"/>
        </w:rPr>
      </w:pPr>
      <w:r>
        <w:rPr>
          <w:color w:val="000000" w:themeColor="text1"/>
          <w:szCs w:val="21"/>
        </w:rPr>
        <w:lastRenderedPageBreak/>
        <w:t>根据《中华人民共和国证券投资基金法》和《摩根恒生科技交易型开放式指数证券投资基金发起式联接基金</w:t>
      </w:r>
      <w:r>
        <w:rPr>
          <w:color w:val="000000" w:themeColor="text1"/>
          <w:szCs w:val="21"/>
        </w:rPr>
        <w:t>(QDII)</w:t>
      </w:r>
      <w:r>
        <w:rPr>
          <w:color w:val="000000" w:themeColor="text1"/>
          <w:szCs w:val="21"/>
        </w:rPr>
        <w:t>基金合同》的有关规定，本基金的投资范围为目标</w:t>
      </w:r>
      <w:r>
        <w:rPr>
          <w:color w:val="000000" w:themeColor="text1"/>
          <w:szCs w:val="21"/>
        </w:rPr>
        <w:t>ETF</w:t>
      </w:r>
      <w:r>
        <w:rPr>
          <w:color w:val="000000" w:themeColor="text1"/>
          <w:szCs w:val="21"/>
        </w:rPr>
        <w:t>基金份额、标的指数成份股、备选成份股。其余资产可投资于其他金融产品或工具。境外投资工具包括：与中国证监会签署双边监管合作谅解备忘录的国家或地区证券监管机构登记注册的与本基金跟踪同一标的指数的公募基金、其他香港联合交易所上市的股票</w:t>
      </w:r>
      <w:r>
        <w:rPr>
          <w:color w:val="000000" w:themeColor="text1"/>
          <w:szCs w:val="21"/>
        </w:rPr>
        <w:t>(</w:t>
      </w:r>
      <w:r>
        <w:rPr>
          <w:color w:val="000000" w:themeColor="text1"/>
          <w:szCs w:val="21"/>
        </w:rPr>
        <w:t>含港股通标的股票</w:t>
      </w:r>
      <w:r>
        <w:rPr>
          <w:color w:val="000000" w:themeColor="text1"/>
          <w:szCs w:val="21"/>
        </w:rPr>
        <w:t>)</w:t>
      </w:r>
      <w:r>
        <w:rPr>
          <w:color w:val="000000" w:themeColor="text1"/>
          <w:szCs w:val="21"/>
        </w:rPr>
        <w:t>、经中国证监会认可的境外交易所上市交易的衍生工具</w:t>
      </w:r>
      <w:r>
        <w:rPr>
          <w:color w:val="000000" w:themeColor="text1"/>
          <w:szCs w:val="21"/>
        </w:rPr>
        <w:t>(</w:t>
      </w:r>
      <w:r>
        <w:rPr>
          <w:color w:val="000000" w:themeColor="text1"/>
          <w:szCs w:val="21"/>
        </w:rPr>
        <w:t>期货、期权等</w:t>
      </w:r>
      <w:r>
        <w:rPr>
          <w:color w:val="000000" w:themeColor="text1"/>
          <w:szCs w:val="21"/>
        </w:rPr>
        <w:t>)</w:t>
      </w:r>
      <w:r>
        <w:rPr>
          <w:color w:val="000000" w:themeColor="text1"/>
          <w:szCs w:val="21"/>
        </w:rPr>
        <w:t>、债券、货币市场工具。境内投资工具包括：国内依法发行或上市的股票、存托凭证、衍生工具</w:t>
      </w:r>
      <w:r>
        <w:rPr>
          <w:color w:val="000000" w:themeColor="text1"/>
          <w:szCs w:val="21"/>
        </w:rPr>
        <w:t>(</w:t>
      </w:r>
      <w:r>
        <w:rPr>
          <w:color w:val="000000" w:themeColor="text1"/>
          <w:szCs w:val="21"/>
        </w:rPr>
        <w:t>股指期货、股票期权等</w:t>
      </w:r>
      <w:r>
        <w:rPr>
          <w:color w:val="000000" w:themeColor="text1"/>
          <w:szCs w:val="21"/>
        </w:rPr>
        <w:t>)</w:t>
      </w:r>
      <w:r>
        <w:rPr>
          <w:color w:val="000000" w:themeColor="text1"/>
          <w:szCs w:val="21"/>
        </w:rPr>
        <w:t>、债券</w:t>
      </w:r>
      <w:r>
        <w:rPr>
          <w:color w:val="000000" w:themeColor="text1"/>
          <w:szCs w:val="21"/>
        </w:rPr>
        <w:t>(</w:t>
      </w:r>
      <w:r>
        <w:rPr>
          <w:color w:val="000000" w:themeColor="text1"/>
          <w:szCs w:val="21"/>
        </w:rPr>
        <w:t>包括国债、央行票据、金融债券、企业债券、公司债券、中期票据、短期融资券、超短期融资券、次级债券、地方政府债券、可转换债券</w:t>
      </w:r>
      <w:r>
        <w:rPr>
          <w:color w:val="000000" w:themeColor="text1"/>
          <w:szCs w:val="21"/>
        </w:rPr>
        <w:t>(</w:t>
      </w:r>
      <w:r>
        <w:rPr>
          <w:color w:val="000000" w:themeColor="text1"/>
          <w:szCs w:val="21"/>
        </w:rPr>
        <w:t>含可分离交易可转债</w:t>
      </w:r>
      <w:r>
        <w:rPr>
          <w:color w:val="000000" w:themeColor="text1"/>
          <w:szCs w:val="21"/>
        </w:rPr>
        <w:t>)</w:t>
      </w:r>
      <w:r>
        <w:rPr>
          <w:color w:val="000000" w:themeColor="text1"/>
          <w:szCs w:val="21"/>
        </w:rPr>
        <w:t>、可交换债券、证券公司短期公司债等</w:t>
      </w:r>
      <w:r>
        <w:rPr>
          <w:color w:val="000000" w:themeColor="text1"/>
          <w:szCs w:val="21"/>
        </w:rPr>
        <w:t>)</w:t>
      </w:r>
      <w:r>
        <w:rPr>
          <w:color w:val="000000" w:themeColor="text1"/>
          <w:szCs w:val="21"/>
        </w:rPr>
        <w:t>、资产支持证券、同业存单、银行存款、债券回购、货币市场工具以及法律法规或中国证监会允许基金投资的其他金融工具</w:t>
      </w:r>
      <w:r>
        <w:rPr>
          <w:color w:val="000000" w:themeColor="text1"/>
          <w:szCs w:val="21"/>
        </w:rPr>
        <w:t>(</w:t>
      </w:r>
      <w:r>
        <w:rPr>
          <w:color w:val="000000" w:themeColor="text1"/>
          <w:szCs w:val="21"/>
        </w:rPr>
        <w:t>但须符合中国证监会的相关规定</w:t>
      </w:r>
      <w:r>
        <w:rPr>
          <w:color w:val="000000" w:themeColor="text1"/>
          <w:szCs w:val="21"/>
        </w:rPr>
        <w:t>)</w:t>
      </w:r>
      <w:r>
        <w:rPr>
          <w:color w:val="000000" w:themeColor="text1"/>
          <w:szCs w:val="21"/>
        </w:rPr>
        <w:t>。其中在投资香港市场时，本基金可通过合格境内机构投资者</w:t>
      </w:r>
      <w:r>
        <w:rPr>
          <w:color w:val="000000" w:themeColor="text1"/>
          <w:szCs w:val="21"/>
        </w:rPr>
        <w:t>(QDII)</w:t>
      </w:r>
      <w:r>
        <w:rPr>
          <w:color w:val="000000" w:themeColor="text1"/>
          <w:szCs w:val="21"/>
        </w:rPr>
        <w:t>境外投资额度或内地与香港股票市场交易互联互通机制进行投资。本基金将根据法律法规的规定参与融资及转融通证券出借业务。本基金的投资组合比例为：目标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，每个交易日日终在扣除股指期货和股票期权合约需缴纳的交易保证金后，现金或者到期日在一年以内的政府债券不低于基金资产净值的</w:t>
      </w:r>
      <w:r>
        <w:rPr>
          <w:color w:val="000000" w:themeColor="text1"/>
          <w:szCs w:val="21"/>
        </w:rPr>
        <w:t>5%</w:t>
      </w:r>
      <w:r>
        <w:rPr>
          <w:color w:val="000000" w:themeColor="text1"/>
          <w:szCs w:val="21"/>
        </w:rPr>
        <w:t>，其中现金不包括结算备付金、存出保证金、应收申购款等。本基金的业绩比较基准为：经估值汇率调整的恒生科技指数收益率</w:t>
      </w:r>
      <w:r>
        <w:rPr>
          <w:color w:val="000000" w:themeColor="text1"/>
          <w:szCs w:val="21"/>
        </w:rPr>
        <w:t>X 95%</w:t>
      </w:r>
      <w:r>
        <w:rPr>
          <w:color w:val="000000" w:themeColor="text1"/>
          <w:szCs w:val="21"/>
        </w:rPr>
        <w:t>＋活期存款利率</w:t>
      </w:r>
      <w:r>
        <w:rPr>
          <w:color w:val="000000" w:themeColor="text1"/>
          <w:szCs w:val="21"/>
        </w:rPr>
        <w:t>(</w:t>
      </w:r>
      <w:r>
        <w:rPr>
          <w:color w:val="000000" w:themeColor="text1"/>
          <w:szCs w:val="21"/>
        </w:rPr>
        <w:t>税后</w:t>
      </w:r>
      <w:r>
        <w:rPr>
          <w:color w:val="000000" w:themeColor="text1"/>
          <w:szCs w:val="21"/>
        </w:rPr>
        <w:t>)X 5%</w:t>
      </w:r>
      <w:r>
        <w:rPr>
          <w:color w:val="000000" w:themeColor="text1"/>
          <w:szCs w:val="21"/>
        </w:rPr>
        <w:t>。</w:t>
      </w:r>
      <w:r>
        <w:rPr>
          <w:color w:val="000000" w:themeColor="text1"/>
          <w:szCs w:val="21"/>
        </w:rPr>
        <w:t xml:space="preserve"> </w:t>
      </w:r>
    </w:p>
    <w:p w14:paraId="5809DD5F" w14:textId="19B10C98"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本财务报表由本基金的基金管理人摩根基金管理</w:t>
      </w:r>
      <w:r w:rsidRPr="007C68A4">
        <w:rPr>
          <w:color w:val="000000" w:themeColor="text1"/>
          <w:szCs w:val="21"/>
        </w:rPr>
        <w:t>(</w:t>
      </w:r>
      <w:r w:rsidRPr="007C68A4">
        <w:rPr>
          <w:color w:val="000000" w:themeColor="text1"/>
          <w:szCs w:val="21"/>
        </w:rPr>
        <w:t>中国</w:t>
      </w:r>
      <w:r w:rsidRPr="007C68A4">
        <w:rPr>
          <w:color w:val="000000" w:themeColor="text1"/>
          <w:szCs w:val="21"/>
        </w:rPr>
        <w:t>)</w:t>
      </w:r>
      <w:r w:rsidRPr="007C68A4">
        <w:rPr>
          <w:color w:val="000000" w:themeColor="text1"/>
          <w:szCs w:val="21"/>
        </w:rPr>
        <w:t>有限公司于</w:t>
      </w:r>
      <w:r w:rsidRPr="007C68A4">
        <w:rPr>
          <w:color w:val="000000" w:themeColor="text1"/>
          <w:szCs w:val="21"/>
        </w:rPr>
        <w:t>2024</w:t>
      </w:r>
      <w:r w:rsidRPr="007C68A4">
        <w:rPr>
          <w:color w:val="000000" w:themeColor="text1"/>
          <w:szCs w:val="21"/>
        </w:rPr>
        <w:t>年</w:t>
      </w:r>
      <w:r w:rsidRPr="007C68A4">
        <w:rPr>
          <w:color w:val="000000" w:themeColor="text1"/>
          <w:szCs w:val="21"/>
        </w:rPr>
        <w:t>8</w:t>
      </w:r>
      <w:r w:rsidRPr="007C68A4">
        <w:rPr>
          <w:color w:val="000000" w:themeColor="text1"/>
          <w:szCs w:val="21"/>
        </w:rPr>
        <w:t>月</w:t>
      </w:r>
      <w:r w:rsidR="001A61AC">
        <w:rPr>
          <w:color w:val="000000" w:themeColor="text1"/>
          <w:szCs w:val="21"/>
        </w:rPr>
        <w:t>29</w:t>
      </w:r>
      <w:r w:rsidRPr="007C68A4">
        <w:rPr>
          <w:color w:val="000000" w:themeColor="text1"/>
          <w:szCs w:val="21"/>
        </w:rPr>
        <w:t>日批准报出。</w:t>
      </w:r>
    </w:p>
    <w:p w14:paraId="0D7E7682"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6.4.2 </w:t>
      </w:r>
      <w:r w:rsidRPr="007C68A4">
        <w:rPr>
          <w:b/>
          <w:color w:val="000000" w:themeColor="text1"/>
          <w:kern w:val="0"/>
          <w:szCs w:val="21"/>
        </w:rPr>
        <w:t>会计报表的编制基础</w:t>
      </w:r>
    </w:p>
    <w:p w14:paraId="47950968" w14:textId="77777777" w:rsidR="00FA3CB3" w:rsidRDefault="00052A0D">
      <w:pPr>
        <w:spacing w:line="360" w:lineRule="auto"/>
        <w:ind w:firstLineChars="200" w:firstLine="420"/>
        <w:rPr>
          <w:b/>
          <w:color w:val="000000" w:themeColor="text1"/>
          <w:szCs w:val="21"/>
        </w:rPr>
      </w:pPr>
      <w:r>
        <w:rPr>
          <w:color w:val="000000" w:themeColor="text1"/>
          <w:szCs w:val="21"/>
        </w:rPr>
        <w:t>本本基金的财务报表按照财政部于</w:t>
      </w:r>
      <w:r>
        <w:rPr>
          <w:color w:val="000000" w:themeColor="text1"/>
          <w:szCs w:val="21"/>
        </w:rPr>
        <w:t>2006</w:t>
      </w:r>
      <w:r>
        <w:rPr>
          <w:color w:val="000000" w:themeColor="text1"/>
          <w:szCs w:val="21"/>
        </w:rPr>
        <w:t>年</w:t>
      </w:r>
      <w:r>
        <w:rPr>
          <w:color w:val="000000" w:themeColor="text1"/>
          <w:szCs w:val="21"/>
        </w:rPr>
        <w:t>2</w:t>
      </w:r>
      <w:r>
        <w:rPr>
          <w:color w:val="000000" w:themeColor="text1"/>
          <w:szCs w:val="21"/>
        </w:rPr>
        <w:t>月</w:t>
      </w:r>
      <w:r>
        <w:rPr>
          <w:color w:val="000000" w:themeColor="text1"/>
          <w:szCs w:val="21"/>
        </w:rPr>
        <w:t>15</w:t>
      </w:r>
      <w:r>
        <w:rPr>
          <w:color w:val="000000" w:themeColor="text1"/>
          <w:szCs w:val="21"/>
        </w:rPr>
        <w:t>日及以后期间颁布的《企业会计准则－基本准则》、各项具体会计准则、《资产管理产品相关会计处理规定》及其他相关规定</w:t>
      </w:r>
      <w:r>
        <w:rPr>
          <w:color w:val="000000" w:themeColor="text1"/>
          <w:szCs w:val="21"/>
        </w:rPr>
        <w:t>(</w:t>
      </w:r>
      <w:r>
        <w:rPr>
          <w:color w:val="000000" w:themeColor="text1"/>
          <w:szCs w:val="21"/>
        </w:rPr>
        <w:t>以下合称</w:t>
      </w:r>
      <w:r>
        <w:rPr>
          <w:color w:val="000000" w:themeColor="text1"/>
          <w:szCs w:val="21"/>
        </w:rPr>
        <w:t>“</w:t>
      </w:r>
      <w:r>
        <w:rPr>
          <w:color w:val="000000" w:themeColor="text1"/>
          <w:szCs w:val="21"/>
        </w:rPr>
        <w:t>企业会计准则</w:t>
      </w:r>
      <w:r>
        <w:rPr>
          <w:color w:val="000000" w:themeColor="text1"/>
          <w:szCs w:val="21"/>
        </w:rPr>
        <w:t>”)</w:t>
      </w:r>
      <w:r>
        <w:rPr>
          <w:color w:val="000000" w:themeColor="text1"/>
          <w:szCs w:val="21"/>
        </w:rPr>
        <w:t>、中国证监会颁布的《证券投资基金信息披露</w:t>
      </w:r>
      <w:r>
        <w:rPr>
          <w:color w:val="000000" w:themeColor="text1"/>
          <w:szCs w:val="21"/>
        </w:rPr>
        <w:t>XBRL</w:t>
      </w:r>
      <w:r>
        <w:rPr>
          <w:color w:val="000000" w:themeColor="text1"/>
          <w:szCs w:val="21"/>
        </w:rPr>
        <w:t>模板第</w:t>
      </w:r>
      <w:r>
        <w:rPr>
          <w:color w:val="000000" w:themeColor="text1"/>
          <w:szCs w:val="21"/>
        </w:rPr>
        <w:t>3</w:t>
      </w:r>
      <w:r>
        <w:rPr>
          <w:color w:val="000000" w:themeColor="text1"/>
          <w:szCs w:val="21"/>
        </w:rPr>
        <w:t>号</w:t>
      </w:r>
      <w:r>
        <w:rPr>
          <w:color w:val="000000" w:themeColor="text1"/>
          <w:szCs w:val="21"/>
        </w:rPr>
        <w:t>&lt;</w:t>
      </w:r>
      <w:r>
        <w:rPr>
          <w:color w:val="000000" w:themeColor="text1"/>
          <w:szCs w:val="21"/>
        </w:rPr>
        <w:t>年度报告和中期报告</w:t>
      </w:r>
      <w:r>
        <w:rPr>
          <w:color w:val="000000" w:themeColor="text1"/>
          <w:szCs w:val="21"/>
        </w:rPr>
        <w:t>&gt;</w:t>
      </w:r>
      <w:r>
        <w:rPr>
          <w:color w:val="000000" w:themeColor="text1"/>
          <w:szCs w:val="21"/>
        </w:rPr>
        <w:t>》、中国证券投资基金业协会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中国基金业协会</w:t>
      </w:r>
      <w:r>
        <w:rPr>
          <w:color w:val="000000" w:themeColor="text1"/>
          <w:szCs w:val="21"/>
        </w:rPr>
        <w:t>”)</w:t>
      </w:r>
      <w:r>
        <w:rPr>
          <w:color w:val="000000" w:themeColor="text1"/>
          <w:szCs w:val="21"/>
        </w:rPr>
        <w:t>颁布的《证券投资基金会计核算业务指引》、《摩根恒生科技交易型开放式指数证券投资基金发起式联接基金</w:t>
      </w:r>
      <w:r>
        <w:rPr>
          <w:color w:val="000000" w:themeColor="text1"/>
          <w:szCs w:val="21"/>
        </w:rPr>
        <w:t>(QDII)</w:t>
      </w:r>
      <w:r>
        <w:rPr>
          <w:color w:val="000000" w:themeColor="text1"/>
          <w:szCs w:val="21"/>
        </w:rPr>
        <w:t>基金合同》和在财务报表附注</w:t>
      </w:r>
      <w:r>
        <w:rPr>
          <w:color w:val="000000" w:themeColor="text1"/>
          <w:szCs w:val="21"/>
        </w:rPr>
        <w:t>6.4.4</w:t>
      </w:r>
      <w:r>
        <w:rPr>
          <w:color w:val="000000" w:themeColor="text1"/>
          <w:szCs w:val="21"/>
        </w:rPr>
        <w:t>所列示的中国证监会、中国基金业协会发布的有关规定及允许的基金行业实务操作编制。</w:t>
      </w:r>
      <w:r>
        <w:rPr>
          <w:color w:val="000000" w:themeColor="text1"/>
          <w:szCs w:val="21"/>
        </w:rPr>
        <w:t xml:space="preserve"> </w:t>
      </w:r>
    </w:p>
    <w:p w14:paraId="3B96ACC1" w14:textId="77777777" w:rsidR="00FA3CB3" w:rsidRDefault="00052A0D">
      <w:pPr>
        <w:spacing w:line="360" w:lineRule="auto"/>
        <w:ind w:firstLineChars="200" w:firstLine="420"/>
        <w:rPr>
          <w:b/>
          <w:color w:val="000000" w:themeColor="text1"/>
          <w:szCs w:val="21"/>
        </w:rPr>
      </w:pPr>
      <w:r>
        <w:rPr>
          <w:color w:val="000000" w:themeColor="text1"/>
          <w:szCs w:val="21"/>
        </w:rPr>
        <w:t xml:space="preserve"> </w:t>
      </w:r>
    </w:p>
    <w:p w14:paraId="1E6E3704" w14:textId="77777777"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本财务报表以持续经营为基础编制。</w:t>
      </w:r>
    </w:p>
    <w:p w14:paraId="05415233"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6.4.3 </w:t>
      </w:r>
      <w:r w:rsidRPr="007C68A4">
        <w:rPr>
          <w:b/>
          <w:color w:val="000000" w:themeColor="text1"/>
          <w:kern w:val="0"/>
          <w:szCs w:val="21"/>
        </w:rPr>
        <w:t>遵循企业会计准则及其他有关规定的声明</w:t>
      </w:r>
    </w:p>
    <w:p w14:paraId="35FB156B" w14:textId="77777777"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本基金</w:t>
      </w:r>
      <w:r w:rsidRPr="007C68A4">
        <w:rPr>
          <w:color w:val="000000" w:themeColor="text1"/>
          <w:szCs w:val="21"/>
        </w:rPr>
        <w:t>2024</w:t>
      </w:r>
      <w:r w:rsidRPr="007C68A4">
        <w:rPr>
          <w:color w:val="000000" w:themeColor="text1"/>
          <w:szCs w:val="21"/>
        </w:rPr>
        <w:t>年上半年度财务报表符合企业会计准则的要求，真实、完整地反映了本基金</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日的财务状况以及</w:t>
      </w:r>
      <w:r w:rsidRPr="007C68A4">
        <w:rPr>
          <w:color w:val="000000" w:themeColor="text1"/>
          <w:szCs w:val="21"/>
        </w:rPr>
        <w:t>2024</w:t>
      </w:r>
      <w:r w:rsidRPr="007C68A4">
        <w:rPr>
          <w:color w:val="000000" w:themeColor="text1"/>
          <w:szCs w:val="21"/>
        </w:rPr>
        <w:t>年上半年度的经营成果和净资产变动情况等有关信息。</w:t>
      </w:r>
    </w:p>
    <w:p w14:paraId="7C7167C2" w14:textId="77777777" w:rsidR="00931EA6" w:rsidRPr="007C68A4" w:rsidRDefault="00931EA6" w:rsidP="00931EA6">
      <w:pPr>
        <w:autoSpaceDE w:val="0"/>
        <w:autoSpaceDN w:val="0"/>
        <w:adjustRightInd w:val="0"/>
        <w:snapToGri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lastRenderedPageBreak/>
        <w:t xml:space="preserve">6.4.4 </w:t>
      </w:r>
      <w:r w:rsidRPr="007C68A4">
        <w:rPr>
          <w:rFonts w:eastAsiaTheme="minorEastAsia"/>
          <w:b/>
          <w:color w:val="000000" w:themeColor="text1"/>
          <w:kern w:val="0"/>
          <w:szCs w:val="21"/>
        </w:rPr>
        <w:t>本报告期所采用的会计政策、会计估计与最近一期年度报告相一致的说明</w:t>
      </w:r>
    </w:p>
    <w:p w14:paraId="25A67F08" w14:textId="77777777" w:rsidR="00931EA6" w:rsidRPr="007C68A4" w:rsidRDefault="00931EA6" w:rsidP="00931EA6">
      <w:pPr>
        <w:spacing w:line="360" w:lineRule="auto"/>
        <w:ind w:firstLineChars="200" w:firstLine="420"/>
        <w:rPr>
          <w:color w:val="000000" w:themeColor="text1"/>
          <w:szCs w:val="21"/>
        </w:rPr>
      </w:pPr>
      <w:r w:rsidRPr="007C68A4">
        <w:rPr>
          <w:color w:val="000000" w:themeColor="text1"/>
          <w:szCs w:val="21"/>
        </w:rPr>
        <w:t>本基金本报告期所采用的会计政策、会计估计与最近一期年度会计报表所采用的会计政策、会计估计一致。</w:t>
      </w:r>
    </w:p>
    <w:p w14:paraId="7F640BA0"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6.4.5 </w:t>
      </w:r>
      <w:r w:rsidRPr="007C68A4">
        <w:rPr>
          <w:b/>
          <w:color w:val="000000" w:themeColor="text1"/>
          <w:kern w:val="0"/>
          <w:szCs w:val="21"/>
        </w:rPr>
        <w:t>会计政策和会计估计变更以及差错更正的说明</w:t>
      </w:r>
    </w:p>
    <w:p w14:paraId="3C1F0265"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6.4.5.1</w:t>
      </w:r>
      <w:r w:rsidRPr="007C68A4">
        <w:rPr>
          <w:b/>
          <w:color w:val="000000" w:themeColor="text1"/>
          <w:kern w:val="0"/>
          <w:szCs w:val="21"/>
        </w:rPr>
        <w:t xml:space="preserve"> </w:t>
      </w:r>
      <w:r w:rsidRPr="007C68A4">
        <w:rPr>
          <w:b/>
          <w:color w:val="000000" w:themeColor="text1"/>
          <w:kern w:val="0"/>
          <w:szCs w:val="21"/>
        </w:rPr>
        <w:t>会计政策变更的说明</w:t>
      </w:r>
    </w:p>
    <w:p w14:paraId="0CABAD8B"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本基金本报告期未发生会计政策变更。</w:t>
      </w:r>
    </w:p>
    <w:p w14:paraId="312D6099"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6.4.5.2</w:t>
      </w:r>
      <w:r w:rsidRPr="007C68A4">
        <w:rPr>
          <w:b/>
          <w:color w:val="000000" w:themeColor="text1"/>
          <w:kern w:val="0"/>
          <w:szCs w:val="21"/>
        </w:rPr>
        <w:t xml:space="preserve"> </w:t>
      </w:r>
      <w:r w:rsidRPr="007C68A4">
        <w:rPr>
          <w:b/>
          <w:color w:val="000000" w:themeColor="text1"/>
          <w:kern w:val="0"/>
          <w:szCs w:val="21"/>
        </w:rPr>
        <w:t>会计估计变更的说明</w:t>
      </w:r>
    </w:p>
    <w:p w14:paraId="34DFA2C7"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本基金本报告期未发生会计估计变更。</w:t>
      </w:r>
    </w:p>
    <w:p w14:paraId="027473EE"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6.4.5.3</w:t>
      </w:r>
      <w:r w:rsidRPr="007C68A4">
        <w:rPr>
          <w:b/>
          <w:color w:val="000000" w:themeColor="text1"/>
          <w:kern w:val="0"/>
          <w:szCs w:val="21"/>
        </w:rPr>
        <w:t xml:space="preserve"> </w:t>
      </w:r>
      <w:r w:rsidRPr="007C68A4">
        <w:rPr>
          <w:b/>
          <w:color w:val="000000" w:themeColor="text1"/>
          <w:kern w:val="0"/>
          <w:szCs w:val="21"/>
        </w:rPr>
        <w:t>差错更正的说明</w:t>
      </w:r>
    </w:p>
    <w:p w14:paraId="48901773" w14:textId="77777777"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本基金在本报告期间无须说明的会计差错更正。</w:t>
      </w:r>
    </w:p>
    <w:p w14:paraId="5AE07424"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6.4.6 </w:t>
      </w:r>
      <w:r w:rsidRPr="007C68A4">
        <w:rPr>
          <w:b/>
          <w:color w:val="000000" w:themeColor="text1"/>
          <w:kern w:val="0"/>
          <w:szCs w:val="21"/>
        </w:rPr>
        <w:t>税项</w:t>
      </w:r>
    </w:p>
    <w:p w14:paraId="6FD45FFE" w14:textId="77777777" w:rsidR="00FA3CB3" w:rsidRDefault="00052A0D">
      <w:pPr>
        <w:spacing w:line="360" w:lineRule="auto"/>
        <w:ind w:firstLineChars="200" w:firstLine="420"/>
        <w:rPr>
          <w:b/>
          <w:bCs/>
          <w:color w:val="000000" w:themeColor="text1"/>
          <w:kern w:val="0"/>
          <w:szCs w:val="21"/>
        </w:rPr>
      </w:pPr>
      <w:r>
        <w:rPr>
          <w:color w:val="000000" w:themeColor="text1"/>
          <w:szCs w:val="21"/>
        </w:rPr>
        <w:t>根据财政部、国家税务总局财税</w:t>
      </w:r>
      <w:r>
        <w:rPr>
          <w:color w:val="000000" w:themeColor="text1"/>
          <w:szCs w:val="21"/>
        </w:rPr>
        <w:t>[2002]128</w:t>
      </w:r>
      <w:r>
        <w:rPr>
          <w:color w:val="000000" w:themeColor="text1"/>
          <w:szCs w:val="21"/>
        </w:rPr>
        <w:t>号《关于开放式证券投资基金有关税收问题的通知》、财税</w:t>
      </w:r>
      <w:r>
        <w:rPr>
          <w:color w:val="000000" w:themeColor="text1"/>
          <w:szCs w:val="21"/>
        </w:rPr>
        <w:t>[2008]1</w:t>
      </w:r>
      <w:r>
        <w:rPr>
          <w:color w:val="000000" w:themeColor="text1"/>
          <w:szCs w:val="21"/>
        </w:rPr>
        <w:t>号《关于企业所得税若干优惠政策的通知》、财税</w:t>
      </w:r>
      <w:r>
        <w:rPr>
          <w:color w:val="000000" w:themeColor="text1"/>
          <w:szCs w:val="21"/>
        </w:rPr>
        <w:t>[2012]85</w:t>
      </w:r>
      <w:r>
        <w:rPr>
          <w:color w:val="000000" w:themeColor="text1"/>
          <w:szCs w:val="21"/>
        </w:rPr>
        <w:t>号《关于实施上市公司股息红利差别化个人所得税政策有关问题的通知》、财税</w:t>
      </w:r>
      <w:r>
        <w:rPr>
          <w:color w:val="000000" w:themeColor="text1"/>
          <w:szCs w:val="21"/>
        </w:rPr>
        <w:t>[2015]101</w:t>
      </w:r>
      <w:r>
        <w:rPr>
          <w:color w:val="000000" w:themeColor="text1"/>
          <w:szCs w:val="21"/>
        </w:rPr>
        <w:t>号《关于上市公司股息红利差别化个人所得税政策有关问题的通知》、财税</w:t>
      </w:r>
      <w:r>
        <w:rPr>
          <w:color w:val="000000" w:themeColor="text1"/>
          <w:szCs w:val="21"/>
        </w:rPr>
        <w:t>[2016]36</w:t>
      </w:r>
      <w:r>
        <w:rPr>
          <w:color w:val="000000" w:themeColor="text1"/>
          <w:szCs w:val="21"/>
        </w:rPr>
        <w:t>号《关于全面推开营业税改征增值税试点的通知》、财税</w:t>
      </w:r>
      <w:r>
        <w:rPr>
          <w:color w:val="000000" w:themeColor="text1"/>
          <w:szCs w:val="21"/>
        </w:rPr>
        <w:t>[2016]46</w:t>
      </w:r>
      <w:r>
        <w:rPr>
          <w:color w:val="000000" w:themeColor="text1"/>
          <w:szCs w:val="21"/>
        </w:rPr>
        <w:t>号《关于进一步明确全面推开营改增试点金融业有关政策的通知》、财税</w:t>
      </w:r>
      <w:r>
        <w:rPr>
          <w:color w:val="000000" w:themeColor="text1"/>
          <w:szCs w:val="21"/>
        </w:rPr>
        <w:t>[2016]70</w:t>
      </w:r>
      <w:r>
        <w:rPr>
          <w:color w:val="000000" w:themeColor="text1"/>
          <w:szCs w:val="21"/>
        </w:rPr>
        <w:t>号《关于金融机构同业往来等增值税政策的补充通知》、财税</w:t>
      </w:r>
      <w:r>
        <w:rPr>
          <w:color w:val="000000" w:themeColor="text1"/>
          <w:szCs w:val="21"/>
        </w:rPr>
        <w:t>[2016]140</w:t>
      </w:r>
      <w:r>
        <w:rPr>
          <w:color w:val="000000" w:themeColor="text1"/>
          <w:szCs w:val="21"/>
        </w:rPr>
        <w:t>号《关于明确金融</w:t>
      </w:r>
      <w:r>
        <w:rPr>
          <w:color w:val="000000" w:themeColor="text1"/>
          <w:szCs w:val="21"/>
        </w:rPr>
        <w:t xml:space="preserve"> </w:t>
      </w:r>
      <w:r>
        <w:rPr>
          <w:color w:val="000000" w:themeColor="text1"/>
          <w:szCs w:val="21"/>
        </w:rPr>
        <w:t>房地产开发</w:t>
      </w:r>
      <w:r>
        <w:rPr>
          <w:color w:val="000000" w:themeColor="text1"/>
          <w:szCs w:val="21"/>
        </w:rPr>
        <w:t xml:space="preserve"> </w:t>
      </w:r>
      <w:r>
        <w:rPr>
          <w:color w:val="000000" w:themeColor="text1"/>
          <w:szCs w:val="21"/>
        </w:rPr>
        <w:t>教育辅助服务等增值税政策的通知》、财税</w:t>
      </w:r>
      <w:r>
        <w:rPr>
          <w:color w:val="000000" w:themeColor="text1"/>
          <w:szCs w:val="21"/>
        </w:rPr>
        <w:t>[2017]2</w:t>
      </w:r>
      <w:r>
        <w:rPr>
          <w:color w:val="000000" w:themeColor="text1"/>
          <w:szCs w:val="21"/>
        </w:rPr>
        <w:t>号《关于资管产品增值税政策有关问题的补充通知》、财税</w:t>
      </w:r>
      <w:r>
        <w:rPr>
          <w:color w:val="000000" w:themeColor="text1"/>
          <w:szCs w:val="21"/>
        </w:rPr>
        <w:t>[2017]56</w:t>
      </w:r>
      <w:r>
        <w:rPr>
          <w:color w:val="000000" w:themeColor="text1"/>
          <w:szCs w:val="21"/>
        </w:rPr>
        <w:t>号《关于资管产品增值税有关问题的通知》、财税</w:t>
      </w:r>
      <w:r>
        <w:rPr>
          <w:color w:val="000000" w:themeColor="text1"/>
          <w:szCs w:val="21"/>
        </w:rPr>
        <w:t>[2017]90</w:t>
      </w:r>
      <w:r>
        <w:rPr>
          <w:color w:val="000000" w:themeColor="text1"/>
          <w:szCs w:val="21"/>
        </w:rPr>
        <w:t>号《关于租入固定资产进项税额抵扣等增值税政策的通知》及其他相关财税法规和实务操作，主要税项列示如下：</w:t>
      </w:r>
    </w:p>
    <w:p w14:paraId="41738816" w14:textId="77777777" w:rsidR="00FA3CB3" w:rsidRDefault="00FA3CB3">
      <w:pPr>
        <w:spacing w:line="360" w:lineRule="auto"/>
        <w:ind w:firstLineChars="200" w:firstLine="422"/>
        <w:rPr>
          <w:b/>
          <w:bCs/>
          <w:color w:val="000000" w:themeColor="text1"/>
          <w:kern w:val="0"/>
          <w:szCs w:val="21"/>
        </w:rPr>
      </w:pPr>
    </w:p>
    <w:p w14:paraId="083894BA" w14:textId="77777777" w:rsidR="00FA3CB3" w:rsidRDefault="00052A0D">
      <w:pPr>
        <w:spacing w:line="360" w:lineRule="auto"/>
        <w:ind w:firstLineChars="200" w:firstLine="420"/>
        <w:rPr>
          <w:b/>
          <w:bCs/>
          <w:color w:val="000000" w:themeColor="text1"/>
          <w:kern w:val="0"/>
          <w:szCs w:val="21"/>
        </w:rPr>
      </w:pPr>
      <w:r>
        <w:rPr>
          <w:color w:val="000000" w:themeColor="text1"/>
          <w:szCs w:val="21"/>
        </w:rPr>
        <w:t xml:space="preserve">(1) </w:t>
      </w:r>
      <w:r>
        <w:rPr>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color w:val="000000" w:themeColor="text1"/>
          <w:szCs w:val="21"/>
        </w:rPr>
        <w:t>3%</w:t>
      </w:r>
      <w:r>
        <w:rPr>
          <w:color w:val="000000" w:themeColor="text1"/>
          <w:szCs w:val="21"/>
        </w:rPr>
        <w:t>的征收率缴纳增值税。</w:t>
      </w:r>
    </w:p>
    <w:p w14:paraId="7DAE6A26" w14:textId="77777777" w:rsidR="00FA3CB3" w:rsidRDefault="00FA3CB3">
      <w:pPr>
        <w:spacing w:line="360" w:lineRule="auto"/>
        <w:ind w:firstLineChars="200" w:firstLine="422"/>
        <w:rPr>
          <w:b/>
          <w:bCs/>
          <w:color w:val="000000" w:themeColor="text1"/>
          <w:kern w:val="0"/>
          <w:szCs w:val="21"/>
        </w:rPr>
      </w:pPr>
    </w:p>
    <w:p w14:paraId="272B380E" w14:textId="77777777" w:rsidR="00FA3CB3" w:rsidRDefault="00052A0D">
      <w:pPr>
        <w:spacing w:line="360" w:lineRule="auto"/>
        <w:ind w:firstLineChars="200" w:firstLine="420"/>
        <w:rPr>
          <w:b/>
          <w:bCs/>
          <w:color w:val="000000" w:themeColor="text1"/>
          <w:kern w:val="0"/>
          <w:szCs w:val="21"/>
        </w:rPr>
      </w:pPr>
      <w:r>
        <w:rPr>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0123B7D" w14:textId="77777777" w:rsidR="00FA3CB3" w:rsidRDefault="00FA3CB3">
      <w:pPr>
        <w:spacing w:line="360" w:lineRule="auto"/>
        <w:ind w:firstLineChars="200" w:firstLine="422"/>
        <w:rPr>
          <w:b/>
          <w:bCs/>
          <w:color w:val="000000" w:themeColor="text1"/>
          <w:kern w:val="0"/>
          <w:szCs w:val="21"/>
        </w:rPr>
      </w:pPr>
    </w:p>
    <w:p w14:paraId="1681126A" w14:textId="77777777" w:rsidR="00FA3CB3" w:rsidRDefault="00052A0D">
      <w:pPr>
        <w:spacing w:line="360" w:lineRule="auto"/>
        <w:ind w:firstLineChars="200" w:firstLine="420"/>
        <w:rPr>
          <w:b/>
          <w:bCs/>
          <w:color w:val="000000" w:themeColor="text1"/>
          <w:kern w:val="0"/>
          <w:szCs w:val="21"/>
        </w:rPr>
      </w:pPr>
      <w:r>
        <w:rPr>
          <w:color w:val="000000" w:themeColor="text1"/>
          <w:szCs w:val="21"/>
        </w:rPr>
        <w:t xml:space="preserve">(2) </w:t>
      </w:r>
      <w:r>
        <w:rPr>
          <w:color w:val="000000" w:themeColor="text1"/>
          <w:szCs w:val="21"/>
        </w:rPr>
        <w:t>对基金从证券市场中取得的收入，包括买卖股票、债券的差价收入，股票的股息、红利收入，</w:t>
      </w:r>
      <w:r>
        <w:rPr>
          <w:color w:val="000000" w:themeColor="text1"/>
          <w:szCs w:val="21"/>
        </w:rPr>
        <w:lastRenderedPageBreak/>
        <w:t>债券的利息收入及其他收入，暂不征收企业所得税。</w:t>
      </w:r>
    </w:p>
    <w:p w14:paraId="70AC247A" w14:textId="77777777" w:rsidR="00FA3CB3" w:rsidRDefault="00FA3CB3">
      <w:pPr>
        <w:spacing w:line="360" w:lineRule="auto"/>
        <w:ind w:firstLineChars="200" w:firstLine="422"/>
        <w:rPr>
          <w:b/>
          <w:bCs/>
          <w:color w:val="000000" w:themeColor="text1"/>
          <w:kern w:val="0"/>
          <w:szCs w:val="21"/>
        </w:rPr>
      </w:pPr>
    </w:p>
    <w:p w14:paraId="17005076" w14:textId="77777777" w:rsidR="00FA3CB3" w:rsidRDefault="00052A0D">
      <w:pPr>
        <w:spacing w:line="360" w:lineRule="auto"/>
        <w:ind w:firstLineChars="200" w:firstLine="420"/>
        <w:rPr>
          <w:b/>
          <w:bCs/>
          <w:color w:val="000000" w:themeColor="text1"/>
          <w:kern w:val="0"/>
          <w:szCs w:val="21"/>
        </w:rPr>
      </w:pPr>
      <w:r>
        <w:rPr>
          <w:color w:val="000000" w:themeColor="text1"/>
          <w:szCs w:val="21"/>
        </w:rPr>
        <w:t xml:space="preserve">(3) </w:t>
      </w:r>
      <w:r>
        <w:rPr>
          <w:color w:val="000000" w:themeColor="text1"/>
          <w:szCs w:val="21"/>
        </w:rPr>
        <w:t>对基金取得的企业债券利息收入，应由发行债券的企业在向基金支付利息时代扣代缴</w:t>
      </w:r>
      <w:r>
        <w:rPr>
          <w:color w:val="000000" w:themeColor="text1"/>
          <w:szCs w:val="21"/>
        </w:rPr>
        <w:t>20%</w:t>
      </w:r>
      <w:r>
        <w:rPr>
          <w:color w:val="000000" w:themeColor="text1"/>
          <w:szCs w:val="21"/>
        </w:rPr>
        <w:t>的个人所得税。对基金从上市公司取得的股息红利所得，持股期限在</w:t>
      </w:r>
      <w:r>
        <w:rPr>
          <w:color w:val="000000" w:themeColor="text1"/>
          <w:szCs w:val="21"/>
        </w:rPr>
        <w:t>1</w:t>
      </w:r>
      <w:r>
        <w:rPr>
          <w:color w:val="000000" w:themeColor="text1"/>
          <w:szCs w:val="21"/>
        </w:rPr>
        <w:t>个月以内</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个月</w:t>
      </w:r>
      <w:r>
        <w:rPr>
          <w:color w:val="000000" w:themeColor="text1"/>
          <w:szCs w:val="21"/>
        </w:rPr>
        <w:t>)</w:t>
      </w:r>
      <w:r>
        <w:rPr>
          <w:color w:val="000000" w:themeColor="text1"/>
          <w:szCs w:val="21"/>
        </w:rPr>
        <w:t>的，其股息红利所得全额计入应纳税所得额；持股期限在</w:t>
      </w:r>
      <w:r>
        <w:rPr>
          <w:color w:val="000000" w:themeColor="text1"/>
          <w:szCs w:val="21"/>
        </w:rPr>
        <w:t>1</w:t>
      </w:r>
      <w:r>
        <w:rPr>
          <w:color w:val="000000" w:themeColor="text1"/>
          <w:szCs w:val="21"/>
        </w:rPr>
        <w:t>个月以上至</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的，暂减按</w:t>
      </w:r>
      <w:r>
        <w:rPr>
          <w:color w:val="000000" w:themeColor="text1"/>
          <w:szCs w:val="21"/>
        </w:rPr>
        <w:t>50%</w:t>
      </w:r>
      <w:r>
        <w:rPr>
          <w:color w:val="000000" w:themeColor="text1"/>
          <w:szCs w:val="21"/>
        </w:rPr>
        <w:t>计入应纳税所得额；持股期限超过</w:t>
      </w:r>
      <w:r>
        <w:rPr>
          <w:color w:val="000000" w:themeColor="text1"/>
          <w:szCs w:val="21"/>
        </w:rPr>
        <w:t>1</w:t>
      </w:r>
      <w:r>
        <w:rPr>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color w:val="000000" w:themeColor="text1"/>
          <w:szCs w:val="21"/>
        </w:rPr>
        <w:t>50%</w:t>
      </w:r>
      <w:r>
        <w:rPr>
          <w:color w:val="000000" w:themeColor="text1"/>
          <w:szCs w:val="21"/>
        </w:rPr>
        <w:t>计入应纳税所得额。上述所得统一适用</w:t>
      </w:r>
      <w:r>
        <w:rPr>
          <w:color w:val="000000" w:themeColor="text1"/>
          <w:szCs w:val="21"/>
        </w:rPr>
        <w:t>20%</w:t>
      </w:r>
      <w:r>
        <w:rPr>
          <w:color w:val="000000" w:themeColor="text1"/>
          <w:szCs w:val="21"/>
        </w:rPr>
        <w:t>的税率计征个人所得税。</w:t>
      </w:r>
    </w:p>
    <w:p w14:paraId="021B8754" w14:textId="77777777" w:rsidR="00FA3CB3" w:rsidRDefault="00FA3CB3">
      <w:pPr>
        <w:spacing w:line="360" w:lineRule="auto"/>
        <w:ind w:firstLineChars="200" w:firstLine="422"/>
        <w:rPr>
          <w:b/>
          <w:bCs/>
          <w:color w:val="000000" w:themeColor="text1"/>
          <w:kern w:val="0"/>
          <w:szCs w:val="21"/>
        </w:rPr>
      </w:pPr>
    </w:p>
    <w:p w14:paraId="7523476D" w14:textId="77777777" w:rsidR="00FA3CB3" w:rsidRDefault="00052A0D">
      <w:pPr>
        <w:spacing w:line="360" w:lineRule="auto"/>
        <w:ind w:firstLineChars="200" w:firstLine="420"/>
        <w:rPr>
          <w:b/>
          <w:bCs/>
          <w:color w:val="000000" w:themeColor="text1"/>
          <w:kern w:val="0"/>
          <w:szCs w:val="21"/>
        </w:rPr>
      </w:pPr>
      <w:r>
        <w:rPr>
          <w:color w:val="000000" w:themeColor="text1"/>
          <w:szCs w:val="21"/>
        </w:rPr>
        <w:t xml:space="preserve">(4) </w:t>
      </w:r>
      <w:r>
        <w:rPr>
          <w:color w:val="000000" w:themeColor="text1"/>
          <w:szCs w:val="21"/>
        </w:rPr>
        <w:t>基金卖出股票按</w:t>
      </w:r>
      <w:r>
        <w:rPr>
          <w:color w:val="000000" w:themeColor="text1"/>
          <w:szCs w:val="21"/>
        </w:rPr>
        <w:t>0.1%</w:t>
      </w:r>
      <w:r>
        <w:rPr>
          <w:color w:val="000000" w:themeColor="text1"/>
          <w:szCs w:val="21"/>
        </w:rPr>
        <w:t>的税率缴纳股票交易印花税，买入股票不征收股票交易印花税。</w:t>
      </w:r>
    </w:p>
    <w:p w14:paraId="65781D5B" w14:textId="77777777" w:rsidR="00FA3CB3" w:rsidRDefault="00FA3CB3">
      <w:pPr>
        <w:spacing w:line="360" w:lineRule="auto"/>
        <w:ind w:firstLineChars="200" w:firstLine="422"/>
        <w:rPr>
          <w:b/>
          <w:bCs/>
          <w:color w:val="000000" w:themeColor="text1"/>
          <w:kern w:val="0"/>
          <w:szCs w:val="21"/>
        </w:rPr>
      </w:pPr>
    </w:p>
    <w:p w14:paraId="4C0B0719" w14:textId="77777777" w:rsidR="001548F9" w:rsidRPr="007C68A4" w:rsidRDefault="001548F9" w:rsidP="00F94FD7">
      <w:pPr>
        <w:spacing w:line="360" w:lineRule="auto"/>
        <w:ind w:firstLineChars="200" w:firstLine="420"/>
        <w:rPr>
          <w:b/>
          <w:bCs/>
          <w:color w:val="000000" w:themeColor="text1"/>
          <w:kern w:val="0"/>
          <w:szCs w:val="21"/>
        </w:rPr>
      </w:pPr>
      <w:r w:rsidRPr="007C68A4">
        <w:rPr>
          <w:color w:val="000000" w:themeColor="text1"/>
          <w:szCs w:val="21"/>
        </w:rPr>
        <w:t xml:space="preserve">(5) </w:t>
      </w:r>
      <w:r w:rsidRPr="007C68A4">
        <w:rPr>
          <w:color w:val="000000" w:themeColor="text1"/>
          <w:szCs w:val="21"/>
        </w:rPr>
        <w:t>本基金的城市维护建设税、教育费附加和地方教育附加等税费按照实际缴纳增值税额的适用比例计算缴纳。</w:t>
      </w:r>
      <w:r w:rsidRPr="007C68A4">
        <w:rPr>
          <w:b/>
          <w:bCs/>
          <w:color w:val="000000" w:themeColor="text1"/>
          <w:kern w:val="0"/>
          <w:szCs w:val="21"/>
        </w:rPr>
        <w:t xml:space="preserve"> </w:t>
      </w:r>
    </w:p>
    <w:p w14:paraId="5E1C1828" w14:textId="77777777" w:rsidR="00005F65" w:rsidRPr="007C68A4" w:rsidRDefault="00005F65"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6.4.7</w:t>
      </w:r>
      <w:r w:rsidR="00FD4AAC" w:rsidRPr="007C68A4">
        <w:rPr>
          <w:b/>
          <w:bCs/>
          <w:color w:val="000000" w:themeColor="text1"/>
          <w:kern w:val="0"/>
          <w:szCs w:val="21"/>
        </w:rPr>
        <w:t xml:space="preserve"> </w:t>
      </w:r>
      <w:r w:rsidRPr="007C68A4">
        <w:rPr>
          <w:b/>
          <w:color w:val="000000" w:themeColor="text1"/>
          <w:kern w:val="0"/>
          <w:szCs w:val="21"/>
        </w:rPr>
        <w:t>重要财务报表项目的说明</w:t>
      </w:r>
    </w:p>
    <w:p w14:paraId="76D79AB5" w14:textId="77777777" w:rsidR="00263138" w:rsidRPr="00B079CA" w:rsidRDefault="00263138" w:rsidP="00263138">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8570C56" w14:textId="77777777" w:rsidR="00263138" w:rsidRPr="00B079CA" w:rsidRDefault="00263138" w:rsidP="00263138">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263138" w:rsidRPr="00B079CA" w14:paraId="77A4720A" w14:textId="77777777" w:rsidTr="0041646A">
        <w:trPr>
          <w:trHeight w:val="345"/>
        </w:trPr>
        <w:tc>
          <w:tcPr>
            <w:tcW w:w="3766" w:type="dxa"/>
            <w:tcMar>
              <w:top w:w="15" w:type="dxa"/>
              <w:left w:w="15" w:type="dxa"/>
              <w:bottom w:w="0" w:type="dxa"/>
              <w:right w:w="15" w:type="dxa"/>
            </w:tcMar>
            <w:vAlign w:val="center"/>
          </w:tcPr>
          <w:p w14:paraId="4E811F60" w14:textId="77777777"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A9D8170" w14:textId="77777777" w:rsidR="00263138" w:rsidRPr="00B079CA" w:rsidRDefault="00263138"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77B7E2E" w14:textId="77777777" w:rsidR="00263138" w:rsidRPr="00B079CA" w:rsidRDefault="00263138"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263138" w:rsidRPr="00B079CA" w14:paraId="618A7837" w14:textId="77777777" w:rsidTr="0041646A">
        <w:trPr>
          <w:trHeight w:val="315"/>
        </w:trPr>
        <w:tc>
          <w:tcPr>
            <w:tcW w:w="3766" w:type="dxa"/>
            <w:tcMar>
              <w:top w:w="15" w:type="dxa"/>
              <w:left w:w="15" w:type="dxa"/>
              <w:bottom w:w="0" w:type="dxa"/>
              <w:right w:w="15" w:type="dxa"/>
            </w:tcMar>
          </w:tcPr>
          <w:p w14:paraId="7AB7E6D6"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C1F8DA9"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1,264,696.87</w:t>
            </w:r>
          </w:p>
        </w:tc>
      </w:tr>
      <w:tr w:rsidR="00263138" w:rsidRPr="00B079CA" w14:paraId="7705B553" w14:textId="77777777" w:rsidTr="0041646A">
        <w:trPr>
          <w:trHeight w:val="315"/>
        </w:trPr>
        <w:tc>
          <w:tcPr>
            <w:tcW w:w="3766" w:type="dxa"/>
            <w:tcMar>
              <w:top w:w="15" w:type="dxa"/>
              <w:left w:w="15" w:type="dxa"/>
              <w:bottom w:w="0" w:type="dxa"/>
              <w:right w:w="15" w:type="dxa"/>
            </w:tcMar>
          </w:tcPr>
          <w:p w14:paraId="1832BE82"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DC3439C"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1,264,569.15</w:t>
            </w:r>
          </w:p>
        </w:tc>
      </w:tr>
      <w:tr w:rsidR="00263138" w:rsidRPr="00B079CA" w14:paraId="2CB775D8" w14:textId="77777777" w:rsidTr="0041646A">
        <w:trPr>
          <w:trHeight w:val="315"/>
        </w:trPr>
        <w:tc>
          <w:tcPr>
            <w:tcW w:w="3766" w:type="dxa"/>
            <w:tcMar>
              <w:top w:w="15" w:type="dxa"/>
              <w:left w:w="15" w:type="dxa"/>
              <w:bottom w:w="0" w:type="dxa"/>
              <w:right w:w="15" w:type="dxa"/>
            </w:tcMar>
          </w:tcPr>
          <w:p w14:paraId="310A2285"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CDB1B69"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127.72</w:t>
            </w:r>
          </w:p>
        </w:tc>
      </w:tr>
      <w:tr w:rsidR="00263138" w:rsidRPr="00B079CA" w14:paraId="6E6D9224" w14:textId="77777777" w:rsidTr="0041646A">
        <w:trPr>
          <w:trHeight w:val="315"/>
        </w:trPr>
        <w:tc>
          <w:tcPr>
            <w:tcW w:w="3766" w:type="dxa"/>
            <w:tcMar>
              <w:top w:w="15" w:type="dxa"/>
              <w:left w:w="15" w:type="dxa"/>
              <w:bottom w:w="0" w:type="dxa"/>
              <w:right w:w="15" w:type="dxa"/>
            </w:tcMar>
          </w:tcPr>
          <w:p w14:paraId="1530AC20"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0747F423"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7FF187AE" w14:textId="77777777" w:rsidTr="0041646A">
        <w:trPr>
          <w:trHeight w:val="315"/>
        </w:trPr>
        <w:tc>
          <w:tcPr>
            <w:tcW w:w="3766" w:type="dxa"/>
            <w:tcMar>
              <w:top w:w="15" w:type="dxa"/>
              <w:left w:w="15" w:type="dxa"/>
              <w:bottom w:w="0" w:type="dxa"/>
              <w:right w:w="15" w:type="dxa"/>
            </w:tcMar>
          </w:tcPr>
          <w:p w14:paraId="7C8C6E74"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2765040"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1EF50AB6" w14:textId="77777777" w:rsidTr="0041646A">
        <w:trPr>
          <w:trHeight w:val="315"/>
        </w:trPr>
        <w:tc>
          <w:tcPr>
            <w:tcW w:w="3766" w:type="dxa"/>
            <w:tcMar>
              <w:top w:w="15" w:type="dxa"/>
              <w:left w:w="15" w:type="dxa"/>
              <w:bottom w:w="0" w:type="dxa"/>
              <w:right w:w="15" w:type="dxa"/>
            </w:tcMar>
          </w:tcPr>
          <w:p w14:paraId="6FEF15A5"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21E4976"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27EE6007" w14:textId="77777777" w:rsidTr="0041646A">
        <w:trPr>
          <w:trHeight w:val="315"/>
        </w:trPr>
        <w:tc>
          <w:tcPr>
            <w:tcW w:w="3766" w:type="dxa"/>
            <w:tcMar>
              <w:top w:w="15" w:type="dxa"/>
              <w:left w:w="15" w:type="dxa"/>
              <w:bottom w:w="0" w:type="dxa"/>
              <w:right w:w="15" w:type="dxa"/>
            </w:tcMar>
          </w:tcPr>
          <w:p w14:paraId="39A8AF99"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765655D"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6CAF68E4" w14:textId="77777777" w:rsidTr="0041646A">
        <w:trPr>
          <w:trHeight w:val="315"/>
        </w:trPr>
        <w:tc>
          <w:tcPr>
            <w:tcW w:w="3766" w:type="dxa"/>
            <w:tcMar>
              <w:top w:w="15" w:type="dxa"/>
              <w:left w:w="15" w:type="dxa"/>
              <w:bottom w:w="0" w:type="dxa"/>
              <w:right w:w="15" w:type="dxa"/>
            </w:tcMar>
          </w:tcPr>
          <w:p w14:paraId="7EE6ABB4"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2561D50"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51FA7534" w14:textId="77777777" w:rsidTr="0041646A">
        <w:trPr>
          <w:trHeight w:val="315"/>
        </w:trPr>
        <w:tc>
          <w:tcPr>
            <w:tcW w:w="3766" w:type="dxa"/>
            <w:tcMar>
              <w:top w:w="15" w:type="dxa"/>
              <w:left w:w="15" w:type="dxa"/>
              <w:bottom w:w="0" w:type="dxa"/>
              <w:right w:w="15" w:type="dxa"/>
            </w:tcMar>
          </w:tcPr>
          <w:p w14:paraId="2057E326" w14:textId="77777777" w:rsidR="00263138" w:rsidRPr="00B079CA" w:rsidRDefault="00263138"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6B1E711" w14:textId="77777777" w:rsidR="00263138" w:rsidRPr="00B079CA" w:rsidRDefault="00263138"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63138" w:rsidRPr="00B079CA" w14:paraId="2EA3429E" w14:textId="77777777" w:rsidTr="0041646A">
        <w:trPr>
          <w:trHeight w:val="315"/>
        </w:trPr>
        <w:tc>
          <w:tcPr>
            <w:tcW w:w="3766" w:type="dxa"/>
            <w:tcMar>
              <w:top w:w="15" w:type="dxa"/>
              <w:left w:w="15" w:type="dxa"/>
              <w:bottom w:w="0" w:type="dxa"/>
              <w:right w:w="15" w:type="dxa"/>
            </w:tcMar>
          </w:tcPr>
          <w:p w14:paraId="106F39AA" w14:textId="77777777" w:rsidR="00263138" w:rsidRPr="00B079CA" w:rsidRDefault="00263138"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603E635" w14:textId="77777777" w:rsidR="00263138" w:rsidRPr="00B079CA" w:rsidRDefault="00263138" w:rsidP="0041646A">
            <w:pPr>
              <w:jc w:val="right"/>
              <w:rPr>
                <w:rFonts w:eastAsiaTheme="minorEastAsia"/>
                <w:color w:val="000000" w:themeColor="text1"/>
                <w:kern w:val="0"/>
                <w:szCs w:val="21"/>
              </w:rPr>
            </w:pPr>
            <w:r w:rsidRPr="0055315C">
              <w:rPr>
                <w:rFonts w:eastAsiaTheme="minorEastAsia"/>
                <w:kern w:val="0"/>
                <w:szCs w:val="21"/>
              </w:rPr>
              <w:t>1,264,696.87</w:t>
            </w:r>
          </w:p>
        </w:tc>
      </w:tr>
    </w:tbl>
    <w:p w14:paraId="483F6630" w14:textId="77777777" w:rsidR="00E4704F" w:rsidRPr="007C68A4" w:rsidRDefault="00E4704F" w:rsidP="00E4704F">
      <w:pPr>
        <w:spacing w:line="360" w:lineRule="auto"/>
        <w:rPr>
          <w:b/>
          <w:color w:val="000000" w:themeColor="text1"/>
          <w:szCs w:val="21"/>
        </w:rPr>
      </w:pPr>
      <w:r w:rsidRPr="007C68A4">
        <w:rPr>
          <w:b/>
          <w:bCs/>
          <w:color w:val="000000" w:themeColor="text1"/>
          <w:kern w:val="0"/>
          <w:szCs w:val="21"/>
        </w:rPr>
        <w:t xml:space="preserve">6.4.7.2 </w:t>
      </w:r>
      <w:r w:rsidRPr="007C68A4">
        <w:rPr>
          <w:b/>
          <w:color w:val="000000" w:themeColor="text1"/>
          <w:szCs w:val="21"/>
        </w:rPr>
        <w:t>交易性金融资产</w:t>
      </w:r>
    </w:p>
    <w:p w14:paraId="43402185" w14:textId="77777777" w:rsidR="00E4704F" w:rsidRPr="007C68A4" w:rsidRDefault="00E4704F" w:rsidP="00E4704F">
      <w:pPr>
        <w:autoSpaceDE w:val="0"/>
        <w:autoSpaceDN w:val="0"/>
        <w:adjustRightInd w:val="0"/>
        <w:spacing w:before="29" w:line="288" w:lineRule="auto"/>
        <w:ind w:left="15"/>
        <w:jc w:val="right"/>
        <w:rPr>
          <w:bCs/>
          <w:color w:val="000000" w:themeColor="text1"/>
          <w:szCs w:val="21"/>
        </w:rPr>
      </w:pPr>
      <w:r w:rsidRPr="007C68A4">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3A53B3" w:rsidRPr="007C68A4" w14:paraId="1F510D41" w14:textId="77777777" w:rsidTr="00A0368A">
        <w:trPr>
          <w:trHeight w:val="255"/>
          <w:jc w:val="center"/>
        </w:trPr>
        <w:tc>
          <w:tcPr>
            <w:tcW w:w="1878" w:type="dxa"/>
            <w:gridSpan w:val="2"/>
            <w:vMerge w:val="restart"/>
            <w:vAlign w:val="center"/>
          </w:tcPr>
          <w:p w14:paraId="0E52BC3E" w14:textId="77777777" w:rsidR="00E4704F" w:rsidRPr="007C68A4" w:rsidRDefault="00E4704F" w:rsidP="00A0368A">
            <w:pPr>
              <w:jc w:val="center"/>
              <w:rPr>
                <w:color w:val="000000" w:themeColor="text1"/>
                <w:kern w:val="0"/>
                <w:szCs w:val="21"/>
              </w:rPr>
            </w:pPr>
            <w:r w:rsidRPr="007C68A4">
              <w:rPr>
                <w:color w:val="000000" w:themeColor="text1"/>
                <w:kern w:val="0"/>
                <w:szCs w:val="21"/>
              </w:rPr>
              <w:t>项目</w:t>
            </w:r>
          </w:p>
        </w:tc>
        <w:tc>
          <w:tcPr>
            <w:tcW w:w="7546" w:type="dxa"/>
            <w:gridSpan w:val="4"/>
          </w:tcPr>
          <w:p w14:paraId="170C5098" w14:textId="77777777" w:rsidR="00E4704F" w:rsidRPr="007C68A4" w:rsidRDefault="00E4704F" w:rsidP="00A0368A">
            <w:pPr>
              <w:jc w:val="center"/>
              <w:rPr>
                <w:color w:val="000000" w:themeColor="text1"/>
                <w:kern w:val="0"/>
                <w:szCs w:val="21"/>
              </w:rPr>
            </w:pPr>
            <w:r w:rsidRPr="007C68A4">
              <w:rPr>
                <w:color w:val="000000" w:themeColor="text1"/>
                <w:kern w:val="0"/>
                <w:szCs w:val="21"/>
              </w:rPr>
              <w:t>本期末</w:t>
            </w:r>
          </w:p>
          <w:p w14:paraId="4E7CA84A" w14:textId="77777777" w:rsidR="00E4704F" w:rsidRPr="007C68A4" w:rsidRDefault="00E4704F" w:rsidP="00A0368A">
            <w:pPr>
              <w:jc w:val="center"/>
              <w:rPr>
                <w:color w:val="000000" w:themeColor="text1"/>
                <w:kern w:val="0"/>
                <w:szCs w:val="21"/>
              </w:rPr>
            </w:pP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w:t>
            </w:r>
          </w:p>
        </w:tc>
      </w:tr>
      <w:tr w:rsidR="003A53B3" w:rsidRPr="007C68A4" w14:paraId="65244CA2" w14:textId="77777777" w:rsidTr="00A0368A">
        <w:trPr>
          <w:trHeight w:val="270"/>
          <w:jc w:val="center"/>
        </w:trPr>
        <w:tc>
          <w:tcPr>
            <w:tcW w:w="1878" w:type="dxa"/>
            <w:gridSpan w:val="2"/>
            <w:vMerge/>
            <w:vAlign w:val="center"/>
          </w:tcPr>
          <w:p w14:paraId="03763F73" w14:textId="77777777" w:rsidR="00E4704F" w:rsidRPr="007C68A4" w:rsidRDefault="00E4704F" w:rsidP="00A0368A">
            <w:pPr>
              <w:widowControl/>
              <w:jc w:val="left"/>
              <w:rPr>
                <w:color w:val="000000" w:themeColor="text1"/>
                <w:kern w:val="0"/>
                <w:szCs w:val="21"/>
              </w:rPr>
            </w:pPr>
          </w:p>
        </w:tc>
        <w:tc>
          <w:tcPr>
            <w:tcW w:w="1701" w:type="dxa"/>
            <w:vAlign w:val="center"/>
          </w:tcPr>
          <w:p w14:paraId="6A6CC12B" w14:textId="77777777" w:rsidR="00E4704F" w:rsidRPr="007C68A4" w:rsidRDefault="00E4704F" w:rsidP="00A0368A">
            <w:pPr>
              <w:jc w:val="center"/>
              <w:rPr>
                <w:color w:val="000000" w:themeColor="text1"/>
                <w:kern w:val="0"/>
                <w:szCs w:val="21"/>
              </w:rPr>
            </w:pPr>
            <w:r w:rsidRPr="007C68A4">
              <w:rPr>
                <w:color w:val="000000" w:themeColor="text1"/>
                <w:kern w:val="0"/>
                <w:szCs w:val="21"/>
              </w:rPr>
              <w:t>成本</w:t>
            </w:r>
          </w:p>
        </w:tc>
        <w:tc>
          <w:tcPr>
            <w:tcW w:w="1701" w:type="dxa"/>
          </w:tcPr>
          <w:p w14:paraId="693B76C5" w14:textId="77777777" w:rsidR="00E4704F" w:rsidRPr="007C68A4" w:rsidRDefault="00E4704F" w:rsidP="00A0368A">
            <w:pPr>
              <w:jc w:val="center"/>
              <w:rPr>
                <w:color w:val="000000" w:themeColor="text1"/>
                <w:kern w:val="0"/>
                <w:szCs w:val="21"/>
              </w:rPr>
            </w:pPr>
            <w:r w:rsidRPr="007C68A4">
              <w:rPr>
                <w:rFonts w:ascii="宋体" w:hAnsi="宋体" w:hint="eastAsia"/>
                <w:color w:val="000000" w:themeColor="text1"/>
                <w:kern w:val="0"/>
                <w:szCs w:val="21"/>
              </w:rPr>
              <w:t>应计利息</w:t>
            </w:r>
          </w:p>
        </w:tc>
        <w:tc>
          <w:tcPr>
            <w:tcW w:w="1985" w:type="dxa"/>
            <w:vAlign w:val="center"/>
          </w:tcPr>
          <w:p w14:paraId="29484FD7" w14:textId="77777777" w:rsidR="00E4704F" w:rsidRPr="007C68A4" w:rsidRDefault="00E4704F" w:rsidP="00A0368A">
            <w:pPr>
              <w:jc w:val="center"/>
              <w:rPr>
                <w:color w:val="000000" w:themeColor="text1"/>
                <w:kern w:val="0"/>
                <w:szCs w:val="21"/>
              </w:rPr>
            </w:pPr>
            <w:r w:rsidRPr="007C68A4">
              <w:rPr>
                <w:color w:val="000000" w:themeColor="text1"/>
                <w:kern w:val="0"/>
                <w:szCs w:val="21"/>
              </w:rPr>
              <w:t>公允价值</w:t>
            </w:r>
          </w:p>
        </w:tc>
        <w:tc>
          <w:tcPr>
            <w:tcW w:w="2159" w:type="dxa"/>
            <w:vAlign w:val="center"/>
          </w:tcPr>
          <w:p w14:paraId="562BB0A3" w14:textId="77777777" w:rsidR="00E4704F" w:rsidRPr="007C68A4" w:rsidRDefault="00E4704F" w:rsidP="00A0368A">
            <w:pPr>
              <w:jc w:val="center"/>
              <w:rPr>
                <w:color w:val="000000" w:themeColor="text1"/>
                <w:kern w:val="0"/>
                <w:szCs w:val="21"/>
              </w:rPr>
            </w:pPr>
            <w:r w:rsidRPr="007C68A4">
              <w:rPr>
                <w:color w:val="000000" w:themeColor="text1"/>
                <w:kern w:val="0"/>
                <w:szCs w:val="21"/>
              </w:rPr>
              <w:t>公允价值变动</w:t>
            </w:r>
          </w:p>
        </w:tc>
      </w:tr>
      <w:tr w:rsidR="003A53B3" w:rsidRPr="007C68A4" w14:paraId="32B5F53F" w14:textId="77777777" w:rsidTr="00A0368A">
        <w:trPr>
          <w:trHeight w:val="270"/>
          <w:jc w:val="center"/>
        </w:trPr>
        <w:tc>
          <w:tcPr>
            <w:tcW w:w="1878" w:type="dxa"/>
            <w:gridSpan w:val="2"/>
            <w:vAlign w:val="center"/>
          </w:tcPr>
          <w:p w14:paraId="3C9CC083" w14:textId="77777777" w:rsidR="00E4704F" w:rsidRPr="007C68A4" w:rsidRDefault="00E4704F" w:rsidP="00A0368A">
            <w:pPr>
              <w:widowControl/>
              <w:rPr>
                <w:color w:val="000000" w:themeColor="text1"/>
                <w:kern w:val="0"/>
                <w:szCs w:val="21"/>
              </w:rPr>
            </w:pPr>
            <w:r w:rsidRPr="007C68A4">
              <w:rPr>
                <w:color w:val="000000" w:themeColor="text1"/>
                <w:kern w:val="0"/>
                <w:szCs w:val="21"/>
              </w:rPr>
              <w:t>股票</w:t>
            </w:r>
          </w:p>
        </w:tc>
        <w:tc>
          <w:tcPr>
            <w:tcW w:w="1701" w:type="dxa"/>
            <w:vAlign w:val="center"/>
          </w:tcPr>
          <w:p w14:paraId="64923D60"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701" w:type="dxa"/>
          </w:tcPr>
          <w:p w14:paraId="59497945"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985" w:type="dxa"/>
            <w:vAlign w:val="center"/>
          </w:tcPr>
          <w:p w14:paraId="72BE2D65"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2159" w:type="dxa"/>
            <w:vAlign w:val="center"/>
          </w:tcPr>
          <w:p w14:paraId="04E07A06" w14:textId="77777777" w:rsidR="00E4704F" w:rsidRPr="007C68A4" w:rsidRDefault="00E4704F" w:rsidP="00A0368A">
            <w:pPr>
              <w:jc w:val="right"/>
              <w:rPr>
                <w:color w:val="000000" w:themeColor="text1"/>
                <w:kern w:val="0"/>
                <w:szCs w:val="21"/>
              </w:rPr>
            </w:pPr>
            <w:r w:rsidRPr="007C68A4">
              <w:rPr>
                <w:color w:val="000000" w:themeColor="text1"/>
                <w:kern w:val="0"/>
                <w:szCs w:val="21"/>
              </w:rPr>
              <w:t>-</w:t>
            </w:r>
          </w:p>
        </w:tc>
      </w:tr>
      <w:tr w:rsidR="003A53B3" w:rsidRPr="007C68A4" w14:paraId="47B79F6C" w14:textId="77777777" w:rsidTr="00A0368A">
        <w:trPr>
          <w:trHeight w:val="270"/>
          <w:jc w:val="center"/>
        </w:trPr>
        <w:tc>
          <w:tcPr>
            <w:tcW w:w="1878" w:type="dxa"/>
            <w:gridSpan w:val="2"/>
            <w:vAlign w:val="center"/>
          </w:tcPr>
          <w:p w14:paraId="098E4D27" w14:textId="77777777" w:rsidR="00E4704F" w:rsidRPr="007C68A4" w:rsidRDefault="00E4704F" w:rsidP="00A0368A">
            <w:pPr>
              <w:widowControl/>
              <w:spacing w:line="360" w:lineRule="auto"/>
              <w:rPr>
                <w:rFonts w:eastAsiaTheme="minorEastAsia"/>
                <w:color w:val="000000" w:themeColor="text1"/>
                <w:kern w:val="0"/>
                <w:szCs w:val="21"/>
              </w:rPr>
            </w:pPr>
            <w:r w:rsidRPr="007C68A4">
              <w:rPr>
                <w:rFonts w:eastAsiaTheme="minorEastAsia"/>
                <w:color w:val="000000" w:themeColor="text1"/>
                <w:kern w:val="0"/>
                <w:szCs w:val="21"/>
              </w:rPr>
              <w:t>贵金属投资</w:t>
            </w:r>
            <w:r w:rsidRPr="007C68A4">
              <w:rPr>
                <w:rFonts w:eastAsiaTheme="minorEastAsia"/>
                <w:color w:val="000000" w:themeColor="text1"/>
                <w:kern w:val="0"/>
                <w:szCs w:val="21"/>
              </w:rPr>
              <w:t>-</w:t>
            </w:r>
            <w:r w:rsidRPr="007C68A4">
              <w:rPr>
                <w:rFonts w:eastAsiaTheme="minorEastAsia"/>
                <w:color w:val="000000" w:themeColor="text1"/>
                <w:kern w:val="0"/>
                <w:szCs w:val="21"/>
              </w:rPr>
              <w:t>金交</w:t>
            </w:r>
            <w:r w:rsidRPr="007C68A4">
              <w:rPr>
                <w:rFonts w:eastAsiaTheme="minorEastAsia"/>
                <w:color w:val="000000" w:themeColor="text1"/>
                <w:kern w:val="0"/>
                <w:szCs w:val="21"/>
              </w:rPr>
              <w:lastRenderedPageBreak/>
              <w:t>所黄金合约</w:t>
            </w:r>
          </w:p>
        </w:tc>
        <w:tc>
          <w:tcPr>
            <w:tcW w:w="1701" w:type="dxa"/>
            <w:vAlign w:val="center"/>
          </w:tcPr>
          <w:p w14:paraId="33328DC9"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lastRenderedPageBreak/>
              <w:t>-</w:t>
            </w:r>
          </w:p>
        </w:tc>
        <w:tc>
          <w:tcPr>
            <w:tcW w:w="1701" w:type="dxa"/>
          </w:tcPr>
          <w:p w14:paraId="35762FD6"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14:paraId="1215FA17"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2159" w:type="dxa"/>
            <w:vAlign w:val="center"/>
          </w:tcPr>
          <w:p w14:paraId="7027F38F" w14:textId="77777777"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32BECEEE" w14:textId="77777777" w:rsidTr="00A0368A">
        <w:trPr>
          <w:trHeight w:val="270"/>
          <w:jc w:val="center"/>
        </w:trPr>
        <w:tc>
          <w:tcPr>
            <w:tcW w:w="939" w:type="dxa"/>
            <w:vMerge w:val="restart"/>
            <w:vAlign w:val="center"/>
          </w:tcPr>
          <w:p w14:paraId="6A6BD06B"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债券</w:t>
            </w:r>
          </w:p>
        </w:tc>
        <w:tc>
          <w:tcPr>
            <w:tcW w:w="939" w:type="dxa"/>
            <w:vAlign w:val="center"/>
          </w:tcPr>
          <w:p w14:paraId="45277F13"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交易所市场</w:t>
            </w:r>
          </w:p>
        </w:tc>
        <w:tc>
          <w:tcPr>
            <w:tcW w:w="1701" w:type="dxa"/>
            <w:vAlign w:val="bottom"/>
          </w:tcPr>
          <w:p w14:paraId="1742CC7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601,658.00</w:t>
            </w:r>
          </w:p>
        </w:tc>
        <w:tc>
          <w:tcPr>
            <w:tcW w:w="1701" w:type="dxa"/>
          </w:tcPr>
          <w:p w14:paraId="78AA3BBB"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6,404.17</w:t>
            </w:r>
          </w:p>
        </w:tc>
        <w:tc>
          <w:tcPr>
            <w:tcW w:w="1985" w:type="dxa"/>
            <w:vAlign w:val="bottom"/>
          </w:tcPr>
          <w:p w14:paraId="35C25A9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608,424.17</w:t>
            </w:r>
          </w:p>
        </w:tc>
        <w:tc>
          <w:tcPr>
            <w:tcW w:w="2159" w:type="dxa"/>
            <w:vAlign w:val="bottom"/>
          </w:tcPr>
          <w:p w14:paraId="7C1AFF3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362.00</w:t>
            </w:r>
          </w:p>
        </w:tc>
      </w:tr>
      <w:tr w:rsidR="003A53B3" w:rsidRPr="007C68A4" w14:paraId="13CB7445" w14:textId="77777777" w:rsidTr="00A0368A">
        <w:trPr>
          <w:trHeight w:val="270"/>
          <w:jc w:val="center"/>
        </w:trPr>
        <w:tc>
          <w:tcPr>
            <w:tcW w:w="939" w:type="dxa"/>
            <w:vMerge/>
            <w:vAlign w:val="center"/>
          </w:tcPr>
          <w:p w14:paraId="5D155F65" w14:textId="77777777"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14:paraId="17F984DA"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银行间市场</w:t>
            </w:r>
          </w:p>
        </w:tc>
        <w:tc>
          <w:tcPr>
            <w:tcW w:w="1701" w:type="dxa"/>
            <w:vAlign w:val="bottom"/>
          </w:tcPr>
          <w:p w14:paraId="5A6A6CE5"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14:paraId="3FE074E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20F137A8"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14:paraId="60F0DFE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14:paraId="50F64E9F" w14:textId="77777777" w:rsidTr="00A0368A">
        <w:trPr>
          <w:trHeight w:val="270"/>
          <w:jc w:val="center"/>
        </w:trPr>
        <w:tc>
          <w:tcPr>
            <w:tcW w:w="939" w:type="dxa"/>
            <w:vMerge/>
            <w:vAlign w:val="center"/>
          </w:tcPr>
          <w:p w14:paraId="7F38477D" w14:textId="77777777"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14:paraId="2D1B911B"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center"/>
          </w:tcPr>
          <w:p w14:paraId="159A74AE"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601,658.00</w:t>
            </w:r>
          </w:p>
        </w:tc>
        <w:tc>
          <w:tcPr>
            <w:tcW w:w="1701" w:type="dxa"/>
          </w:tcPr>
          <w:p w14:paraId="617AEFB5"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6,404.17</w:t>
            </w:r>
          </w:p>
        </w:tc>
        <w:tc>
          <w:tcPr>
            <w:tcW w:w="1985" w:type="dxa"/>
            <w:vAlign w:val="center"/>
          </w:tcPr>
          <w:p w14:paraId="444ACAF2"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608,424.17</w:t>
            </w:r>
          </w:p>
        </w:tc>
        <w:tc>
          <w:tcPr>
            <w:tcW w:w="2159" w:type="dxa"/>
            <w:vAlign w:val="center"/>
          </w:tcPr>
          <w:p w14:paraId="045877B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362.00</w:t>
            </w:r>
          </w:p>
        </w:tc>
      </w:tr>
      <w:tr w:rsidR="003A53B3" w:rsidRPr="007C68A4" w14:paraId="6E94D069" w14:textId="77777777" w:rsidTr="00A0368A">
        <w:trPr>
          <w:trHeight w:val="270"/>
          <w:jc w:val="center"/>
        </w:trPr>
        <w:tc>
          <w:tcPr>
            <w:tcW w:w="1878" w:type="dxa"/>
            <w:gridSpan w:val="2"/>
            <w:vAlign w:val="center"/>
          </w:tcPr>
          <w:p w14:paraId="1433161C"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资产支持证券</w:t>
            </w:r>
          </w:p>
        </w:tc>
        <w:tc>
          <w:tcPr>
            <w:tcW w:w="1701" w:type="dxa"/>
            <w:vAlign w:val="bottom"/>
          </w:tcPr>
          <w:p w14:paraId="06E3FCAD"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14:paraId="73613DC7"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748BFFB0"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14:paraId="39DD01A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14:paraId="4E2677CA" w14:textId="77777777" w:rsidTr="00A0368A">
        <w:trPr>
          <w:trHeight w:val="270"/>
          <w:jc w:val="center"/>
        </w:trPr>
        <w:tc>
          <w:tcPr>
            <w:tcW w:w="1878" w:type="dxa"/>
            <w:gridSpan w:val="2"/>
            <w:vAlign w:val="center"/>
          </w:tcPr>
          <w:p w14:paraId="5E0C3232"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基金</w:t>
            </w:r>
          </w:p>
        </w:tc>
        <w:tc>
          <w:tcPr>
            <w:tcW w:w="1701" w:type="dxa"/>
            <w:vAlign w:val="bottom"/>
          </w:tcPr>
          <w:p w14:paraId="14EE914B"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28,530,237.91</w:t>
            </w:r>
          </w:p>
        </w:tc>
        <w:tc>
          <w:tcPr>
            <w:tcW w:w="1701" w:type="dxa"/>
          </w:tcPr>
          <w:p w14:paraId="1F4897A8"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3EEEBE5B"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25,169,032.00</w:t>
            </w:r>
          </w:p>
        </w:tc>
        <w:tc>
          <w:tcPr>
            <w:tcW w:w="2159" w:type="dxa"/>
            <w:vAlign w:val="bottom"/>
          </w:tcPr>
          <w:p w14:paraId="680976FB"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-3,361,205.91</w:t>
            </w:r>
          </w:p>
        </w:tc>
      </w:tr>
      <w:tr w:rsidR="003A53B3" w:rsidRPr="007C68A4" w14:paraId="7C607D7F" w14:textId="77777777" w:rsidTr="00A0368A">
        <w:trPr>
          <w:trHeight w:val="270"/>
          <w:jc w:val="center"/>
        </w:trPr>
        <w:tc>
          <w:tcPr>
            <w:tcW w:w="1878" w:type="dxa"/>
            <w:gridSpan w:val="2"/>
            <w:vAlign w:val="center"/>
          </w:tcPr>
          <w:p w14:paraId="34CE5CD8"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其他</w:t>
            </w:r>
          </w:p>
        </w:tc>
        <w:tc>
          <w:tcPr>
            <w:tcW w:w="1701" w:type="dxa"/>
            <w:vAlign w:val="bottom"/>
          </w:tcPr>
          <w:p w14:paraId="6BCCA9DA"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14:paraId="259CF2CE"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14:paraId="111B7DD0"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14:paraId="66B65825"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14:paraId="304966B2" w14:textId="77777777" w:rsidTr="00A0368A">
        <w:trPr>
          <w:trHeight w:val="270"/>
          <w:jc w:val="center"/>
        </w:trPr>
        <w:tc>
          <w:tcPr>
            <w:tcW w:w="1878" w:type="dxa"/>
            <w:gridSpan w:val="2"/>
            <w:vAlign w:val="center"/>
          </w:tcPr>
          <w:p w14:paraId="1CBB6D38" w14:textId="77777777"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bottom"/>
          </w:tcPr>
          <w:p w14:paraId="5D59CF64"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29,131,895.91</w:t>
            </w:r>
          </w:p>
        </w:tc>
        <w:tc>
          <w:tcPr>
            <w:tcW w:w="1701" w:type="dxa"/>
          </w:tcPr>
          <w:p w14:paraId="59760532"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6,404.17</w:t>
            </w:r>
          </w:p>
        </w:tc>
        <w:tc>
          <w:tcPr>
            <w:tcW w:w="1985" w:type="dxa"/>
            <w:vAlign w:val="bottom"/>
          </w:tcPr>
          <w:p w14:paraId="1FB22F26"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25,777,456.17</w:t>
            </w:r>
          </w:p>
        </w:tc>
        <w:tc>
          <w:tcPr>
            <w:tcW w:w="2159" w:type="dxa"/>
            <w:vAlign w:val="bottom"/>
          </w:tcPr>
          <w:p w14:paraId="11C7926F" w14:textId="77777777"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-3,360,843.91</w:t>
            </w:r>
          </w:p>
        </w:tc>
      </w:tr>
    </w:tbl>
    <w:p w14:paraId="0AF58140"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6.4.7.3 </w:t>
      </w:r>
      <w:r w:rsidRPr="007C68A4">
        <w:rPr>
          <w:b/>
          <w:color w:val="000000" w:themeColor="text1"/>
          <w:szCs w:val="21"/>
        </w:rPr>
        <w:t>衍生金融资产</w:t>
      </w:r>
      <w:r w:rsidRPr="007C68A4">
        <w:rPr>
          <w:b/>
          <w:color w:val="000000" w:themeColor="text1"/>
          <w:szCs w:val="21"/>
        </w:rPr>
        <w:t>/</w:t>
      </w:r>
      <w:r w:rsidRPr="007C68A4">
        <w:rPr>
          <w:b/>
          <w:color w:val="000000" w:themeColor="text1"/>
          <w:szCs w:val="21"/>
        </w:rPr>
        <w:t>负债</w:t>
      </w:r>
    </w:p>
    <w:p w14:paraId="076C2BC7" w14:textId="77777777"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14:paraId="5BD81542" w14:textId="77777777" w:rsidR="001548F9" w:rsidRPr="007C68A4" w:rsidRDefault="001548F9" w:rsidP="004C1748">
      <w:pPr>
        <w:spacing w:line="360" w:lineRule="auto"/>
        <w:rPr>
          <w:b/>
          <w:bCs/>
          <w:color w:val="000000" w:themeColor="text1"/>
          <w:kern w:val="0"/>
          <w:szCs w:val="21"/>
        </w:rPr>
      </w:pPr>
      <w:r w:rsidRPr="007C68A4">
        <w:rPr>
          <w:b/>
          <w:bCs/>
          <w:color w:val="000000" w:themeColor="text1"/>
          <w:kern w:val="0"/>
          <w:szCs w:val="21"/>
        </w:rPr>
        <w:t xml:space="preserve">6.4.7.4 </w:t>
      </w:r>
      <w:r w:rsidRPr="007C68A4">
        <w:rPr>
          <w:b/>
          <w:color w:val="000000" w:themeColor="text1"/>
          <w:szCs w:val="21"/>
        </w:rPr>
        <w:t>买入返售金融资产</w:t>
      </w:r>
    </w:p>
    <w:p w14:paraId="0BB46603" w14:textId="77777777" w:rsidR="001548F9" w:rsidRPr="007C68A4" w:rsidRDefault="001548F9" w:rsidP="00F94FD7">
      <w:pPr>
        <w:tabs>
          <w:tab w:val="left" w:pos="426"/>
        </w:tabs>
        <w:spacing w:line="360" w:lineRule="auto"/>
        <w:jc w:val="left"/>
        <w:rPr>
          <w:bCs/>
          <w:color w:val="000000" w:themeColor="text1"/>
          <w:szCs w:val="21"/>
        </w:rPr>
      </w:pPr>
      <w:r w:rsidRPr="007C68A4">
        <w:rPr>
          <w:color w:val="000000" w:themeColor="text1"/>
          <w:kern w:val="0"/>
          <w:szCs w:val="21"/>
        </w:rPr>
        <w:t>无余额。</w:t>
      </w:r>
    </w:p>
    <w:p w14:paraId="22BA3D2F"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6.4.7.5 </w:t>
      </w:r>
      <w:r w:rsidRPr="007C68A4">
        <w:rPr>
          <w:b/>
          <w:color w:val="000000" w:themeColor="text1"/>
          <w:szCs w:val="21"/>
        </w:rPr>
        <w:t>其他资产</w:t>
      </w:r>
    </w:p>
    <w:p w14:paraId="5DCA0179" w14:textId="77777777"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无余额。</w:t>
      </w:r>
    </w:p>
    <w:p w14:paraId="29A77126"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6.4.7.6 </w:t>
      </w:r>
      <w:r w:rsidRPr="007C68A4">
        <w:rPr>
          <w:b/>
          <w:color w:val="000000" w:themeColor="text1"/>
          <w:szCs w:val="21"/>
        </w:rPr>
        <w:t>其他负债</w:t>
      </w:r>
    </w:p>
    <w:p w14:paraId="17AC91C1" w14:textId="77777777"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3A53B3" w:rsidRPr="007C68A4" w14:paraId="62F9EA75" w14:textId="77777777" w:rsidTr="00805C54">
        <w:trPr>
          <w:trHeight w:val="330"/>
        </w:trPr>
        <w:tc>
          <w:tcPr>
            <w:tcW w:w="3701" w:type="dxa"/>
            <w:vAlign w:val="center"/>
          </w:tcPr>
          <w:p w14:paraId="52604F83"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vAlign w:val="center"/>
          </w:tcPr>
          <w:p w14:paraId="53D7297C" w14:textId="77777777" w:rsidR="001548F9" w:rsidRPr="007C68A4" w:rsidRDefault="001548F9" w:rsidP="0070173B">
            <w:pPr>
              <w:jc w:val="center"/>
              <w:rPr>
                <w:color w:val="000000" w:themeColor="text1"/>
                <w:kern w:val="0"/>
                <w:szCs w:val="21"/>
              </w:rPr>
            </w:pPr>
            <w:r w:rsidRPr="007C68A4">
              <w:rPr>
                <w:color w:val="000000" w:themeColor="text1"/>
                <w:kern w:val="0"/>
                <w:szCs w:val="21"/>
              </w:rPr>
              <w:t>本期末</w:t>
            </w:r>
          </w:p>
          <w:p w14:paraId="005F4C2C" w14:textId="77777777" w:rsidR="001548F9" w:rsidRPr="007C68A4" w:rsidRDefault="001548F9" w:rsidP="0070173B">
            <w:pPr>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5639602F" w14:textId="77777777" w:rsidTr="00805C54">
        <w:trPr>
          <w:trHeight w:val="325"/>
        </w:trPr>
        <w:tc>
          <w:tcPr>
            <w:tcW w:w="3701" w:type="dxa"/>
            <w:vAlign w:val="center"/>
          </w:tcPr>
          <w:p w14:paraId="28A4665F" w14:textId="77777777" w:rsidR="001548F9" w:rsidRPr="007C68A4" w:rsidRDefault="001548F9" w:rsidP="0070173B">
            <w:pPr>
              <w:rPr>
                <w:color w:val="000000" w:themeColor="text1"/>
                <w:szCs w:val="21"/>
              </w:rPr>
            </w:pPr>
            <w:r w:rsidRPr="007C68A4">
              <w:rPr>
                <w:color w:val="000000" w:themeColor="text1"/>
                <w:szCs w:val="21"/>
              </w:rPr>
              <w:t>应付券商交易单元保证金</w:t>
            </w:r>
          </w:p>
        </w:tc>
        <w:tc>
          <w:tcPr>
            <w:tcW w:w="5528" w:type="dxa"/>
            <w:vAlign w:val="bottom"/>
          </w:tcPr>
          <w:p w14:paraId="45F80089"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5E780FF1" w14:textId="77777777" w:rsidTr="00805C54">
        <w:trPr>
          <w:trHeight w:val="325"/>
        </w:trPr>
        <w:tc>
          <w:tcPr>
            <w:tcW w:w="3701" w:type="dxa"/>
            <w:vAlign w:val="center"/>
          </w:tcPr>
          <w:p w14:paraId="722BD1CC" w14:textId="77777777" w:rsidR="001548F9" w:rsidRPr="007C68A4" w:rsidRDefault="001548F9" w:rsidP="0070173B">
            <w:pPr>
              <w:rPr>
                <w:color w:val="000000" w:themeColor="text1"/>
                <w:szCs w:val="21"/>
              </w:rPr>
            </w:pPr>
            <w:r w:rsidRPr="007C68A4">
              <w:rPr>
                <w:color w:val="000000" w:themeColor="text1"/>
                <w:szCs w:val="21"/>
              </w:rPr>
              <w:t>应付赎回费</w:t>
            </w:r>
          </w:p>
        </w:tc>
        <w:tc>
          <w:tcPr>
            <w:tcW w:w="5528" w:type="dxa"/>
            <w:vAlign w:val="bottom"/>
          </w:tcPr>
          <w:p w14:paraId="161C8070"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20D6ADF4" w14:textId="77777777" w:rsidTr="00A0368A">
        <w:trPr>
          <w:trHeight w:val="325"/>
        </w:trPr>
        <w:tc>
          <w:tcPr>
            <w:tcW w:w="3701" w:type="dxa"/>
          </w:tcPr>
          <w:p w14:paraId="3F0886CA" w14:textId="77777777" w:rsidR="00A32FE3" w:rsidRPr="007C68A4" w:rsidRDefault="00A32FE3" w:rsidP="00A0368A">
            <w:pPr>
              <w:rPr>
                <w:color w:val="000000" w:themeColor="text1"/>
              </w:rPr>
            </w:pPr>
            <w:r w:rsidRPr="007C68A4">
              <w:rPr>
                <w:color w:val="000000" w:themeColor="text1"/>
              </w:rPr>
              <w:t>应付证券出借违约金</w:t>
            </w:r>
          </w:p>
        </w:tc>
        <w:tc>
          <w:tcPr>
            <w:tcW w:w="5528" w:type="dxa"/>
          </w:tcPr>
          <w:p w14:paraId="4527BEFC" w14:textId="77777777" w:rsidR="00A32FE3" w:rsidRPr="007C68A4" w:rsidRDefault="00A32FE3" w:rsidP="00A32FE3">
            <w:pPr>
              <w:jc w:val="right"/>
              <w:rPr>
                <w:color w:val="000000" w:themeColor="text1"/>
              </w:rPr>
            </w:pPr>
            <w:r w:rsidRPr="007C68A4">
              <w:rPr>
                <w:color w:val="000000" w:themeColor="text1"/>
              </w:rPr>
              <w:t>-</w:t>
            </w:r>
          </w:p>
        </w:tc>
      </w:tr>
      <w:tr w:rsidR="003A53B3" w:rsidRPr="007C68A4" w14:paraId="49A4F120" w14:textId="77777777" w:rsidTr="00E61BF1">
        <w:trPr>
          <w:trHeight w:val="325"/>
        </w:trPr>
        <w:tc>
          <w:tcPr>
            <w:tcW w:w="3701" w:type="dxa"/>
            <w:vAlign w:val="bottom"/>
          </w:tcPr>
          <w:p w14:paraId="66DC2C66" w14:textId="77777777" w:rsidR="00921F8C" w:rsidRPr="007C68A4" w:rsidRDefault="00921F8C" w:rsidP="00921F8C">
            <w:pPr>
              <w:rPr>
                <w:color w:val="000000" w:themeColor="text1"/>
                <w:szCs w:val="21"/>
              </w:rPr>
            </w:pPr>
            <w:r w:rsidRPr="007C68A4">
              <w:rPr>
                <w:rFonts w:hint="eastAsia"/>
                <w:color w:val="000000" w:themeColor="text1"/>
                <w:szCs w:val="21"/>
              </w:rPr>
              <w:t>应付交易费用</w:t>
            </w:r>
          </w:p>
        </w:tc>
        <w:tc>
          <w:tcPr>
            <w:tcW w:w="5528" w:type="dxa"/>
            <w:vAlign w:val="center"/>
          </w:tcPr>
          <w:p w14:paraId="27A03F31"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566642B1" w14:textId="77777777" w:rsidTr="00E61BF1">
        <w:trPr>
          <w:trHeight w:val="325"/>
        </w:trPr>
        <w:tc>
          <w:tcPr>
            <w:tcW w:w="3701" w:type="dxa"/>
            <w:vAlign w:val="bottom"/>
          </w:tcPr>
          <w:p w14:paraId="57C3268D" w14:textId="77777777" w:rsidR="00921F8C" w:rsidRPr="007C68A4" w:rsidRDefault="00921F8C" w:rsidP="00921F8C">
            <w:pPr>
              <w:rPr>
                <w:color w:val="000000" w:themeColor="text1"/>
                <w:szCs w:val="21"/>
              </w:rPr>
            </w:pPr>
            <w:r w:rsidRPr="007C68A4">
              <w:rPr>
                <w:rFonts w:hint="eastAsia"/>
                <w:color w:val="000000" w:themeColor="text1"/>
                <w:szCs w:val="21"/>
              </w:rPr>
              <w:t>其中：交易所市场</w:t>
            </w:r>
          </w:p>
        </w:tc>
        <w:tc>
          <w:tcPr>
            <w:tcW w:w="5528" w:type="dxa"/>
            <w:vAlign w:val="center"/>
          </w:tcPr>
          <w:p w14:paraId="74AAC576"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5F0C56D4" w14:textId="77777777" w:rsidTr="00E61BF1">
        <w:trPr>
          <w:trHeight w:val="325"/>
        </w:trPr>
        <w:tc>
          <w:tcPr>
            <w:tcW w:w="3701" w:type="dxa"/>
            <w:vAlign w:val="bottom"/>
          </w:tcPr>
          <w:p w14:paraId="2C195FD6" w14:textId="77777777" w:rsidR="00921F8C" w:rsidRPr="007C68A4" w:rsidRDefault="00921F8C" w:rsidP="00921F8C">
            <w:pPr>
              <w:rPr>
                <w:color w:val="000000" w:themeColor="text1"/>
                <w:szCs w:val="21"/>
              </w:rPr>
            </w:pPr>
            <w:r w:rsidRPr="007C68A4">
              <w:rPr>
                <w:color w:val="000000" w:themeColor="text1"/>
                <w:szCs w:val="21"/>
              </w:rPr>
              <w:t xml:space="preserve">      </w:t>
            </w:r>
            <w:r w:rsidRPr="007C68A4">
              <w:rPr>
                <w:rFonts w:hint="eastAsia"/>
                <w:color w:val="000000" w:themeColor="text1"/>
                <w:szCs w:val="21"/>
              </w:rPr>
              <w:t>银行间市场</w:t>
            </w:r>
          </w:p>
        </w:tc>
        <w:tc>
          <w:tcPr>
            <w:tcW w:w="5528" w:type="dxa"/>
            <w:vAlign w:val="center"/>
          </w:tcPr>
          <w:p w14:paraId="647E5EEB" w14:textId="77777777" w:rsidR="00921F8C" w:rsidRPr="007C68A4" w:rsidRDefault="00921F8C" w:rsidP="00921F8C">
            <w:pPr>
              <w:jc w:val="right"/>
              <w:rPr>
                <w:color w:val="000000" w:themeColor="text1"/>
              </w:rPr>
            </w:pPr>
            <w:r w:rsidRPr="007C68A4">
              <w:rPr>
                <w:color w:val="000000" w:themeColor="text1"/>
              </w:rPr>
              <w:t>-</w:t>
            </w:r>
          </w:p>
        </w:tc>
      </w:tr>
      <w:tr w:rsidR="003A53B3" w:rsidRPr="007C68A4" w14:paraId="35DAB54C" w14:textId="77777777" w:rsidTr="00E61BF1">
        <w:trPr>
          <w:trHeight w:val="325"/>
        </w:trPr>
        <w:tc>
          <w:tcPr>
            <w:tcW w:w="3701" w:type="dxa"/>
            <w:vAlign w:val="bottom"/>
          </w:tcPr>
          <w:p w14:paraId="776BEDB6" w14:textId="77777777" w:rsidR="00921F8C" w:rsidRPr="007C68A4" w:rsidRDefault="00921F8C" w:rsidP="00921F8C">
            <w:pPr>
              <w:rPr>
                <w:color w:val="000000" w:themeColor="text1"/>
                <w:szCs w:val="21"/>
              </w:rPr>
            </w:pPr>
            <w:r w:rsidRPr="007C68A4">
              <w:rPr>
                <w:rFonts w:hint="eastAsia"/>
                <w:color w:val="000000" w:themeColor="text1"/>
                <w:szCs w:val="21"/>
              </w:rPr>
              <w:t>应付利息</w:t>
            </w:r>
          </w:p>
        </w:tc>
        <w:tc>
          <w:tcPr>
            <w:tcW w:w="5528" w:type="dxa"/>
            <w:vAlign w:val="center"/>
          </w:tcPr>
          <w:p w14:paraId="028B5223" w14:textId="77777777" w:rsidR="00921F8C" w:rsidRPr="007C68A4" w:rsidRDefault="00921F8C" w:rsidP="00921F8C">
            <w:pPr>
              <w:jc w:val="right"/>
              <w:rPr>
                <w:color w:val="000000" w:themeColor="text1"/>
                <w:szCs w:val="21"/>
              </w:rPr>
            </w:pPr>
            <w:r w:rsidRPr="007C68A4">
              <w:rPr>
                <w:color w:val="000000" w:themeColor="text1"/>
              </w:rPr>
              <w:t>-</w:t>
            </w:r>
          </w:p>
        </w:tc>
      </w:tr>
      <w:tr w:rsidR="00FA3CB3" w14:paraId="02E1D634" w14:textId="77777777">
        <w:tc>
          <w:tcPr>
            <w:tcW w:w="3701" w:type="dxa"/>
            <w:vAlign w:val="center"/>
          </w:tcPr>
          <w:p w14:paraId="226A0160" w14:textId="77777777" w:rsidR="00FA3CB3" w:rsidRDefault="00052A0D">
            <w:pPr>
              <w:jc w:val="left"/>
            </w:pPr>
            <w:r>
              <w:rPr>
                <w:color w:val="000000" w:themeColor="text1"/>
                <w:szCs w:val="21"/>
              </w:rPr>
              <w:t>预提费用</w:t>
            </w:r>
          </w:p>
        </w:tc>
        <w:tc>
          <w:tcPr>
            <w:tcW w:w="5528" w:type="dxa"/>
            <w:vAlign w:val="center"/>
          </w:tcPr>
          <w:p w14:paraId="57C38568" w14:textId="77777777" w:rsidR="00FA3CB3" w:rsidRDefault="00052A0D">
            <w:pPr>
              <w:jc w:val="right"/>
            </w:pPr>
            <w:r>
              <w:rPr>
                <w:color w:val="000000" w:themeColor="text1"/>
                <w:szCs w:val="21"/>
              </w:rPr>
              <w:t>119,781.56</w:t>
            </w:r>
          </w:p>
        </w:tc>
      </w:tr>
      <w:tr w:rsidR="003A53B3" w:rsidRPr="007C68A4" w14:paraId="2FF9881B" w14:textId="77777777" w:rsidTr="00805C54">
        <w:trPr>
          <w:trHeight w:val="325"/>
        </w:trPr>
        <w:tc>
          <w:tcPr>
            <w:tcW w:w="3701" w:type="dxa"/>
            <w:vAlign w:val="bottom"/>
          </w:tcPr>
          <w:p w14:paraId="2CE34030" w14:textId="77777777" w:rsidR="001548F9" w:rsidRPr="007C68A4" w:rsidRDefault="001548F9" w:rsidP="0070173B">
            <w:pPr>
              <w:jc w:val="center"/>
              <w:rPr>
                <w:color w:val="000000" w:themeColor="text1"/>
                <w:szCs w:val="21"/>
              </w:rPr>
            </w:pPr>
            <w:r w:rsidRPr="007C68A4">
              <w:rPr>
                <w:color w:val="000000" w:themeColor="text1"/>
                <w:szCs w:val="21"/>
              </w:rPr>
              <w:t>合计</w:t>
            </w:r>
          </w:p>
        </w:tc>
        <w:tc>
          <w:tcPr>
            <w:tcW w:w="5528" w:type="dxa"/>
            <w:vAlign w:val="bottom"/>
          </w:tcPr>
          <w:p w14:paraId="25224D3B" w14:textId="77777777" w:rsidR="001548F9" w:rsidRPr="007C68A4" w:rsidRDefault="001548F9" w:rsidP="0070173B">
            <w:pPr>
              <w:jc w:val="right"/>
              <w:rPr>
                <w:color w:val="000000" w:themeColor="text1"/>
                <w:szCs w:val="21"/>
              </w:rPr>
            </w:pPr>
            <w:r w:rsidRPr="007C68A4">
              <w:rPr>
                <w:color w:val="000000" w:themeColor="text1"/>
                <w:szCs w:val="21"/>
              </w:rPr>
              <w:t>119,781.56</w:t>
            </w:r>
          </w:p>
        </w:tc>
      </w:tr>
    </w:tbl>
    <w:p w14:paraId="12E74C14"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6.4.7.7 </w:t>
      </w:r>
      <w:r w:rsidRPr="007C68A4">
        <w:rPr>
          <w:b/>
          <w:color w:val="000000" w:themeColor="text1"/>
          <w:szCs w:val="21"/>
        </w:rPr>
        <w:t>实收基金</w:t>
      </w:r>
    </w:p>
    <w:p w14:paraId="4E5E4DB1" w14:textId="77777777"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p w14:paraId="12D76282" w14:textId="77777777"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14:paraId="7A1079F3" w14:textId="77777777" w:rsidTr="00C36018">
        <w:trPr>
          <w:jc w:val="center"/>
        </w:trPr>
        <w:tc>
          <w:tcPr>
            <w:tcW w:w="3120" w:type="dxa"/>
            <w:vMerge w:val="restart"/>
            <w:vAlign w:val="center"/>
          </w:tcPr>
          <w:p w14:paraId="6BEADB95"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14:paraId="2BF6D279" w14:textId="77777777" w:rsidR="00931EA6" w:rsidRPr="007C68A4" w:rsidRDefault="00931EA6" w:rsidP="00C36018">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14:paraId="36F542CD"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lastRenderedPageBreak/>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38A3587F" w14:textId="77777777" w:rsidTr="00C36018">
        <w:trPr>
          <w:jc w:val="center"/>
        </w:trPr>
        <w:tc>
          <w:tcPr>
            <w:tcW w:w="3120" w:type="dxa"/>
            <w:vMerge/>
            <w:vAlign w:val="center"/>
          </w:tcPr>
          <w:p w14:paraId="65236A6B" w14:textId="77777777"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14:paraId="1AB6708D"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14:paraId="6408975B"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14:paraId="4AD6365E" w14:textId="77777777" w:rsidTr="00C36018">
        <w:trPr>
          <w:jc w:val="center"/>
        </w:trPr>
        <w:tc>
          <w:tcPr>
            <w:tcW w:w="3120" w:type="dxa"/>
            <w:vAlign w:val="center"/>
          </w:tcPr>
          <w:p w14:paraId="6D86E331" w14:textId="77777777"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14:paraId="6AC6AD95"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3,844,490.35</w:t>
            </w:r>
          </w:p>
        </w:tc>
        <w:tc>
          <w:tcPr>
            <w:tcW w:w="3120" w:type="dxa"/>
            <w:vAlign w:val="center"/>
          </w:tcPr>
          <w:p w14:paraId="62FE24CA"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3,844,490.35</w:t>
            </w:r>
          </w:p>
        </w:tc>
      </w:tr>
      <w:tr w:rsidR="003A53B3" w:rsidRPr="007C68A4" w14:paraId="59D364BB" w14:textId="77777777" w:rsidTr="00C36018">
        <w:trPr>
          <w:jc w:val="center"/>
        </w:trPr>
        <w:tc>
          <w:tcPr>
            <w:tcW w:w="3120" w:type="dxa"/>
            <w:vAlign w:val="center"/>
          </w:tcPr>
          <w:p w14:paraId="16F09DF3"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14:paraId="27E8390A"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4,121,505.46</w:t>
            </w:r>
          </w:p>
        </w:tc>
        <w:tc>
          <w:tcPr>
            <w:tcW w:w="3120" w:type="dxa"/>
            <w:vAlign w:val="center"/>
          </w:tcPr>
          <w:p w14:paraId="12E0EC3C"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4,121,505.46</w:t>
            </w:r>
          </w:p>
        </w:tc>
      </w:tr>
      <w:tr w:rsidR="003A53B3" w:rsidRPr="007C68A4" w14:paraId="6F07C6C7" w14:textId="77777777" w:rsidTr="00C36018">
        <w:trPr>
          <w:jc w:val="center"/>
        </w:trPr>
        <w:tc>
          <w:tcPr>
            <w:tcW w:w="3120" w:type="dxa"/>
            <w:vAlign w:val="center"/>
          </w:tcPr>
          <w:p w14:paraId="1DCC36D9"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14:paraId="3E60DF4D"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-3,296,480.51</w:t>
            </w:r>
          </w:p>
        </w:tc>
        <w:tc>
          <w:tcPr>
            <w:tcW w:w="3120" w:type="dxa"/>
            <w:vAlign w:val="center"/>
          </w:tcPr>
          <w:p w14:paraId="256356DB"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-3,296,480.51</w:t>
            </w:r>
          </w:p>
        </w:tc>
      </w:tr>
      <w:tr w:rsidR="003A53B3" w:rsidRPr="007C68A4" w14:paraId="6E2D38A5" w14:textId="77777777" w:rsidTr="00C36018">
        <w:trPr>
          <w:jc w:val="center"/>
        </w:trPr>
        <w:tc>
          <w:tcPr>
            <w:tcW w:w="3120" w:type="dxa"/>
            <w:vAlign w:val="center"/>
          </w:tcPr>
          <w:p w14:paraId="1861BB7A"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14:paraId="78620278"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4,669,515.30</w:t>
            </w:r>
          </w:p>
        </w:tc>
        <w:tc>
          <w:tcPr>
            <w:tcW w:w="3120" w:type="dxa"/>
            <w:vAlign w:val="center"/>
          </w:tcPr>
          <w:p w14:paraId="6305BCEA"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4,669,515.30</w:t>
            </w:r>
          </w:p>
        </w:tc>
      </w:tr>
    </w:tbl>
    <w:p w14:paraId="57E2F166" w14:textId="77777777"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p w14:paraId="3853BFC8" w14:textId="77777777"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14:paraId="2CC145C1" w14:textId="77777777" w:rsidTr="00C36018">
        <w:trPr>
          <w:jc w:val="center"/>
        </w:trPr>
        <w:tc>
          <w:tcPr>
            <w:tcW w:w="3120" w:type="dxa"/>
            <w:vMerge w:val="restart"/>
            <w:vAlign w:val="center"/>
          </w:tcPr>
          <w:p w14:paraId="7FF11A71"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14:paraId="5F90697E"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本期</w:t>
            </w:r>
          </w:p>
          <w:p w14:paraId="422BFE22"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4E072B90" w14:textId="77777777" w:rsidTr="00C36018">
        <w:trPr>
          <w:jc w:val="center"/>
        </w:trPr>
        <w:tc>
          <w:tcPr>
            <w:tcW w:w="3120" w:type="dxa"/>
            <w:vMerge/>
            <w:vAlign w:val="center"/>
          </w:tcPr>
          <w:p w14:paraId="0D9DCA11" w14:textId="77777777"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14:paraId="795DB68E"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14:paraId="1B315143" w14:textId="77777777"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14:paraId="5350C404" w14:textId="77777777" w:rsidTr="00C36018">
        <w:trPr>
          <w:jc w:val="center"/>
        </w:trPr>
        <w:tc>
          <w:tcPr>
            <w:tcW w:w="3120" w:type="dxa"/>
            <w:vAlign w:val="center"/>
          </w:tcPr>
          <w:p w14:paraId="041F244F" w14:textId="77777777"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14:paraId="39C09AE1"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34,035,940.74</w:t>
            </w:r>
          </w:p>
        </w:tc>
        <w:tc>
          <w:tcPr>
            <w:tcW w:w="3120" w:type="dxa"/>
            <w:vAlign w:val="center"/>
          </w:tcPr>
          <w:p w14:paraId="2D027BB6"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34,035,940.74</w:t>
            </w:r>
          </w:p>
        </w:tc>
      </w:tr>
      <w:tr w:rsidR="003A53B3" w:rsidRPr="007C68A4" w14:paraId="31F703D8" w14:textId="77777777" w:rsidTr="00C36018">
        <w:trPr>
          <w:jc w:val="center"/>
        </w:trPr>
        <w:tc>
          <w:tcPr>
            <w:tcW w:w="3120" w:type="dxa"/>
            <w:vAlign w:val="center"/>
          </w:tcPr>
          <w:p w14:paraId="5C7CB18E"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14:paraId="36B48834"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32,591,394.53</w:t>
            </w:r>
          </w:p>
        </w:tc>
        <w:tc>
          <w:tcPr>
            <w:tcW w:w="3120" w:type="dxa"/>
            <w:vAlign w:val="center"/>
          </w:tcPr>
          <w:p w14:paraId="46D9F0C8"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32,591,394.53</w:t>
            </w:r>
          </w:p>
        </w:tc>
      </w:tr>
      <w:tr w:rsidR="003A53B3" w:rsidRPr="007C68A4" w14:paraId="3BB075E5" w14:textId="77777777" w:rsidTr="00C36018">
        <w:trPr>
          <w:jc w:val="center"/>
        </w:trPr>
        <w:tc>
          <w:tcPr>
            <w:tcW w:w="3120" w:type="dxa"/>
            <w:vAlign w:val="center"/>
          </w:tcPr>
          <w:p w14:paraId="6C5B517A"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14:paraId="0651B7A0"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-40,552,173.65</w:t>
            </w:r>
          </w:p>
        </w:tc>
        <w:tc>
          <w:tcPr>
            <w:tcW w:w="3120" w:type="dxa"/>
            <w:vAlign w:val="center"/>
          </w:tcPr>
          <w:p w14:paraId="07FE23CF"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-40,552,173.65</w:t>
            </w:r>
          </w:p>
        </w:tc>
      </w:tr>
      <w:tr w:rsidR="003A53B3" w:rsidRPr="007C68A4" w14:paraId="0293E991" w14:textId="77777777" w:rsidTr="00C36018">
        <w:trPr>
          <w:jc w:val="center"/>
        </w:trPr>
        <w:tc>
          <w:tcPr>
            <w:tcW w:w="3120" w:type="dxa"/>
            <w:vAlign w:val="center"/>
          </w:tcPr>
          <w:p w14:paraId="7BA7A6C8" w14:textId="77777777"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14:paraId="69B649A1"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26,075,161.62</w:t>
            </w:r>
          </w:p>
        </w:tc>
        <w:tc>
          <w:tcPr>
            <w:tcW w:w="3120" w:type="dxa"/>
            <w:vAlign w:val="center"/>
          </w:tcPr>
          <w:p w14:paraId="113392D0" w14:textId="77777777"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26,075,161.62</w:t>
            </w:r>
          </w:p>
        </w:tc>
      </w:tr>
    </w:tbl>
    <w:p w14:paraId="7F741565" w14:textId="77777777" w:rsidR="00931EA6" w:rsidRPr="007C68A4" w:rsidRDefault="00931EA6" w:rsidP="00931EA6">
      <w:pPr>
        <w:tabs>
          <w:tab w:val="left" w:pos="426"/>
        </w:tabs>
        <w:spacing w:line="360" w:lineRule="auto"/>
        <w:jc w:val="left"/>
        <w:rPr>
          <w:color w:val="000000" w:themeColor="text1"/>
          <w:kern w:val="0"/>
          <w:szCs w:val="21"/>
        </w:rPr>
      </w:pPr>
      <w:r w:rsidRPr="007C68A4">
        <w:rPr>
          <w:color w:val="000000" w:themeColor="text1"/>
          <w:kern w:val="0"/>
          <w:szCs w:val="21"/>
        </w:rPr>
        <w:t>注：申购含转换入份额；赎回含转换出份额。</w:t>
      </w:r>
    </w:p>
    <w:p w14:paraId="2365CCF7" w14:textId="77777777" w:rsidR="00C24311" w:rsidRPr="00B079CA" w:rsidRDefault="00C24311" w:rsidP="00C24311">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374E14C" w14:textId="77777777" w:rsidR="00C24311" w:rsidRPr="00D46E57" w:rsidRDefault="00C24311" w:rsidP="00C24311">
      <w:pPr>
        <w:spacing w:line="360" w:lineRule="auto"/>
        <w:rPr>
          <w:rFonts w:eastAsiaTheme="minorEastAsia"/>
          <w:color w:val="000000"/>
          <w:szCs w:val="21"/>
        </w:rPr>
      </w:pPr>
      <w:r w:rsidRPr="00D46E57">
        <w:rPr>
          <w:rFonts w:eastAsiaTheme="minorEastAsia"/>
          <w:color w:val="000000"/>
          <w:szCs w:val="21"/>
        </w:rPr>
        <w:t>摩根恒生科技</w:t>
      </w:r>
      <w:r w:rsidRPr="00D46E57">
        <w:rPr>
          <w:rFonts w:eastAsiaTheme="minorEastAsia"/>
          <w:color w:val="000000"/>
          <w:szCs w:val="21"/>
        </w:rPr>
        <w:t>ETF</w:t>
      </w:r>
      <w:r w:rsidRPr="00D46E57">
        <w:rPr>
          <w:rFonts w:eastAsiaTheme="minorEastAsia"/>
          <w:color w:val="000000"/>
          <w:szCs w:val="21"/>
        </w:rPr>
        <w:t>发起式联接</w:t>
      </w:r>
      <w:r w:rsidRPr="00D46E57">
        <w:rPr>
          <w:rFonts w:eastAsiaTheme="minorEastAsia"/>
          <w:color w:val="000000"/>
          <w:szCs w:val="21"/>
        </w:rPr>
        <w:t>(QDII)A</w:t>
      </w:r>
    </w:p>
    <w:p w14:paraId="05F3D19E" w14:textId="77777777"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14:paraId="579FB554" w14:textId="77777777" w:rsidTr="00401DE6">
        <w:tc>
          <w:tcPr>
            <w:tcW w:w="2706" w:type="dxa"/>
          </w:tcPr>
          <w:p w14:paraId="75BD45EE"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930A9C1"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AED3956"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9BD8B8E"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14:paraId="547F50AE" w14:textId="77777777" w:rsidTr="00401DE6">
        <w:tc>
          <w:tcPr>
            <w:tcW w:w="2706" w:type="dxa"/>
            <w:vAlign w:val="center"/>
          </w:tcPr>
          <w:p w14:paraId="24FC4331" w14:textId="77777777"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CAA62F3"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-27,102.44</w:t>
            </w:r>
          </w:p>
        </w:tc>
        <w:tc>
          <w:tcPr>
            <w:tcW w:w="2236" w:type="dxa"/>
            <w:vAlign w:val="center"/>
          </w:tcPr>
          <w:p w14:paraId="2FA2EE4D"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-374,123.39</w:t>
            </w:r>
          </w:p>
        </w:tc>
        <w:tc>
          <w:tcPr>
            <w:tcW w:w="2237" w:type="dxa"/>
            <w:vAlign w:val="center"/>
          </w:tcPr>
          <w:p w14:paraId="189CDAB7"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-401,225.83</w:t>
            </w:r>
          </w:p>
        </w:tc>
      </w:tr>
      <w:tr w:rsidR="00C24311" w:rsidRPr="00D46E57" w14:paraId="32264F6A" w14:textId="77777777" w:rsidTr="00401DE6">
        <w:tc>
          <w:tcPr>
            <w:tcW w:w="2706" w:type="dxa"/>
            <w:vAlign w:val="center"/>
          </w:tcPr>
          <w:p w14:paraId="334717E0" w14:textId="77777777" w:rsidR="00C24311" w:rsidRPr="00D46E57" w:rsidRDefault="00C24311"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496BBF18"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-27,102.44</w:t>
            </w:r>
          </w:p>
        </w:tc>
        <w:tc>
          <w:tcPr>
            <w:tcW w:w="2236" w:type="dxa"/>
            <w:vAlign w:val="center"/>
          </w:tcPr>
          <w:p w14:paraId="458EE9F0"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-374,123.39</w:t>
            </w:r>
          </w:p>
        </w:tc>
        <w:tc>
          <w:tcPr>
            <w:tcW w:w="2237" w:type="dxa"/>
            <w:vAlign w:val="center"/>
          </w:tcPr>
          <w:p w14:paraId="16B17D73"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-401,225.83</w:t>
            </w:r>
          </w:p>
        </w:tc>
      </w:tr>
      <w:tr w:rsidR="00C24311" w:rsidRPr="00D46E57" w14:paraId="15290685" w14:textId="77777777" w:rsidTr="00401DE6">
        <w:tc>
          <w:tcPr>
            <w:tcW w:w="2706" w:type="dxa"/>
            <w:vAlign w:val="center"/>
          </w:tcPr>
          <w:p w14:paraId="02C1568D"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E2205CF" w14:textId="77777777" w:rsidR="00C24311" w:rsidRPr="00D46E57" w:rsidRDefault="00C24311" w:rsidP="00401DE6">
            <w:pPr>
              <w:jc w:val="right"/>
              <w:rPr>
                <w:rFonts w:eastAsiaTheme="minorEastAsia"/>
                <w:szCs w:val="21"/>
              </w:rPr>
            </w:pPr>
            <w:r w:rsidRPr="00D46E57">
              <w:rPr>
                <w:rFonts w:eastAsiaTheme="minorEastAsia"/>
                <w:szCs w:val="21"/>
              </w:rPr>
              <w:t>-153,308.52</w:t>
            </w:r>
          </w:p>
        </w:tc>
        <w:tc>
          <w:tcPr>
            <w:tcW w:w="2236" w:type="dxa"/>
            <w:vAlign w:val="center"/>
          </w:tcPr>
          <w:p w14:paraId="0A45C4F3" w14:textId="77777777" w:rsidR="00C24311" w:rsidRPr="00D46E57" w:rsidRDefault="00C24311" w:rsidP="00401DE6">
            <w:pPr>
              <w:jc w:val="right"/>
              <w:rPr>
                <w:rFonts w:eastAsiaTheme="minorEastAsia"/>
                <w:szCs w:val="21"/>
              </w:rPr>
            </w:pPr>
            <w:r w:rsidRPr="00D46E57">
              <w:rPr>
                <w:rFonts w:eastAsiaTheme="minorEastAsia"/>
                <w:szCs w:val="21"/>
              </w:rPr>
              <w:t>60,189.78</w:t>
            </w:r>
          </w:p>
        </w:tc>
        <w:tc>
          <w:tcPr>
            <w:tcW w:w="2237" w:type="dxa"/>
            <w:vAlign w:val="center"/>
          </w:tcPr>
          <w:p w14:paraId="31A1543A" w14:textId="77777777" w:rsidR="00C24311" w:rsidRPr="00D46E57" w:rsidRDefault="00C24311" w:rsidP="00401DE6">
            <w:pPr>
              <w:jc w:val="right"/>
              <w:rPr>
                <w:rFonts w:eastAsiaTheme="minorEastAsia"/>
                <w:szCs w:val="21"/>
              </w:rPr>
            </w:pPr>
            <w:r w:rsidRPr="00D46E57">
              <w:rPr>
                <w:rFonts w:eastAsiaTheme="minorEastAsia"/>
                <w:szCs w:val="21"/>
              </w:rPr>
              <w:t>-93,118.74</w:t>
            </w:r>
          </w:p>
        </w:tc>
      </w:tr>
      <w:tr w:rsidR="00C24311" w:rsidRPr="00D46E57" w14:paraId="39F29931" w14:textId="77777777" w:rsidTr="00401DE6">
        <w:tc>
          <w:tcPr>
            <w:tcW w:w="2706" w:type="dxa"/>
            <w:vAlign w:val="center"/>
          </w:tcPr>
          <w:p w14:paraId="61EBE0CD"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11BF310" w14:textId="77777777" w:rsidR="00C24311" w:rsidRPr="00D46E57" w:rsidRDefault="00C24311" w:rsidP="00401DE6">
            <w:pPr>
              <w:jc w:val="right"/>
              <w:rPr>
                <w:rFonts w:eastAsiaTheme="minorEastAsia"/>
                <w:szCs w:val="21"/>
              </w:rPr>
            </w:pPr>
            <w:r w:rsidRPr="00D46E57">
              <w:rPr>
                <w:rFonts w:eastAsiaTheme="minorEastAsia"/>
                <w:szCs w:val="21"/>
              </w:rPr>
              <w:t>-11,859.90</w:t>
            </w:r>
          </w:p>
        </w:tc>
        <w:tc>
          <w:tcPr>
            <w:tcW w:w="2236" w:type="dxa"/>
            <w:vAlign w:val="center"/>
          </w:tcPr>
          <w:p w14:paraId="18487772" w14:textId="77777777" w:rsidR="00C24311" w:rsidRPr="00D46E57" w:rsidRDefault="00C24311" w:rsidP="00401DE6">
            <w:pPr>
              <w:jc w:val="right"/>
              <w:rPr>
                <w:rFonts w:eastAsiaTheme="minorEastAsia"/>
                <w:szCs w:val="21"/>
              </w:rPr>
            </w:pPr>
            <w:r w:rsidRPr="00D46E57">
              <w:rPr>
                <w:rFonts w:eastAsiaTheme="minorEastAsia"/>
                <w:szCs w:val="21"/>
              </w:rPr>
              <w:t>-130,011.38</w:t>
            </w:r>
          </w:p>
        </w:tc>
        <w:tc>
          <w:tcPr>
            <w:tcW w:w="2237" w:type="dxa"/>
            <w:vAlign w:val="center"/>
          </w:tcPr>
          <w:p w14:paraId="2F1B0098" w14:textId="77777777" w:rsidR="00C24311" w:rsidRPr="00D46E57" w:rsidRDefault="00C24311" w:rsidP="00401DE6">
            <w:pPr>
              <w:jc w:val="right"/>
              <w:rPr>
                <w:rFonts w:eastAsiaTheme="minorEastAsia"/>
                <w:szCs w:val="21"/>
              </w:rPr>
            </w:pPr>
            <w:r w:rsidRPr="00D46E57">
              <w:rPr>
                <w:rFonts w:eastAsiaTheme="minorEastAsia"/>
                <w:szCs w:val="21"/>
              </w:rPr>
              <w:t>-141,871.28</w:t>
            </w:r>
          </w:p>
        </w:tc>
      </w:tr>
      <w:tr w:rsidR="00C24311" w:rsidRPr="00D46E57" w14:paraId="4682A2B7" w14:textId="77777777" w:rsidTr="00401DE6">
        <w:tc>
          <w:tcPr>
            <w:tcW w:w="2706" w:type="dxa"/>
            <w:vAlign w:val="center"/>
          </w:tcPr>
          <w:p w14:paraId="2AEBBBB4" w14:textId="77777777"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08CA622" w14:textId="77777777" w:rsidR="00C24311" w:rsidRPr="00D46E57" w:rsidRDefault="00C24311" w:rsidP="00401DE6">
            <w:pPr>
              <w:jc w:val="right"/>
              <w:rPr>
                <w:rFonts w:eastAsiaTheme="minorEastAsia"/>
                <w:szCs w:val="21"/>
              </w:rPr>
            </w:pPr>
            <w:r w:rsidRPr="00D46E57">
              <w:rPr>
                <w:rFonts w:eastAsiaTheme="minorEastAsia"/>
                <w:szCs w:val="21"/>
              </w:rPr>
              <w:t>-99,739.33</w:t>
            </w:r>
          </w:p>
        </w:tc>
        <w:tc>
          <w:tcPr>
            <w:tcW w:w="2236" w:type="dxa"/>
            <w:vAlign w:val="center"/>
          </w:tcPr>
          <w:p w14:paraId="1ECE339B" w14:textId="77777777" w:rsidR="00C24311" w:rsidRPr="00D46E57" w:rsidRDefault="00C24311" w:rsidP="00401DE6">
            <w:pPr>
              <w:jc w:val="right"/>
              <w:rPr>
                <w:rFonts w:eastAsiaTheme="minorEastAsia"/>
                <w:szCs w:val="21"/>
              </w:rPr>
            </w:pPr>
            <w:r w:rsidRPr="00D46E57">
              <w:rPr>
                <w:rFonts w:eastAsiaTheme="minorEastAsia"/>
                <w:szCs w:val="21"/>
              </w:rPr>
              <w:t>-466,961.85</w:t>
            </w:r>
          </w:p>
        </w:tc>
        <w:tc>
          <w:tcPr>
            <w:tcW w:w="2237" w:type="dxa"/>
            <w:vAlign w:val="center"/>
          </w:tcPr>
          <w:p w14:paraId="679E7F33" w14:textId="77777777" w:rsidR="00C24311" w:rsidRPr="00D46E57" w:rsidRDefault="00C24311" w:rsidP="00401DE6">
            <w:pPr>
              <w:jc w:val="right"/>
              <w:rPr>
                <w:rFonts w:eastAsiaTheme="minorEastAsia"/>
                <w:szCs w:val="21"/>
              </w:rPr>
            </w:pPr>
            <w:r w:rsidRPr="00D46E57">
              <w:rPr>
                <w:rFonts w:eastAsiaTheme="minorEastAsia"/>
                <w:szCs w:val="21"/>
              </w:rPr>
              <w:t>-566,701.18</w:t>
            </w:r>
          </w:p>
        </w:tc>
      </w:tr>
      <w:tr w:rsidR="00C24311" w:rsidRPr="00D46E57" w14:paraId="35E11558" w14:textId="77777777" w:rsidTr="00401DE6">
        <w:tc>
          <w:tcPr>
            <w:tcW w:w="2706" w:type="dxa"/>
            <w:vAlign w:val="center"/>
          </w:tcPr>
          <w:p w14:paraId="1CA9227F" w14:textId="77777777"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F9D17B6" w14:textId="77777777" w:rsidR="00C24311" w:rsidRPr="00D46E57" w:rsidRDefault="00C24311" w:rsidP="00401DE6">
            <w:pPr>
              <w:jc w:val="right"/>
              <w:rPr>
                <w:rFonts w:eastAsiaTheme="minorEastAsia"/>
                <w:szCs w:val="21"/>
              </w:rPr>
            </w:pPr>
            <w:r w:rsidRPr="00D46E57">
              <w:rPr>
                <w:rFonts w:eastAsiaTheme="minorEastAsia"/>
                <w:szCs w:val="21"/>
              </w:rPr>
              <w:t>87,879.43</w:t>
            </w:r>
          </w:p>
        </w:tc>
        <w:tc>
          <w:tcPr>
            <w:tcW w:w="2236" w:type="dxa"/>
            <w:vAlign w:val="center"/>
          </w:tcPr>
          <w:p w14:paraId="68A37615" w14:textId="77777777" w:rsidR="00C24311" w:rsidRPr="00D46E57" w:rsidRDefault="00C24311" w:rsidP="00401DE6">
            <w:pPr>
              <w:jc w:val="right"/>
              <w:rPr>
                <w:rFonts w:eastAsiaTheme="minorEastAsia"/>
                <w:szCs w:val="21"/>
              </w:rPr>
            </w:pPr>
            <w:r w:rsidRPr="00D46E57">
              <w:rPr>
                <w:rFonts w:eastAsiaTheme="minorEastAsia"/>
                <w:szCs w:val="21"/>
              </w:rPr>
              <w:t>336,950.47</w:t>
            </w:r>
          </w:p>
        </w:tc>
        <w:tc>
          <w:tcPr>
            <w:tcW w:w="2237" w:type="dxa"/>
            <w:vAlign w:val="center"/>
          </w:tcPr>
          <w:p w14:paraId="61F60315" w14:textId="77777777" w:rsidR="00C24311" w:rsidRPr="00D46E57" w:rsidRDefault="00C24311" w:rsidP="00401DE6">
            <w:pPr>
              <w:jc w:val="right"/>
              <w:rPr>
                <w:rFonts w:eastAsiaTheme="minorEastAsia"/>
                <w:szCs w:val="21"/>
              </w:rPr>
            </w:pPr>
            <w:r w:rsidRPr="00D46E57">
              <w:rPr>
                <w:rFonts w:eastAsiaTheme="minorEastAsia"/>
                <w:szCs w:val="21"/>
              </w:rPr>
              <w:t>424,829.90</w:t>
            </w:r>
          </w:p>
        </w:tc>
      </w:tr>
      <w:tr w:rsidR="00C24311" w:rsidRPr="00D46E57" w14:paraId="0AD2D660" w14:textId="77777777" w:rsidTr="00401DE6">
        <w:tc>
          <w:tcPr>
            <w:tcW w:w="2706" w:type="dxa"/>
            <w:vAlign w:val="center"/>
          </w:tcPr>
          <w:p w14:paraId="16FCAD35"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68D94BB"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14:paraId="308FB8E7"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14:paraId="14B55036" w14:textId="77777777"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14:paraId="6C9BF31D" w14:textId="77777777" w:rsidTr="00401DE6">
        <w:tc>
          <w:tcPr>
            <w:tcW w:w="2706" w:type="dxa"/>
            <w:vAlign w:val="center"/>
          </w:tcPr>
          <w:p w14:paraId="5576E18A"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4CB73B9B" w14:textId="77777777" w:rsidR="00C24311" w:rsidRPr="00D46E57" w:rsidRDefault="00C24311" w:rsidP="00401DE6">
            <w:pPr>
              <w:jc w:val="right"/>
              <w:rPr>
                <w:rFonts w:eastAsiaTheme="minorEastAsia"/>
                <w:szCs w:val="21"/>
              </w:rPr>
            </w:pPr>
            <w:r w:rsidRPr="00D46E57">
              <w:rPr>
                <w:rFonts w:eastAsiaTheme="minorEastAsia"/>
                <w:szCs w:val="21"/>
              </w:rPr>
              <w:t>-192,270.86</w:t>
            </w:r>
          </w:p>
        </w:tc>
        <w:tc>
          <w:tcPr>
            <w:tcW w:w="2236" w:type="dxa"/>
            <w:vAlign w:val="center"/>
          </w:tcPr>
          <w:p w14:paraId="2C76864C" w14:textId="77777777" w:rsidR="00C24311" w:rsidRPr="00D46E57" w:rsidRDefault="00C24311" w:rsidP="00401DE6">
            <w:pPr>
              <w:jc w:val="right"/>
              <w:rPr>
                <w:rFonts w:eastAsiaTheme="minorEastAsia"/>
                <w:szCs w:val="21"/>
              </w:rPr>
            </w:pPr>
            <w:r w:rsidRPr="00D46E57">
              <w:rPr>
                <w:rFonts w:eastAsiaTheme="minorEastAsia"/>
                <w:szCs w:val="21"/>
              </w:rPr>
              <w:t>-443,944.99</w:t>
            </w:r>
          </w:p>
        </w:tc>
        <w:tc>
          <w:tcPr>
            <w:tcW w:w="2237" w:type="dxa"/>
            <w:vAlign w:val="center"/>
          </w:tcPr>
          <w:p w14:paraId="5A0AD50B" w14:textId="77777777" w:rsidR="00C24311" w:rsidRPr="00D46E57" w:rsidRDefault="00C24311" w:rsidP="00401DE6">
            <w:pPr>
              <w:jc w:val="right"/>
              <w:rPr>
                <w:rFonts w:eastAsiaTheme="minorEastAsia"/>
                <w:szCs w:val="21"/>
              </w:rPr>
            </w:pPr>
            <w:r w:rsidRPr="00D46E57">
              <w:rPr>
                <w:rFonts w:eastAsiaTheme="minorEastAsia"/>
                <w:szCs w:val="21"/>
              </w:rPr>
              <w:t>-636,215.85</w:t>
            </w:r>
          </w:p>
        </w:tc>
      </w:tr>
    </w:tbl>
    <w:p w14:paraId="35CAA3DC" w14:textId="77777777" w:rsidR="00C24311" w:rsidRPr="00D46E57" w:rsidRDefault="00C24311" w:rsidP="00C24311">
      <w:pPr>
        <w:adjustRightInd w:val="0"/>
        <w:snapToGrid w:val="0"/>
        <w:spacing w:line="360" w:lineRule="auto"/>
        <w:rPr>
          <w:rFonts w:eastAsiaTheme="minorEastAsia"/>
          <w:color w:val="000000"/>
          <w:szCs w:val="21"/>
        </w:rPr>
      </w:pPr>
      <w:r w:rsidRPr="00D46E57">
        <w:rPr>
          <w:rFonts w:eastAsiaTheme="minorEastAsia"/>
          <w:color w:val="000000"/>
          <w:szCs w:val="21"/>
        </w:rPr>
        <w:t>摩根恒生科技</w:t>
      </w:r>
      <w:r w:rsidRPr="00D46E57">
        <w:rPr>
          <w:rFonts w:eastAsiaTheme="minorEastAsia"/>
          <w:color w:val="000000"/>
          <w:szCs w:val="21"/>
        </w:rPr>
        <w:t>ETF</w:t>
      </w:r>
      <w:r w:rsidRPr="00D46E57">
        <w:rPr>
          <w:rFonts w:eastAsiaTheme="minorEastAsia"/>
          <w:color w:val="000000"/>
          <w:szCs w:val="21"/>
        </w:rPr>
        <w:t>发起式联接</w:t>
      </w:r>
      <w:r w:rsidRPr="00D46E57">
        <w:rPr>
          <w:rFonts w:eastAsiaTheme="minorEastAsia"/>
          <w:color w:val="000000"/>
          <w:szCs w:val="21"/>
        </w:rPr>
        <w:t>(QDII)C</w:t>
      </w:r>
    </w:p>
    <w:p w14:paraId="39FD005F" w14:textId="77777777" w:rsidR="00C24311" w:rsidRPr="00D46E57" w:rsidRDefault="00C24311" w:rsidP="00C24311">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24311" w:rsidRPr="00D46E57" w14:paraId="29D90003" w14:textId="77777777" w:rsidTr="00401DE6">
        <w:tc>
          <w:tcPr>
            <w:tcW w:w="2706" w:type="dxa"/>
          </w:tcPr>
          <w:p w14:paraId="3A0400FF"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6A7113A"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24CA8B4"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1F0B192" w14:textId="77777777" w:rsidR="00C24311" w:rsidRPr="00D46E57" w:rsidRDefault="00C24311" w:rsidP="00401DE6">
            <w:pPr>
              <w:jc w:val="center"/>
              <w:rPr>
                <w:rFonts w:eastAsiaTheme="minorEastAsia"/>
                <w:color w:val="000000"/>
                <w:szCs w:val="21"/>
              </w:rPr>
            </w:pPr>
            <w:r w:rsidRPr="00D46E57">
              <w:rPr>
                <w:rFonts w:eastAsiaTheme="minorEastAsia"/>
                <w:color w:val="000000"/>
                <w:szCs w:val="21"/>
              </w:rPr>
              <w:t>未分配利润合计</w:t>
            </w:r>
          </w:p>
        </w:tc>
      </w:tr>
      <w:tr w:rsidR="00C24311" w:rsidRPr="00D46E57" w14:paraId="4710EB00" w14:textId="77777777" w:rsidTr="00401DE6">
        <w:tc>
          <w:tcPr>
            <w:tcW w:w="2706" w:type="dxa"/>
            <w:vAlign w:val="center"/>
          </w:tcPr>
          <w:p w14:paraId="04E241FE" w14:textId="77777777" w:rsidR="00C24311" w:rsidRPr="00D46E57" w:rsidRDefault="00C24311"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70A6B03"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-282,992.14</w:t>
            </w:r>
          </w:p>
        </w:tc>
        <w:tc>
          <w:tcPr>
            <w:tcW w:w="2236" w:type="dxa"/>
            <w:vAlign w:val="center"/>
          </w:tcPr>
          <w:p w14:paraId="65B845B4"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-3,310,513.27</w:t>
            </w:r>
          </w:p>
        </w:tc>
        <w:tc>
          <w:tcPr>
            <w:tcW w:w="2237" w:type="dxa"/>
            <w:vAlign w:val="center"/>
          </w:tcPr>
          <w:p w14:paraId="6956EEB8" w14:textId="77777777" w:rsidR="00C24311" w:rsidRPr="00D46E57" w:rsidRDefault="00C24311" w:rsidP="00401DE6">
            <w:pPr>
              <w:jc w:val="right"/>
              <w:rPr>
                <w:rFonts w:eastAsiaTheme="minorEastAsia"/>
                <w:szCs w:val="21"/>
              </w:rPr>
            </w:pPr>
            <w:r w:rsidRPr="00B079CA">
              <w:rPr>
                <w:rFonts w:eastAsiaTheme="minorEastAsia"/>
                <w:color w:val="000000" w:themeColor="text1"/>
                <w:szCs w:val="21"/>
              </w:rPr>
              <w:t>-3,593,505.41</w:t>
            </w:r>
          </w:p>
        </w:tc>
      </w:tr>
      <w:tr w:rsidR="00C24311" w:rsidRPr="00D46E57" w14:paraId="74C23780" w14:textId="77777777" w:rsidTr="00401DE6">
        <w:tc>
          <w:tcPr>
            <w:tcW w:w="2706" w:type="dxa"/>
            <w:vAlign w:val="center"/>
          </w:tcPr>
          <w:p w14:paraId="6F1436E3" w14:textId="77777777" w:rsidR="00C24311" w:rsidRPr="00B079CA" w:rsidRDefault="00C24311" w:rsidP="00401DE6">
            <w:pPr>
              <w:rPr>
                <w:color w:val="000000" w:themeColor="text1"/>
                <w:szCs w:val="21"/>
              </w:rPr>
            </w:pPr>
            <w:r w:rsidRPr="00B079CA">
              <w:rPr>
                <w:rFonts w:hint="eastAsia"/>
                <w:color w:val="000000" w:themeColor="text1"/>
                <w:szCs w:val="21"/>
              </w:rPr>
              <w:t>本期期初</w:t>
            </w:r>
          </w:p>
        </w:tc>
        <w:tc>
          <w:tcPr>
            <w:tcW w:w="2236" w:type="dxa"/>
            <w:vAlign w:val="center"/>
          </w:tcPr>
          <w:p w14:paraId="758AA523" w14:textId="77777777"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-282,992.14</w:t>
            </w:r>
          </w:p>
        </w:tc>
        <w:tc>
          <w:tcPr>
            <w:tcW w:w="2236" w:type="dxa"/>
            <w:vAlign w:val="center"/>
          </w:tcPr>
          <w:p w14:paraId="62EE2786" w14:textId="77777777"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-3,310,513.27</w:t>
            </w:r>
          </w:p>
        </w:tc>
        <w:tc>
          <w:tcPr>
            <w:tcW w:w="2237" w:type="dxa"/>
            <w:vAlign w:val="center"/>
          </w:tcPr>
          <w:p w14:paraId="656F2A9A" w14:textId="77777777" w:rsidR="00C24311" w:rsidRPr="00B079CA" w:rsidRDefault="00C24311" w:rsidP="00401DE6">
            <w:pPr>
              <w:jc w:val="right"/>
              <w:rPr>
                <w:rFonts w:eastAsiaTheme="minorEastAsia"/>
                <w:color w:val="000000" w:themeColor="text1"/>
                <w:szCs w:val="21"/>
              </w:rPr>
            </w:pPr>
            <w:r w:rsidRPr="00B079CA">
              <w:rPr>
                <w:rFonts w:eastAsiaTheme="minorEastAsia"/>
                <w:color w:val="000000" w:themeColor="text1"/>
                <w:szCs w:val="21"/>
              </w:rPr>
              <w:t>-3,593,505.41</w:t>
            </w:r>
          </w:p>
        </w:tc>
      </w:tr>
      <w:tr w:rsidR="00C24311" w:rsidRPr="00D46E57" w14:paraId="384909BB" w14:textId="77777777" w:rsidTr="00401DE6">
        <w:tc>
          <w:tcPr>
            <w:tcW w:w="2706" w:type="dxa"/>
            <w:vAlign w:val="center"/>
          </w:tcPr>
          <w:p w14:paraId="59D8165F" w14:textId="77777777" w:rsidR="00C24311" w:rsidRPr="00D46E57" w:rsidRDefault="00C24311" w:rsidP="00401DE6">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14:paraId="51DF1181" w14:textId="77777777" w:rsidR="00C24311" w:rsidRPr="00D46E57" w:rsidRDefault="00C24311" w:rsidP="00401DE6">
            <w:pPr>
              <w:jc w:val="right"/>
              <w:rPr>
                <w:rFonts w:eastAsiaTheme="minorEastAsia"/>
                <w:szCs w:val="21"/>
              </w:rPr>
            </w:pPr>
            <w:r w:rsidRPr="00D46E57">
              <w:rPr>
                <w:rFonts w:eastAsiaTheme="minorEastAsia"/>
                <w:szCs w:val="21"/>
              </w:rPr>
              <w:t>-1,065,216.14</w:t>
            </w:r>
          </w:p>
        </w:tc>
        <w:tc>
          <w:tcPr>
            <w:tcW w:w="2236" w:type="dxa"/>
            <w:vAlign w:val="center"/>
          </w:tcPr>
          <w:p w14:paraId="75AF5747" w14:textId="77777777" w:rsidR="00C24311" w:rsidRPr="00D46E57" w:rsidRDefault="00C24311" w:rsidP="00401DE6">
            <w:pPr>
              <w:jc w:val="right"/>
              <w:rPr>
                <w:rFonts w:eastAsiaTheme="minorEastAsia"/>
                <w:szCs w:val="21"/>
              </w:rPr>
            </w:pPr>
            <w:r w:rsidRPr="00D46E57">
              <w:rPr>
                <w:rFonts w:eastAsiaTheme="minorEastAsia"/>
                <w:szCs w:val="21"/>
              </w:rPr>
              <w:t>-73,351.86</w:t>
            </w:r>
          </w:p>
        </w:tc>
        <w:tc>
          <w:tcPr>
            <w:tcW w:w="2237" w:type="dxa"/>
            <w:vAlign w:val="center"/>
          </w:tcPr>
          <w:p w14:paraId="62B441B1" w14:textId="77777777" w:rsidR="00C24311" w:rsidRPr="00D46E57" w:rsidRDefault="00C24311" w:rsidP="00401DE6">
            <w:pPr>
              <w:jc w:val="right"/>
              <w:rPr>
                <w:rFonts w:eastAsiaTheme="minorEastAsia"/>
                <w:szCs w:val="21"/>
              </w:rPr>
            </w:pPr>
            <w:r w:rsidRPr="00D46E57">
              <w:rPr>
                <w:rFonts w:eastAsiaTheme="minorEastAsia"/>
                <w:szCs w:val="21"/>
              </w:rPr>
              <w:t>-1,138,568.00</w:t>
            </w:r>
          </w:p>
        </w:tc>
      </w:tr>
      <w:tr w:rsidR="00C24311" w:rsidRPr="00D46E57" w14:paraId="4868A7B1" w14:textId="77777777" w:rsidTr="00401DE6">
        <w:tc>
          <w:tcPr>
            <w:tcW w:w="2706" w:type="dxa"/>
            <w:vAlign w:val="center"/>
          </w:tcPr>
          <w:p w14:paraId="65070A05"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A185FC5" w14:textId="77777777" w:rsidR="00C24311" w:rsidRPr="00D46E57" w:rsidRDefault="00C24311" w:rsidP="00401DE6">
            <w:pPr>
              <w:jc w:val="right"/>
              <w:rPr>
                <w:rFonts w:eastAsiaTheme="minorEastAsia"/>
                <w:szCs w:val="21"/>
              </w:rPr>
            </w:pPr>
            <w:r w:rsidRPr="00D46E57">
              <w:rPr>
                <w:rFonts w:eastAsiaTheme="minorEastAsia"/>
                <w:szCs w:val="21"/>
              </w:rPr>
              <w:t>209,385.85</w:t>
            </w:r>
          </w:p>
        </w:tc>
        <w:tc>
          <w:tcPr>
            <w:tcW w:w="2236" w:type="dxa"/>
            <w:vAlign w:val="center"/>
          </w:tcPr>
          <w:p w14:paraId="741EEF5D" w14:textId="77777777" w:rsidR="00C24311" w:rsidRPr="00D46E57" w:rsidRDefault="00C24311" w:rsidP="00401DE6">
            <w:pPr>
              <w:jc w:val="right"/>
              <w:rPr>
                <w:rFonts w:eastAsiaTheme="minorEastAsia"/>
                <w:szCs w:val="21"/>
              </w:rPr>
            </w:pPr>
            <w:r w:rsidRPr="00D46E57">
              <w:rPr>
                <w:rFonts w:eastAsiaTheme="minorEastAsia"/>
                <w:szCs w:val="21"/>
              </w:rPr>
              <w:t>932,376.28</w:t>
            </w:r>
          </w:p>
        </w:tc>
        <w:tc>
          <w:tcPr>
            <w:tcW w:w="2237" w:type="dxa"/>
            <w:vAlign w:val="center"/>
          </w:tcPr>
          <w:p w14:paraId="61D1CB14" w14:textId="77777777" w:rsidR="00C24311" w:rsidRPr="00D46E57" w:rsidRDefault="00C24311" w:rsidP="00401DE6">
            <w:pPr>
              <w:jc w:val="right"/>
              <w:rPr>
                <w:rFonts w:eastAsiaTheme="minorEastAsia"/>
                <w:szCs w:val="21"/>
              </w:rPr>
            </w:pPr>
            <w:r w:rsidRPr="00D46E57">
              <w:rPr>
                <w:rFonts w:eastAsiaTheme="minorEastAsia"/>
                <w:szCs w:val="21"/>
              </w:rPr>
              <w:t>1,141,762.13</w:t>
            </w:r>
          </w:p>
        </w:tc>
      </w:tr>
      <w:tr w:rsidR="00C24311" w:rsidRPr="00D46E57" w14:paraId="349B606F" w14:textId="77777777" w:rsidTr="00401DE6">
        <w:tc>
          <w:tcPr>
            <w:tcW w:w="2706" w:type="dxa"/>
            <w:vAlign w:val="center"/>
          </w:tcPr>
          <w:p w14:paraId="71F5FA94" w14:textId="77777777" w:rsidR="00C24311" w:rsidRPr="00D46E57" w:rsidRDefault="00C24311"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49AF256" w14:textId="77777777" w:rsidR="00C24311" w:rsidRPr="00D46E57" w:rsidRDefault="00C24311" w:rsidP="00401DE6">
            <w:pPr>
              <w:jc w:val="right"/>
              <w:rPr>
                <w:rFonts w:eastAsiaTheme="minorEastAsia"/>
                <w:szCs w:val="21"/>
              </w:rPr>
            </w:pPr>
            <w:r w:rsidRPr="00D46E57">
              <w:rPr>
                <w:rFonts w:eastAsiaTheme="minorEastAsia"/>
                <w:szCs w:val="21"/>
              </w:rPr>
              <w:t>-789,305.44</w:t>
            </w:r>
          </w:p>
        </w:tc>
        <w:tc>
          <w:tcPr>
            <w:tcW w:w="2236" w:type="dxa"/>
            <w:vAlign w:val="center"/>
          </w:tcPr>
          <w:p w14:paraId="474F7661" w14:textId="77777777" w:rsidR="00C24311" w:rsidRPr="00D46E57" w:rsidRDefault="00C24311" w:rsidP="00401DE6">
            <w:pPr>
              <w:jc w:val="right"/>
              <w:rPr>
                <w:rFonts w:eastAsiaTheme="minorEastAsia"/>
                <w:szCs w:val="21"/>
              </w:rPr>
            </w:pPr>
            <w:r w:rsidRPr="00D46E57">
              <w:rPr>
                <w:rFonts w:eastAsiaTheme="minorEastAsia"/>
                <w:szCs w:val="21"/>
              </w:rPr>
              <w:t>-4,172,906.84</w:t>
            </w:r>
          </w:p>
        </w:tc>
        <w:tc>
          <w:tcPr>
            <w:tcW w:w="2237" w:type="dxa"/>
            <w:vAlign w:val="center"/>
          </w:tcPr>
          <w:p w14:paraId="4E7D365D" w14:textId="77777777" w:rsidR="00C24311" w:rsidRPr="00D46E57" w:rsidRDefault="00C24311" w:rsidP="00401DE6">
            <w:pPr>
              <w:jc w:val="right"/>
              <w:rPr>
                <w:rFonts w:eastAsiaTheme="minorEastAsia"/>
                <w:szCs w:val="21"/>
              </w:rPr>
            </w:pPr>
            <w:r w:rsidRPr="00D46E57">
              <w:rPr>
                <w:rFonts w:eastAsiaTheme="minorEastAsia"/>
                <w:szCs w:val="21"/>
              </w:rPr>
              <w:t>-4,962,212.28</w:t>
            </w:r>
          </w:p>
        </w:tc>
      </w:tr>
      <w:tr w:rsidR="00C24311" w:rsidRPr="00D46E57" w14:paraId="19BB4D30" w14:textId="77777777" w:rsidTr="00401DE6">
        <w:tc>
          <w:tcPr>
            <w:tcW w:w="2706" w:type="dxa"/>
            <w:vAlign w:val="center"/>
          </w:tcPr>
          <w:p w14:paraId="47CF4336" w14:textId="77777777" w:rsidR="00C24311" w:rsidRPr="00D46E57" w:rsidRDefault="00C24311"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55253FE" w14:textId="77777777" w:rsidR="00C24311" w:rsidRPr="00D46E57" w:rsidRDefault="00C24311" w:rsidP="00401DE6">
            <w:pPr>
              <w:jc w:val="right"/>
              <w:rPr>
                <w:rFonts w:eastAsiaTheme="minorEastAsia"/>
                <w:szCs w:val="21"/>
              </w:rPr>
            </w:pPr>
            <w:r w:rsidRPr="00D46E57">
              <w:rPr>
                <w:rFonts w:eastAsiaTheme="minorEastAsia"/>
                <w:szCs w:val="21"/>
              </w:rPr>
              <w:t>998,691.29</w:t>
            </w:r>
          </w:p>
        </w:tc>
        <w:tc>
          <w:tcPr>
            <w:tcW w:w="2236" w:type="dxa"/>
            <w:vAlign w:val="center"/>
          </w:tcPr>
          <w:p w14:paraId="726D2E42" w14:textId="77777777" w:rsidR="00C24311" w:rsidRPr="00D46E57" w:rsidRDefault="00C24311" w:rsidP="00401DE6">
            <w:pPr>
              <w:jc w:val="right"/>
              <w:rPr>
                <w:rFonts w:eastAsiaTheme="minorEastAsia"/>
                <w:szCs w:val="21"/>
              </w:rPr>
            </w:pPr>
            <w:r w:rsidRPr="00D46E57">
              <w:rPr>
                <w:rFonts w:eastAsiaTheme="minorEastAsia"/>
                <w:szCs w:val="21"/>
              </w:rPr>
              <w:t>5,105,283.12</w:t>
            </w:r>
          </w:p>
        </w:tc>
        <w:tc>
          <w:tcPr>
            <w:tcW w:w="2237" w:type="dxa"/>
            <w:vAlign w:val="center"/>
          </w:tcPr>
          <w:p w14:paraId="619484E6" w14:textId="77777777" w:rsidR="00C24311" w:rsidRPr="00D46E57" w:rsidRDefault="00C24311" w:rsidP="00401DE6">
            <w:pPr>
              <w:jc w:val="right"/>
              <w:rPr>
                <w:rFonts w:eastAsiaTheme="minorEastAsia"/>
                <w:szCs w:val="21"/>
              </w:rPr>
            </w:pPr>
            <w:r w:rsidRPr="00D46E57">
              <w:rPr>
                <w:rFonts w:eastAsiaTheme="minorEastAsia"/>
                <w:szCs w:val="21"/>
              </w:rPr>
              <w:t>6,103,974.41</w:t>
            </w:r>
          </w:p>
        </w:tc>
      </w:tr>
      <w:tr w:rsidR="00C24311" w:rsidRPr="00D46E57" w14:paraId="6FE28DC7" w14:textId="77777777" w:rsidTr="00401DE6">
        <w:tc>
          <w:tcPr>
            <w:tcW w:w="2706" w:type="dxa"/>
            <w:vAlign w:val="center"/>
          </w:tcPr>
          <w:p w14:paraId="418CF7EA"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80F9ECD"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6" w:type="dxa"/>
            <w:vAlign w:val="center"/>
          </w:tcPr>
          <w:p w14:paraId="6A4C13A9" w14:textId="77777777" w:rsidR="00C24311" w:rsidRPr="00D46E57" w:rsidRDefault="00C24311" w:rsidP="00401DE6">
            <w:pPr>
              <w:jc w:val="right"/>
              <w:rPr>
                <w:rFonts w:eastAsiaTheme="minorEastAsia"/>
                <w:szCs w:val="21"/>
              </w:rPr>
            </w:pPr>
            <w:r w:rsidRPr="00D46E57">
              <w:rPr>
                <w:rFonts w:eastAsiaTheme="minorEastAsia"/>
                <w:szCs w:val="21"/>
              </w:rPr>
              <w:t>-</w:t>
            </w:r>
          </w:p>
        </w:tc>
        <w:tc>
          <w:tcPr>
            <w:tcW w:w="2237" w:type="dxa"/>
            <w:vAlign w:val="center"/>
          </w:tcPr>
          <w:p w14:paraId="039B1789" w14:textId="77777777" w:rsidR="00C24311" w:rsidRPr="00D46E57" w:rsidRDefault="00C24311" w:rsidP="00401DE6">
            <w:pPr>
              <w:jc w:val="right"/>
              <w:rPr>
                <w:rFonts w:eastAsiaTheme="minorEastAsia"/>
                <w:szCs w:val="21"/>
              </w:rPr>
            </w:pPr>
            <w:r w:rsidRPr="00D46E57">
              <w:rPr>
                <w:rFonts w:eastAsiaTheme="minorEastAsia"/>
                <w:szCs w:val="21"/>
              </w:rPr>
              <w:t>-</w:t>
            </w:r>
          </w:p>
        </w:tc>
      </w:tr>
      <w:tr w:rsidR="00C24311" w:rsidRPr="00D46E57" w14:paraId="0472191C" w14:textId="77777777" w:rsidTr="00401DE6">
        <w:tc>
          <w:tcPr>
            <w:tcW w:w="2706" w:type="dxa"/>
            <w:vAlign w:val="center"/>
          </w:tcPr>
          <w:p w14:paraId="6165EF2C" w14:textId="77777777" w:rsidR="00C24311" w:rsidRPr="00D46E57" w:rsidRDefault="00C24311"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1E9549C5" w14:textId="77777777" w:rsidR="00C24311" w:rsidRPr="00D46E57" w:rsidRDefault="00C24311" w:rsidP="00401DE6">
            <w:pPr>
              <w:jc w:val="right"/>
              <w:rPr>
                <w:rFonts w:eastAsiaTheme="minorEastAsia"/>
                <w:szCs w:val="21"/>
              </w:rPr>
            </w:pPr>
            <w:r w:rsidRPr="00D46E57">
              <w:rPr>
                <w:rFonts w:eastAsiaTheme="minorEastAsia"/>
                <w:szCs w:val="21"/>
              </w:rPr>
              <w:t>-1,138,822.43</w:t>
            </w:r>
          </w:p>
        </w:tc>
        <w:tc>
          <w:tcPr>
            <w:tcW w:w="2236" w:type="dxa"/>
            <w:vAlign w:val="center"/>
          </w:tcPr>
          <w:p w14:paraId="603BDBC9" w14:textId="77777777" w:rsidR="00C24311" w:rsidRPr="00D46E57" w:rsidRDefault="00C24311" w:rsidP="00401DE6">
            <w:pPr>
              <w:jc w:val="right"/>
              <w:rPr>
                <w:rFonts w:eastAsiaTheme="minorEastAsia"/>
                <w:szCs w:val="21"/>
              </w:rPr>
            </w:pPr>
            <w:r w:rsidRPr="00D46E57">
              <w:rPr>
                <w:rFonts w:eastAsiaTheme="minorEastAsia"/>
                <w:szCs w:val="21"/>
              </w:rPr>
              <w:t>-2,451,488.85</w:t>
            </w:r>
          </w:p>
        </w:tc>
        <w:tc>
          <w:tcPr>
            <w:tcW w:w="2237" w:type="dxa"/>
            <w:vAlign w:val="center"/>
          </w:tcPr>
          <w:p w14:paraId="736BAA53" w14:textId="77777777" w:rsidR="00C24311" w:rsidRPr="00D46E57" w:rsidRDefault="00C24311" w:rsidP="00401DE6">
            <w:pPr>
              <w:jc w:val="right"/>
              <w:rPr>
                <w:rFonts w:eastAsiaTheme="minorEastAsia"/>
                <w:szCs w:val="21"/>
              </w:rPr>
            </w:pPr>
            <w:r w:rsidRPr="00D46E57">
              <w:rPr>
                <w:rFonts w:eastAsiaTheme="minorEastAsia"/>
                <w:szCs w:val="21"/>
              </w:rPr>
              <w:t>-3,590,311.28</w:t>
            </w:r>
          </w:p>
        </w:tc>
      </w:tr>
    </w:tbl>
    <w:p w14:paraId="2839EA77"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6.4.7.9 </w:t>
      </w:r>
      <w:r w:rsidRPr="007C68A4">
        <w:rPr>
          <w:b/>
          <w:color w:val="000000" w:themeColor="text1"/>
          <w:szCs w:val="21"/>
        </w:rPr>
        <w:t>存款利息收入</w:t>
      </w:r>
    </w:p>
    <w:p w14:paraId="50E49FE9" w14:textId="77777777"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3A53B3" w:rsidRPr="007C68A4" w14:paraId="1BA674E6" w14:textId="77777777" w:rsidTr="00AF57AB">
        <w:tc>
          <w:tcPr>
            <w:tcW w:w="3828" w:type="dxa"/>
            <w:vAlign w:val="center"/>
          </w:tcPr>
          <w:p w14:paraId="6DD78ED3"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350" w:type="dxa"/>
            <w:vAlign w:val="center"/>
          </w:tcPr>
          <w:p w14:paraId="018F250D" w14:textId="77777777" w:rsidR="001548F9" w:rsidRPr="007C68A4" w:rsidRDefault="001548F9" w:rsidP="0070173B">
            <w:pPr>
              <w:jc w:val="center"/>
              <w:rPr>
                <w:color w:val="000000" w:themeColor="text1"/>
                <w:szCs w:val="21"/>
              </w:rPr>
            </w:pPr>
            <w:r w:rsidRPr="007C68A4">
              <w:rPr>
                <w:color w:val="000000" w:themeColor="text1"/>
                <w:szCs w:val="21"/>
              </w:rPr>
              <w:t>本期</w:t>
            </w:r>
          </w:p>
          <w:p w14:paraId="6B8D0284" w14:textId="77777777" w:rsidR="001548F9" w:rsidRPr="007C68A4" w:rsidRDefault="001548F9" w:rsidP="0070173B">
            <w:pPr>
              <w:jc w:val="center"/>
              <w:rPr>
                <w:b/>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2BAD45A8" w14:textId="77777777" w:rsidTr="00AF57AB">
        <w:tc>
          <w:tcPr>
            <w:tcW w:w="3828" w:type="dxa"/>
            <w:vAlign w:val="center"/>
          </w:tcPr>
          <w:p w14:paraId="5BDF4CA2" w14:textId="77777777" w:rsidR="001548F9" w:rsidRPr="007C68A4" w:rsidRDefault="001548F9" w:rsidP="0070173B">
            <w:pPr>
              <w:rPr>
                <w:color w:val="000000" w:themeColor="text1"/>
                <w:szCs w:val="21"/>
              </w:rPr>
            </w:pPr>
            <w:r w:rsidRPr="007C68A4">
              <w:rPr>
                <w:color w:val="000000" w:themeColor="text1"/>
                <w:szCs w:val="21"/>
              </w:rPr>
              <w:t>活期存款利息收入</w:t>
            </w:r>
          </w:p>
        </w:tc>
        <w:tc>
          <w:tcPr>
            <w:tcW w:w="5350" w:type="dxa"/>
            <w:vAlign w:val="bottom"/>
          </w:tcPr>
          <w:p w14:paraId="208BBBB8" w14:textId="77777777" w:rsidR="001548F9" w:rsidRPr="007C68A4" w:rsidRDefault="001548F9" w:rsidP="0070173B">
            <w:pPr>
              <w:jc w:val="right"/>
              <w:rPr>
                <w:color w:val="000000" w:themeColor="text1"/>
                <w:szCs w:val="21"/>
              </w:rPr>
            </w:pPr>
            <w:r w:rsidRPr="007C68A4">
              <w:rPr>
                <w:color w:val="000000" w:themeColor="text1"/>
                <w:szCs w:val="21"/>
              </w:rPr>
              <w:t>2,377.07</w:t>
            </w:r>
          </w:p>
        </w:tc>
      </w:tr>
      <w:tr w:rsidR="003A53B3" w:rsidRPr="007C68A4" w14:paraId="1BC9A268" w14:textId="77777777" w:rsidTr="00AF57AB">
        <w:tc>
          <w:tcPr>
            <w:tcW w:w="3828" w:type="dxa"/>
            <w:vAlign w:val="center"/>
          </w:tcPr>
          <w:p w14:paraId="31560045" w14:textId="77777777" w:rsidR="001548F9" w:rsidRPr="007C68A4" w:rsidRDefault="001548F9" w:rsidP="0070173B">
            <w:pPr>
              <w:rPr>
                <w:color w:val="000000" w:themeColor="text1"/>
                <w:szCs w:val="21"/>
              </w:rPr>
            </w:pPr>
            <w:r w:rsidRPr="007C68A4">
              <w:rPr>
                <w:color w:val="000000" w:themeColor="text1"/>
                <w:szCs w:val="21"/>
              </w:rPr>
              <w:t>定期存款利息收入</w:t>
            </w:r>
          </w:p>
        </w:tc>
        <w:tc>
          <w:tcPr>
            <w:tcW w:w="5350" w:type="dxa"/>
            <w:vAlign w:val="bottom"/>
          </w:tcPr>
          <w:p w14:paraId="4B55206C"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06557EEE" w14:textId="77777777" w:rsidTr="00AF57AB">
        <w:tc>
          <w:tcPr>
            <w:tcW w:w="3828" w:type="dxa"/>
            <w:vAlign w:val="center"/>
          </w:tcPr>
          <w:p w14:paraId="21683B16" w14:textId="77777777" w:rsidR="001548F9" w:rsidRPr="007C68A4" w:rsidRDefault="001548F9" w:rsidP="0070173B">
            <w:pPr>
              <w:rPr>
                <w:color w:val="000000" w:themeColor="text1"/>
                <w:szCs w:val="21"/>
              </w:rPr>
            </w:pPr>
            <w:r w:rsidRPr="007C68A4">
              <w:rPr>
                <w:color w:val="000000" w:themeColor="text1"/>
                <w:szCs w:val="21"/>
              </w:rPr>
              <w:t>其他存款利息收入</w:t>
            </w:r>
          </w:p>
        </w:tc>
        <w:tc>
          <w:tcPr>
            <w:tcW w:w="5350" w:type="dxa"/>
            <w:vAlign w:val="bottom"/>
          </w:tcPr>
          <w:p w14:paraId="36AF8386" w14:textId="77777777"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14:paraId="6C8C2D5A" w14:textId="77777777" w:rsidTr="00AF57AB">
        <w:tc>
          <w:tcPr>
            <w:tcW w:w="3828" w:type="dxa"/>
            <w:vAlign w:val="center"/>
          </w:tcPr>
          <w:p w14:paraId="18F31C5F" w14:textId="77777777" w:rsidR="001548F9" w:rsidRPr="007C68A4" w:rsidRDefault="001548F9" w:rsidP="0070173B">
            <w:pPr>
              <w:rPr>
                <w:color w:val="000000" w:themeColor="text1"/>
                <w:szCs w:val="21"/>
              </w:rPr>
            </w:pPr>
            <w:r w:rsidRPr="007C68A4">
              <w:rPr>
                <w:color w:val="000000" w:themeColor="text1"/>
                <w:szCs w:val="21"/>
              </w:rPr>
              <w:t>结算备付金利息收入</w:t>
            </w:r>
          </w:p>
        </w:tc>
        <w:tc>
          <w:tcPr>
            <w:tcW w:w="5350" w:type="dxa"/>
            <w:vAlign w:val="bottom"/>
          </w:tcPr>
          <w:p w14:paraId="41942CEC" w14:textId="77777777" w:rsidR="001548F9" w:rsidRPr="007C68A4" w:rsidRDefault="001548F9" w:rsidP="0070173B">
            <w:pPr>
              <w:jc w:val="right"/>
              <w:rPr>
                <w:color w:val="000000" w:themeColor="text1"/>
                <w:szCs w:val="21"/>
              </w:rPr>
            </w:pPr>
            <w:r w:rsidRPr="007C68A4">
              <w:rPr>
                <w:color w:val="000000" w:themeColor="text1"/>
                <w:szCs w:val="21"/>
              </w:rPr>
              <w:t>100.48</w:t>
            </w:r>
          </w:p>
        </w:tc>
      </w:tr>
      <w:tr w:rsidR="003A53B3" w:rsidRPr="007C68A4" w14:paraId="51A2F483" w14:textId="77777777" w:rsidTr="00AF57AB">
        <w:tc>
          <w:tcPr>
            <w:tcW w:w="3828" w:type="dxa"/>
            <w:vAlign w:val="center"/>
          </w:tcPr>
          <w:p w14:paraId="58B4CACF" w14:textId="77777777" w:rsidR="001548F9" w:rsidRPr="007C68A4" w:rsidRDefault="001548F9" w:rsidP="0070173B">
            <w:pPr>
              <w:rPr>
                <w:color w:val="000000" w:themeColor="text1"/>
                <w:szCs w:val="21"/>
              </w:rPr>
            </w:pPr>
            <w:r w:rsidRPr="007C68A4">
              <w:rPr>
                <w:color w:val="000000" w:themeColor="text1"/>
                <w:szCs w:val="21"/>
              </w:rPr>
              <w:t>其他</w:t>
            </w:r>
          </w:p>
        </w:tc>
        <w:tc>
          <w:tcPr>
            <w:tcW w:w="5350" w:type="dxa"/>
            <w:vAlign w:val="bottom"/>
          </w:tcPr>
          <w:p w14:paraId="2AD53D71" w14:textId="77777777" w:rsidR="001548F9" w:rsidRPr="007C68A4" w:rsidRDefault="001548F9" w:rsidP="0070173B">
            <w:pPr>
              <w:jc w:val="right"/>
              <w:rPr>
                <w:color w:val="000000" w:themeColor="text1"/>
                <w:szCs w:val="21"/>
              </w:rPr>
            </w:pPr>
            <w:r w:rsidRPr="007C68A4">
              <w:rPr>
                <w:color w:val="000000" w:themeColor="text1"/>
                <w:szCs w:val="21"/>
              </w:rPr>
              <w:t>26.92</w:t>
            </w:r>
          </w:p>
        </w:tc>
      </w:tr>
      <w:tr w:rsidR="003A53B3" w:rsidRPr="007C68A4" w14:paraId="3DB10C27" w14:textId="77777777" w:rsidTr="00AF57AB">
        <w:tc>
          <w:tcPr>
            <w:tcW w:w="3828" w:type="dxa"/>
            <w:vAlign w:val="center"/>
          </w:tcPr>
          <w:p w14:paraId="738B24F9" w14:textId="77777777" w:rsidR="001548F9" w:rsidRPr="007C68A4" w:rsidRDefault="001548F9" w:rsidP="0070173B">
            <w:pPr>
              <w:rPr>
                <w:color w:val="000000" w:themeColor="text1"/>
                <w:szCs w:val="21"/>
              </w:rPr>
            </w:pPr>
            <w:r w:rsidRPr="007C68A4">
              <w:rPr>
                <w:color w:val="000000" w:themeColor="text1"/>
                <w:szCs w:val="21"/>
              </w:rPr>
              <w:t>合计</w:t>
            </w:r>
          </w:p>
        </w:tc>
        <w:tc>
          <w:tcPr>
            <w:tcW w:w="5350" w:type="dxa"/>
            <w:vAlign w:val="bottom"/>
          </w:tcPr>
          <w:p w14:paraId="3C164710" w14:textId="77777777" w:rsidR="001548F9" w:rsidRPr="007C68A4" w:rsidRDefault="001548F9" w:rsidP="0070173B">
            <w:pPr>
              <w:jc w:val="right"/>
              <w:rPr>
                <w:color w:val="000000" w:themeColor="text1"/>
                <w:szCs w:val="21"/>
              </w:rPr>
            </w:pPr>
            <w:r w:rsidRPr="007C68A4">
              <w:rPr>
                <w:color w:val="000000" w:themeColor="text1"/>
                <w:szCs w:val="21"/>
              </w:rPr>
              <w:t>2,504.47</w:t>
            </w:r>
          </w:p>
        </w:tc>
      </w:tr>
    </w:tbl>
    <w:p w14:paraId="4C2BF7C1" w14:textId="77777777" w:rsidR="007D33E1" w:rsidRPr="007C68A4" w:rsidRDefault="007D33E1" w:rsidP="007D33E1">
      <w:pPr>
        <w:spacing w:line="360" w:lineRule="auto"/>
        <w:rPr>
          <w:b/>
          <w:color w:val="000000" w:themeColor="text1"/>
          <w:szCs w:val="21"/>
        </w:rPr>
      </w:pPr>
      <w:r w:rsidRPr="007C68A4">
        <w:rPr>
          <w:b/>
          <w:bCs/>
          <w:color w:val="000000" w:themeColor="text1"/>
          <w:kern w:val="0"/>
          <w:szCs w:val="21"/>
        </w:rPr>
        <w:t xml:space="preserve">6.4.7.10 </w:t>
      </w:r>
      <w:r w:rsidRPr="007C68A4">
        <w:rPr>
          <w:b/>
          <w:color w:val="000000" w:themeColor="text1"/>
          <w:szCs w:val="21"/>
        </w:rPr>
        <w:t>股票投资收益</w:t>
      </w:r>
    </w:p>
    <w:p w14:paraId="4DCC7ACF" w14:textId="1B7EAA17" w:rsidR="007D33E1" w:rsidRPr="007C68A4" w:rsidRDefault="007D33E1" w:rsidP="007D33E1">
      <w:pPr>
        <w:tabs>
          <w:tab w:val="left" w:pos="426"/>
        </w:tabs>
        <w:spacing w:line="360" w:lineRule="auto"/>
        <w:jc w:val="left"/>
        <w:rPr>
          <w:color w:val="000000" w:themeColor="text1"/>
          <w:kern w:val="0"/>
          <w:szCs w:val="21"/>
        </w:rPr>
      </w:pPr>
      <w:r w:rsidRPr="007C68A4">
        <w:rPr>
          <w:color w:val="000000" w:themeColor="text1"/>
          <w:kern w:val="0"/>
          <w:szCs w:val="21"/>
        </w:rPr>
        <w:t>无。</w:t>
      </w:r>
    </w:p>
    <w:p w14:paraId="38902CEB" w14:textId="77777777" w:rsidR="00772AA7" w:rsidRPr="00B079CA" w:rsidRDefault="00772AA7" w:rsidP="00772AA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0E18056C" w14:textId="77777777" w:rsidR="00772AA7" w:rsidRPr="00B079CA" w:rsidRDefault="00772AA7" w:rsidP="00772AA7">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772AA7" w:rsidRPr="00B079CA" w14:paraId="6FB05368" w14:textId="77777777" w:rsidTr="00102822">
        <w:trPr>
          <w:trHeight w:val="315"/>
        </w:trPr>
        <w:tc>
          <w:tcPr>
            <w:tcW w:w="3836" w:type="dxa"/>
            <w:vAlign w:val="center"/>
          </w:tcPr>
          <w:p w14:paraId="4A94AFBD"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4526C5A5"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本期</w:t>
            </w:r>
          </w:p>
          <w:p w14:paraId="7B791890"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72AA7" w:rsidRPr="00B079CA" w14:paraId="1EE7F699" w14:textId="77777777" w:rsidTr="00102822">
        <w:trPr>
          <w:trHeight w:val="315"/>
        </w:trPr>
        <w:tc>
          <w:tcPr>
            <w:tcW w:w="3836" w:type="dxa"/>
            <w:vAlign w:val="center"/>
          </w:tcPr>
          <w:p w14:paraId="5A7CA9CD"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7B8B0266"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9,111,152.65</w:t>
            </w:r>
          </w:p>
        </w:tc>
      </w:tr>
      <w:tr w:rsidR="00772AA7" w:rsidRPr="00B079CA" w14:paraId="29D2BD68" w14:textId="77777777" w:rsidTr="00102822">
        <w:trPr>
          <w:trHeight w:val="315"/>
        </w:trPr>
        <w:tc>
          <w:tcPr>
            <w:tcW w:w="3836" w:type="dxa"/>
            <w:vAlign w:val="center"/>
          </w:tcPr>
          <w:p w14:paraId="43EC02A8"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502EADEA"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10,266,825.41</w:t>
            </w:r>
          </w:p>
        </w:tc>
      </w:tr>
      <w:tr w:rsidR="00772AA7" w:rsidRPr="00B079CA" w14:paraId="4C84A566" w14:textId="77777777" w:rsidTr="00102822">
        <w:trPr>
          <w:trHeight w:val="315"/>
        </w:trPr>
        <w:tc>
          <w:tcPr>
            <w:tcW w:w="3836" w:type="dxa"/>
            <w:vAlign w:val="bottom"/>
          </w:tcPr>
          <w:p w14:paraId="14B8F8A1" w14:textId="77777777"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1726F4A9"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14:paraId="534CEB27" w14:textId="77777777" w:rsidTr="00102822">
        <w:trPr>
          <w:trHeight w:val="315"/>
        </w:trPr>
        <w:tc>
          <w:tcPr>
            <w:tcW w:w="3836" w:type="dxa"/>
            <w:vAlign w:val="bottom"/>
          </w:tcPr>
          <w:p w14:paraId="17CA2821" w14:textId="77777777"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417226F2"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442.28</w:t>
            </w:r>
          </w:p>
        </w:tc>
      </w:tr>
      <w:tr w:rsidR="00772AA7" w:rsidRPr="00B079CA" w14:paraId="508D1CBF" w14:textId="77777777" w:rsidTr="00102822">
        <w:trPr>
          <w:trHeight w:val="315"/>
        </w:trPr>
        <w:tc>
          <w:tcPr>
            <w:tcW w:w="3836" w:type="dxa"/>
            <w:vAlign w:val="center"/>
          </w:tcPr>
          <w:p w14:paraId="48E61DD2" w14:textId="77777777"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3F12D549" w14:textId="77777777"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-1,156,115.04</w:t>
            </w:r>
          </w:p>
        </w:tc>
      </w:tr>
    </w:tbl>
    <w:p w14:paraId="5094B350" w14:textId="77777777"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t>6.4.7.12</w:t>
      </w:r>
      <w:r w:rsidRPr="007C68A4">
        <w:rPr>
          <w:b/>
          <w:color w:val="000000" w:themeColor="text1"/>
          <w:szCs w:val="21"/>
        </w:rPr>
        <w:t>债券投资收益</w:t>
      </w:r>
    </w:p>
    <w:p w14:paraId="73AFDB6D" w14:textId="77777777"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t>6.4.7.12.1</w:t>
      </w:r>
      <w:r w:rsidRPr="007C68A4">
        <w:rPr>
          <w:b/>
          <w:color w:val="000000" w:themeColor="text1"/>
          <w:szCs w:val="21"/>
        </w:rPr>
        <w:t>债券投资收益项目构成</w:t>
      </w:r>
    </w:p>
    <w:p w14:paraId="3C81DCDC" w14:textId="77777777" w:rsidR="00F26A78" w:rsidRPr="007C68A4" w:rsidRDefault="00F26A78" w:rsidP="00F26A78">
      <w:pPr>
        <w:widowControl/>
        <w:tabs>
          <w:tab w:val="left" w:pos="1680"/>
        </w:tabs>
        <w:wordWrap w:val="0"/>
        <w:autoSpaceDE w:val="0"/>
        <w:autoSpaceDN w:val="0"/>
        <w:ind w:left="440"/>
        <w:jc w:val="right"/>
        <w:textAlignment w:val="bottom"/>
        <w:rPr>
          <w:color w:val="000000" w:themeColor="text1"/>
          <w:kern w:val="0"/>
          <w:szCs w:val="21"/>
        </w:rPr>
      </w:pPr>
      <w:r w:rsidRPr="007C68A4">
        <w:rPr>
          <w:rFonts w:eastAsiaTheme="minorEastAsia"/>
          <w:color w:val="000000" w:themeColor="text1"/>
          <w:szCs w:val="21"/>
        </w:rPr>
        <w:t xml:space="preserve">                    </w:t>
      </w:r>
      <w:r w:rsidRPr="007C68A4">
        <w:rPr>
          <w:rFonts w:eastAsiaTheme="minorEastAsia"/>
          <w:color w:val="000000" w:themeColor="text1"/>
          <w:szCs w:val="21"/>
        </w:rPr>
        <w:t>单位：人民币元</w:t>
      </w:r>
      <w:r w:rsidRPr="007C68A4">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000" w:firstRow="0" w:lastRow="0" w:firstColumn="0" w:lastColumn="0" w:noHBand="0" w:noVBand="0"/>
      </w:tblPr>
      <w:tblGrid>
        <w:gridCol w:w="3828"/>
        <w:gridCol w:w="5533"/>
      </w:tblGrid>
      <w:tr w:rsidR="003A53B3" w:rsidRPr="007C68A4" w14:paraId="4641B826" w14:textId="77777777" w:rsidTr="00B15BF5">
        <w:tc>
          <w:tcPr>
            <w:tcW w:w="3828" w:type="dxa"/>
            <w:vAlign w:val="center"/>
          </w:tcPr>
          <w:p w14:paraId="5D02ABED" w14:textId="77777777" w:rsidR="00F26A78" w:rsidRPr="007C68A4" w:rsidRDefault="00F26A78" w:rsidP="00841D84">
            <w:pPr>
              <w:ind w:left="440"/>
              <w:jc w:val="center"/>
              <w:rPr>
                <w:color w:val="000000" w:themeColor="text1"/>
                <w:szCs w:val="21"/>
              </w:rPr>
            </w:pPr>
            <w:r w:rsidRPr="007C68A4">
              <w:rPr>
                <w:color w:val="000000" w:themeColor="text1"/>
                <w:szCs w:val="21"/>
              </w:rPr>
              <w:t>项目</w:t>
            </w:r>
          </w:p>
        </w:tc>
        <w:tc>
          <w:tcPr>
            <w:tcW w:w="5533" w:type="dxa"/>
            <w:vAlign w:val="center"/>
          </w:tcPr>
          <w:p w14:paraId="4A8A924A" w14:textId="77777777" w:rsidR="00F26A78" w:rsidRPr="007C68A4" w:rsidRDefault="00F26A78" w:rsidP="00B15BF5">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14:paraId="411B1000" w14:textId="77777777" w:rsidR="00F26A78" w:rsidRPr="007C68A4" w:rsidRDefault="00F26A78" w:rsidP="00B15BF5">
            <w:pPr>
              <w:widowControl/>
              <w:autoSpaceDE w:val="0"/>
              <w:autoSpaceDN w:val="0"/>
              <w:spacing w:line="360" w:lineRule="auto"/>
              <w:ind w:right="-15"/>
              <w:jc w:val="center"/>
              <w:textAlignment w:val="bottom"/>
              <w:rPr>
                <w:rFonts w:eastAsiaTheme="minorEastAsia"/>
                <w:color w:val="000000" w:themeColor="text1"/>
                <w:kern w:val="0"/>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084A5B88" w14:textId="77777777" w:rsidTr="00B15BF5">
        <w:tc>
          <w:tcPr>
            <w:tcW w:w="3828" w:type="dxa"/>
            <w:vAlign w:val="center"/>
          </w:tcPr>
          <w:p w14:paraId="62427613" w14:textId="77777777" w:rsidR="002F46EF" w:rsidRPr="007C68A4" w:rsidRDefault="002F46EF" w:rsidP="002F46EF">
            <w:pPr>
              <w:rPr>
                <w:color w:val="000000" w:themeColor="text1"/>
                <w:szCs w:val="21"/>
              </w:rPr>
            </w:pPr>
            <w:r w:rsidRPr="007C68A4">
              <w:rPr>
                <w:rFonts w:hint="eastAsia"/>
                <w:color w:val="000000" w:themeColor="text1"/>
                <w:szCs w:val="21"/>
              </w:rPr>
              <w:t>债券投资收益——利息收入</w:t>
            </w:r>
          </w:p>
        </w:tc>
        <w:tc>
          <w:tcPr>
            <w:tcW w:w="5533" w:type="dxa"/>
            <w:vAlign w:val="center"/>
          </w:tcPr>
          <w:p w14:paraId="2AB8A2CD" w14:textId="77777777" w:rsidR="002F46EF" w:rsidRPr="007C68A4" w:rsidRDefault="002F46EF" w:rsidP="002F46EF">
            <w:pPr>
              <w:ind w:left="440"/>
              <w:jc w:val="right"/>
              <w:rPr>
                <w:color w:val="000000" w:themeColor="text1"/>
                <w:szCs w:val="21"/>
              </w:rPr>
            </w:pPr>
            <w:r w:rsidRPr="007C68A4">
              <w:rPr>
                <w:color w:val="000000" w:themeColor="text1"/>
                <w:szCs w:val="21"/>
              </w:rPr>
              <w:t>6,854.09</w:t>
            </w:r>
          </w:p>
        </w:tc>
      </w:tr>
      <w:tr w:rsidR="003A53B3" w:rsidRPr="007C68A4" w14:paraId="4769ABBE" w14:textId="77777777" w:rsidTr="00B15BF5">
        <w:tc>
          <w:tcPr>
            <w:tcW w:w="3828" w:type="dxa"/>
            <w:vAlign w:val="center"/>
          </w:tcPr>
          <w:p w14:paraId="27A627B5" w14:textId="77777777" w:rsidR="00F26A78" w:rsidRPr="007C68A4" w:rsidRDefault="00F26A78" w:rsidP="00B15BF5">
            <w:pPr>
              <w:rPr>
                <w:color w:val="000000" w:themeColor="text1"/>
                <w:szCs w:val="21"/>
              </w:rPr>
            </w:pPr>
            <w:r w:rsidRPr="007C68A4">
              <w:rPr>
                <w:color w:val="000000" w:themeColor="text1"/>
                <w:szCs w:val="21"/>
              </w:rPr>
              <w:t>债券投资收益</w:t>
            </w:r>
            <w:r w:rsidRPr="007C68A4">
              <w:rPr>
                <w:color w:val="000000" w:themeColor="text1"/>
                <w:szCs w:val="21"/>
              </w:rPr>
              <w:t>——</w:t>
            </w:r>
            <w:r w:rsidRPr="007C68A4">
              <w:rPr>
                <w:color w:val="000000" w:themeColor="text1"/>
                <w:szCs w:val="21"/>
              </w:rPr>
              <w:t>买卖债券（债转股及债券到期兑付）差价收入</w:t>
            </w:r>
          </w:p>
        </w:tc>
        <w:tc>
          <w:tcPr>
            <w:tcW w:w="5533" w:type="dxa"/>
            <w:vAlign w:val="center"/>
          </w:tcPr>
          <w:p w14:paraId="2C4E002E" w14:textId="77777777" w:rsidR="00F26A78" w:rsidRPr="007C68A4" w:rsidRDefault="00F26A78" w:rsidP="00B15BF5">
            <w:pPr>
              <w:ind w:left="440"/>
              <w:jc w:val="right"/>
              <w:rPr>
                <w:color w:val="000000" w:themeColor="text1"/>
                <w:szCs w:val="21"/>
              </w:rPr>
            </w:pPr>
            <w:r w:rsidRPr="007C68A4">
              <w:rPr>
                <w:color w:val="000000" w:themeColor="text1"/>
                <w:szCs w:val="21"/>
              </w:rPr>
              <w:t>887.00</w:t>
            </w:r>
          </w:p>
        </w:tc>
      </w:tr>
      <w:tr w:rsidR="003A53B3" w:rsidRPr="007C68A4" w14:paraId="46807976" w14:textId="77777777" w:rsidTr="00B15BF5">
        <w:tc>
          <w:tcPr>
            <w:tcW w:w="3828" w:type="dxa"/>
            <w:vAlign w:val="center"/>
          </w:tcPr>
          <w:p w14:paraId="3BEE795B" w14:textId="77777777" w:rsidR="00F26A78" w:rsidRPr="007C68A4" w:rsidRDefault="00F26A78" w:rsidP="00B15BF5">
            <w:pPr>
              <w:rPr>
                <w:color w:val="000000" w:themeColor="text1"/>
                <w:szCs w:val="21"/>
              </w:rPr>
            </w:pPr>
            <w:r w:rsidRPr="007C68A4">
              <w:rPr>
                <w:color w:val="000000" w:themeColor="text1"/>
                <w:szCs w:val="21"/>
              </w:rPr>
              <w:t>债券投资收益</w:t>
            </w:r>
            <w:r w:rsidRPr="007C68A4">
              <w:rPr>
                <w:color w:val="000000" w:themeColor="text1"/>
                <w:szCs w:val="21"/>
              </w:rPr>
              <w:t>——</w:t>
            </w:r>
            <w:r w:rsidRPr="007C68A4">
              <w:rPr>
                <w:color w:val="000000" w:themeColor="text1"/>
                <w:szCs w:val="21"/>
              </w:rPr>
              <w:t>赎回差价收入</w:t>
            </w:r>
          </w:p>
        </w:tc>
        <w:tc>
          <w:tcPr>
            <w:tcW w:w="5533" w:type="dxa"/>
            <w:vAlign w:val="center"/>
          </w:tcPr>
          <w:p w14:paraId="46B27006" w14:textId="77777777" w:rsidR="00F26A78" w:rsidRPr="007C68A4" w:rsidRDefault="00F26A78" w:rsidP="00B15BF5">
            <w:pPr>
              <w:ind w:left="440"/>
              <w:jc w:val="right"/>
              <w:rPr>
                <w:color w:val="000000" w:themeColor="text1"/>
                <w:szCs w:val="21"/>
              </w:rPr>
            </w:pPr>
            <w:r w:rsidRPr="007C68A4">
              <w:rPr>
                <w:color w:val="000000" w:themeColor="text1"/>
                <w:kern w:val="0"/>
                <w:szCs w:val="21"/>
              </w:rPr>
              <w:t>-</w:t>
            </w:r>
          </w:p>
        </w:tc>
      </w:tr>
      <w:tr w:rsidR="003A53B3" w:rsidRPr="007C68A4" w14:paraId="3DE1CD3F" w14:textId="77777777" w:rsidTr="00B15BF5">
        <w:tc>
          <w:tcPr>
            <w:tcW w:w="3828" w:type="dxa"/>
            <w:vAlign w:val="center"/>
          </w:tcPr>
          <w:p w14:paraId="49C07131" w14:textId="77777777" w:rsidR="00F26A78" w:rsidRPr="007C68A4" w:rsidRDefault="00F26A78" w:rsidP="00B15BF5">
            <w:pPr>
              <w:spacing w:line="360" w:lineRule="auto"/>
              <w:jc w:val="left"/>
              <w:rPr>
                <w:color w:val="000000" w:themeColor="text1"/>
                <w:szCs w:val="21"/>
              </w:rPr>
            </w:pPr>
            <w:r w:rsidRPr="007C68A4">
              <w:rPr>
                <w:color w:val="000000" w:themeColor="text1"/>
                <w:szCs w:val="21"/>
              </w:rPr>
              <w:t>债券投资收益</w:t>
            </w:r>
            <w:r w:rsidRPr="007C68A4">
              <w:rPr>
                <w:color w:val="000000" w:themeColor="text1"/>
                <w:szCs w:val="21"/>
              </w:rPr>
              <w:t>——</w:t>
            </w:r>
            <w:r w:rsidRPr="007C68A4">
              <w:rPr>
                <w:color w:val="000000" w:themeColor="text1"/>
                <w:szCs w:val="21"/>
              </w:rPr>
              <w:t>申购差价收入</w:t>
            </w:r>
          </w:p>
        </w:tc>
        <w:tc>
          <w:tcPr>
            <w:tcW w:w="5533" w:type="dxa"/>
            <w:vAlign w:val="center"/>
          </w:tcPr>
          <w:p w14:paraId="76C35005" w14:textId="77777777" w:rsidR="00F26A78" w:rsidRPr="007C68A4" w:rsidRDefault="00F26A78" w:rsidP="00B15BF5">
            <w:pPr>
              <w:ind w:left="440"/>
              <w:jc w:val="right"/>
              <w:rPr>
                <w:color w:val="000000" w:themeColor="text1"/>
                <w:szCs w:val="21"/>
              </w:rPr>
            </w:pPr>
            <w:r w:rsidRPr="007C68A4">
              <w:rPr>
                <w:color w:val="000000" w:themeColor="text1"/>
                <w:szCs w:val="21"/>
              </w:rPr>
              <w:t>-</w:t>
            </w:r>
          </w:p>
        </w:tc>
      </w:tr>
      <w:tr w:rsidR="003A53B3" w:rsidRPr="007C68A4" w14:paraId="08BE6FFB" w14:textId="77777777" w:rsidTr="00B15BF5">
        <w:tc>
          <w:tcPr>
            <w:tcW w:w="3828" w:type="dxa"/>
            <w:vAlign w:val="center"/>
          </w:tcPr>
          <w:p w14:paraId="1A8BC66D" w14:textId="77777777" w:rsidR="00F26A78" w:rsidRPr="007C68A4" w:rsidRDefault="00F26A78" w:rsidP="00B15BF5">
            <w:pPr>
              <w:spacing w:line="360" w:lineRule="auto"/>
              <w:jc w:val="left"/>
              <w:rPr>
                <w:color w:val="000000" w:themeColor="text1"/>
                <w:szCs w:val="21"/>
              </w:rPr>
            </w:pPr>
            <w:r w:rsidRPr="007C68A4">
              <w:rPr>
                <w:color w:val="000000" w:themeColor="text1"/>
                <w:szCs w:val="21"/>
              </w:rPr>
              <w:lastRenderedPageBreak/>
              <w:t>合计</w:t>
            </w:r>
          </w:p>
        </w:tc>
        <w:tc>
          <w:tcPr>
            <w:tcW w:w="5533" w:type="dxa"/>
            <w:vAlign w:val="center"/>
          </w:tcPr>
          <w:p w14:paraId="7F480395" w14:textId="77777777" w:rsidR="00F26A78" w:rsidRPr="007C68A4" w:rsidRDefault="00F26A78" w:rsidP="00B15BF5">
            <w:pPr>
              <w:spacing w:line="360" w:lineRule="auto"/>
              <w:jc w:val="right"/>
              <w:rPr>
                <w:rFonts w:eastAsiaTheme="minorEastAsia"/>
                <w:color w:val="000000" w:themeColor="text1"/>
                <w:szCs w:val="21"/>
              </w:rPr>
            </w:pPr>
            <w:r w:rsidRPr="007C68A4">
              <w:rPr>
                <w:rFonts w:eastAsiaTheme="minorEastAsia"/>
                <w:color w:val="000000" w:themeColor="text1"/>
                <w:szCs w:val="21"/>
              </w:rPr>
              <w:t>7,741.09</w:t>
            </w:r>
          </w:p>
        </w:tc>
      </w:tr>
    </w:tbl>
    <w:p w14:paraId="0CDAA59C" w14:textId="77777777"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t>6.4.7.12.2</w:t>
      </w:r>
      <w:r w:rsidRPr="007C68A4">
        <w:rPr>
          <w:b/>
          <w:color w:val="000000" w:themeColor="text1"/>
          <w:szCs w:val="21"/>
        </w:rPr>
        <w:t>债券投资收益</w:t>
      </w:r>
      <w:r w:rsidRPr="007C68A4">
        <w:rPr>
          <w:b/>
          <w:color w:val="000000" w:themeColor="text1"/>
          <w:szCs w:val="21"/>
        </w:rPr>
        <w:t>——</w:t>
      </w:r>
      <w:r w:rsidRPr="007C68A4">
        <w:rPr>
          <w:b/>
          <w:color w:val="000000" w:themeColor="text1"/>
          <w:szCs w:val="21"/>
        </w:rPr>
        <w:t>买卖债券差价收入</w:t>
      </w:r>
    </w:p>
    <w:p w14:paraId="3B1018B4" w14:textId="77777777" w:rsidR="00F26A78" w:rsidRPr="007C68A4" w:rsidRDefault="00F26A78" w:rsidP="00F26A78">
      <w:pPr>
        <w:widowControl/>
        <w:tabs>
          <w:tab w:val="left" w:pos="1680"/>
        </w:tabs>
        <w:wordWrap w:val="0"/>
        <w:autoSpaceDE w:val="0"/>
        <w:autoSpaceDN w:val="0"/>
        <w:ind w:left="440"/>
        <w:jc w:val="right"/>
        <w:textAlignment w:val="bottom"/>
        <w:rPr>
          <w:color w:val="000000" w:themeColor="text1"/>
          <w:kern w:val="0"/>
          <w:szCs w:val="21"/>
        </w:rPr>
      </w:pPr>
      <w:r w:rsidRPr="007C68A4">
        <w:rPr>
          <w:color w:val="000000" w:themeColor="text1"/>
          <w:szCs w:val="21"/>
          <w:lang w:val="en-AU"/>
        </w:rPr>
        <w:t xml:space="preserve">         </w:t>
      </w:r>
      <w:r w:rsidRPr="007C68A4">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3A53B3" w:rsidRPr="007C68A4" w14:paraId="543C1FC5" w14:textId="77777777" w:rsidTr="00B15BF5">
        <w:trPr>
          <w:trHeight w:val="315"/>
        </w:trPr>
        <w:tc>
          <w:tcPr>
            <w:tcW w:w="3725" w:type="dxa"/>
            <w:vAlign w:val="center"/>
          </w:tcPr>
          <w:p w14:paraId="739092B8" w14:textId="77777777" w:rsidR="00F26A78" w:rsidRPr="007C68A4" w:rsidRDefault="00F26A78" w:rsidP="00B15BF5">
            <w:pPr>
              <w:autoSpaceDE w:val="0"/>
              <w:autoSpaceDN w:val="0"/>
              <w:ind w:left="440"/>
              <w:jc w:val="center"/>
              <w:textAlignment w:val="bottom"/>
              <w:rPr>
                <w:color w:val="000000" w:themeColor="text1"/>
                <w:kern w:val="0"/>
                <w:szCs w:val="21"/>
              </w:rPr>
            </w:pPr>
            <w:r w:rsidRPr="007C68A4">
              <w:rPr>
                <w:color w:val="000000" w:themeColor="text1"/>
                <w:kern w:val="0"/>
                <w:szCs w:val="21"/>
              </w:rPr>
              <w:t>项目</w:t>
            </w:r>
          </w:p>
        </w:tc>
        <w:tc>
          <w:tcPr>
            <w:tcW w:w="5636" w:type="dxa"/>
            <w:vAlign w:val="center"/>
          </w:tcPr>
          <w:p w14:paraId="0C599B2D" w14:textId="77777777" w:rsidR="00F26A78" w:rsidRPr="007C68A4" w:rsidRDefault="00F26A78" w:rsidP="00B15BF5">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14:paraId="64A2CA6A" w14:textId="77777777" w:rsidR="00F26A78" w:rsidRPr="007C68A4" w:rsidRDefault="00F26A78" w:rsidP="00B15BF5">
            <w:pPr>
              <w:widowControl/>
              <w:autoSpaceDE w:val="0"/>
              <w:autoSpaceDN w:val="0"/>
              <w:spacing w:line="360" w:lineRule="auto"/>
              <w:ind w:right="-15"/>
              <w:jc w:val="center"/>
              <w:textAlignment w:val="bottom"/>
              <w:rPr>
                <w:rFonts w:eastAsiaTheme="minorEastAsia"/>
                <w:color w:val="000000" w:themeColor="text1"/>
                <w:kern w:val="0"/>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61144F30" w14:textId="77777777" w:rsidTr="00B15BF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19BAB8D" w14:textId="77777777" w:rsidR="00F26A78" w:rsidRPr="007C68A4" w:rsidRDefault="000529F3" w:rsidP="00B15BF5">
            <w:pPr>
              <w:widowControl/>
              <w:autoSpaceDE w:val="0"/>
              <w:autoSpaceDN w:val="0"/>
              <w:ind w:leftChars="50" w:left="105"/>
              <w:textAlignment w:val="bottom"/>
              <w:rPr>
                <w:color w:val="000000" w:themeColor="text1"/>
                <w:kern w:val="0"/>
                <w:szCs w:val="21"/>
              </w:rPr>
            </w:pPr>
            <w:r w:rsidRPr="007C68A4">
              <w:rPr>
                <w:color w:val="000000" w:themeColor="text1"/>
                <w:kern w:val="0"/>
                <w:szCs w:val="21"/>
              </w:rPr>
              <w:t>卖出债券（</w:t>
            </w:r>
            <w:r w:rsidR="00F26A78" w:rsidRPr="007C68A4">
              <w:rPr>
                <w:color w:val="000000" w:themeColor="text1"/>
                <w:kern w:val="0"/>
                <w:szCs w:val="21"/>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C10F1AC" w14:textId="77777777" w:rsidR="00F26A78" w:rsidRPr="007C68A4" w:rsidRDefault="00F26A78" w:rsidP="00B15BF5">
            <w:pPr>
              <w:ind w:left="440"/>
              <w:jc w:val="right"/>
              <w:rPr>
                <w:color w:val="000000" w:themeColor="text1"/>
                <w:szCs w:val="21"/>
              </w:rPr>
            </w:pPr>
            <w:r w:rsidRPr="007C68A4">
              <w:rPr>
                <w:color w:val="000000" w:themeColor="text1"/>
                <w:szCs w:val="21"/>
              </w:rPr>
              <w:t>714,350.00</w:t>
            </w:r>
          </w:p>
        </w:tc>
      </w:tr>
      <w:tr w:rsidR="003A53B3" w:rsidRPr="007C68A4" w14:paraId="7F67FBC2" w14:textId="77777777" w:rsidTr="00B15BF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32EE071" w14:textId="77777777" w:rsidR="00F26A78" w:rsidRPr="007C68A4" w:rsidRDefault="00F26A78" w:rsidP="00B15BF5">
            <w:pPr>
              <w:widowControl/>
              <w:autoSpaceDE w:val="0"/>
              <w:autoSpaceDN w:val="0"/>
              <w:ind w:leftChars="50" w:left="105"/>
              <w:textAlignment w:val="bottom"/>
              <w:rPr>
                <w:color w:val="000000" w:themeColor="text1"/>
                <w:kern w:val="0"/>
                <w:szCs w:val="21"/>
              </w:rPr>
            </w:pPr>
            <w:r w:rsidRPr="007C68A4">
              <w:rPr>
                <w:color w:val="000000" w:themeColor="text1"/>
                <w:szCs w:val="21"/>
              </w:rPr>
              <w:t>减：</w:t>
            </w:r>
            <w:r w:rsidR="000529F3" w:rsidRPr="007C68A4">
              <w:rPr>
                <w:color w:val="000000" w:themeColor="text1"/>
                <w:kern w:val="0"/>
                <w:szCs w:val="21"/>
              </w:rPr>
              <w:t>卖出债券（</w:t>
            </w:r>
            <w:r w:rsidRPr="007C68A4">
              <w:rPr>
                <w:color w:val="000000" w:themeColor="text1"/>
                <w:kern w:val="0"/>
                <w:szCs w:val="21"/>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865407F" w14:textId="77777777" w:rsidR="00F26A78" w:rsidRPr="007C68A4" w:rsidRDefault="00F26A78" w:rsidP="00B15BF5">
            <w:pPr>
              <w:ind w:left="440"/>
              <w:jc w:val="right"/>
              <w:rPr>
                <w:color w:val="000000" w:themeColor="text1"/>
                <w:szCs w:val="21"/>
              </w:rPr>
            </w:pPr>
            <w:r w:rsidRPr="007C68A4">
              <w:rPr>
                <w:color w:val="000000" w:themeColor="text1"/>
                <w:szCs w:val="21"/>
              </w:rPr>
              <w:t>699,113.00</w:t>
            </w:r>
          </w:p>
        </w:tc>
      </w:tr>
      <w:tr w:rsidR="003A53B3" w:rsidRPr="007C68A4" w14:paraId="54C76E12" w14:textId="77777777" w:rsidTr="00B15BF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3324773" w14:textId="77777777" w:rsidR="002F46EF" w:rsidRPr="007C68A4" w:rsidRDefault="002F46EF" w:rsidP="0016485F">
            <w:pPr>
              <w:widowControl/>
              <w:autoSpaceDE w:val="0"/>
              <w:autoSpaceDN w:val="0"/>
              <w:ind w:leftChars="50" w:left="105"/>
              <w:textAlignment w:val="bottom"/>
              <w:rPr>
                <w:color w:val="000000" w:themeColor="text1"/>
                <w:szCs w:val="21"/>
              </w:rPr>
            </w:pPr>
            <w:r w:rsidRPr="007C68A4">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AEBD7ED" w14:textId="77777777" w:rsidR="002F46EF" w:rsidRPr="007C68A4" w:rsidRDefault="002F46EF" w:rsidP="002F46EF">
            <w:pPr>
              <w:ind w:left="440"/>
              <w:jc w:val="right"/>
              <w:rPr>
                <w:color w:val="000000" w:themeColor="text1"/>
                <w:szCs w:val="21"/>
              </w:rPr>
            </w:pPr>
            <w:r w:rsidRPr="007C68A4">
              <w:rPr>
                <w:color w:val="000000" w:themeColor="text1"/>
                <w:szCs w:val="21"/>
              </w:rPr>
              <w:t>14,350.00</w:t>
            </w:r>
          </w:p>
        </w:tc>
      </w:tr>
      <w:tr w:rsidR="003A53B3" w:rsidRPr="007C68A4" w14:paraId="6424AAE3" w14:textId="77777777" w:rsidTr="00B15BF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1D6939E" w14:textId="77777777" w:rsidR="002F46EF" w:rsidRPr="007C68A4" w:rsidRDefault="002F46EF" w:rsidP="002F46EF">
            <w:pPr>
              <w:widowControl/>
              <w:autoSpaceDE w:val="0"/>
              <w:autoSpaceDN w:val="0"/>
              <w:ind w:leftChars="50" w:left="105"/>
              <w:textAlignment w:val="bottom"/>
              <w:rPr>
                <w:color w:val="000000" w:themeColor="text1"/>
                <w:szCs w:val="21"/>
              </w:rPr>
            </w:pPr>
            <w:r w:rsidRPr="007C68A4">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FE9B72B" w14:textId="77777777" w:rsidR="002F46EF" w:rsidRPr="007C68A4" w:rsidRDefault="002F46EF" w:rsidP="002F46EF">
            <w:pPr>
              <w:ind w:left="440"/>
              <w:jc w:val="right"/>
              <w:rPr>
                <w:color w:val="000000" w:themeColor="text1"/>
                <w:szCs w:val="21"/>
              </w:rPr>
            </w:pPr>
            <w:r w:rsidRPr="007C68A4">
              <w:rPr>
                <w:color w:val="000000" w:themeColor="text1"/>
                <w:szCs w:val="21"/>
              </w:rPr>
              <w:t>-</w:t>
            </w:r>
          </w:p>
        </w:tc>
      </w:tr>
      <w:tr w:rsidR="003A53B3" w:rsidRPr="007C68A4" w14:paraId="21F0FDB9" w14:textId="77777777" w:rsidTr="00B15BF5">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DBCB522" w14:textId="77777777" w:rsidR="00F26A78" w:rsidRPr="007C68A4" w:rsidRDefault="00F26A78" w:rsidP="006B3BD5">
            <w:pPr>
              <w:widowControl/>
              <w:autoSpaceDE w:val="0"/>
              <w:autoSpaceDN w:val="0"/>
              <w:ind w:leftChars="50" w:left="105"/>
              <w:textAlignment w:val="bottom"/>
              <w:rPr>
                <w:color w:val="000000" w:themeColor="text1"/>
                <w:kern w:val="0"/>
                <w:szCs w:val="21"/>
              </w:rPr>
            </w:pPr>
            <w:r w:rsidRPr="007C68A4">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B7DBE0D" w14:textId="77777777" w:rsidR="00F26A78" w:rsidRPr="007C68A4" w:rsidRDefault="00F26A78" w:rsidP="00B15BF5">
            <w:pPr>
              <w:ind w:left="440"/>
              <w:jc w:val="right"/>
              <w:rPr>
                <w:color w:val="000000" w:themeColor="text1"/>
                <w:szCs w:val="21"/>
              </w:rPr>
            </w:pPr>
            <w:r w:rsidRPr="007C68A4">
              <w:rPr>
                <w:color w:val="000000" w:themeColor="text1"/>
                <w:szCs w:val="21"/>
              </w:rPr>
              <w:t>887.00</w:t>
            </w:r>
          </w:p>
        </w:tc>
      </w:tr>
    </w:tbl>
    <w:p w14:paraId="35426592"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6.4.7.13 </w:t>
      </w:r>
      <w:r w:rsidRPr="007C68A4">
        <w:rPr>
          <w:b/>
          <w:color w:val="000000" w:themeColor="text1"/>
          <w:szCs w:val="21"/>
        </w:rPr>
        <w:t>衍生工具收益</w:t>
      </w:r>
    </w:p>
    <w:p w14:paraId="4F3F50D4" w14:textId="77777777"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14:paraId="4B0CB719"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6.4.7.14 </w:t>
      </w:r>
      <w:r w:rsidRPr="007C68A4">
        <w:rPr>
          <w:b/>
          <w:color w:val="000000" w:themeColor="text1"/>
          <w:szCs w:val="21"/>
        </w:rPr>
        <w:t>股利收益</w:t>
      </w:r>
    </w:p>
    <w:p w14:paraId="41D90B01" w14:textId="77777777"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14:paraId="3E8805CC"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6.4.7.15 </w:t>
      </w:r>
      <w:r w:rsidRPr="007C68A4">
        <w:rPr>
          <w:b/>
          <w:color w:val="000000" w:themeColor="text1"/>
          <w:szCs w:val="21"/>
        </w:rPr>
        <w:t>公允价值变动收益</w:t>
      </w:r>
    </w:p>
    <w:p w14:paraId="03533430" w14:textId="77777777" w:rsidR="001548F9" w:rsidRPr="007C68A4" w:rsidRDefault="001548F9" w:rsidP="005D2F95">
      <w:pPr>
        <w:tabs>
          <w:tab w:val="left" w:pos="8820"/>
        </w:tabs>
        <w:wordWrap w:val="0"/>
        <w:spacing w:line="360" w:lineRule="auto"/>
        <w:ind w:rightChars="-52" w:right="-109"/>
        <w:jc w:val="right"/>
        <w:rPr>
          <w:color w:val="000000" w:themeColor="text1"/>
          <w:szCs w:val="21"/>
        </w:rPr>
      </w:pPr>
      <w:r w:rsidRPr="007C68A4">
        <w:rPr>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3A53B3" w:rsidRPr="007C68A4" w14:paraId="309EE036" w14:textId="77777777" w:rsidTr="006358BF">
        <w:trPr>
          <w:trHeight w:val="285"/>
        </w:trPr>
        <w:tc>
          <w:tcPr>
            <w:tcW w:w="3794" w:type="dxa"/>
            <w:vAlign w:val="center"/>
          </w:tcPr>
          <w:p w14:paraId="2A05B715" w14:textId="77777777"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kern w:val="0"/>
                <w:szCs w:val="21"/>
              </w:rPr>
              <w:t>项目名称</w:t>
            </w:r>
          </w:p>
        </w:tc>
        <w:tc>
          <w:tcPr>
            <w:tcW w:w="5528" w:type="dxa"/>
          </w:tcPr>
          <w:p w14:paraId="384D6976" w14:textId="77777777"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szCs w:val="21"/>
              </w:rPr>
              <w:t>本期</w:t>
            </w:r>
          </w:p>
          <w:p w14:paraId="0CD3B3A1" w14:textId="77777777" w:rsidR="00D75526" w:rsidRPr="007C68A4" w:rsidRDefault="00D75526" w:rsidP="006358BF">
            <w:pPr>
              <w:widowControl/>
              <w:autoSpaceDE w:val="0"/>
              <w:autoSpaceDN w:val="0"/>
              <w:ind w:right="-15"/>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58CB689E" w14:textId="77777777" w:rsidTr="006358BF">
        <w:trPr>
          <w:trHeight w:val="285"/>
        </w:trPr>
        <w:tc>
          <w:tcPr>
            <w:tcW w:w="3794" w:type="dxa"/>
            <w:vAlign w:val="center"/>
          </w:tcPr>
          <w:p w14:paraId="5A0C3E59"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1.</w:t>
            </w:r>
            <w:r w:rsidRPr="007C68A4">
              <w:rPr>
                <w:rFonts w:eastAsiaTheme="minorEastAsia"/>
                <w:color w:val="000000" w:themeColor="text1"/>
                <w:kern w:val="0"/>
                <w:szCs w:val="21"/>
              </w:rPr>
              <w:t>交易性金融资产</w:t>
            </w:r>
          </w:p>
        </w:tc>
        <w:tc>
          <w:tcPr>
            <w:tcW w:w="5528" w:type="dxa"/>
            <w:vAlign w:val="bottom"/>
          </w:tcPr>
          <w:p w14:paraId="22C0C828"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-13,162.08</w:t>
            </w:r>
          </w:p>
        </w:tc>
      </w:tr>
      <w:tr w:rsidR="003A53B3" w:rsidRPr="007C68A4" w14:paraId="3B3EA52E" w14:textId="77777777" w:rsidTr="006358BF">
        <w:trPr>
          <w:trHeight w:val="285"/>
        </w:trPr>
        <w:tc>
          <w:tcPr>
            <w:tcW w:w="3794" w:type="dxa"/>
            <w:vAlign w:val="center"/>
          </w:tcPr>
          <w:p w14:paraId="0E79572F"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股票投资</w:t>
            </w:r>
          </w:p>
        </w:tc>
        <w:tc>
          <w:tcPr>
            <w:tcW w:w="5528" w:type="dxa"/>
            <w:vAlign w:val="bottom"/>
          </w:tcPr>
          <w:p w14:paraId="60125B1F"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CA8D0A3" w14:textId="77777777" w:rsidTr="006358BF">
        <w:trPr>
          <w:trHeight w:val="285"/>
        </w:trPr>
        <w:tc>
          <w:tcPr>
            <w:tcW w:w="3794" w:type="dxa"/>
            <w:vAlign w:val="center"/>
          </w:tcPr>
          <w:p w14:paraId="6D53A548" w14:textId="77777777"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债券投资</w:t>
            </w:r>
          </w:p>
        </w:tc>
        <w:tc>
          <w:tcPr>
            <w:tcW w:w="5528" w:type="dxa"/>
            <w:vAlign w:val="bottom"/>
          </w:tcPr>
          <w:p w14:paraId="3CF8B79D"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-595.00</w:t>
            </w:r>
          </w:p>
        </w:tc>
      </w:tr>
      <w:tr w:rsidR="003A53B3" w:rsidRPr="007C68A4" w14:paraId="6C29888F" w14:textId="77777777" w:rsidTr="006358BF">
        <w:trPr>
          <w:trHeight w:val="285"/>
        </w:trPr>
        <w:tc>
          <w:tcPr>
            <w:tcW w:w="3794" w:type="dxa"/>
            <w:vAlign w:val="center"/>
          </w:tcPr>
          <w:p w14:paraId="6358C572"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资产支持证券投资</w:t>
            </w:r>
          </w:p>
        </w:tc>
        <w:tc>
          <w:tcPr>
            <w:tcW w:w="5528" w:type="dxa"/>
            <w:vAlign w:val="bottom"/>
          </w:tcPr>
          <w:p w14:paraId="5F9B8426"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5830C9D2" w14:textId="77777777" w:rsidTr="006358BF">
        <w:trPr>
          <w:trHeight w:val="285"/>
        </w:trPr>
        <w:tc>
          <w:tcPr>
            <w:tcW w:w="3794" w:type="dxa"/>
            <w:vAlign w:val="center"/>
          </w:tcPr>
          <w:p w14:paraId="1068BF3A"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基金投资</w:t>
            </w:r>
          </w:p>
        </w:tc>
        <w:tc>
          <w:tcPr>
            <w:tcW w:w="5528" w:type="dxa"/>
            <w:vAlign w:val="center"/>
          </w:tcPr>
          <w:p w14:paraId="1D7CCF7E"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-12,567.08</w:t>
            </w:r>
          </w:p>
        </w:tc>
      </w:tr>
      <w:tr w:rsidR="003A53B3" w:rsidRPr="007C68A4" w14:paraId="7D95B91B" w14:textId="77777777" w:rsidTr="006358BF">
        <w:trPr>
          <w:trHeight w:val="285"/>
        </w:trPr>
        <w:tc>
          <w:tcPr>
            <w:tcW w:w="3794" w:type="dxa"/>
            <w:vAlign w:val="center"/>
          </w:tcPr>
          <w:p w14:paraId="62BB6E34"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贵金属投资</w:t>
            </w:r>
          </w:p>
        </w:tc>
        <w:tc>
          <w:tcPr>
            <w:tcW w:w="5528" w:type="dxa"/>
            <w:vAlign w:val="center"/>
          </w:tcPr>
          <w:p w14:paraId="4B7FB6D4" w14:textId="77777777"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0D3E59D1" w14:textId="77777777" w:rsidTr="006358BF">
        <w:trPr>
          <w:trHeight w:val="285"/>
        </w:trPr>
        <w:tc>
          <w:tcPr>
            <w:tcW w:w="3794" w:type="dxa"/>
            <w:vAlign w:val="center"/>
          </w:tcPr>
          <w:p w14:paraId="73EB35B2"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其他</w:t>
            </w:r>
          </w:p>
        </w:tc>
        <w:tc>
          <w:tcPr>
            <w:tcW w:w="5528" w:type="dxa"/>
            <w:vAlign w:val="center"/>
          </w:tcPr>
          <w:p w14:paraId="2177D54B" w14:textId="77777777"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33EA321D" w14:textId="77777777" w:rsidTr="006358BF">
        <w:trPr>
          <w:trHeight w:val="285"/>
        </w:trPr>
        <w:tc>
          <w:tcPr>
            <w:tcW w:w="3794" w:type="dxa"/>
            <w:vAlign w:val="center"/>
          </w:tcPr>
          <w:p w14:paraId="2C0869EA"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2.</w:t>
            </w:r>
            <w:r w:rsidRPr="007C68A4">
              <w:rPr>
                <w:rFonts w:eastAsiaTheme="minorEastAsia"/>
                <w:color w:val="000000" w:themeColor="text1"/>
                <w:kern w:val="0"/>
                <w:szCs w:val="21"/>
              </w:rPr>
              <w:t>衍生工具</w:t>
            </w:r>
          </w:p>
        </w:tc>
        <w:tc>
          <w:tcPr>
            <w:tcW w:w="5528" w:type="dxa"/>
            <w:vAlign w:val="center"/>
          </w:tcPr>
          <w:p w14:paraId="59D3F851"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672D63FE" w14:textId="77777777" w:rsidTr="006358BF">
        <w:trPr>
          <w:trHeight w:val="285"/>
        </w:trPr>
        <w:tc>
          <w:tcPr>
            <w:tcW w:w="3794" w:type="dxa"/>
            <w:vAlign w:val="center"/>
          </w:tcPr>
          <w:p w14:paraId="3A915196" w14:textId="77777777"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权证投资</w:t>
            </w:r>
          </w:p>
        </w:tc>
        <w:tc>
          <w:tcPr>
            <w:tcW w:w="5528" w:type="dxa"/>
            <w:vAlign w:val="center"/>
          </w:tcPr>
          <w:p w14:paraId="73F3B32B"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33C5C13E" w14:textId="77777777" w:rsidTr="006358BF">
        <w:trPr>
          <w:trHeight w:val="285"/>
        </w:trPr>
        <w:tc>
          <w:tcPr>
            <w:tcW w:w="3794" w:type="dxa"/>
            <w:vAlign w:val="center"/>
          </w:tcPr>
          <w:p w14:paraId="5361EC5A" w14:textId="77777777"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3.</w:t>
            </w:r>
            <w:r w:rsidRPr="007C68A4">
              <w:rPr>
                <w:rFonts w:eastAsiaTheme="minorEastAsia"/>
                <w:color w:val="000000" w:themeColor="text1"/>
                <w:kern w:val="0"/>
                <w:szCs w:val="21"/>
              </w:rPr>
              <w:t>其他</w:t>
            </w:r>
          </w:p>
        </w:tc>
        <w:tc>
          <w:tcPr>
            <w:tcW w:w="5528" w:type="dxa"/>
            <w:vAlign w:val="bottom"/>
          </w:tcPr>
          <w:p w14:paraId="6EB513CE"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93246B6" w14:textId="77777777" w:rsidTr="006358BF">
        <w:trPr>
          <w:trHeight w:val="285"/>
        </w:trPr>
        <w:tc>
          <w:tcPr>
            <w:tcW w:w="3794" w:type="dxa"/>
            <w:vAlign w:val="center"/>
          </w:tcPr>
          <w:p w14:paraId="449347A8" w14:textId="77777777" w:rsidR="00D75526" w:rsidRPr="007C68A4" w:rsidRDefault="00D75526" w:rsidP="006358BF">
            <w:pPr>
              <w:widowControl/>
              <w:jc w:val="left"/>
              <w:rPr>
                <w:rFonts w:eastAsiaTheme="minorEastAsia"/>
                <w:color w:val="000000" w:themeColor="text1"/>
                <w:kern w:val="0"/>
                <w:szCs w:val="21"/>
                <w:highlight w:val="red"/>
              </w:rPr>
            </w:pPr>
            <w:r w:rsidRPr="007C68A4">
              <w:rPr>
                <w:rFonts w:eastAsiaTheme="minorEastAsia"/>
                <w:color w:val="000000" w:themeColor="text1"/>
                <w:kern w:val="0"/>
                <w:szCs w:val="21"/>
              </w:rPr>
              <w:t>减：应税金融商品公允价值变动产生的预估增值税</w:t>
            </w:r>
          </w:p>
        </w:tc>
        <w:tc>
          <w:tcPr>
            <w:tcW w:w="5528" w:type="dxa"/>
            <w:vAlign w:val="bottom"/>
          </w:tcPr>
          <w:p w14:paraId="6130D398" w14:textId="77777777"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14:paraId="4973B83E" w14:textId="77777777" w:rsidTr="006358BF">
        <w:trPr>
          <w:trHeight w:val="285"/>
        </w:trPr>
        <w:tc>
          <w:tcPr>
            <w:tcW w:w="3794" w:type="dxa"/>
            <w:vAlign w:val="center"/>
          </w:tcPr>
          <w:p w14:paraId="08CF7B74" w14:textId="77777777"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合计</w:t>
            </w:r>
          </w:p>
        </w:tc>
        <w:tc>
          <w:tcPr>
            <w:tcW w:w="5528" w:type="dxa"/>
            <w:vAlign w:val="bottom"/>
          </w:tcPr>
          <w:p w14:paraId="1ABFC19F" w14:textId="77777777"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-13,162.08</w:t>
            </w:r>
          </w:p>
        </w:tc>
      </w:tr>
    </w:tbl>
    <w:p w14:paraId="7770074D"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6.4.7.16 </w:t>
      </w:r>
      <w:r w:rsidRPr="007C68A4">
        <w:rPr>
          <w:b/>
          <w:color w:val="000000" w:themeColor="text1"/>
          <w:szCs w:val="21"/>
        </w:rPr>
        <w:t>其他收入</w:t>
      </w:r>
    </w:p>
    <w:p w14:paraId="1FD4FA94" w14:textId="77777777" w:rsidR="001548F9" w:rsidRPr="007C68A4" w:rsidRDefault="001548F9" w:rsidP="005D2F95">
      <w:pPr>
        <w:tabs>
          <w:tab w:val="left" w:pos="7200"/>
          <w:tab w:val="left" w:pos="8280"/>
        </w:tabs>
        <w:ind w:rightChars="-52" w:right="-109"/>
        <w:jc w:val="right"/>
        <w:rPr>
          <w:color w:val="000000" w:themeColor="text1"/>
          <w:szCs w:val="21"/>
          <w:lang w:val="en-AU"/>
        </w:rPr>
      </w:pPr>
      <w:r w:rsidRPr="007C68A4">
        <w:rPr>
          <w:color w:val="000000" w:themeColor="text1"/>
          <w:szCs w:val="21"/>
        </w:rPr>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3A53B3" w:rsidRPr="007C68A4" w14:paraId="1BE50B72" w14:textId="77777777" w:rsidTr="00C74A25">
        <w:trPr>
          <w:trHeight w:val="255"/>
        </w:trPr>
        <w:tc>
          <w:tcPr>
            <w:tcW w:w="3691" w:type="dxa"/>
            <w:vAlign w:val="center"/>
          </w:tcPr>
          <w:p w14:paraId="489DBEEE"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tcPr>
          <w:p w14:paraId="66B28F05" w14:textId="77777777" w:rsidR="001548F9" w:rsidRPr="007C68A4" w:rsidRDefault="001548F9" w:rsidP="0070173B">
            <w:pPr>
              <w:jc w:val="center"/>
              <w:rPr>
                <w:color w:val="000000" w:themeColor="text1"/>
                <w:szCs w:val="21"/>
              </w:rPr>
            </w:pPr>
            <w:r w:rsidRPr="007C68A4">
              <w:rPr>
                <w:color w:val="000000" w:themeColor="text1"/>
                <w:szCs w:val="21"/>
              </w:rPr>
              <w:t>本期</w:t>
            </w:r>
          </w:p>
          <w:p w14:paraId="6B25957F"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6CB70165" w14:textId="77777777" w:rsidTr="00C74A25">
        <w:trPr>
          <w:trHeight w:val="255"/>
        </w:trPr>
        <w:tc>
          <w:tcPr>
            <w:tcW w:w="3691" w:type="dxa"/>
            <w:vAlign w:val="bottom"/>
          </w:tcPr>
          <w:p w14:paraId="3CF4D3E1" w14:textId="77777777" w:rsidR="001548F9" w:rsidRPr="007C68A4" w:rsidRDefault="001548F9" w:rsidP="0070173B">
            <w:pPr>
              <w:rPr>
                <w:color w:val="000000" w:themeColor="text1"/>
                <w:szCs w:val="21"/>
              </w:rPr>
            </w:pPr>
            <w:r w:rsidRPr="007C68A4">
              <w:rPr>
                <w:color w:val="000000" w:themeColor="text1"/>
                <w:szCs w:val="21"/>
              </w:rPr>
              <w:t>基金赎回费收入</w:t>
            </w:r>
          </w:p>
        </w:tc>
        <w:tc>
          <w:tcPr>
            <w:tcW w:w="5528" w:type="dxa"/>
            <w:vAlign w:val="bottom"/>
          </w:tcPr>
          <w:p w14:paraId="177132D0" w14:textId="77777777" w:rsidR="001548F9" w:rsidRPr="007C68A4" w:rsidRDefault="001548F9" w:rsidP="0070173B">
            <w:pPr>
              <w:jc w:val="right"/>
              <w:rPr>
                <w:color w:val="000000" w:themeColor="text1"/>
                <w:szCs w:val="21"/>
              </w:rPr>
            </w:pPr>
            <w:r w:rsidRPr="007C68A4">
              <w:rPr>
                <w:color w:val="000000" w:themeColor="text1"/>
                <w:szCs w:val="21"/>
              </w:rPr>
              <w:t>8,347.41</w:t>
            </w:r>
          </w:p>
        </w:tc>
      </w:tr>
      <w:tr w:rsidR="003A53B3" w:rsidRPr="007C68A4" w14:paraId="0FA6441E" w14:textId="77777777" w:rsidTr="00C74A25">
        <w:trPr>
          <w:trHeight w:val="255"/>
        </w:trPr>
        <w:tc>
          <w:tcPr>
            <w:tcW w:w="3691" w:type="dxa"/>
            <w:vAlign w:val="bottom"/>
          </w:tcPr>
          <w:p w14:paraId="43BD637F" w14:textId="77777777" w:rsidR="001548F9" w:rsidRPr="007C68A4" w:rsidRDefault="001548F9" w:rsidP="0070173B">
            <w:pPr>
              <w:rPr>
                <w:color w:val="000000" w:themeColor="text1"/>
                <w:szCs w:val="21"/>
              </w:rPr>
            </w:pPr>
            <w:r w:rsidRPr="007C68A4">
              <w:rPr>
                <w:color w:val="000000" w:themeColor="text1"/>
                <w:szCs w:val="21"/>
              </w:rPr>
              <w:t>合计</w:t>
            </w:r>
          </w:p>
        </w:tc>
        <w:tc>
          <w:tcPr>
            <w:tcW w:w="5528" w:type="dxa"/>
            <w:vAlign w:val="bottom"/>
          </w:tcPr>
          <w:p w14:paraId="539ED6E0" w14:textId="77777777" w:rsidR="001548F9" w:rsidRPr="007C68A4" w:rsidRDefault="001548F9" w:rsidP="0070173B">
            <w:pPr>
              <w:jc w:val="right"/>
              <w:rPr>
                <w:color w:val="000000" w:themeColor="text1"/>
                <w:szCs w:val="21"/>
              </w:rPr>
            </w:pPr>
            <w:r w:rsidRPr="007C68A4">
              <w:rPr>
                <w:color w:val="000000" w:themeColor="text1"/>
                <w:szCs w:val="21"/>
              </w:rPr>
              <w:t>8,347.41</w:t>
            </w:r>
          </w:p>
        </w:tc>
      </w:tr>
    </w:tbl>
    <w:p w14:paraId="788FE639"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lastRenderedPageBreak/>
        <w:t xml:space="preserve">6.4.7.17 </w:t>
      </w:r>
      <w:r w:rsidRPr="007C68A4">
        <w:rPr>
          <w:b/>
          <w:color w:val="000000" w:themeColor="text1"/>
          <w:szCs w:val="21"/>
        </w:rPr>
        <w:t>其他费用</w:t>
      </w:r>
    </w:p>
    <w:p w14:paraId="438002CE" w14:textId="77777777" w:rsidR="001548F9" w:rsidRPr="007C68A4" w:rsidRDefault="001548F9" w:rsidP="005D2F95">
      <w:pPr>
        <w:tabs>
          <w:tab w:val="left" w:pos="7200"/>
          <w:tab w:val="left" w:pos="8280"/>
          <w:tab w:val="left" w:pos="9000"/>
        </w:tabs>
        <w:ind w:rightChars="-52" w:right="-109"/>
        <w:jc w:val="right"/>
        <w:rPr>
          <w:bCs/>
          <w:color w:val="000000" w:themeColor="text1"/>
          <w:szCs w:val="21"/>
        </w:rPr>
      </w:pPr>
      <w:r w:rsidRPr="007C68A4">
        <w:rPr>
          <w:color w:val="000000" w:themeColor="text1"/>
          <w:szCs w:val="21"/>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3A53B3" w:rsidRPr="007C68A4" w14:paraId="0C363625" w14:textId="77777777" w:rsidTr="001D7517">
        <w:trPr>
          <w:jc w:val="center"/>
        </w:trPr>
        <w:tc>
          <w:tcPr>
            <w:tcW w:w="3853" w:type="dxa"/>
            <w:vAlign w:val="center"/>
          </w:tcPr>
          <w:p w14:paraId="20F87A78"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551" w:type="dxa"/>
          </w:tcPr>
          <w:p w14:paraId="777F1B11" w14:textId="77777777" w:rsidR="001548F9" w:rsidRPr="007C68A4" w:rsidRDefault="001548F9" w:rsidP="0070173B">
            <w:pPr>
              <w:jc w:val="center"/>
              <w:rPr>
                <w:color w:val="000000" w:themeColor="text1"/>
                <w:szCs w:val="21"/>
              </w:rPr>
            </w:pPr>
            <w:r w:rsidRPr="007C68A4">
              <w:rPr>
                <w:color w:val="000000" w:themeColor="text1"/>
                <w:szCs w:val="21"/>
              </w:rPr>
              <w:t>本期</w:t>
            </w:r>
          </w:p>
          <w:p w14:paraId="623E5455"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34DE2B68" w14:textId="77777777" w:rsidTr="001D7517">
        <w:trPr>
          <w:jc w:val="center"/>
        </w:trPr>
        <w:tc>
          <w:tcPr>
            <w:tcW w:w="3853" w:type="dxa"/>
            <w:vAlign w:val="center"/>
          </w:tcPr>
          <w:p w14:paraId="16C7E72F" w14:textId="77777777" w:rsidR="001548F9" w:rsidRPr="007C68A4" w:rsidRDefault="001548F9" w:rsidP="0070173B">
            <w:pPr>
              <w:rPr>
                <w:color w:val="000000" w:themeColor="text1"/>
                <w:szCs w:val="21"/>
              </w:rPr>
            </w:pPr>
            <w:r w:rsidRPr="007C68A4">
              <w:rPr>
                <w:color w:val="000000" w:themeColor="text1"/>
                <w:szCs w:val="21"/>
              </w:rPr>
              <w:t>审计费用</w:t>
            </w:r>
          </w:p>
        </w:tc>
        <w:tc>
          <w:tcPr>
            <w:tcW w:w="5551" w:type="dxa"/>
            <w:vAlign w:val="bottom"/>
          </w:tcPr>
          <w:p w14:paraId="0DFCC354" w14:textId="77777777" w:rsidR="001548F9" w:rsidRPr="007C68A4" w:rsidRDefault="001548F9" w:rsidP="0070173B">
            <w:pPr>
              <w:jc w:val="right"/>
              <w:rPr>
                <w:color w:val="000000" w:themeColor="text1"/>
                <w:szCs w:val="21"/>
              </w:rPr>
            </w:pPr>
            <w:r w:rsidRPr="007C68A4">
              <w:rPr>
                <w:color w:val="000000" w:themeColor="text1"/>
                <w:szCs w:val="21"/>
              </w:rPr>
              <w:t>14,918.54</w:t>
            </w:r>
          </w:p>
        </w:tc>
      </w:tr>
      <w:tr w:rsidR="003A53B3" w:rsidRPr="007C68A4" w14:paraId="4C13DCBF" w14:textId="77777777" w:rsidTr="001D7517">
        <w:trPr>
          <w:jc w:val="center"/>
        </w:trPr>
        <w:tc>
          <w:tcPr>
            <w:tcW w:w="3853" w:type="dxa"/>
            <w:vAlign w:val="center"/>
          </w:tcPr>
          <w:p w14:paraId="4A340FF8" w14:textId="77777777" w:rsidR="001548F9" w:rsidRPr="007C68A4" w:rsidRDefault="001548F9" w:rsidP="0070173B">
            <w:pPr>
              <w:rPr>
                <w:color w:val="000000" w:themeColor="text1"/>
                <w:szCs w:val="21"/>
              </w:rPr>
            </w:pPr>
            <w:r w:rsidRPr="007C68A4">
              <w:rPr>
                <w:color w:val="000000" w:themeColor="text1"/>
                <w:szCs w:val="21"/>
              </w:rPr>
              <w:t>信息披露费</w:t>
            </w:r>
          </w:p>
        </w:tc>
        <w:tc>
          <w:tcPr>
            <w:tcW w:w="5551" w:type="dxa"/>
            <w:vAlign w:val="bottom"/>
          </w:tcPr>
          <w:p w14:paraId="4A55791B" w14:textId="77777777" w:rsidR="001548F9" w:rsidRPr="007C68A4" w:rsidRDefault="001548F9" w:rsidP="0070173B">
            <w:pPr>
              <w:jc w:val="right"/>
              <w:rPr>
                <w:color w:val="000000" w:themeColor="text1"/>
                <w:szCs w:val="21"/>
              </w:rPr>
            </w:pPr>
            <w:r w:rsidRPr="007C68A4">
              <w:rPr>
                <w:color w:val="000000" w:themeColor="text1"/>
                <w:szCs w:val="21"/>
              </w:rPr>
              <w:t>24,863.02</w:t>
            </w:r>
          </w:p>
        </w:tc>
      </w:tr>
      <w:tr w:rsidR="003A53B3" w:rsidRPr="007C68A4" w14:paraId="308CF685" w14:textId="77777777" w:rsidTr="00A0368A">
        <w:trPr>
          <w:jc w:val="center"/>
        </w:trPr>
        <w:tc>
          <w:tcPr>
            <w:tcW w:w="3853" w:type="dxa"/>
          </w:tcPr>
          <w:p w14:paraId="3108605B" w14:textId="77777777" w:rsidR="0088316F" w:rsidRPr="007C68A4" w:rsidRDefault="0088316F" w:rsidP="00A0368A">
            <w:pPr>
              <w:rPr>
                <w:color w:val="000000" w:themeColor="text1"/>
              </w:rPr>
            </w:pPr>
            <w:r w:rsidRPr="007C68A4">
              <w:rPr>
                <w:color w:val="000000" w:themeColor="text1"/>
              </w:rPr>
              <w:t>证券出借违约金</w:t>
            </w:r>
          </w:p>
        </w:tc>
        <w:tc>
          <w:tcPr>
            <w:tcW w:w="5551" w:type="dxa"/>
          </w:tcPr>
          <w:p w14:paraId="29655C26" w14:textId="77777777" w:rsidR="0088316F" w:rsidRPr="007C68A4" w:rsidRDefault="0088316F" w:rsidP="0088316F">
            <w:pPr>
              <w:jc w:val="right"/>
              <w:rPr>
                <w:color w:val="000000" w:themeColor="text1"/>
              </w:rPr>
            </w:pPr>
            <w:r w:rsidRPr="007C68A4">
              <w:rPr>
                <w:color w:val="000000" w:themeColor="text1"/>
              </w:rPr>
              <w:t>-</w:t>
            </w:r>
          </w:p>
        </w:tc>
      </w:tr>
      <w:tr w:rsidR="00FA3CB3" w14:paraId="11ED46C9" w14:textId="77777777">
        <w:trPr>
          <w:jc w:val="center"/>
        </w:trPr>
        <w:tc>
          <w:tcPr>
            <w:tcW w:w="3853" w:type="dxa"/>
            <w:vAlign w:val="center"/>
          </w:tcPr>
          <w:p w14:paraId="2ADA288E" w14:textId="77777777" w:rsidR="00FA3CB3" w:rsidRDefault="00052A0D">
            <w:pPr>
              <w:jc w:val="left"/>
            </w:pPr>
            <w:r>
              <w:rPr>
                <w:color w:val="000000" w:themeColor="text1"/>
                <w:szCs w:val="21"/>
              </w:rPr>
              <w:t>银行费用</w:t>
            </w:r>
          </w:p>
        </w:tc>
        <w:tc>
          <w:tcPr>
            <w:tcW w:w="5551" w:type="dxa"/>
            <w:vAlign w:val="center"/>
          </w:tcPr>
          <w:p w14:paraId="0E529A11" w14:textId="77777777" w:rsidR="00FA3CB3" w:rsidRDefault="00052A0D">
            <w:pPr>
              <w:jc w:val="right"/>
            </w:pPr>
            <w:r>
              <w:rPr>
                <w:color w:val="000000" w:themeColor="text1"/>
                <w:szCs w:val="21"/>
              </w:rPr>
              <w:t>1,130.17</w:t>
            </w:r>
          </w:p>
        </w:tc>
      </w:tr>
      <w:tr w:rsidR="003A53B3" w:rsidRPr="007C68A4" w14:paraId="614F050A" w14:textId="77777777" w:rsidTr="001D7517">
        <w:trPr>
          <w:jc w:val="center"/>
        </w:trPr>
        <w:tc>
          <w:tcPr>
            <w:tcW w:w="3853" w:type="dxa"/>
            <w:vAlign w:val="bottom"/>
          </w:tcPr>
          <w:p w14:paraId="56C140DE" w14:textId="77777777" w:rsidR="001548F9" w:rsidRPr="007C68A4" w:rsidRDefault="001548F9" w:rsidP="0070173B">
            <w:pPr>
              <w:rPr>
                <w:color w:val="000000" w:themeColor="text1"/>
                <w:szCs w:val="21"/>
              </w:rPr>
            </w:pPr>
            <w:r w:rsidRPr="007C68A4">
              <w:rPr>
                <w:color w:val="000000" w:themeColor="text1"/>
                <w:szCs w:val="21"/>
              </w:rPr>
              <w:t>合计</w:t>
            </w:r>
          </w:p>
        </w:tc>
        <w:tc>
          <w:tcPr>
            <w:tcW w:w="5551" w:type="dxa"/>
            <w:vAlign w:val="bottom"/>
          </w:tcPr>
          <w:p w14:paraId="4EE27929" w14:textId="77777777" w:rsidR="001548F9" w:rsidRPr="007C68A4" w:rsidRDefault="001548F9" w:rsidP="0070173B">
            <w:pPr>
              <w:jc w:val="right"/>
              <w:rPr>
                <w:color w:val="000000" w:themeColor="text1"/>
                <w:szCs w:val="21"/>
              </w:rPr>
            </w:pPr>
            <w:r w:rsidRPr="007C68A4">
              <w:rPr>
                <w:color w:val="000000" w:themeColor="text1"/>
                <w:szCs w:val="21"/>
              </w:rPr>
              <w:t>40,911.73</w:t>
            </w:r>
          </w:p>
        </w:tc>
      </w:tr>
    </w:tbl>
    <w:p w14:paraId="2F814719"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6.4.8 </w:t>
      </w:r>
      <w:r w:rsidRPr="007C68A4">
        <w:rPr>
          <w:b/>
          <w:color w:val="000000" w:themeColor="text1"/>
          <w:kern w:val="0"/>
          <w:szCs w:val="21"/>
        </w:rPr>
        <w:t>或有事项、资产负债表日后事项的说明</w:t>
      </w:r>
    </w:p>
    <w:p w14:paraId="0D91443B"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6.4.8.1</w:t>
      </w:r>
      <w:r w:rsidRPr="007C68A4">
        <w:rPr>
          <w:b/>
          <w:color w:val="000000" w:themeColor="text1"/>
          <w:kern w:val="0"/>
          <w:szCs w:val="21"/>
        </w:rPr>
        <w:t xml:space="preserve"> </w:t>
      </w:r>
      <w:r w:rsidRPr="007C68A4">
        <w:rPr>
          <w:b/>
          <w:color w:val="000000" w:themeColor="text1"/>
          <w:kern w:val="0"/>
          <w:szCs w:val="21"/>
        </w:rPr>
        <w:t>或有事项</w:t>
      </w:r>
    </w:p>
    <w:p w14:paraId="18F33D1D" w14:textId="77777777"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截至资产负债表日，本基金并无须作披露的或有事项。</w:t>
      </w:r>
    </w:p>
    <w:p w14:paraId="467C456C"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6.4.8.2</w:t>
      </w:r>
      <w:r w:rsidRPr="007C68A4">
        <w:rPr>
          <w:b/>
          <w:color w:val="000000" w:themeColor="text1"/>
          <w:kern w:val="0"/>
          <w:szCs w:val="21"/>
        </w:rPr>
        <w:t xml:space="preserve"> </w:t>
      </w:r>
      <w:r w:rsidRPr="007C68A4">
        <w:rPr>
          <w:b/>
          <w:color w:val="000000" w:themeColor="text1"/>
          <w:kern w:val="0"/>
          <w:szCs w:val="21"/>
        </w:rPr>
        <w:t>资产负债表日后事项</w:t>
      </w:r>
    </w:p>
    <w:p w14:paraId="28800971" w14:textId="77777777"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截至财务报表报出日，本基金并无须作披露的资产负债表日后事项。</w:t>
      </w:r>
    </w:p>
    <w:p w14:paraId="52F6F949" w14:textId="77777777" w:rsidR="00E278F5" w:rsidRPr="00B079CA" w:rsidRDefault="00E278F5" w:rsidP="00E278F5">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E278F5" w:rsidRPr="00B079CA" w14:paraId="0FCC794C" w14:textId="77777777" w:rsidTr="005B64CC">
        <w:tc>
          <w:tcPr>
            <w:tcW w:w="5220" w:type="dxa"/>
          </w:tcPr>
          <w:p w14:paraId="67C63910" w14:textId="77777777"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A8808F5" w14:textId="77777777" w:rsidR="00E278F5" w:rsidRPr="00B079CA" w:rsidRDefault="00E278F5"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A3CB3" w14:paraId="31663909" w14:textId="77777777">
        <w:tc>
          <w:tcPr>
            <w:tcW w:w="5220" w:type="dxa"/>
            <w:vAlign w:val="center"/>
          </w:tcPr>
          <w:p w14:paraId="3256075E" w14:textId="77777777" w:rsidR="00FA3CB3" w:rsidRDefault="00052A0D">
            <w:pPr>
              <w:jc w:val="left"/>
            </w:pPr>
            <w:r>
              <w:rPr>
                <w:rFonts w:eastAsiaTheme="minorEastAsia"/>
                <w:color w:val="000000" w:themeColor="text1"/>
                <w:szCs w:val="21"/>
              </w:rPr>
              <w:t>摩根基金管理（中国）有限公司</w:t>
            </w:r>
          </w:p>
        </w:tc>
        <w:tc>
          <w:tcPr>
            <w:tcW w:w="3780" w:type="dxa"/>
            <w:vAlign w:val="center"/>
          </w:tcPr>
          <w:p w14:paraId="296561D0" w14:textId="77777777" w:rsidR="00FA3CB3" w:rsidRDefault="00052A0D">
            <w:pPr>
              <w:jc w:val="left"/>
            </w:pPr>
            <w:r>
              <w:rPr>
                <w:rFonts w:eastAsiaTheme="minorEastAsia"/>
                <w:color w:val="000000" w:themeColor="text1"/>
                <w:szCs w:val="21"/>
              </w:rPr>
              <w:t>基金管理人、注册登记机构、基金销售机构</w:t>
            </w:r>
          </w:p>
        </w:tc>
      </w:tr>
      <w:tr w:rsidR="00FA3CB3" w14:paraId="23AED645" w14:textId="77777777">
        <w:tc>
          <w:tcPr>
            <w:tcW w:w="5220" w:type="dxa"/>
            <w:vAlign w:val="center"/>
          </w:tcPr>
          <w:p w14:paraId="39A6EB42" w14:textId="77777777" w:rsidR="00FA3CB3" w:rsidRDefault="00052A0D">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539C0669" w14:textId="77777777" w:rsidR="00FA3CB3" w:rsidRDefault="00052A0D">
            <w:pPr>
              <w:jc w:val="left"/>
            </w:pPr>
            <w:r>
              <w:rPr>
                <w:rFonts w:eastAsiaTheme="minorEastAsia"/>
                <w:color w:val="000000" w:themeColor="text1"/>
                <w:szCs w:val="21"/>
              </w:rPr>
              <w:t>基金托管人</w:t>
            </w:r>
          </w:p>
        </w:tc>
      </w:tr>
      <w:tr w:rsidR="00FA3CB3" w14:paraId="0F246100" w14:textId="77777777">
        <w:tc>
          <w:tcPr>
            <w:tcW w:w="5220" w:type="dxa"/>
            <w:vAlign w:val="center"/>
          </w:tcPr>
          <w:p w14:paraId="055ECCAB" w14:textId="77777777" w:rsidR="00FA3CB3" w:rsidRDefault="00052A0D">
            <w:pPr>
              <w:jc w:val="left"/>
            </w:pPr>
            <w:r>
              <w:rPr>
                <w:rFonts w:eastAsiaTheme="minorEastAsia"/>
                <w:color w:val="000000" w:themeColor="text1"/>
                <w:szCs w:val="21"/>
              </w:rPr>
              <w:t>香港上海汇丰银行有限公司</w:t>
            </w:r>
            <w:r>
              <w:rPr>
                <w:rFonts w:eastAsiaTheme="minorEastAsia"/>
                <w:color w:val="000000" w:themeColor="text1"/>
                <w:szCs w:val="21"/>
              </w:rPr>
              <w:t>(“</w:t>
            </w:r>
            <w:r>
              <w:rPr>
                <w:rFonts w:eastAsiaTheme="minorEastAsia"/>
                <w:color w:val="000000" w:themeColor="text1"/>
                <w:szCs w:val="21"/>
              </w:rPr>
              <w:t>汇丰银行</w:t>
            </w:r>
            <w:r>
              <w:rPr>
                <w:rFonts w:eastAsiaTheme="minorEastAsia"/>
                <w:color w:val="000000" w:themeColor="text1"/>
                <w:szCs w:val="21"/>
              </w:rPr>
              <w:t>”)</w:t>
            </w:r>
          </w:p>
        </w:tc>
        <w:tc>
          <w:tcPr>
            <w:tcW w:w="3780" w:type="dxa"/>
            <w:vAlign w:val="center"/>
          </w:tcPr>
          <w:p w14:paraId="20DE670F" w14:textId="77777777" w:rsidR="00FA3CB3" w:rsidRDefault="00052A0D">
            <w:pPr>
              <w:jc w:val="left"/>
            </w:pPr>
            <w:r>
              <w:rPr>
                <w:rFonts w:eastAsiaTheme="minorEastAsia"/>
                <w:color w:val="000000" w:themeColor="text1"/>
                <w:szCs w:val="21"/>
              </w:rPr>
              <w:t>境外资产托管人</w:t>
            </w:r>
          </w:p>
        </w:tc>
      </w:tr>
      <w:tr w:rsidR="00FA3CB3" w14:paraId="18D4118C" w14:textId="77777777">
        <w:tc>
          <w:tcPr>
            <w:tcW w:w="5220" w:type="dxa"/>
            <w:vAlign w:val="center"/>
          </w:tcPr>
          <w:p w14:paraId="01A9F979" w14:textId="77777777" w:rsidR="00FA3CB3" w:rsidRDefault="00052A0D">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目标</w:t>
            </w:r>
            <w:r>
              <w:rPr>
                <w:rFonts w:eastAsiaTheme="minorEastAsia"/>
                <w:color w:val="000000" w:themeColor="text1"/>
                <w:szCs w:val="21"/>
              </w:rPr>
              <w:t>ETF)</w:t>
            </w:r>
          </w:p>
        </w:tc>
        <w:tc>
          <w:tcPr>
            <w:tcW w:w="3780" w:type="dxa"/>
            <w:vAlign w:val="center"/>
          </w:tcPr>
          <w:p w14:paraId="70D43A78" w14:textId="77777777" w:rsidR="00FA3CB3" w:rsidRDefault="00052A0D">
            <w:pPr>
              <w:jc w:val="left"/>
            </w:pPr>
            <w:r>
              <w:rPr>
                <w:rFonts w:eastAsiaTheme="minorEastAsia"/>
                <w:color w:val="000000" w:themeColor="text1"/>
                <w:szCs w:val="21"/>
              </w:rPr>
              <w:t>本基金的基金管理人管理的其他基金</w:t>
            </w:r>
          </w:p>
        </w:tc>
      </w:tr>
    </w:tbl>
    <w:p w14:paraId="1AB1E1EE" w14:textId="77777777" w:rsidR="00E278F5" w:rsidRPr="00B079CA" w:rsidRDefault="00E278F5" w:rsidP="00E278F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35353889"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 </w:t>
      </w:r>
      <w:r w:rsidRPr="007C68A4">
        <w:rPr>
          <w:b/>
          <w:color w:val="000000" w:themeColor="text1"/>
          <w:kern w:val="0"/>
          <w:szCs w:val="21"/>
        </w:rPr>
        <w:t>本报告期及上年度可比期间的关联方交易</w:t>
      </w:r>
    </w:p>
    <w:p w14:paraId="55C6A7C6"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6.4.10.1 </w:t>
      </w:r>
      <w:r w:rsidRPr="007C68A4">
        <w:rPr>
          <w:b/>
          <w:color w:val="000000" w:themeColor="text1"/>
          <w:kern w:val="0"/>
          <w:szCs w:val="21"/>
        </w:rPr>
        <w:t>关联方报酬</w:t>
      </w:r>
    </w:p>
    <w:p w14:paraId="411F4620" w14:textId="77777777" w:rsidR="00D12689" w:rsidRPr="00B079CA" w:rsidRDefault="00D12689" w:rsidP="00D1268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kern w:val="0"/>
          <w:szCs w:val="21"/>
        </w:rPr>
        <w:t>基金管理费</w:t>
      </w:r>
    </w:p>
    <w:p w14:paraId="67D20261" w14:textId="77777777" w:rsidR="00D12689" w:rsidRPr="00B079CA" w:rsidRDefault="00D12689" w:rsidP="00D1268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D12689" w:rsidRPr="00B079CA" w14:paraId="53CE2397" w14:textId="77777777" w:rsidTr="00AB141A">
        <w:tc>
          <w:tcPr>
            <w:tcW w:w="2064" w:type="pct"/>
            <w:vAlign w:val="center"/>
          </w:tcPr>
          <w:p w14:paraId="7EB22B63" w14:textId="77777777"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1437613D" w14:textId="77777777" w:rsidR="00D12689" w:rsidRPr="00B079CA" w:rsidRDefault="00D12689" w:rsidP="00AB141A">
            <w:pPr>
              <w:jc w:val="center"/>
              <w:rPr>
                <w:rFonts w:eastAsiaTheme="minorEastAsia"/>
                <w:color w:val="000000" w:themeColor="text1"/>
                <w:szCs w:val="21"/>
              </w:rPr>
            </w:pPr>
            <w:r w:rsidRPr="00B079CA">
              <w:rPr>
                <w:rFonts w:eastAsiaTheme="minorEastAsia"/>
                <w:color w:val="000000" w:themeColor="text1"/>
                <w:szCs w:val="21"/>
              </w:rPr>
              <w:t>本期</w:t>
            </w:r>
          </w:p>
          <w:p w14:paraId="2B9A26C5" w14:textId="77777777" w:rsidR="00D12689" w:rsidRPr="00B079CA" w:rsidRDefault="00D12689"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2689" w:rsidRPr="00B079CA" w14:paraId="29585412" w14:textId="77777777" w:rsidTr="00AB141A">
        <w:tc>
          <w:tcPr>
            <w:tcW w:w="2064" w:type="pct"/>
            <w:vAlign w:val="center"/>
          </w:tcPr>
          <w:p w14:paraId="26383166" w14:textId="77777777"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54CBCBDA" w14:textId="77777777"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2,327.68</w:t>
            </w:r>
          </w:p>
        </w:tc>
      </w:tr>
      <w:tr w:rsidR="00D12689" w:rsidRPr="00B079CA" w14:paraId="5B43A32B" w14:textId="77777777" w:rsidTr="00AB141A">
        <w:tc>
          <w:tcPr>
            <w:tcW w:w="2064" w:type="pct"/>
            <w:vAlign w:val="center"/>
          </w:tcPr>
          <w:p w14:paraId="3C9E0344" w14:textId="77777777" w:rsidR="00D12689" w:rsidRPr="00B079CA" w:rsidRDefault="00D12689"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14F0218C" w14:textId="77777777" w:rsidR="00D12689" w:rsidRPr="00B079CA" w:rsidRDefault="00D12689" w:rsidP="00AB141A">
            <w:pPr>
              <w:jc w:val="right"/>
              <w:rPr>
                <w:rFonts w:eastAsiaTheme="minorEastAsia"/>
                <w:color w:val="000000" w:themeColor="text1"/>
                <w:szCs w:val="21"/>
              </w:rPr>
            </w:pPr>
            <w:r w:rsidRPr="00B079CA">
              <w:rPr>
                <w:rFonts w:eastAsiaTheme="minorEastAsia"/>
                <w:color w:val="000000" w:themeColor="text1"/>
                <w:szCs w:val="21"/>
              </w:rPr>
              <w:t>19,735.91</w:t>
            </w:r>
          </w:p>
        </w:tc>
      </w:tr>
      <w:tr w:rsidR="00D12689" w:rsidRPr="00DF6727" w14:paraId="54BE9E2D" w14:textId="77777777" w:rsidTr="00AB141A">
        <w:tc>
          <w:tcPr>
            <w:tcW w:w="2064" w:type="pct"/>
          </w:tcPr>
          <w:p w14:paraId="4CD78203" w14:textId="77777777" w:rsidR="00D12689" w:rsidRPr="00B079CA" w:rsidRDefault="00D12689" w:rsidP="00AB141A">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02A37B52" w14:textId="77777777" w:rsidR="00D12689" w:rsidRPr="00B079CA" w:rsidRDefault="00D12689" w:rsidP="00AB141A">
            <w:pPr>
              <w:jc w:val="right"/>
              <w:rPr>
                <w:rFonts w:eastAsiaTheme="minorEastAsia"/>
                <w:color w:val="000000" w:themeColor="text1"/>
                <w:szCs w:val="21"/>
              </w:rPr>
            </w:pPr>
            <w:r w:rsidRPr="00DF6727">
              <w:rPr>
                <w:rFonts w:eastAsiaTheme="minorEastAsia"/>
                <w:color w:val="000000" w:themeColor="text1"/>
                <w:szCs w:val="21"/>
              </w:rPr>
              <w:t>-17,408.23</w:t>
            </w:r>
          </w:p>
        </w:tc>
      </w:tr>
    </w:tbl>
    <w:p w14:paraId="2FC716B1" w14:textId="77777777" w:rsidR="00FA3CB3" w:rsidRDefault="00052A0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支付基金管理人的管理人报酬按前一日基金资产净值扣除所持有目标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基金份额部分的基金资产后的余额</w:t>
      </w:r>
      <w:r>
        <w:rPr>
          <w:rFonts w:eastAsiaTheme="minorEastAsia"/>
          <w:color w:val="000000" w:themeColor="text1"/>
          <w:kern w:val="0"/>
          <w:szCs w:val="21"/>
        </w:rPr>
        <w:t>(</w:t>
      </w:r>
      <w:r>
        <w:rPr>
          <w:rFonts w:eastAsiaTheme="minorEastAsia"/>
          <w:color w:val="000000" w:themeColor="text1"/>
          <w:kern w:val="0"/>
          <w:szCs w:val="21"/>
        </w:rPr>
        <w:t>若为负数，则取零</w:t>
      </w:r>
      <w:r>
        <w:rPr>
          <w:rFonts w:eastAsiaTheme="minorEastAsia"/>
          <w:color w:val="000000" w:themeColor="text1"/>
          <w:kern w:val="0"/>
          <w:szCs w:val="21"/>
        </w:rPr>
        <w:t>)</w:t>
      </w:r>
      <w:r>
        <w:rPr>
          <w:rFonts w:eastAsiaTheme="minorEastAsia"/>
          <w:color w:val="000000" w:themeColor="text1"/>
          <w:kern w:val="0"/>
          <w:szCs w:val="21"/>
        </w:rPr>
        <w:t>的</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03BE55D4" w14:textId="77777777" w:rsidR="00FA3CB3" w:rsidRDefault="00052A0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日管理人报酬＝</w:t>
      </w:r>
      <w:r>
        <w:rPr>
          <w:rFonts w:eastAsiaTheme="minorEastAsia"/>
          <w:color w:val="000000" w:themeColor="text1"/>
          <w:kern w:val="0"/>
          <w:szCs w:val="21"/>
        </w:rPr>
        <w:t>(</w:t>
      </w:r>
      <w:r>
        <w:rPr>
          <w:rFonts w:eastAsiaTheme="minorEastAsia"/>
          <w:color w:val="000000" w:themeColor="text1"/>
          <w:kern w:val="0"/>
          <w:szCs w:val="21"/>
        </w:rPr>
        <w:t>前一日基金资产净值</w:t>
      </w:r>
      <w:r>
        <w:rPr>
          <w:rFonts w:eastAsiaTheme="minorEastAsia"/>
          <w:color w:val="000000" w:themeColor="text1"/>
          <w:kern w:val="0"/>
          <w:szCs w:val="21"/>
        </w:rPr>
        <w:t>-</w:t>
      </w:r>
      <w:r>
        <w:rPr>
          <w:rFonts w:eastAsiaTheme="minorEastAsia"/>
          <w:color w:val="000000" w:themeColor="text1"/>
          <w:kern w:val="0"/>
          <w:szCs w:val="21"/>
        </w:rPr>
        <w:t>前一日所持有目标</w:t>
      </w:r>
      <w:r>
        <w:rPr>
          <w:rFonts w:eastAsiaTheme="minorEastAsia"/>
          <w:color w:val="000000" w:themeColor="text1"/>
          <w:kern w:val="0"/>
          <w:szCs w:val="21"/>
        </w:rPr>
        <w:t>ETF</w:t>
      </w:r>
      <w:r>
        <w:rPr>
          <w:rFonts w:eastAsiaTheme="minorEastAsia"/>
          <w:color w:val="000000" w:themeColor="text1"/>
          <w:kern w:val="0"/>
          <w:szCs w:val="21"/>
        </w:rPr>
        <w:t>基金份额部分的基金资产</w:t>
      </w:r>
      <w:r>
        <w:rPr>
          <w:rFonts w:eastAsiaTheme="minorEastAsia"/>
          <w:color w:val="000000" w:themeColor="text1"/>
          <w:kern w:val="0"/>
          <w:szCs w:val="21"/>
        </w:rPr>
        <w:t xml:space="preserve">) X 0.5% / </w:t>
      </w:r>
      <w:r>
        <w:rPr>
          <w:rFonts w:eastAsiaTheme="minorEastAsia"/>
          <w:color w:val="000000" w:themeColor="text1"/>
          <w:kern w:val="0"/>
          <w:szCs w:val="21"/>
        </w:rPr>
        <w:t>当年天数。</w:t>
      </w:r>
    </w:p>
    <w:p w14:paraId="37EF4B1B" w14:textId="77777777" w:rsidR="00FA3CB3" w:rsidRDefault="00FA3CB3">
      <w:pPr>
        <w:widowControl/>
        <w:spacing w:line="360" w:lineRule="auto"/>
        <w:ind w:firstLineChars="200" w:firstLine="420"/>
        <w:jc w:val="left"/>
        <w:rPr>
          <w:rFonts w:eastAsiaTheme="minorEastAsia"/>
          <w:color w:val="000000" w:themeColor="text1"/>
          <w:kern w:val="0"/>
          <w:szCs w:val="21"/>
        </w:rPr>
      </w:pPr>
    </w:p>
    <w:p w14:paraId="72212146" w14:textId="77777777" w:rsidR="00D12689" w:rsidRPr="00B079CA" w:rsidRDefault="00D12689" w:rsidP="00D12689">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本基金投资于目标</w:t>
      </w:r>
      <w:r w:rsidRPr="00B079CA">
        <w:rPr>
          <w:rFonts w:eastAsiaTheme="minorEastAsia"/>
          <w:color w:val="000000" w:themeColor="text1"/>
          <w:kern w:val="0"/>
          <w:szCs w:val="21"/>
        </w:rPr>
        <w:t>ETF</w:t>
      </w:r>
      <w:r w:rsidRPr="00B079CA">
        <w:rPr>
          <w:rFonts w:eastAsiaTheme="minorEastAsia"/>
          <w:color w:val="000000" w:themeColor="text1"/>
          <w:kern w:val="0"/>
          <w:szCs w:val="21"/>
        </w:rPr>
        <w:t>的部分不收取管理费，支付销售机构的客户维护费不因投资于基金管理人所管理的其他基金</w:t>
      </w:r>
      <w:r w:rsidRPr="00B079CA">
        <w:rPr>
          <w:rFonts w:eastAsiaTheme="minorEastAsia"/>
          <w:color w:val="000000" w:themeColor="text1"/>
          <w:kern w:val="0"/>
          <w:szCs w:val="21"/>
        </w:rPr>
        <w:t>/</w:t>
      </w:r>
      <w:r w:rsidRPr="00B079CA">
        <w:rPr>
          <w:rFonts w:eastAsiaTheme="minorEastAsia"/>
          <w:color w:val="000000" w:themeColor="text1"/>
          <w:kern w:val="0"/>
          <w:szCs w:val="21"/>
        </w:rPr>
        <w:t>目标</w:t>
      </w:r>
      <w:r w:rsidRPr="00B079CA">
        <w:rPr>
          <w:rFonts w:eastAsiaTheme="minorEastAsia"/>
          <w:color w:val="000000" w:themeColor="text1"/>
          <w:kern w:val="0"/>
          <w:szCs w:val="21"/>
        </w:rPr>
        <w:t>ETF</w:t>
      </w:r>
      <w:r w:rsidRPr="00B079CA">
        <w:rPr>
          <w:rFonts w:eastAsiaTheme="minorEastAsia"/>
          <w:color w:val="000000" w:themeColor="text1"/>
          <w:kern w:val="0"/>
          <w:szCs w:val="21"/>
        </w:rPr>
        <w:t>而调减，因此应支付基金管理人的净管理费为负。</w:t>
      </w:r>
    </w:p>
    <w:p w14:paraId="7C066BCB" w14:textId="77777777"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6.4.10.1.2 </w:t>
      </w:r>
      <w:r w:rsidRPr="007C68A4">
        <w:rPr>
          <w:b/>
          <w:color w:val="000000" w:themeColor="text1"/>
          <w:kern w:val="0"/>
          <w:szCs w:val="21"/>
        </w:rPr>
        <w:t>基金托管费</w:t>
      </w:r>
    </w:p>
    <w:p w14:paraId="1D624435" w14:textId="77777777"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B507F" w:rsidRPr="007C68A4" w14:paraId="785BDD13" w14:textId="77777777" w:rsidTr="002B507F">
        <w:tc>
          <w:tcPr>
            <w:tcW w:w="3686" w:type="dxa"/>
            <w:vAlign w:val="center"/>
          </w:tcPr>
          <w:p w14:paraId="5DDF69A9" w14:textId="77777777" w:rsidR="001548F9" w:rsidRPr="007C68A4" w:rsidRDefault="001548F9" w:rsidP="0070173B">
            <w:pPr>
              <w:jc w:val="center"/>
              <w:rPr>
                <w:color w:val="000000" w:themeColor="text1"/>
                <w:szCs w:val="21"/>
              </w:rPr>
            </w:pPr>
            <w:r w:rsidRPr="007C68A4">
              <w:rPr>
                <w:color w:val="000000" w:themeColor="text1"/>
                <w:szCs w:val="21"/>
              </w:rPr>
              <w:t>项目</w:t>
            </w:r>
          </w:p>
        </w:tc>
        <w:tc>
          <w:tcPr>
            <w:tcW w:w="5314" w:type="dxa"/>
          </w:tcPr>
          <w:p w14:paraId="5EE57260" w14:textId="77777777" w:rsidR="001548F9" w:rsidRPr="007C68A4" w:rsidRDefault="001548F9" w:rsidP="0070173B">
            <w:pPr>
              <w:jc w:val="center"/>
              <w:rPr>
                <w:color w:val="000000" w:themeColor="text1"/>
                <w:szCs w:val="21"/>
              </w:rPr>
            </w:pPr>
            <w:r w:rsidRPr="007C68A4">
              <w:rPr>
                <w:color w:val="000000" w:themeColor="text1"/>
                <w:szCs w:val="21"/>
              </w:rPr>
              <w:t>本期</w:t>
            </w:r>
          </w:p>
          <w:p w14:paraId="2361C1FD" w14:textId="77777777"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2B507F" w:rsidRPr="007C68A4" w14:paraId="1436255D" w14:textId="77777777" w:rsidTr="002B507F">
        <w:tc>
          <w:tcPr>
            <w:tcW w:w="3686" w:type="dxa"/>
            <w:vAlign w:val="center"/>
          </w:tcPr>
          <w:p w14:paraId="773D1DC1" w14:textId="77777777" w:rsidR="001548F9" w:rsidRPr="007C68A4" w:rsidRDefault="001548F9" w:rsidP="0070173B">
            <w:pPr>
              <w:rPr>
                <w:color w:val="000000" w:themeColor="text1"/>
                <w:szCs w:val="21"/>
              </w:rPr>
            </w:pPr>
            <w:r w:rsidRPr="007C68A4">
              <w:rPr>
                <w:color w:val="000000" w:themeColor="text1"/>
                <w:szCs w:val="21"/>
              </w:rPr>
              <w:t>当期发生的基金应支付的托管费</w:t>
            </w:r>
          </w:p>
        </w:tc>
        <w:tc>
          <w:tcPr>
            <w:tcW w:w="5314" w:type="dxa"/>
            <w:vAlign w:val="center"/>
          </w:tcPr>
          <w:p w14:paraId="7EAB7F0E" w14:textId="77777777" w:rsidR="001548F9" w:rsidRPr="007C68A4" w:rsidRDefault="001548F9" w:rsidP="0070173B">
            <w:pPr>
              <w:jc w:val="right"/>
              <w:rPr>
                <w:color w:val="000000" w:themeColor="text1"/>
                <w:kern w:val="0"/>
                <w:szCs w:val="21"/>
              </w:rPr>
            </w:pPr>
            <w:r w:rsidRPr="007C68A4">
              <w:rPr>
                <w:color w:val="000000" w:themeColor="text1"/>
                <w:szCs w:val="21"/>
              </w:rPr>
              <w:t>465.55</w:t>
            </w:r>
          </w:p>
        </w:tc>
      </w:tr>
    </w:tbl>
    <w:p w14:paraId="7C7700A0" w14:textId="214EFE31" w:rsidR="009F4F9A" w:rsidRDefault="009F4F9A" w:rsidP="003472DB">
      <w:r>
        <w:rPr>
          <w:rFonts w:hint="eastAsia"/>
        </w:rPr>
        <w:t>注：</w:t>
      </w:r>
      <w:r w:rsidRPr="009F4F9A">
        <w:rPr>
          <w:rFonts w:hint="eastAsia"/>
        </w:rPr>
        <w:t>支付基金托管人的托管费按前一日基金资产净值扣除所持有目标</w:t>
      </w:r>
      <w:r w:rsidRPr="009F4F9A">
        <w:rPr>
          <w:rFonts w:hint="eastAsia"/>
        </w:rPr>
        <w:t>ETF</w:t>
      </w:r>
      <w:r w:rsidRPr="009F4F9A">
        <w:rPr>
          <w:rFonts w:hint="eastAsia"/>
        </w:rPr>
        <w:t>基金份额部分的基金资产后的余额</w:t>
      </w:r>
      <w:r w:rsidRPr="009F4F9A">
        <w:rPr>
          <w:rFonts w:hint="eastAsia"/>
        </w:rPr>
        <w:t>(</w:t>
      </w:r>
      <w:r w:rsidRPr="009F4F9A">
        <w:rPr>
          <w:rFonts w:hint="eastAsia"/>
        </w:rPr>
        <w:t>若为负数，则取零</w:t>
      </w:r>
      <w:r w:rsidRPr="009F4F9A">
        <w:rPr>
          <w:rFonts w:hint="eastAsia"/>
        </w:rPr>
        <w:t>)</w:t>
      </w:r>
      <w:r w:rsidRPr="009F4F9A">
        <w:rPr>
          <w:rFonts w:hint="eastAsia"/>
        </w:rPr>
        <w:t>的</w:t>
      </w:r>
      <w:r w:rsidRPr="009F4F9A">
        <w:rPr>
          <w:rFonts w:hint="eastAsia"/>
        </w:rPr>
        <w:t>0.1%</w:t>
      </w:r>
      <w:r w:rsidRPr="009F4F9A">
        <w:rPr>
          <w:rFonts w:hint="eastAsia"/>
        </w:rPr>
        <w:t>的年费率计提，逐日累计至每月月底，按月支付。其计算公式为：</w:t>
      </w:r>
      <w:r w:rsidRPr="009F4F9A">
        <w:rPr>
          <w:rFonts w:hint="eastAsia"/>
        </w:rPr>
        <w:t xml:space="preserve"> </w:t>
      </w:r>
      <w:r w:rsidRPr="009F4F9A">
        <w:rPr>
          <w:rFonts w:hint="eastAsia"/>
        </w:rPr>
        <w:t>日托管费＝</w:t>
      </w:r>
      <w:r w:rsidRPr="009F4F9A">
        <w:rPr>
          <w:rFonts w:hint="eastAsia"/>
        </w:rPr>
        <w:t>(</w:t>
      </w:r>
      <w:r w:rsidRPr="009F4F9A">
        <w:rPr>
          <w:rFonts w:hint="eastAsia"/>
        </w:rPr>
        <w:t>前一日基金资产净值</w:t>
      </w:r>
      <w:r w:rsidRPr="009F4F9A">
        <w:rPr>
          <w:rFonts w:hint="eastAsia"/>
        </w:rPr>
        <w:t>-</w:t>
      </w:r>
      <w:r w:rsidRPr="009F4F9A">
        <w:rPr>
          <w:rFonts w:hint="eastAsia"/>
        </w:rPr>
        <w:t>前一日所持有目标</w:t>
      </w:r>
      <w:r w:rsidRPr="009F4F9A">
        <w:rPr>
          <w:rFonts w:hint="eastAsia"/>
        </w:rPr>
        <w:t>ETF</w:t>
      </w:r>
      <w:r w:rsidRPr="009F4F9A">
        <w:rPr>
          <w:rFonts w:hint="eastAsia"/>
        </w:rPr>
        <w:t>基金份额部分的基金资产</w:t>
      </w:r>
      <w:r w:rsidRPr="009F4F9A">
        <w:rPr>
          <w:rFonts w:hint="eastAsia"/>
        </w:rPr>
        <w:t xml:space="preserve">) X 0.1% / </w:t>
      </w:r>
      <w:r w:rsidRPr="009F4F9A">
        <w:rPr>
          <w:rFonts w:hint="eastAsia"/>
        </w:rPr>
        <w:t>当年天数。</w:t>
      </w:r>
    </w:p>
    <w:p w14:paraId="7C441C33" w14:textId="793835DB" w:rsidR="00E47503" w:rsidRPr="007C68A4" w:rsidRDefault="00E47503" w:rsidP="00E47503">
      <w:pPr>
        <w:autoSpaceDE w:val="0"/>
        <w:autoSpaceDN w:val="0"/>
        <w:adjustRightIn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6.4.10.1.3 </w:t>
      </w:r>
      <w:r w:rsidRPr="007C68A4">
        <w:rPr>
          <w:rFonts w:eastAsiaTheme="minorEastAsia"/>
          <w:b/>
          <w:color w:val="000000" w:themeColor="text1"/>
          <w:kern w:val="0"/>
          <w:szCs w:val="21"/>
        </w:rPr>
        <w:t>销售服务费</w:t>
      </w:r>
    </w:p>
    <w:p w14:paraId="5BFAD24D" w14:textId="77777777" w:rsidR="003F748E" w:rsidRPr="007C68A4" w:rsidRDefault="003F748E" w:rsidP="003F748E">
      <w:pPr>
        <w:wordWrap w:val="0"/>
        <w:autoSpaceDE w:val="0"/>
        <w:autoSpaceDN w:val="0"/>
        <w:adjustRightInd w:val="0"/>
        <w:spacing w:before="29" w:line="288" w:lineRule="auto"/>
        <w:ind w:left="15"/>
        <w:jc w:val="right"/>
        <w:rPr>
          <w:rFonts w:eastAsiaTheme="minorEastAsia"/>
          <w:color w:val="000000" w:themeColor="text1"/>
          <w:szCs w:val="21"/>
        </w:rPr>
      </w:pPr>
      <w:r w:rsidRPr="007C68A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3A53B3" w:rsidRPr="007C68A4" w14:paraId="2A259F1E" w14:textId="77777777"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062C4E4"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8282E67"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本期</w:t>
            </w:r>
          </w:p>
          <w:p w14:paraId="2888FB83"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2024</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14:paraId="44B63122" w14:textId="77777777"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056032A" w14:textId="77777777" w:rsidR="003F748E" w:rsidRPr="007C68A4" w:rsidRDefault="003F748E" w:rsidP="00A0368A">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EC41DBF" w14:textId="77777777"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14:paraId="6A3C9659" w14:textId="77777777"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C87BA3F" w14:textId="77777777"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E00D503"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0F88A91"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9E8922C" w14:textId="77777777"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合计</w:t>
            </w:r>
          </w:p>
        </w:tc>
      </w:tr>
      <w:tr w:rsidR="00FA3CB3" w14:paraId="02BCE799" w14:textId="77777777">
        <w:tc>
          <w:tcPr>
            <w:tcW w:w="2110" w:type="dxa"/>
            <w:vAlign w:val="center"/>
          </w:tcPr>
          <w:p w14:paraId="3160B19E" w14:textId="77777777" w:rsidR="00FA3CB3" w:rsidRDefault="00052A0D">
            <w:pPr>
              <w:jc w:val="left"/>
            </w:pPr>
            <w:r>
              <w:rPr>
                <w:rFonts w:eastAsiaTheme="minorEastAsia"/>
                <w:color w:val="000000" w:themeColor="text1"/>
                <w:szCs w:val="21"/>
              </w:rPr>
              <w:t>摩根基金管理（中国）有限公司</w:t>
            </w:r>
          </w:p>
        </w:tc>
        <w:tc>
          <w:tcPr>
            <w:tcW w:w="1862" w:type="dxa"/>
            <w:vAlign w:val="center"/>
          </w:tcPr>
          <w:p w14:paraId="658AD9B5" w14:textId="77777777" w:rsidR="00FA3CB3" w:rsidRDefault="00052A0D">
            <w:pPr>
              <w:jc w:val="right"/>
            </w:pPr>
            <w:r>
              <w:rPr>
                <w:rFonts w:eastAsiaTheme="minorEastAsia"/>
                <w:color w:val="000000" w:themeColor="text1"/>
                <w:szCs w:val="21"/>
              </w:rPr>
              <w:t>-</w:t>
            </w:r>
          </w:p>
        </w:tc>
        <w:tc>
          <w:tcPr>
            <w:tcW w:w="2282" w:type="dxa"/>
            <w:vAlign w:val="center"/>
          </w:tcPr>
          <w:p w14:paraId="1ACED065" w14:textId="77777777" w:rsidR="00FA3CB3" w:rsidRDefault="00052A0D">
            <w:pPr>
              <w:jc w:val="right"/>
            </w:pPr>
            <w:r>
              <w:rPr>
                <w:rFonts w:eastAsiaTheme="minorEastAsia"/>
                <w:color w:val="000000" w:themeColor="text1"/>
                <w:szCs w:val="21"/>
              </w:rPr>
              <w:t>13,496.65</w:t>
            </w:r>
          </w:p>
        </w:tc>
        <w:tc>
          <w:tcPr>
            <w:tcW w:w="3247" w:type="dxa"/>
            <w:vAlign w:val="center"/>
          </w:tcPr>
          <w:p w14:paraId="0B1D6BCA" w14:textId="77777777" w:rsidR="00FA3CB3" w:rsidRDefault="00052A0D">
            <w:pPr>
              <w:jc w:val="right"/>
            </w:pPr>
            <w:r>
              <w:rPr>
                <w:rFonts w:eastAsiaTheme="minorEastAsia"/>
                <w:color w:val="000000" w:themeColor="text1"/>
                <w:szCs w:val="21"/>
              </w:rPr>
              <w:t>13,496.65</w:t>
            </w:r>
          </w:p>
        </w:tc>
      </w:tr>
      <w:tr w:rsidR="003A53B3" w:rsidRPr="007C68A4" w14:paraId="4A913A76" w14:textId="77777777"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14:paraId="240D8970" w14:textId="77777777"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65E51A7"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B6F347B"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13,496.65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43D3118" w14:textId="77777777"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13,496.65</w:t>
            </w:r>
          </w:p>
        </w:tc>
      </w:tr>
    </w:tbl>
    <w:p w14:paraId="407CAB6A" w14:textId="2776E3BF" w:rsidR="001548F9" w:rsidRPr="007C68A4" w:rsidRDefault="009F4F9A" w:rsidP="009F4F9A">
      <w:pPr>
        <w:tabs>
          <w:tab w:val="left" w:pos="426"/>
        </w:tabs>
        <w:jc w:val="left"/>
        <w:rPr>
          <w:color w:val="000000" w:themeColor="text1"/>
          <w:szCs w:val="21"/>
        </w:rPr>
      </w:pPr>
      <w:r>
        <w:rPr>
          <w:rFonts w:hint="eastAsia"/>
          <w:color w:val="000000" w:themeColor="text1"/>
          <w:szCs w:val="21"/>
        </w:rPr>
        <w:t>注：</w:t>
      </w:r>
      <w:r w:rsidRPr="009F4F9A">
        <w:rPr>
          <w:rFonts w:hint="eastAsia"/>
          <w:color w:val="000000" w:themeColor="text1"/>
          <w:szCs w:val="21"/>
        </w:rPr>
        <w:t>支付基金销售机构的销售服务费按前一日</w:t>
      </w:r>
      <w:r w:rsidRPr="009F4F9A">
        <w:rPr>
          <w:rFonts w:hint="eastAsia"/>
          <w:color w:val="000000" w:themeColor="text1"/>
          <w:szCs w:val="21"/>
        </w:rPr>
        <w:t>C</w:t>
      </w:r>
      <w:r w:rsidRPr="009F4F9A">
        <w:rPr>
          <w:rFonts w:hint="eastAsia"/>
          <w:color w:val="000000" w:themeColor="text1"/>
          <w:szCs w:val="21"/>
        </w:rPr>
        <w:t>类基金份额的基金资产净值</w:t>
      </w:r>
      <w:r w:rsidRPr="009F4F9A">
        <w:rPr>
          <w:rFonts w:hint="eastAsia"/>
          <w:color w:val="000000" w:themeColor="text1"/>
          <w:szCs w:val="21"/>
        </w:rPr>
        <w:t>0.30%</w:t>
      </w:r>
      <w:r w:rsidRPr="009F4F9A">
        <w:rPr>
          <w:rFonts w:hint="eastAsia"/>
          <w:color w:val="000000" w:themeColor="text1"/>
          <w:szCs w:val="21"/>
        </w:rPr>
        <w:t>的年费率计提，逐日累计至每月月底，按月支付给管理人，再由管理人计算并支付给各基金销售机构。</w:t>
      </w:r>
      <w:r w:rsidRPr="009F4F9A">
        <w:rPr>
          <w:rFonts w:hint="eastAsia"/>
          <w:color w:val="000000" w:themeColor="text1"/>
          <w:szCs w:val="21"/>
        </w:rPr>
        <w:t>A</w:t>
      </w:r>
      <w:r w:rsidRPr="009F4F9A">
        <w:rPr>
          <w:rFonts w:hint="eastAsia"/>
          <w:color w:val="000000" w:themeColor="text1"/>
          <w:szCs w:val="21"/>
        </w:rPr>
        <w:t>类基金份额不收取销售服务费。其计算公式为：日销售服务费＝前一日</w:t>
      </w:r>
      <w:r w:rsidRPr="009F4F9A">
        <w:rPr>
          <w:rFonts w:hint="eastAsia"/>
          <w:color w:val="000000" w:themeColor="text1"/>
          <w:szCs w:val="21"/>
        </w:rPr>
        <w:t>C</w:t>
      </w:r>
      <w:r w:rsidRPr="009F4F9A">
        <w:rPr>
          <w:rFonts w:hint="eastAsia"/>
          <w:color w:val="000000" w:themeColor="text1"/>
          <w:szCs w:val="21"/>
        </w:rPr>
        <w:t>类的基金资产净值</w:t>
      </w:r>
      <w:r w:rsidRPr="009F4F9A">
        <w:rPr>
          <w:rFonts w:hint="eastAsia"/>
          <w:color w:val="000000" w:themeColor="text1"/>
          <w:szCs w:val="21"/>
        </w:rPr>
        <w:t xml:space="preserve"> X0.30%/ </w:t>
      </w:r>
      <w:r w:rsidRPr="009F4F9A">
        <w:rPr>
          <w:rFonts w:hint="eastAsia"/>
          <w:color w:val="000000" w:themeColor="text1"/>
          <w:szCs w:val="21"/>
        </w:rPr>
        <w:t>当年天数。</w:t>
      </w:r>
    </w:p>
    <w:p w14:paraId="09C8E697"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6.4.10.2 </w:t>
      </w:r>
      <w:r w:rsidRPr="007C68A4">
        <w:rPr>
          <w:b/>
          <w:bCs/>
          <w:color w:val="000000" w:themeColor="text1"/>
          <w:szCs w:val="21"/>
        </w:rPr>
        <w:t>各关联方投资本基金的情况</w:t>
      </w:r>
    </w:p>
    <w:p w14:paraId="7B42E39A" w14:textId="77777777" w:rsidR="00A03B36" w:rsidRPr="00B079CA" w:rsidRDefault="00A03B36" w:rsidP="00A03B36">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6.4.10.2.1 </w:t>
      </w:r>
      <w:r w:rsidRPr="00B079CA">
        <w:rPr>
          <w:rFonts w:eastAsiaTheme="minorEastAsia"/>
          <w:b/>
          <w:bCs/>
          <w:color w:val="000000" w:themeColor="text1"/>
          <w:szCs w:val="21"/>
        </w:rPr>
        <w:t>报告期内基金管理人运用固有资金投资本基金的情况</w:t>
      </w:r>
    </w:p>
    <w:p w14:paraId="5022865A" w14:textId="77777777" w:rsidR="00A03B36" w:rsidRPr="00B079CA" w:rsidRDefault="00A03B36" w:rsidP="00A03B36">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3402"/>
        <w:gridCol w:w="3365"/>
      </w:tblGrid>
      <w:tr w:rsidR="00A03B36" w:rsidRPr="00B079CA" w14:paraId="555AAB4F" w14:textId="77777777" w:rsidTr="005C57CD">
        <w:trPr>
          <w:trHeight w:val="340"/>
        </w:trPr>
        <w:tc>
          <w:tcPr>
            <w:tcW w:w="1356" w:type="pct"/>
            <w:vMerge w:val="restart"/>
            <w:vAlign w:val="center"/>
          </w:tcPr>
          <w:p w14:paraId="57890AD4"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3644" w:type="pct"/>
            <w:gridSpan w:val="2"/>
            <w:vAlign w:val="center"/>
          </w:tcPr>
          <w:p w14:paraId="3F714294"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7140041"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03B36" w:rsidRPr="00B079CA" w14:paraId="27389130" w14:textId="77777777" w:rsidTr="005C57CD">
        <w:trPr>
          <w:trHeight w:val="1066"/>
        </w:trPr>
        <w:tc>
          <w:tcPr>
            <w:tcW w:w="1356" w:type="pct"/>
            <w:vMerge/>
            <w:vAlign w:val="center"/>
          </w:tcPr>
          <w:p w14:paraId="126ACC8B" w14:textId="77777777" w:rsidR="00A03B36" w:rsidRPr="00B079CA" w:rsidRDefault="00A03B36" w:rsidP="005C57CD">
            <w:pPr>
              <w:widowControl/>
              <w:jc w:val="left"/>
              <w:rPr>
                <w:rFonts w:eastAsiaTheme="minorEastAsia"/>
                <w:color w:val="000000" w:themeColor="text1"/>
                <w:szCs w:val="21"/>
              </w:rPr>
            </w:pPr>
          </w:p>
        </w:tc>
        <w:tc>
          <w:tcPr>
            <w:tcW w:w="1832" w:type="pct"/>
            <w:vAlign w:val="center"/>
          </w:tcPr>
          <w:p w14:paraId="2635B7FB"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摩根恒生科技</w:t>
            </w:r>
            <w:r w:rsidRPr="00B079CA">
              <w:rPr>
                <w:rFonts w:eastAsiaTheme="minorEastAsia"/>
                <w:color w:val="000000" w:themeColor="text1"/>
                <w:szCs w:val="21"/>
              </w:rPr>
              <w:t>ETF</w:t>
            </w:r>
            <w:r w:rsidRPr="00B079CA">
              <w:rPr>
                <w:rFonts w:eastAsiaTheme="minorEastAsia"/>
                <w:color w:val="000000" w:themeColor="text1"/>
                <w:szCs w:val="21"/>
              </w:rPr>
              <w:t>发起式联接</w:t>
            </w:r>
            <w:r w:rsidRPr="00B079CA">
              <w:rPr>
                <w:rFonts w:eastAsiaTheme="minorEastAsia"/>
                <w:color w:val="000000" w:themeColor="text1"/>
                <w:szCs w:val="21"/>
              </w:rPr>
              <w:t>(QDII)A</w:t>
            </w:r>
          </w:p>
        </w:tc>
        <w:tc>
          <w:tcPr>
            <w:tcW w:w="1812" w:type="pct"/>
            <w:vAlign w:val="center"/>
          </w:tcPr>
          <w:p w14:paraId="75DFD699" w14:textId="77777777" w:rsidR="00A03B36" w:rsidRPr="00B079CA" w:rsidRDefault="00A03B36"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摩根恒生科技</w:t>
            </w:r>
            <w:r w:rsidRPr="00B079CA">
              <w:rPr>
                <w:rFonts w:eastAsiaTheme="minorEastAsia"/>
                <w:color w:val="000000" w:themeColor="text1"/>
                <w:szCs w:val="21"/>
              </w:rPr>
              <w:t>ETF</w:t>
            </w:r>
            <w:r w:rsidRPr="00B079CA">
              <w:rPr>
                <w:rFonts w:eastAsiaTheme="minorEastAsia"/>
                <w:color w:val="000000" w:themeColor="text1"/>
                <w:szCs w:val="21"/>
              </w:rPr>
              <w:t>发起式联接</w:t>
            </w:r>
            <w:r w:rsidRPr="00B079CA">
              <w:rPr>
                <w:rFonts w:eastAsiaTheme="minorEastAsia"/>
                <w:color w:val="000000" w:themeColor="text1"/>
                <w:szCs w:val="21"/>
              </w:rPr>
              <w:t>(QDII)C</w:t>
            </w:r>
          </w:p>
        </w:tc>
      </w:tr>
      <w:tr w:rsidR="00A03B36" w:rsidRPr="00B079CA" w14:paraId="774BC4CD" w14:textId="77777777" w:rsidTr="005C57CD">
        <w:trPr>
          <w:trHeight w:val="340"/>
        </w:trPr>
        <w:tc>
          <w:tcPr>
            <w:tcW w:w="1356" w:type="pct"/>
            <w:vAlign w:val="center"/>
          </w:tcPr>
          <w:p w14:paraId="40269D9A" w14:textId="77777777" w:rsidR="00A03B36" w:rsidRPr="00B079CA" w:rsidRDefault="00A03B36" w:rsidP="005C57CD">
            <w:pPr>
              <w:pStyle w:val="af2"/>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1832" w:type="pct"/>
            <w:vAlign w:val="bottom"/>
          </w:tcPr>
          <w:p w14:paraId="2478FB82"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5055668B"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10,000,097.22</w:t>
            </w:r>
          </w:p>
        </w:tc>
      </w:tr>
      <w:tr w:rsidR="00A03B36" w:rsidRPr="00B079CA" w14:paraId="1EF52580" w14:textId="77777777" w:rsidTr="005C57CD">
        <w:trPr>
          <w:trHeight w:val="340"/>
        </w:trPr>
        <w:tc>
          <w:tcPr>
            <w:tcW w:w="1356" w:type="pct"/>
            <w:vAlign w:val="center"/>
          </w:tcPr>
          <w:p w14:paraId="30C9D24D"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lastRenderedPageBreak/>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1832" w:type="pct"/>
            <w:vAlign w:val="bottom"/>
          </w:tcPr>
          <w:p w14:paraId="4995A81E"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0D5F6011"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7B90F5D1" w14:textId="77777777" w:rsidTr="005C57CD">
        <w:trPr>
          <w:trHeight w:val="340"/>
        </w:trPr>
        <w:tc>
          <w:tcPr>
            <w:tcW w:w="1356" w:type="pct"/>
            <w:vAlign w:val="center"/>
          </w:tcPr>
          <w:p w14:paraId="3DAC5141"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1832" w:type="pct"/>
            <w:vAlign w:val="bottom"/>
          </w:tcPr>
          <w:p w14:paraId="16B5F578"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5D96C1AD"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5F45AFAF" w14:textId="77777777" w:rsidTr="005C57CD">
        <w:trPr>
          <w:trHeight w:val="340"/>
        </w:trPr>
        <w:tc>
          <w:tcPr>
            <w:tcW w:w="1356" w:type="pct"/>
            <w:vAlign w:val="center"/>
          </w:tcPr>
          <w:p w14:paraId="03334951" w14:textId="77777777" w:rsidR="00A03B36" w:rsidRPr="00B079CA" w:rsidRDefault="00A03B36"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1832" w:type="pct"/>
            <w:vAlign w:val="bottom"/>
          </w:tcPr>
          <w:p w14:paraId="61905B9A"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7A16FF1B"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03B36" w:rsidRPr="00B079CA" w14:paraId="5729F778" w14:textId="77777777" w:rsidTr="005C57CD">
        <w:trPr>
          <w:trHeight w:val="340"/>
        </w:trPr>
        <w:tc>
          <w:tcPr>
            <w:tcW w:w="1356" w:type="pct"/>
            <w:vAlign w:val="center"/>
          </w:tcPr>
          <w:p w14:paraId="0F71B69A"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1832" w:type="pct"/>
            <w:vAlign w:val="bottom"/>
          </w:tcPr>
          <w:p w14:paraId="1876E63F"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246BD07C"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10,000,097.22</w:t>
            </w:r>
          </w:p>
        </w:tc>
      </w:tr>
      <w:tr w:rsidR="00A03B36" w:rsidRPr="00B079CA" w14:paraId="4A34E9E2" w14:textId="77777777" w:rsidTr="005C57CD">
        <w:trPr>
          <w:trHeight w:val="340"/>
        </w:trPr>
        <w:tc>
          <w:tcPr>
            <w:tcW w:w="1356" w:type="pct"/>
            <w:vAlign w:val="center"/>
          </w:tcPr>
          <w:p w14:paraId="000788F2" w14:textId="77777777" w:rsidR="00A03B36" w:rsidRPr="00B079CA" w:rsidRDefault="00A03B36"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3C1D50EE" w14:textId="77777777" w:rsidR="00A03B36" w:rsidRPr="00B079CA" w:rsidRDefault="00A03B36"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1832" w:type="pct"/>
            <w:vAlign w:val="bottom"/>
          </w:tcPr>
          <w:p w14:paraId="4BB689F6"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34D77F21" w14:textId="77777777" w:rsidR="00A03B36" w:rsidRPr="00B079CA" w:rsidRDefault="00A03B36" w:rsidP="005C57CD">
            <w:pPr>
              <w:jc w:val="right"/>
              <w:rPr>
                <w:rFonts w:eastAsiaTheme="minorEastAsia"/>
                <w:color w:val="000000" w:themeColor="text1"/>
                <w:szCs w:val="21"/>
              </w:rPr>
            </w:pPr>
            <w:r w:rsidRPr="00B079CA">
              <w:rPr>
                <w:rFonts w:eastAsiaTheme="minorEastAsia"/>
                <w:color w:val="000000" w:themeColor="text1"/>
                <w:szCs w:val="21"/>
              </w:rPr>
              <w:t>32.53%</w:t>
            </w:r>
          </w:p>
        </w:tc>
      </w:tr>
    </w:tbl>
    <w:p w14:paraId="6AFD5538"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6.4.10.3 </w:t>
      </w:r>
      <w:r w:rsidRPr="007C68A4">
        <w:rPr>
          <w:b/>
          <w:bCs/>
          <w:color w:val="000000" w:themeColor="text1"/>
          <w:szCs w:val="21"/>
        </w:rPr>
        <w:t>由关联方保管的银行存款余额及当期产生的利息收入</w:t>
      </w:r>
    </w:p>
    <w:p w14:paraId="13BB488C" w14:textId="77777777"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A53B3" w:rsidRPr="007C68A4" w14:paraId="39216108" w14:textId="77777777" w:rsidTr="003C0ECA">
        <w:tc>
          <w:tcPr>
            <w:tcW w:w="2694" w:type="dxa"/>
            <w:vMerge w:val="restart"/>
            <w:vAlign w:val="center"/>
          </w:tcPr>
          <w:p w14:paraId="12DAD870"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关联方名称</w:t>
            </w:r>
          </w:p>
        </w:tc>
        <w:tc>
          <w:tcPr>
            <w:tcW w:w="6306" w:type="dxa"/>
            <w:gridSpan w:val="2"/>
          </w:tcPr>
          <w:p w14:paraId="70ADEF4A"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本期</w:t>
            </w:r>
          </w:p>
          <w:p w14:paraId="5BC1E956" w14:textId="77777777" w:rsidR="00300128" w:rsidRPr="007C68A4" w:rsidRDefault="00300128" w:rsidP="003C0ECA">
            <w:pPr>
              <w:widowControl/>
              <w:autoSpaceDE w:val="0"/>
              <w:autoSpaceDN w:val="0"/>
              <w:spacing w:line="360" w:lineRule="auto"/>
              <w:ind w:right="-15"/>
              <w:jc w:val="center"/>
              <w:textAlignment w:val="bottom"/>
              <w:rPr>
                <w:color w:val="000000" w:themeColor="text1"/>
                <w:kern w:val="0"/>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14:paraId="1B600DAE" w14:textId="77777777" w:rsidTr="003C0ECA">
        <w:tc>
          <w:tcPr>
            <w:tcW w:w="2694" w:type="dxa"/>
            <w:vMerge/>
            <w:vAlign w:val="center"/>
          </w:tcPr>
          <w:p w14:paraId="5094531C" w14:textId="77777777" w:rsidR="00300128" w:rsidRPr="007C68A4" w:rsidRDefault="00300128" w:rsidP="003C0ECA">
            <w:pPr>
              <w:widowControl/>
              <w:spacing w:line="360" w:lineRule="auto"/>
              <w:jc w:val="left"/>
              <w:rPr>
                <w:color w:val="000000" w:themeColor="text1"/>
                <w:szCs w:val="21"/>
              </w:rPr>
            </w:pPr>
          </w:p>
        </w:tc>
        <w:tc>
          <w:tcPr>
            <w:tcW w:w="3153" w:type="dxa"/>
            <w:vAlign w:val="center"/>
          </w:tcPr>
          <w:p w14:paraId="654545E4"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3153" w:type="dxa"/>
            <w:vAlign w:val="center"/>
          </w:tcPr>
          <w:p w14:paraId="2D972B2C" w14:textId="77777777"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r>
      <w:tr w:rsidR="00FA3CB3" w14:paraId="56039A76" w14:textId="77777777">
        <w:tc>
          <w:tcPr>
            <w:tcW w:w="2694" w:type="dxa"/>
            <w:vAlign w:val="center"/>
          </w:tcPr>
          <w:p w14:paraId="4EF985C1" w14:textId="77777777" w:rsidR="00FA3CB3" w:rsidRDefault="00052A0D">
            <w:pPr>
              <w:jc w:val="left"/>
            </w:pPr>
            <w:r>
              <w:rPr>
                <w:color w:val="000000" w:themeColor="text1"/>
                <w:szCs w:val="21"/>
              </w:rPr>
              <w:t>中国工商银行</w:t>
            </w:r>
          </w:p>
        </w:tc>
        <w:tc>
          <w:tcPr>
            <w:tcW w:w="3153" w:type="dxa"/>
            <w:vAlign w:val="center"/>
          </w:tcPr>
          <w:p w14:paraId="558D2A22" w14:textId="77777777" w:rsidR="00FA3CB3" w:rsidRDefault="00052A0D">
            <w:pPr>
              <w:jc w:val="right"/>
            </w:pPr>
            <w:r>
              <w:rPr>
                <w:color w:val="000000" w:themeColor="text1"/>
                <w:szCs w:val="21"/>
              </w:rPr>
              <w:t>1,264,696.87</w:t>
            </w:r>
          </w:p>
        </w:tc>
        <w:tc>
          <w:tcPr>
            <w:tcW w:w="3153" w:type="dxa"/>
            <w:vAlign w:val="center"/>
          </w:tcPr>
          <w:p w14:paraId="23963F35" w14:textId="77777777" w:rsidR="00FA3CB3" w:rsidRDefault="00052A0D">
            <w:pPr>
              <w:jc w:val="right"/>
            </w:pPr>
            <w:r>
              <w:rPr>
                <w:color w:val="000000" w:themeColor="text1"/>
                <w:szCs w:val="21"/>
              </w:rPr>
              <w:t>2,377.07</w:t>
            </w:r>
          </w:p>
        </w:tc>
      </w:tr>
    </w:tbl>
    <w:p w14:paraId="63498246" w14:textId="77777777" w:rsidR="001548F9" w:rsidRPr="007C68A4" w:rsidRDefault="00300128" w:rsidP="001F0F10">
      <w:pPr>
        <w:tabs>
          <w:tab w:val="left" w:pos="426"/>
        </w:tabs>
        <w:spacing w:line="360" w:lineRule="auto"/>
        <w:jc w:val="left"/>
        <w:rPr>
          <w:color w:val="000000" w:themeColor="text1"/>
          <w:szCs w:val="21"/>
        </w:rPr>
      </w:pPr>
      <w:r w:rsidRPr="007C68A4">
        <w:rPr>
          <w:color w:val="000000" w:themeColor="text1"/>
          <w:kern w:val="0"/>
          <w:szCs w:val="21"/>
        </w:rPr>
        <w:t>注：本基金的银行存款由基金托管人中国工商银行保管，按适用利率计息。</w:t>
      </w:r>
    </w:p>
    <w:p w14:paraId="1617965E"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6.4.10.4 </w:t>
      </w:r>
      <w:r w:rsidRPr="007C68A4">
        <w:rPr>
          <w:b/>
          <w:bCs/>
          <w:color w:val="000000" w:themeColor="text1"/>
          <w:szCs w:val="21"/>
        </w:rPr>
        <w:t>本基金在承销期内参与关联方承销证券的情况</w:t>
      </w:r>
    </w:p>
    <w:p w14:paraId="21F04CF2" w14:textId="77777777" w:rsidR="001548F9" w:rsidRPr="007C68A4" w:rsidRDefault="001548F9" w:rsidP="001F0F10">
      <w:pPr>
        <w:tabs>
          <w:tab w:val="left" w:pos="426"/>
        </w:tabs>
        <w:spacing w:line="360" w:lineRule="auto"/>
        <w:jc w:val="left"/>
        <w:rPr>
          <w:bCs/>
          <w:color w:val="000000" w:themeColor="text1"/>
          <w:szCs w:val="21"/>
        </w:rPr>
      </w:pPr>
      <w:r w:rsidRPr="007C68A4">
        <w:rPr>
          <w:color w:val="000000" w:themeColor="text1"/>
          <w:kern w:val="0"/>
          <w:szCs w:val="21"/>
        </w:rPr>
        <w:t>无。</w:t>
      </w:r>
    </w:p>
    <w:p w14:paraId="1AC4AD9E" w14:textId="77777777" w:rsidR="001548F9" w:rsidRPr="007C68A4" w:rsidRDefault="001548F9" w:rsidP="004C1748">
      <w:pPr>
        <w:adjustRightInd w:val="0"/>
        <w:snapToGrid w:val="0"/>
        <w:spacing w:line="360" w:lineRule="auto"/>
        <w:jc w:val="left"/>
        <w:rPr>
          <w:b/>
          <w:color w:val="000000" w:themeColor="text1"/>
          <w:szCs w:val="21"/>
        </w:rPr>
      </w:pPr>
      <w:r w:rsidRPr="007C68A4">
        <w:rPr>
          <w:b/>
          <w:bCs/>
          <w:color w:val="000000" w:themeColor="text1"/>
          <w:kern w:val="0"/>
          <w:szCs w:val="21"/>
        </w:rPr>
        <w:t xml:space="preserve">6.4.10.5 </w:t>
      </w:r>
      <w:r w:rsidRPr="007C68A4">
        <w:rPr>
          <w:b/>
          <w:color w:val="000000" w:themeColor="text1"/>
          <w:szCs w:val="21"/>
        </w:rPr>
        <w:t>其他关联交易事项的说明</w:t>
      </w:r>
    </w:p>
    <w:p w14:paraId="064547BD" w14:textId="77777777" w:rsidR="00DB631E" w:rsidRPr="007C68A4" w:rsidRDefault="00DB631E" w:rsidP="00DB631E">
      <w:pPr>
        <w:adjustRightInd w:val="0"/>
        <w:snapToGrid w:val="0"/>
        <w:spacing w:line="360" w:lineRule="auto"/>
        <w:rPr>
          <w:rFonts w:eastAsiaTheme="minorEastAsia"/>
          <w:b/>
          <w:color w:val="000000" w:themeColor="text1"/>
          <w:szCs w:val="21"/>
        </w:rPr>
      </w:pPr>
      <w:r w:rsidRPr="007C68A4">
        <w:rPr>
          <w:rFonts w:eastAsiaTheme="minorEastAsia"/>
          <w:b/>
          <w:bCs/>
          <w:color w:val="000000" w:themeColor="text1"/>
          <w:kern w:val="0"/>
          <w:szCs w:val="21"/>
        </w:rPr>
        <w:t xml:space="preserve">6.4.10.5.1 </w:t>
      </w:r>
      <w:r w:rsidRPr="007C68A4">
        <w:rPr>
          <w:rFonts w:eastAsiaTheme="minorEastAsia"/>
          <w:b/>
          <w:color w:val="000000" w:themeColor="text1"/>
          <w:szCs w:val="21"/>
        </w:rPr>
        <w:t>其他关联交易事项的说明</w:t>
      </w:r>
    </w:p>
    <w:p w14:paraId="2ADDE020" w14:textId="77777777" w:rsidR="00DB631E" w:rsidRPr="007C68A4" w:rsidRDefault="00DB631E" w:rsidP="00DB631E">
      <w:pPr>
        <w:widowControl/>
        <w:spacing w:line="360" w:lineRule="auto"/>
        <w:ind w:firstLineChars="200" w:firstLine="420"/>
        <w:rPr>
          <w:rFonts w:eastAsiaTheme="minorEastAsia"/>
          <w:color w:val="000000" w:themeColor="text1"/>
          <w:kern w:val="0"/>
          <w:szCs w:val="21"/>
        </w:rPr>
      </w:pPr>
      <w:r w:rsidRPr="007C68A4">
        <w:rPr>
          <w:rFonts w:eastAsiaTheme="minorEastAsia"/>
          <w:color w:val="000000" w:themeColor="text1"/>
          <w:kern w:val="0"/>
          <w:szCs w:val="21"/>
        </w:rPr>
        <w:t>于</w:t>
      </w:r>
      <w:r w:rsidRPr="007C68A4">
        <w:rPr>
          <w:rFonts w:eastAsiaTheme="minorEastAsia"/>
          <w:color w:val="000000" w:themeColor="text1"/>
          <w:kern w:val="0"/>
          <w:szCs w:val="21"/>
        </w:rPr>
        <w:t>2024</w:t>
      </w:r>
      <w:r w:rsidRPr="007C68A4">
        <w:rPr>
          <w:rFonts w:eastAsiaTheme="minorEastAsia"/>
          <w:color w:val="000000" w:themeColor="text1"/>
          <w:kern w:val="0"/>
          <w:szCs w:val="21"/>
        </w:rPr>
        <w:t>年</w:t>
      </w:r>
      <w:r w:rsidRPr="007C68A4">
        <w:rPr>
          <w:rFonts w:eastAsiaTheme="minorEastAsia"/>
          <w:color w:val="000000" w:themeColor="text1"/>
          <w:kern w:val="0"/>
          <w:szCs w:val="21"/>
        </w:rPr>
        <w:t>6</w:t>
      </w:r>
      <w:r w:rsidRPr="007C68A4">
        <w:rPr>
          <w:rFonts w:eastAsiaTheme="minorEastAsia"/>
          <w:color w:val="000000" w:themeColor="text1"/>
          <w:kern w:val="0"/>
          <w:szCs w:val="21"/>
        </w:rPr>
        <w:t>月</w:t>
      </w:r>
      <w:r w:rsidRPr="007C68A4">
        <w:rPr>
          <w:rFonts w:eastAsiaTheme="minorEastAsia"/>
          <w:color w:val="000000" w:themeColor="text1"/>
          <w:kern w:val="0"/>
          <w:szCs w:val="21"/>
        </w:rPr>
        <w:t>30</w:t>
      </w:r>
      <w:r w:rsidRPr="007C68A4">
        <w:rPr>
          <w:rFonts w:eastAsiaTheme="minorEastAsia"/>
          <w:color w:val="000000" w:themeColor="text1"/>
          <w:kern w:val="0"/>
          <w:szCs w:val="21"/>
        </w:rPr>
        <w:t>日，本基金持有份目标</w:t>
      </w:r>
      <w:r w:rsidRPr="007C68A4">
        <w:rPr>
          <w:rFonts w:eastAsiaTheme="minorEastAsia"/>
          <w:color w:val="000000" w:themeColor="text1"/>
          <w:kern w:val="0"/>
          <w:szCs w:val="21"/>
        </w:rPr>
        <w:t>ETF</w:t>
      </w:r>
      <w:r w:rsidRPr="007C68A4">
        <w:rPr>
          <w:rFonts w:eastAsiaTheme="minorEastAsia"/>
          <w:color w:val="000000" w:themeColor="text1"/>
          <w:kern w:val="0"/>
          <w:szCs w:val="21"/>
        </w:rPr>
        <w:t>基金份额</w:t>
      </w:r>
      <w:r w:rsidRPr="007C68A4">
        <w:rPr>
          <w:rFonts w:eastAsiaTheme="minorEastAsia"/>
          <w:color w:val="000000" w:themeColor="text1"/>
          <w:kern w:val="0"/>
          <w:szCs w:val="21"/>
        </w:rPr>
        <w:t>35,320,000</w:t>
      </w:r>
      <w:r w:rsidRPr="007C68A4">
        <w:rPr>
          <w:rFonts w:eastAsiaTheme="minorEastAsia"/>
          <w:color w:val="000000" w:themeColor="text1"/>
          <w:kern w:val="0"/>
          <w:szCs w:val="21"/>
        </w:rPr>
        <w:t>份，占其总份额的比例为</w:t>
      </w:r>
      <w:r w:rsidRPr="007C68A4">
        <w:rPr>
          <w:rFonts w:eastAsiaTheme="minorEastAsia"/>
          <w:color w:val="000000" w:themeColor="text1"/>
          <w:kern w:val="0"/>
          <w:szCs w:val="21"/>
        </w:rPr>
        <w:t>14.53%</w:t>
      </w:r>
      <w:r w:rsidRPr="007C68A4">
        <w:rPr>
          <w:rFonts w:eastAsiaTheme="minorEastAsia"/>
          <w:color w:val="000000" w:themeColor="text1"/>
          <w:kern w:val="0"/>
          <w:szCs w:val="21"/>
        </w:rPr>
        <w:t>。</w:t>
      </w:r>
    </w:p>
    <w:p w14:paraId="1CEBE386" w14:textId="77777777" w:rsidR="00DB631E" w:rsidRPr="007C68A4" w:rsidRDefault="00DB631E" w:rsidP="00DB631E">
      <w:pPr>
        <w:adjustRightInd w:val="0"/>
        <w:snapToGrid w:val="0"/>
        <w:spacing w:beforeLines="50" w:before="156" w:line="360" w:lineRule="auto"/>
        <w:rPr>
          <w:rFonts w:eastAsiaTheme="minorEastAsia"/>
          <w:b/>
          <w:bCs/>
          <w:color w:val="000000" w:themeColor="text1"/>
          <w:kern w:val="0"/>
          <w:szCs w:val="21"/>
        </w:rPr>
      </w:pPr>
      <w:r w:rsidRPr="007C68A4">
        <w:rPr>
          <w:rFonts w:eastAsiaTheme="minorEastAsia"/>
          <w:b/>
          <w:bCs/>
          <w:color w:val="000000" w:themeColor="text1"/>
          <w:kern w:val="0"/>
          <w:szCs w:val="21"/>
        </w:rPr>
        <w:t xml:space="preserve">6.4.10.5.2 </w:t>
      </w:r>
      <w:r w:rsidRPr="007C68A4">
        <w:rPr>
          <w:rFonts w:eastAsiaTheme="minorEastAsia"/>
          <w:b/>
          <w:bCs/>
          <w:color w:val="000000" w:themeColor="text1"/>
          <w:kern w:val="0"/>
          <w:szCs w:val="21"/>
        </w:rPr>
        <w:t>当期交易及持有基金管理人以及管理人关联方所管理基金产生的费用</w:t>
      </w:r>
    </w:p>
    <w:p w14:paraId="2084527D" w14:textId="77777777" w:rsidR="001548F9" w:rsidRPr="007C68A4" w:rsidRDefault="00DB631E" w:rsidP="001F0F10">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14:paraId="0F5D51D7"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6.4.11 </w:t>
      </w:r>
      <w:r w:rsidRPr="007C68A4">
        <w:rPr>
          <w:b/>
          <w:bCs/>
          <w:color w:val="000000" w:themeColor="text1"/>
          <w:szCs w:val="21"/>
        </w:rPr>
        <w:t>利润分配情况</w:t>
      </w:r>
    </w:p>
    <w:p w14:paraId="0A196313" w14:textId="77777777" w:rsidR="001548F9" w:rsidRPr="007C68A4" w:rsidRDefault="00B25EED" w:rsidP="001F0F10">
      <w:pPr>
        <w:tabs>
          <w:tab w:val="left" w:pos="426"/>
        </w:tabs>
        <w:spacing w:line="360" w:lineRule="auto"/>
        <w:jc w:val="left"/>
        <w:rPr>
          <w:color w:val="000000" w:themeColor="text1"/>
          <w:szCs w:val="21"/>
        </w:rPr>
      </w:pPr>
      <w:r w:rsidRPr="007C68A4">
        <w:rPr>
          <w:color w:val="000000" w:themeColor="text1"/>
          <w:kern w:val="0"/>
          <w:szCs w:val="21"/>
        </w:rPr>
        <w:t>本报告期本基金未实施利润分配。</w:t>
      </w:r>
    </w:p>
    <w:p w14:paraId="0AFA8BB3"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 </w:t>
      </w:r>
      <w:r w:rsidRPr="007C68A4">
        <w:rPr>
          <w:b/>
          <w:bCs/>
          <w:color w:val="000000" w:themeColor="text1"/>
          <w:szCs w:val="21"/>
        </w:rPr>
        <w:t>期末（</w:t>
      </w:r>
      <w:r w:rsidRPr="007C68A4">
        <w:rPr>
          <w:b/>
          <w:bCs/>
          <w:color w:val="000000" w:themeColor="text1"/>
          <w:szCs w:val="21"/>
        </w:rPr>
        <w:t>2024</w:t>
      </w:r>
      <w:r w:rsidRPr="007C68A4">
        <w:rPr>
          <w:b/>
          <w:bCs/>
          <w:color w:val="000000" w:themeColor="text1"/>
          <w:szCs w:val="21"/>
        </w:rPr>
        <w:t>年</w:t>
      </w:r>
      <w:r w:rsidRPr="007C68A4">
        <w:rPr>
          <w:b/>
          <w:bCs/>
          <w:color w:val="000000" w:themeColor="text1"/>
          <w:szCs w:val="21"/>
        </w:rPr>
        <w:t>6</w:t>
      </w:r>
      <w:r w:rsidRPr="007C68A4">
        <w:rPr>
          <w:b/>
          <w:bCs/>
          <w:color w:val="000000" w:themeColor="text1"/>
          <w:szCs w:val="21"/>
        </w:rPr>
        <w:t>月</w:t>
      </w:r>
      <w:r w:rsidRPr="007C68A4">
        <w:rPr>
          <w:b/>
          <w:bCs/>
          <w:color w:val="000000" w:themeColor="text1"/>
          <w:szCs w:val="21"/>
        </w:rPr>
        <w:t>30</w:t>
      </w:r>
      <w:r w:rsidRPr="007C68A4">
        <w:rPr>
          <w:b/>
          <w:bCs/>
          <w:color w:val="000000" w:themeColor="text1"/>
          <w:szCs w:val="21"/>
        </w:rPr>
        <w:t>日）本基金持有的流通受限证券</w:t>
      </w:r>
    </w:p>
    <w:p w14:paraId="48CE038E" w14:textId="77777777"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6.4.12.1 </w:t>
      </w:r>
      <w:r w:rsidRPr="007C68A4">
        <w:rPr>
          <w:b/>
          <w:bCs/>
          <w:color w:val="000000" w:themeColor="text1"/>
          <w:szCs w:val="21"/>
        </w:rPr>
        <w:t>因认购新发</w:t>
      </w:r>
      <w:r w:rsidRPr="007C68A4">
        <w:rPr>
          <w:b/>
          <w:bCs/>
          <w:color w:val="000000" w:themeColor="text1"/>
          <w:szCs w:val="21"/>
        </w:rPr>
        <w:t>/</w:t>
      </w:r>
      <w:r w:rsidRPr="007C68A4">
        <w:rPr>
          <w:b/>
          <w:bCs/>
          <w:color w:val="000000" w:themeColor="text1"/>
          <w:szCs w:val="21"/>
        </w:rPr>
        <w:t>增发证券而于期末持有的流通受限证券</w:t>
      </w:r>
    </w:p>
    <w:p w14:paraId="226B3AE6"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无。</w:t>
      </w:r>
    </w:p>
    <w:p w14:paraId="06BF5B01" w14:textId="77777777" w:rsidR="001548F9" w:rsidRPr="007C68A4" w:rsidRDefault="001548F9" w:rsidP="00972ECE">
      <w:pPr>
        <w:spacing w:line="288" w:lineRule="auto"/>
        <w:rPr>
          <w:b/>
          <w:bCs/>
          <w:color w:val="000000" w:themeColor="text1"/>
          <w:szCs w:val="21"/>
        </w:rPr>
      </w:pPr>
      <w:r w:rsidRPr="007C68A4">
        <w:rPr>
          <w:b/>
          <w:bCs/>
          <w:color w:val="000000" w:themeColor="text1"/>
          <w:kern w:val="0"/>
          <w:szCs w:val="21"/>
        </w:rPr>
        <w:t xml:space="preserve">6.4.12.2 </w:t>
      </w:r>
      <w:r w:rsidRPr="007C68A4">
        <w:rPr>
          <w:b/>
          <w:bCs/>
          <w:color w:val="000000" w:themeColor="text1"/>
          <w:szCs w:val="21"/>
        </w:rPr>
        <w:t>期末持有的暂时停牌等流通受限股票</w:t>
      </w:r>
    </w:p>
    <w:p w14:paraId="7612F9D8" w14:textId="77777777" w:rsidR="001548F9" w:rsidRPr="007C68A4" w:rsidRDefault="00262F94" w:rsidP="00BB5437">
      <w:pPr>
        <w:tabs>
          <w:tab w:val="left" w:pos="426"/>
        </w:tabs>
        <w:spacing w:line="360" w:lineRule="auto"/>
        <w:jc w:val="left"/>
        <w:rPr>
          <w:color w:val="000000" w:themeColor="text1"/>
          <w:kern w:val="0"/>
          <w:szCs w:val="21"/>
        </w:rPr>
      </w:pPr>
      <w:r w:rsidRPr="007C68A4">
        <w:rPr>
          <w:color w:val="000000" w:themeColor="text1"/>
          <w:kern w:val="0"/>
          <w:szCs w:val="21"/>
        </w:rPr>
        <w:tab/>
      </w:r>
      <w:r w:rsidR="001548F9" w:rsidRPr="007C68A4">
        <w:rPr>
          <w:color w:val="000000" w:themeColor="text1"/>
          <w:kern w:val="0"/>
          <w:szCs w:val="21"/>
        </w:rPr>
        <w:t>无。</w:t>
      </w:r>
    </w:p>
    <w:p w14:paraId="5107D46B"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 </w:t>
      </w:r>
      <w:r w:rsidRPr="007C68A4">
        <w:rPr>
          <w:b/>
          <w:bCs/>
          <w:color w:val="000000" w:themeColor="text1"/>
          <w:szCs w:val="21"/>
        </w:rPr>
        <w:t>期末债券正回购交易中作为抵押的债券</w:t>
      </w:r>
    </w:p>
    <w:p w14:paraId="346CFDF0"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lastRenderedPageBreak/>
        <w:t xml:space="preserve">6.4.12.3.1 </w:t>
      </w:r>
      <w:r w:rsidRPr="007C68A4">
        <w:rPr>
          <w:b/>
          <w:bCs/>
          <w:color w:val="000000" w:themeColor="text1"/>
          <w:szCs w:val="21"/>
        </w:rPr>
        <w:t>银行间市场债券正回购</w:t>
      </w:r>
    </w:p>
    <w:p w14:paraId="5456BDB2"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1EB849E1"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6.4.12.3.2 </w:t>
      </w:r>
      <w:r w:rsidRPr="007C68A4">
        <w:rPr>
          <w:b/>
          <w:bCs/>
          <w:color w:val="000000" w:themeColor="text1"/>
          <w:szCs w:val="21"/>
        </w:rPr>
        <w:t>交易所市场债券正回购</w:t>
      </w:r>
    </w:p>
    <w:p w14:paraId="1EF70C04"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14:paraId="0694AFAD" w14:textId="77777777" w:rsidR="00C415DC" w:rsidRPr="007C68A4" w:rsidRDefault="00C415DC" w:rsidP="00C415DC">
      <w:pPr>
        <w:spacing w:line="360" w:lineRule="auto"/>
        <w:rPr>
          <w:b/>
          <w:bCs/>
          <w:color w:val="000000" w:themeColor="text1"/>
          <w:szCs w:val="21"/>
        </w:rPr>
      </w:pPr>
      <w:bookmarkStart w:id="62" w:name="_Hlk75872228"/>
      <w:r w:rsidRPr="007C68A4">
        <w:rPr>
          <w:b/>
          <w:bCs/>
          <w:color w:val="000000" w:themeColor="text1"/>
          <w:kern w:val="0"/>
          <w:szCs w:val="21"/>
        </w:rPr>
        <w:t>6.4.12.4</w:t>
      </w:r>
      <w:r w:rsidRPr="007C68A4">
        <w:rPr>
          <w:rFonts w:hint="eastAsia"/>
          <w:b/>
          <w:bCs/>
          <w:color w:val="000000" w:themeColor="text1"/>
          <w:kern w:val="0"/>
          <w:szCs w:val="21"/>
        </w:rPr>
        <w:t xml:space="preserve"> </w:t>
      </w:r>
      <w:r w:rsidRPr="007C68A4">
        <w:rPr>
          <w:b/>
          <w:bCs/>
          <w:color w:val="000000" w:themeColor="text1"/>
          <w:szCs w:val="21"/>
        </w:rPr>
        <w:t>期末参与转融通证券出借业务的证券</w:t>
      </w:r>
    </w:p>
    <w:p w14:paraId="1124387F" w14:textId="77777777" w:rsidR="00C415DC" w:rsidRPr="007C68A4" w:rsidRDefault="00C415DC" w:rsidP="00C415DC">
      <w:pPr>
        <w:tabs>
          <w:tab w:val="left" w:pos="426"/>
        </w:tabs>
        <w:spacing w:line="360" w:lineRule="auto"/>
        <w:ind w:firstLineChars="200" w:firstLine="420"/>
        <w:jc w:val="left"/>
        <w:rPr>
          <w:color w:val="000000" w:themeColor="text1"/>
          <w:szCs w:val="21"/>
        </w:rPr>
      </w:pPr>
      <w:r w:rsidRPr="007C68A4">
        <w:rPr>
          <w:color w:val="000000" w:themeColor="text1"/>
          <w:kern w:val="0"/>
          <w:szCs w:val="21"/>
        </w:rPr>
        <w:t>无。</w:t>
      </w:r>
    </w:p>
    <w:bookmarkEnd w:id="62"/>
    <w:p w14:paraId="35981FE7"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 </w:t>
      </w:r>
      <w:r w:rsidRPr="007C68A4">
        <w:rPr>
          <w:b/>
          <w:bCs/>
          <w:color w:val="000000" w:themeColor="text1"/>
          <w:szCs w:val="21"/>
        </w:rPr>
        <w:t>金融工具风险及管理</w:t>
      </w:r>
    </w:p>
    <w:p w14:paraId="280CAA80"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6.4.13.1 </w:t>
      </w:r>
      <w:r w:rsidRPr="007C68A4">
        <w:rPr>
          <w:b/>
          <w:bCs/>
          <w:color w:val="000000" w:themeColor="text1"/>
          <w:szCs w:val="21"/>
        </w:rPr>
        <w:t>风险管理政策和组织架构</w:t>
      </w:r>
    </w:p>
    <w:p w14:paraId="08F5B237" w14:textId="77777777" w:rsidR="00FA3CB3" w:rsidRDefault="00052A0D">
      <w:pPr>
        <w:spacing w:line="360" w:lineRule="auto"/>
        <w:ind w:firstLineChars="200" w:firstLine="420"/>
        <w:rPr>
          <w:color w:val="000000" w:themeColor="text1"/>
          <w:szCs w:val="21"/>
        </w:rPr>
      </w:pPr>
      <w:r>
        <w:rPr>
          <w:color w:val="000000" w:themeColor="text1"/>
          <w:szCs w:val="21"/>
        </w:rPr>
        <w:t>本基金为</w:t>
      </w:r>
      <w:r>
        <w:rPr>
          <w:color w:val="000000" w:themeColor="text1"/>
          <w:szCs w:val="21"/>
        </w:rPr>
        <w:t>ETF</w:t>
      </w:r>
      <w:r>
        <w:rPr>
          <w:color w:val="000000" w:themeColor="text1"/>
          <w:szCs w:val="21"/>
        </w:rPr>
        <w:t>联接基金，具有与目标</w:t>
      </w:r>
      <w:r>
        <w:rPr>
          <w:color w:val="000000" w:themeColor="text1"/>
          <w:szCs w:val="21"/>
        </w:rPr>
        <w:t>ETF</w:t>
      </w:r>
      <w:r>
        <w:rPr>
          <w:color w:val="000000" w:themeColor="text1"/>
          <w:szCs w:val="21"/>
        </w:rPr>
        <w:t>相似的风险收益特征。目标</w:t>
      </w:r>
      <w:r>
        <w:rPr>
          <w:color w:val="000000" w:themeColor="text1"/>
          <w:szCs w:val="21"/>
        </w:rPr>
        <w:t>ETF</w:t>
      </w:r>
      <w:r>
        <w:rPr>
          <w:color w:val="000000" w:themeColor="text1"/>
          <w:szCs w:val="21"/>
        </w:rPr>
        <w:t>为股票型指数基金，预期风险和预期收益水平高于混合型基金、债券型基金和货币市场基金，且具有与标的指数以及标的指数所代表的股票市场相似的风险收益特征。本基金投资的金融工具主要包括目标</w:t>
      </w:r>
      <w:r>
        <w:rPr>
          <w:color w:val="000000" w:themeColor="text1"/>
          <w:szCs w:val="21"/>
        </w:rPr>
        <w:t>ETF</w:t>
      </w:r>
      <w:r>
        <w:rPr>
          <w:color w:val="000000" w:themeColor="text1"/>
          <w:szCs w:val="21"/>
        </w:rPr>
        <w:t>基金份额、标的指数成份股、备选成份股等。本基金在日常经营活动中面临的与这些金融工具相关的风险主要包括信用风险、流动性风险及市场风险。本基金的基金管理人从事风险管理的主要目标通过对目标</w:t>
      </w:r>
      <w:r>
        <w:rPr>
          <w:color w:val="000000" w:themeColor="text1"/>
          <w:szCs w:val="21"/>
        </w:rPr>
        <w:t>ETF</w:t>
      </w:r>
      <w:r>
        <w:rPr>
          <w:color w:val="000000" w:themeColor="text1"/>
          <w:szCs w:val="21"/>
        </w:rPr>
        <w:t>基金份额的投资，追求跟踪标的指数，获得与指数收益相似的回报。</w:t>
      </w:r>
      <w:r>
        <w:rPr>
          <w:color w:val="000000" w:themeColor="text1"/>
          <w:szCs w:val="21"/>
        </w:rPr>
        <w:t xml:space="preserve"> </w:t>
      </w:r>
    </w:p>
    <w:p w14:paraId="54C2A6EB" w14:textId="77777777" w:rsidR="00FA3CB3" w:rsidRDefault="00FA3CB3">
      <w:pPr>
        <w:spacing w:line="360" w:lineRule="auto"/>
        <w:ind w:firstLineChars="200" w:firstLine="420"/>
        <w:rPr>
          <w:color w:val="000000" w:themeColor="text1"/>
          <w:szCs w:val="21"/>
        </w:rPr>
      </w:pPr>
    </w:p>
    <w:p w14:paraId="4A8A7563" w14:textId="77777777" w:rsidR="00FA3CB3" w:rsidRDefault="00052A0D">
      <w:pPr>
        <w:spacing w:line="360" w:lineRule="auto"/>
        <w:ind w:firstLineChars="200" w:firstLine="420"/>
        <w:rPr>
          <w:color w:val="000000" w:themeColor="text1"/>
          <w:szCs w:val="21"/>
        </w:rPr>
      </w:pPr>
      <w:r>
        <w:rPr>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color w:val="000000" w:themeColor="text1"/>
          <w:szCs w:val="21"/>
        </w:rPr>
        <w:t xml:space="preserve"> </w:t>
      </w:r>
    </w:p>
    <w:p w14:paraId="3CC64602" w14:textId="77777777" w:rsidR="00FA3CB3" w:rsidRDefault="00FA3CB3">
      <w:pPr>
        <w:spacing w:line="360" w:lineRule="auto"/>
        <w:ind w:firstLineChars="200" w:firstLine="420"/>
        <w:rPr>
          <w:color w:val="000000" w:themeColor="text1"/>
          <w:szCs w:val="21"/>
        </w:rPr>
      </w:pPr>
    </w:p>
    <w:p w14:paraId="1D789BE9" w14:textId="77777777" w:rsidR="00FA3CB3" w:rsidRDefault="00052A0D">
      <w:pPr>
        <w:spacing w:line="360" w:lineRule="auto"/>
        <w:ind w:firstLineChars="200" w:firstLine="420"/>
        <w:rPr>
          <w:color w:val="000000" w:themeColor="text1"/>
          <w:szCs w:val="21"/>
        </w:rPr>
      </w:pPr>
      <w:r>
        <w:rPr>
          <w:color w:val="000000" w:themeColor="text1"/>
          <w:szCs w:val="21"/>
        </w:rPr>
        <w:t>本基金的基金管理人建立了以风险控制委员会为核心的、由督察长、风险控制委员会、风险管理部、监察稽核部和相关业务部门构成的风险管理架构体系。</w:t>
      </w:r>
    </w:p>
    <w:p w14:paraId="370203AD" w14:textId="77777777" w:rsidR="00FA3CB3" w:rsidRDefault="00052A0D">
      <w:pPr>
        <w:spacing w:line="360" w:lineRule="auto"/>
        <w:ind w:firstLineChars="200" w:firstLine="420"/>
        <w:rPr>
          <w:color w:val="000000" w:themeColor="text1"/>
          <w:szCs w:val="21"/>
        </w:rPr>
      </w:pPr>
      <w:r>
        <w:rPr>
          <w:color w:val="000000" w:themeColor="text1"/>
          <w:szCs w:val="21"/>
        </w:rPr>
        <w:lastRenderedPageBreak/>
        <w:t xml:space="preserve"> </w:t>
      </w:r>
    </w:p>
    <w:p w14:paraId="6353C901"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0531E4E"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6.4.13.2 </w:t>
      </w:r>
      <w:r w:rsidRPr="007C68A4">
        <w:rPr>
          <w:b/>
          <w:bCs/>
          <w:color w:val="000000" w:themeColor="text1"/>
          <w:szCs w:val="21"/>
        </w:rPr>
        <w:t>信用风险</w:t>
      </w:r>
    </w:p>
    <w:p w14:paraId="2FBE623D" w14:textId="77777777" w:rsidR="00FA3CB3" w:rsidRDefault="00052A0D">
      <w:pPr>
        <w:spacing w:line="360" w:lineRule="auto"/>
        <w:ind w:firstLineChars="200" w:firstLine="420"/>
        <w:rPr>
          <w:color w:val="000000" w:themeColor="text1"/>
          <w:szCs w:val="21"/>
        </w:rPr>
      </w:pPr>
      <w:r>
        <w:rPr>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35CB9813" w14:textId="77777777" w:rsidR="00FA3CB3" w:rsidRDefault="00052A0D">
      <w:pPr>
        <w:spacing w:line="360" w:lineRule="auto"/>
        <w:ind w:firstLineChars="200" w:firstLine="420"/>
        <w:rPr>
          <w:color w:val="000000" w:themeColor="text1"/>
          <w:szCs w:val="21"/>
        </w:rPr>
      </w:pPr>
      <w:r>
        <w:rPr>
          <w:color w:val="000000" w:themeColor="text1"/>
          <w:szCs w:val="21"/>
        </w:rPr>
        <w:t xml:space="preserve"> </w:t>
      </w:r>
    </w:p>
    <w:p w14:paraId="5E95E98A" w14:textId="77777777" w:rsidR="00FA3CB3" w:rsidRDefault="00052A0D">
      <w:pPr>
        <w:spacing w:line="360" w:lineRule="auto"/>
        <w:ind w:firstLineChars="200" w:firstLine="420"/>
        <w:rPr>
          <w:color w:val="000000" w:themeColor="text1"/>
          <w:szCs w:val="21"/>
        </w:rPr>
      </w:pPr>
      <w:r>
        <w:rPr>
          <w:color w:val="000000" w:themeColor="text1"/>
          <w:szCs w:val="21"/>
        </w:rPr>
        <w:t>本基金的基金管理人在交易前对交易对手的资信状况进行充分的评估。本基金的银行存款存放在本基金的托管行中国工商银行以及境外次托管行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color w:val="000000" w:themeColor="text1"/>
          <w:szCs w:val="21"/>
        </w:rPr>
        <w:t xml:space="preserve"> </w:t>
      </w:r>
    </w:p>
    <w:p w14:paraId="382D4EC4" w14:textId="77777777" w:rsidR="00FA3CB3" w:rsidRDefault="00FA3CB3">
      <w:pPr>
        <w:spacing w:line="360" w:lineRule="auto"/>
        <w:ind w:firstLineChars="200" w:firstLine="420"/>
        <w:rPr>
          <w:color w:val="000000" w:themeColor="text1"/>
          <w:szCs w:val="21"/>
        </w:rPr>
      </w:pPr>
    </w:p>
    <w:p w14:paraId="3D3383CE" w14:textId="77777777" w:rsidR="00FA3CB3" w:rsidRDefault="00052A0D">
      <w:pPr>
        <w:spacing w:line="360" w:lineRule="auto"/>
        <w:ind w:firstLineChars="200" w:firstLine="420"/>
        <w:rPr>
          <w:color w:val="000000" w:themeColor="text1"/>
          <w:szCs w:val="21"/>
        </w:rPr>
      </w:pPr>
      <w:r>
        <w:rPr>
          <w:color w:val="000000" w:themeColor="text1"/>
          <w:szCs w:val="21"/>
        </w:rPr>
        <w:t>本基金的基金管理人建立了信用风险管理流程，通过对投资品种信用等级评估来控制证券发行人的信用风险，且通过分散化投资以分散信用风险。</w:t>
      </w:r>
      <w:r>
        <w:rPr>
          <w:color w:val="000000" w:themeColor="text1"/>
          <w:szCs w:val="21"/>
        </w:rPr>
        <w:t xml:space="preserve"> </w:t>
      </w:r>
    </w:p>
    <w:p w14:paraId="7C543E10" w14:textId="77777777" w:rsidR="00FA3CB3" w:rsidRDefault="00FA3CB3">
      <w:pPr>
        <w:spacing w:line="360" w:lineRule="auto"/>
        <w:ind w:firstLineChars="200" w:firstLine="420"/>
        <w:rPr>
          <w:color w:val="000000" w:themeColor="text1"/>
          <w:szCs w:val="21"/>
        </w:rPr>
      </w:pPr>
    </w:p>
    <w:p w14:paraId="46DDEFE9"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于</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日，本基金未持有除国债、央行票据和政策性金融债以外的债券。</w:t>
      </w:r>
    </w:p>
    <w:p w14:paraId="4B49A079"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 </w:t>
      </w:r>
      <w:r w:rsidRPr="007C68A4">
        <w:rPr>
          <w:b/>
          <w:bCs/>
          <w:color w:val="000000" w:themeColor="text1"/>
          <w:szCs w:val="21"/>
        </w:rPr>
        <w:t>流动性风险</w:t>
      </w:r>
    </w:p>
    <w:p w14:paraId="629E3233" w14:textId="77777777" w:rsidR="00FA3CB3" w:rsidRDefault="00052A0D">
      <w:pPr>
        <w:ind w:firstLineChars="200" w:firstLine="420"/>
        <w:rPr>
          <w:color w:val="000000" w:themeColor="text1"/>
          <w:szCs w:val="21"/>
        </w:rPr>
      </w:pPr>
      <w:r>
        <w:rPr>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color w:val="000000" w:themeColor="text1"/>
          <w:szCs w:val="21"/>
        </w:rPr>
        <w:t xml:space="preserve"> </w:t>
      </w:r>
    </w:p>
    <w:p w14:paraId="69F8AC1C" w14:textId="77777777" w:rsidR="00FA3CB3" w:rsidRDefault="00FA3CB3">
      <w:pPr>
        <w:ind w:firstLineChars="200" w:firstLine="420"/>
        <w:rPr>
          <w:color w:val="000000" w:themeColor="text1"/>
          <w:szCs w:val="21"/>
        </w:rPr>
      </w:pPr>
    </w:p>
    <w:p w14:paraId="03EFA95C" w14:textId="77777777" w:rsidR="00FA3CB3" w:rsidRDefault="00052A0D">
      <w:pPr>
        <w:ind w:firstLineChars="200" w:firstLine="420"/>
        <w:rPr>
          <w:color w:val="000000" w:themeColor="text1"/>
          <w:szCs w:val="21"/>
        </w:rPr>
      </w:pPr>
      <w:r>
        <w:rPr>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color w:val="000000" w:themeColor="text1"/>
          <w:szCs w:val="21"/>
        </w:rPr>
        <w:t xml:space="preserve"> </w:t>
      </w:r>
    </w:p>
    <w:p w14:paraId="1C40D337" w14:textId="77777777" w:rsidR="00FA3CB3" w:rsidRDefault="00FA3CB3">
      <w:pPr>
        <w:ind w:firstLineChars="200" w:firstLine="420"/>
        <w:rPr>
          <w:color w:val="000000" w:themeColor="text1"/>
          <w:szCs w:val="21"/>
        </w:rPr>
      </w:pPr>
    </w:p>
    <w:p w14:paraId="7DF39F92" w14:textId="77777777" w:rsidR="001548F9" w:rsidRPr="007C68A4" w:rsidRDefault="001548F9" w:rsidP="00D664EB">
      <w:pPr>
        <w:ind w:firstLineChars="200" w:firstLine="420"/>
        <w:rPr>
          <w:color w:val="000000" w:themeColor="text1"/>
          <w:szCs w:val="21"/>
        </w:rPr>
      </w:pPr>
      <w:r w:rsidRPr="007C68A4">
        <w:rPr>
          <w:color w:val="000000" w:themeColor="text1"/>
          <w:szCs w:val="21"/>
        </w:rPr>
        <w:t>本基金所承担的全部金融负债的合约约定到期日均为一个月以内且不计息，可赎回基金份额净值</w:t>
      </w:r>
      <w:r w:rsidRPr="007C68A4">
        <w:rPr>
          <w:color w:val="000000" w:themeColor="text1"/>
          <w:szCs w:val="21"/>
        </w:rPr>
        <w:t>(</w:t>
      </w:r>
      <w:r w:rsidRPr="007C68A4">
        <w:rPr>
          <w:color w:val="000000" w:themeColor="text1"/>
          <w:szCs w:val="21"/>
        </w:rPr>
        <w:t>净资产</w:t>
      </w:r>
      <w:r w:rsidRPr="007C68A4">
        <w:rPr>
          <w:color w:val="000000" w:themeColor="text1"/>
          <w:szCs w:val="21"/>
        </w:rPr>
        <w:t>)</w:t>
      </w:r>
      <w:r w:rsidRPr="007C68A4">
        <w:rPr>
          <w:color w:val="000000" w:themeColor="text1"/>
          <w:szCs w:val="21"/>
        </w:rPr>
        <w:t>无固定到期日且不计息，因此账面余额即为未折现的合约到期现金流量。</w:t>
      </w:r>
    </w:p>
    <w:p w14:paraId="063DA5E5"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6.4.13.3.1 </w:t>
      </w:r>
      <w:r w:rsidRPr="007C68A4">
        <w:rPr>
          <w:b/>
          <w:color w:val="000000" w:themeColor="text1"/>
          <w:szCs w:val="21"/>
        </w:rPr>
        <w:t>金融资产和金融负债的到期期限分析</w:t>
      </w:r>
    </w:p>
    <w:p w14:paraId="0611ED6E" w14:textId="77777777" w:rsidR="001548F9" w:rsidRPr="007C68A4" w:rsidRDefault="001548F9" w:rsidP="001F0F10">
      <w:pPr>
        <w:tabs>
          <w:tab w:val="left" w:pos="426"/>
        </w:tabs>
        <w:spacing w:line="360" w:lineRule="auto"/>
        <w:jc w:val="left"/>
        <w:rPr>
          <w:color w:val="000000" w:themeColor="text1"/>
          <w:kern w:val="0"/>
          <w:szCs w:val="21"/>
        </w:rPr>
      </w:pPr>
      <w:r w:rsidRPr="007C68A4">
        <w:rPr>
          <w:color w:val="000000" w:themeColor="text1"/>
          <w:kern w:val="0"/>
          <w:szCs w:val="21"/>
        </w:rPr>
        <w:lastRenderedPageBreak/>
        <w:t>无。</w:t>
      </w:r>
    </w:p>
    <w:p w14:paraId="78CE4104" w14:textId="77777777" w:rsidR="00FF180B" w:rsidRPr="007C68A4" w:rsidRDefault="00FF180B" w:rsidP="00FF180B">
      <w:pPr>
        <w:spacing w:beforeLines="50" w:before="156" w:line="360" w:lineRule="auto"/>
        <w:rPr>
          <w:rFonts w:eastAsiaTheme="minorEastAsia"/>
          <w:b/>
          <w:bCs/>
          <w:color w:val="000000" w:themeColor="text1"/>
          <w:szCs w:val="21"/>
        </w:rPr>
      </w:pPr>
      <w:r w:rsidRPr="007C68A4">
        <w:rPr>
          <w:rFonts w:eastAsiaTheme="minorEastAsia"/>
          <w:b/>
          <w:bCs/>
          <w:color w:val="000000" w:themeColor="text1"/>
          <w:kern w:val="0"/>
          <w:szCs w:val="21"/>
        </w:rPr>
        <w:t xml:space="preserve">6.4.13.3.2 </w:t>
      </w:r>
      <w:r w:rsidRPr="007C68A4">
        <w:rPr>
          <w:rFonts w:eastAsiaTheme="minorEastAsia"/>
          <w:b/>
          <w:bCs/>
          <w:color w:val="000000" w:themeColor="text1"/>
          <w:szCs w:val="21"/>
        </w:rPr>
        <w:t>报告期内本基金组合资产的流动性风险分析</w:t>
      </w:r>
    </w:p>
    <w:p w14:paraId="1BA12F2A" w14:textId="77777777" w:rsidR="00FA3CB3" w:rsidRDefault="00052A0D">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19B29B7" w14:textId="77777777" w:rsidR="00FA3CB3" w:rsidRDefault="00FA3CB3">
      <w:pPr>
        <w:tabs>
          <w:tab w:val="left" w:pos="426"/>
        </w:tabs>
        <w:spacing w:line="360" w:lineRule="auto"/>
        <w:jc w:val="left"/>
        <w:rPr>
          <w:color w:val="000000" w:themeColor="text1"/>
          <w:szCs w:val="21"/>
        </w:rPr>
      </w:pPr>
    </w:p>
    <w:p w14:paraId="089C0197" w14:textId="77777777" w:rsidR="00FA3CB3" w:rsidRDefault="00052A0D">
      <w:pPr>
        <w:tabs>
          <w:tab w:val="left" w:pos="426"/>
        </w:tabs>
        <w:spacing w:line="360" w:lineRule="auto"/>
        <w:jc w:val="left"/>
        <w:rPr>
          <w:color w:val="000000" w:themeColor="text1"/>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14:paraId="63F5A27E" w14:textId="77777777" w:rsidR="00FA3CB3" w:rsidRDefault="00FA3CB3">
      <w:pPr>
        <w:tabs>
          <w:tab w:val="left" w:pos="426"/>
        </w:tabs>
        <w:spacing w:line="360" w:lineRule="auto"/>
        <w:jc w:val="left"/>
        <w:rPr>
          <w:color w:val="000000" w:themeColor="text1"/>
          <w:szCs w:val="21"/>
        </w:rPr>
      </w:pPr>
    </w:p>
    <w:p w14:paraId="6167B528" w14:textId="77777777" w:rsidR="00FA3CB3" w:rsidRDefault="00052A0D">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29DA342" w14:textId="77777777" w:rsidR="00FA3CB3" w:rsidRDefault="00FA3CB3">
      <w:pPr>
        <w:tabs>
          <w:tab w:val="left" w:pos="426"/>
        </w:tabs>
        <w:spacing w:line="360" w:lineRule="auto"/>
        <w:jc w:val="left"/>
        <w:rPr>
          <w:color w:val="000000" w:themeColor="text1"/>
          <w:szCs w:val="21"/>
        </w:rPr>
      </w:pPr>
    </w:p>
    <w:p w14:paraId="548D121D" w14:textId="77777777" w:rsidR="00FF180B" w:rsidRPr="007C68A4" w:rsidRDefault="00FF180B" w:rsidP="00FF180B">
      <w:pPr>
        <w:tabs>
          <w:tab w:val="left" w:pos="426"/>
        </w:tabs>
        <w:spacing w:line="360" w:lineRule="auto"/>
        <w:jc w:val="left"/>
        <w:rPr>
          <w:color w:val="000000" w:themeColor="text1"/>
          <w:szCs w:val="21"/>
        </w:rPr>
      </w:pPr>
      <w:r w:rsidRPr="007C68A4">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2FCB508"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 </w:t>
      </w:r>
      <w:r w:rsidRPr="007C68A4">
        <w:rPr>
          <w:b/>
          <w:bCs/>
          <w:color w:val="000000" w:themeColor="text1"/>
          <w:szCs w:val="21"/>
        </w:rPr>
        <w:t>市场风险</w:t>
      </w:r>
    </w:p>
    <w:p w14:paraId="73B9CD38"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市场风险是指基金所持金融工具的公允价值或未来现金流量因所处市场各类价格因素的变动而</w:t>
      </w:r>
      <w:r w:rsidRPr="007C68A4">
        <w:rPr>
          <w:color w:val="000000" w:themeColor="text1"/>
          <w:szCs w:val="21"/>
        </w:rPr>
        <w:lastRenderedPageBreak/>
        <w:t>发生波动的风险，包括利率风险、外汇风险和其他价格风险。</w:t>
      </w:r>
    </w:p>
    <w:p w14:paraId="3A02CAF7"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 </w:t>
      </w:r>
      <w:r w:rsidRPr="007C68A4">
        <w:rPr>
          <w:b/>
          <w:bCs/>
          <w:color w:val="000000" w:themeColor="text1"/>
          <w:szCs w:val="21"/>
        </w:rPr>
        <w:t>利率风险</w:t>
      </w:r>
    </w:p>
    <w:p w14:paraId="183135AF" w14:textId="77777777" w:rsidR="00FA3CB3" w:rsidRDefault="00052A0D">
      <w:pPr>
        <w:spacing w:line="360" w:lineRule="auto"/>
        <w:ind w:firstLineChars="200" w:firstLine="420"/>
        <w:rPr>
          <w:color w:val="000000" w:themeColor="text1"/>
          <w:szCs w:val="21"/>
        </w:rPr>
      </w:pPr>
      <w:r>
        <w:rPr>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2E526C8" w14:textId="77777777" w:rsidR="00FA3CB3" w:rsidRDefault="00052A0D">
      <w:pPr>
        <w:spacing w:line="360" w:lineRule="auto"/>
        <w:ind w:firstLineChars="200" w:firstLine="420"/>
        <w:rPr>
          <w:color w:val="000000" w:themeColor="text1"/>
          <w:szCs w:val="21"/>
        </w:rPr>
      </w:pPr>
      <w:r>
        <w:rPr>
          <w:color w:val="000000" w:themeColor="text1"/>
          <w:szCs w:val="21"/>
        </w:rPr>
        <w:t xml:space="preserve"> </w:t>
      </w:r>
    </w:p>
    <w:p w14:paraId="1C0DA6F1" w14:textId="77777777" w:rsidR="00FA3CB3" w:rsidRDefault="00052A0D">
      <w:pPr>
        <w:spacing w:line="360" w:lineRule="auto"/>
        <w:ind w:firstLineChars="200" w:firstLine="420"/>
        <w:rPr>
          <w:color w:val="000000" w:themeColor="text1"/>
          <w:szCs w:val="21"/>
        </w:rPr>
      </w:pPr>
      <w:r>
        <w:rPr>
          <w:color w:val="000000" w:themeColor="text1"/>
          <w:szCs w:val="21"/>
        </w:rPr>
        <w:t>本基金的基金管理人定期对本基金面临的利率敏感性缺口进行监控，并通过调整投资组合的久期等方法对上述利率风险进行管理。</w:t>
      </w:r>
    </w:p>
    <w:p w14:paraId="52CA2EB0" w14:textId="77777777" w:rsidR="00FA3CB3" w:rsidRDefault="00FA3CB3">
      <w:pPr>
        <w:spacing w:line="360" w:lineRule="auto"/>
        <w:ind w:firstLineChars="200" w:firstLine="420"/>
        <w:rPr>
          <w:color w:val="000000" w:themeColor="text1"/>
          <w:szCs w:val="21"/>
        </w:rPr>
      </w:pPr>
    </w:p>
    <w:p w14:paraId="316DE630"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和债券投资等。</w:t>
      </w:r>
      <w:r w:rsidRPr="007C68A4">
        <w:rPr>
          <w:color w:val="000000" w:themeColor="text1"/>
          <w:szCs w:val="21"/>
        </w:rPr>
        <w:tab/>
      </w:r>
    </w:p>
    <w:p w14:paraId="60248784"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6.4.13.4.1.1 </w:t>
      </w:r>
      <w:r w:rsidRPr="007C68A4">
        <w:rPr>
          <w:b/>
          <w:bCs/>
          <w:color w:val="000000" w:themeColor="text1"/>
          <w:szCs w:val="21"/>
        </w:rPr>
        <w:t>利率风险敞口</w:t>
      </w:r>
    </w:p>
    <w:p w14:paraId="746FC91D" w14:textId="77777777" w:rsidR="009F2392" w:rsidRPr="007C68A4" w:rsidRDefault="009F2392" w:rsidP="009F2392">
      <w:pPr>
        <w:wordWrap w:val="0"/>
        <w:autoSpaceDE w:val="0"/>
        <w:autoSpaceDN w:val="0"/>
        <w:adjustRightInd w:val="0"/>
        <w:spacing w:before="29" w:line="288" w:lineRule="auto"/>
        <w:ind w:left="15" w:right="210"/>
        <w:jc w:val="right"/>
        <w:rPr>
          <w:color w:val="000000" w:themeColor="text1"/>
          <w:szCs w:val="21"/>
        </w:rPr>
      </w:pPr>
      <w:r w:rsidRPr="007C68A4">
        <w:rPr>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DB6272" w:rsidRPr="00B079CA" w14:paraId="397F9457"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F834887"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A8271EE"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959A04A"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E66EEC7"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DE33576"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086E2BC"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1B50B4F"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14:paraId="759CA560"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6E6AA1BF"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BCC1BEB"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057BFD8"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1678129"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AD2C481"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2C97510" w14:textId="77777777" w:rsidR="00DB6272" w:rsidRPr="00B079CA" w:rsidRDefault="00DB6272" w:rsidP="00E71356">
            <w:pPr>
              <w:spacing w:line="360" w:lineRule="auto"/>
              <w:jc w:val="right"/>
              <w:rPr>
                <w:rFonts w:eastAsiaTheme="minorEastAsia"/>
                <w:color w:val="000000" w:themeColor="text1"/>
                <w:szCs w:val="21"/>
              </w:rPr>
            </w:pPr>
          </w:p>
        </w:tc>
      </w:tr>
      <w:tr w:rsidR="00FA3CB3" w14:paraId="484229E8" w14:textId="77777777">
        <w:tc>
          <w:tcPr>
            <w:tcW w:w="1246" w:type="dxa"/>
            <w:vAlign w:val="center"/>
          </w:tcPr>
          <w:p w14:paraId="1581476B" w14:textId="77777777" w:rsidR="00FA3CB3" w:rsidRDefault="00052A0D">
            <w:pPr>
              <w:jc w:val="center"/>
            </w:pPr>
            <w:r>
              <w:rPr>
                <w:rFonts w:eastAsiaTheme="minorEastAsia"/>
                <w:color w:val="000000" w:themeColor="text1"/>
                <w:szCs w:val="21"/>
              </w:rPr>
              <w:t>货币资金</w:t>
            </w:r>
          </w:p>
        </w:tc>
        <w:tc>
          <w:tcPr>
            <w:tcW w:w="1586" w:type="dxa"/>
            <w:vAlign w:val="center"/>
          </w:tcPr>
          <w:p w14:paraId="1B9D8AF2" w14:textId="77777777" w:rsidR="00FA3CB3" w:rsidRDefault="00052A0D">
            <w:pPr>
              <w:jc w:val="right"/>
            </w:pPr>
            <w:r>
              <w:rPr>
                <w:rFonts w:eastAsiaTheme="minorEastAsia"/>
                <w:color w:val="000000" w:themeColor="text1"/>
                <w:szCs w:val="21"/>
              </w:rPr>
              <w:t>1,264,696.87</w:t>
            </w:r>
          </w:p>
        </w:tc>
        <w:tc>
          <w:tcPr>
            <w:tcW w:w="1587" w:type="dxa"/>
            <w:vAlign w:val="center"/>
          </w:tcPr>
          <w:p w14:paraId="05E82CCD" w14:textId="77777777" w:rsidR="00FA3CB3" w:rsidRDefault="00052A0D">
            <w:pPr>
              <w:jc w:val="right"/>
            </w:pPr>
            <w:r>
              <w:rPr>
                <w:rFonts w:eastAsiaTheme="minorEastAsia"/>
                <w:color w:val="000000" w:themeColor="text1"/>
                <w:szCs w:val="21"/>
              </w:rPr>
              <w:t>-</w:t>
            </w:r>
          </w:p>
        </w:tc>
        <w:tc>
          <w:tcPr>
            <w:tcW w:w="1587" w:type="dxa"/>
            <w:vAlign w:val="center"/>
          </w:tcPr>
          <w:p w14:paraId="370B6181" w14:textId="77777777" w:rsidR="00FA3CB3" w:rsidRDefault="00052A0D">
            <w:pPr>
              <w:jc w:val="right"/>
            </w:pPr>
            <w:r>
              <w:rPr>
                <w:rFonts w:eastAsiaTheme="minorEastAsia"/>
                <w:color w:val="000000" w:themeColor="text1"/>
                <w:szCs w:val="21"/>
              </w:rPr>
              <w:t>-</w:t>
            </w:r>
          </w:p>
        </w:tc>
        <w:tc>
          <w:tcPr>
            <w:tcW w:w="1587" w:type="dxa"/>
            <w:vAlign w:val="center"/>
          </w:tcPr>
          <w:p w14:paraId="4AA87212" w14:textId="77777777" w:rsidR="00FA3CB3" w:rsidRDefault="00052A0D">
            <w:pPr>
              <w:jc w:val="right"/>
            </w:pPr>
            <w:r>
              <w:rPr>
                <w:rFonts w:eastAsiaTheme="minorEastAsia"/>
                <w:color w:val="000000" w:themeColor="text1"/>
                <w:szCs w:val="21"/>
              </w:rPr>
              <w:t>-</w:t>
            </w:r>
          </w:p>
        </w:tc>
        <w:tc>
          <w:tcPr>
            <w:tcW w:w="1587" w:type="dxa"/>
            <w:vAlign w:val="center"/>
          </w:tcPr>
          <w:p w14:paraId="3B2CFF12" w14:textId="77777777" w:rsidR="00FA3CB3" w:rsidRDefault="00052A0D">
            <w:pPr>
              <w:jc w:val="right"/>
            </w:pPr>
            <w:r>
              <w:rPr>
                <w:rFonts w:eastAsiaTheme="minorEastAsia"/>
                <w:color w:val="000000" w:themeColor="text1"/>
                <w:szCs w:val="21"/>
              </w:rPr>
              <w:t>1,264,696.87</w:t>
            </w:r>
          </w:p>
        </w:tc>
      </w:tr>
      <w:tr w:rsidR="00FA3CB3" w14:paraId="0604AFFB" w14:textId="77777777">
        <w:tc>
          <w:tcPr>
            <w:tcW w:w="1246" w:type="dxa"/>
            <w:vAlign w:val="center"/>
          </w:tcPr>
          <w:p w14:paraId="2D4E975A" w14:textId="77777777" w:rsidR="00FA3CB3" w:rsidRDefault="00052A0D">
            <w:pPr>
              <w:jc w:val="center"/>
            </w:pPr>
            <w:r>
              <w:rPr>
                <w:rFonts w:eastAsiaTheme="minorEastAsia"/>
                <w:color w:val="000000" w:themeColor="text1"/>
                <w:szCs w:val="21"/>
              </w:rPr>
              <w:t>结算备付金</w:t>
            </w:r>
          </w:p>
        </w:tc>
        <w:tc>
          <w:tcPr>
            <w:tcW w:w="1586" w:type="dxa"/>
            <w:vAlign w:val="center"/>
          </w:tcPr>
          <w:p w14:paraId="3B112B04" w14:textId="77777777" w:rsidR="00FA3CB3" w:rsidRDefault="00052A0D">
            <w:pPr>
              <w:jc w:val="right"/>
            </w:pPr>
            <w:r>
              <w:rPr>
                <w:rFonts w:eastAsiaTheme="minorEastAsia"/>
                <w:color w:val="000000" w:themeColor="text1"/>
                <w:szCs w:val="21"/>
              </w:rPr>
              <w:t>19,779.11</w:t>
            </w:r>
          </w:p>
        </w:tc>
        <w:tc>
          <w:tcPr>
            <w:tcW w:w="1587" w:type="dxa"/>
            <w:vAlign w:val="center"/>
          </w:tcPr>
          <w:p w14:paraId="1CAC11B2" w14:textId="77777777" w:rsidR="00FA3CB3" w:rsidRDefault="00052A0D">
            <w:pPr>
              <w:jc w:val="right"/>
            </w:pPr>
            <w:r>
              <w:rPr>
                <w:rFonts w:eastAsiaTheme="minorEastAsia"/>
                <w:color w:val="000000" w:themeColor="text1"/>
                <w:szCs w:val="21"/>
              </w:rPr>
              <w:t>-</w:t>
            </w:r>
          </w:p>
        </w:tc>
        <w:tc>
          <w:tcPr>
            <w:tcW w:w="1587" w:type="dxa"/>
            <w:vAlign w:val="center"/>
          </w:tcPr>
          <w:p w14:paraId="102F99F5" w14:textId="77777777" w:rsidR="00FA3CB3" w:rsidRDefault="00052A0D">
            <w:pPr>
              <w:jc w:val="right"/>
            </w:pPr>
            <w:r>
              <w:rPr>
                <w:rFonts w:eastAsiaTheme="minorEastAsia"/>
                <w:color w:val="000000" w:themeColor="text1"/>
                <w:szCs w:val="21"/>
              </w:rPr>
              <w:t>-</w:t>
            </w:r>
          </w:p>
        </w:tc>
        <w:tc>
          <w:tcPr>
            <w:tcW w:w="1587" w:type="dxa"/>
            <w:vAlign w:val="center"/>
          </w:tcPr>
          <w:p w14:paraId="0D31F9A3" w14:textId="77777777" w:rsidR="00FA3CB3" w:rsidRDefault="00052A0D">
            <w:pPr>
              <w:jc w:val="right"/>
            </w:pPr>
            <w:r>
              <w:rPr>
                <w:rFonts w:eastAsiaTheme="minorEastAsia"/>
                <w:color w:val="000000" w:themeColor="text1"/>
                <w:szCs w:val="21"/>
              </w:rPr>
              <w:t>-</w:t>
            </w:r>
          </w:p>
        </w:tc>
        <w:tc>
          <w:tcPr>
            <w:tcW w:w="1587" w:type="dxa"/>
            <w:vAlign w:val="center"/>
          </w:tcPr>
          <w:p w14:paraId="5142AD71" w14:textId="77777777" w:rsidR="00FA3CB3" w:rsidRDefault="00052A0D">
            <w:pPr>
              <w:jc w:val="right"/>
            </w:pPr>
            <w:r>
              <w:rPr>
                <w:rFonts w:eastAsiaTheme="minorEastAsia"/>
                <w:color w:val="000000" w:themeColor="text1"/>
                <w:szCs w:val="21"/>
              </w:rPr>
              <w:t>19,779.11</w:t>
            </w:r>
          </w:p>
        </w:tc>
      </w:tr>
      <w:tr w:rsidR="00FA3CB3" w14:paraId="626AA605" w14:textId="77777777">
        <w:tc>
          <w:tcPr>
            <w:tcW w:w="1246" w:type="dxa"/>
            <w:vAlign w:val="center"/>
          </w:tcPr>
          <w:p w14:paraId="7CDFE12F" w14:textId="77777777" w:rsidR="00FA3CB3" w:rsidRDefault="00052A0D">
            <w:pPr>
              <w:jc w:val="center"/>
            </w:pPr>
            <w:r>
              <w:rPr>
                <w:rFonts w:eastAsiaTheme="minorEastAsia"/>
                <w:color w:val="000000" w:themeColor="text1"/>
                <w:szCs w:val="21"/>
              </w:rPr>
              <w:t>存出保证金</w:t>
            </w:r>
          </w:p>
        </w:tc>
        <w:tc>
          <w:tcPr>
            <w:tcW w:w="1586" w:type="dxa"/>
            <w:vAlign w:val="center"/>
          </w:tcPr>
          <w:p w14:paraId="33CEC056" w14:textId="77777777" w:rsidR="00FA3CB3" w:rsidRDefault="00052A0D">
            <w:pPr>
              <w:jc w:val="right"/>
            </w:pPr>
            <w:r>
              <w:rPr>
                <w:rFonts w:eastAsiaTheme="minorEastAsia"/>
                <w:color w:val="000000" w:themeColor="text1"/>
                <w:szCs w:val="21"/>
              </w:rPr>
              <w:t>3,298.86</w:t>
            </w:r>
          </w:p>
        </w:tc>
        <w:tc>
          <w:tcPr>
            <w:tcW w:w="1587" w:type="dxa"/>
            <w:vAlign w:val="center"/>
          </w:tcPr>
          <w:p w14:paraId="1DB56B40" w14:textId="77777777" w:rsidR="00FA3CB3" w:rsidRDefault="00052A0D">
            <w:pPr>
              <w:jc w:val="right"/>
            </w:pPr>
            <w:r>
              <w:rPr>
                <w:rFonts w:eastAsiaTheme="minorEastAsia"/>
                <w:color w:val="000000" w:themeColor="text1"/>
                <w:szCs w:val="21"/>
              </w:rPr>
              <w:t>-</w:t>
            </w:r>
          </w:p>
        </w:tc>
        <w:tc>
          <w:tcPr>
            <w:tcW w:w="1587" w:type="dxa"/>
            <w:vAlign w:val="center"/>
          </w:tcPr>
          <w:p w14:paraId="53E03F14" w14:textId="77777777" w:rsidR="00FA3CB3" w:rsidRDefault="00052A0D">
            <w:pPr>
              <w:jc w:val="right"/>
            </w:pPr>
            <w:r>
              <w:rPr>
                <w:rFonts w:eastAsiaTheme="minorEastAsia"/>
                <w:color w:val="000000" w:themeColor="text1"/>
                <w:szCs w:val="21"/>
              </w:rPr>
              <w:t>-</w:t>
            </w:r>
          </w:p>
        </w:tc>
        <w:tc>
          <w:tcPr>
            <w:tcW w:w="1587" w:type="dxa"/>
            <w:vAlign w:val="center"/>
          </w:tcPr>
          <w:p w14:paraId="5CE0D162" w14:textId="77777777" w:rsidR="00FA3CB3" w:rsidRDefault="00052A0D">
            <w:pPr>
              <w:jc w:val="right"/>
            </w:pPr>
            <w:r>
              <w:rPr>
                <w:rFonts w:eastAsiaTheme="minorEastAsia"/>
                <w:color w:val="000000" w:themeColor="text1"/>
                <w:szCs w:val="21"/>
              </w:rPr>
              <w:t>-</w:t>
            </w:r>
          </w:p>
        </w:tc>
        <w:tc>
          <w:tcPr>
            <w:tcW w:w="1587" w:type="dxa"/>
            <w:vAlign w:val="center"/>
          </w:tcPr>
          <w:p w14:paraId="37CD84C1" w14:textId="77777777" w:rsidR="00FA3CB3" w:rsidRDefault="00052A0D">
            <w:pPr>
              <w:jc w:val="right"/>
            </w:pPr>
            <w:r>
              <w:rPr>
                <w:rFonts w:eastAsiaTheme="minorEastAsia"/>
                <w:color w:val="000000" w:themeColor="text1"/>
                <w:szCs w:val="21"/>
              </w:rPr>
              <w:t>3,298.86</w:t>
            </w:r>
          </w:p>
        </w:tc>
      </w:tr>
      <w:tr w:rsidR="00FA3CB3" w14:paraId="6BCA0CF3" w14:textId="77777777">
        <w:tc>
          <w:tcPr>
            <w:tcW w:w="1246" w:type="dxa"/>
            <w:vAlign w:val="center"/>
          </w:tcPr>
          <w:p w14:paraId="306FF9B7" w14:textId="77777777" w:rsidR="00FA3CB3" w:rsidRDefault="00052A0D">
            <w:pPr>
              <w:jc w:val="center"/>
            </w:pPr>
            <w:r>
              <w:rPr>
                <w:rFonts w:eastAsiaTheme="minorEastAsia"/>
                <w:color w:val="000000" w:themeColor="text1"/>
                <w:szCs w:val="21"/>
              </w:rPr>
              <w:t>交易性金融资产</w:t>
            </w:r>
          </w:p>
        </w:tc>
        <w:tc>
          <w:tcPr>
            <w:tcW w:w="1586" w:type="dxa"/>
            <w:vAlign w:val="center"/>
          </w:tcPr>
          <w:p w14:paraId="52CBAA89" w14:textId="77777777" w:rsidR="00FA3CB3" w:rsidRDefault="00052A0D">
            <w:pPr>
              <w:jc w:val="right"/>
            </w:pPr>
            <w:r>
              <w:rPr>
                <w:rFonts w:eastAsiaTheme="minorEastAsia"/>
                <w:color w:val="000000" w:themeColor="text1"/>
                <w:szCs w:val="21"/>
              </w:rPr>
              <w:t>608,424.17</w:t>
            </w:r>
          </w:p>
        </w:tc>
        <w:tc>
          <w:tcPr>
            <w:tcW w:w="1587" w:type="dxa"/>
            <w:vAlign w:val="center"/>
          </w:tcPr>
          <w:p w14:paraId="6A5A276D" w14:textId="77777777" w:rsidR="00FA3CB3" w:rsidRDefault="00052A0D">
            <w:pPr>
              <w:jc w:val="right"/>
            </w:pPr>
            <w:r>
              <w:rPr>
                <w:rFonts w:eastAsiaTheme="minorEastAsia"/>
                <w:color w:val="000000" w:themeColor="text1"/>
                <w:szCs w:val="21"/>
              </w:rPr>
              <w:t>-</w:t>
            </w:r>
          </w:p>
        </w:tc>
        <w:tc>
          <w:tcPr>
            <w:tcW w:w="1587" w:type="dxa"/>
            <w:vAlign w:val="center"/>
          </w:tcPr>
          <w:p w14:paraId="1FA782C0" w14:textId="77777777" w:rsidR="00FA3CB3" w:rsidRDefault="00052A0D">
            <w:pPr>
              <w:jc w:val="right"/>
            </w:pPr>
            <w:r>
              <w:rPr>
                <w:rFonts w:eastAsiaTheme="minorEastAsia"/>
                <w:color w:val="000000" w:themeColor="text1"/>
                <w:szCs w:val="21"/>
              </w:rPr>
              <w:t>-</w:t>
            </w:r>
          </w:p>
        </w:tc>
        <w:tc>
          <w:tcPr>
            <w:tcW w:w="1587" w:type="dxa"/>
            <w:vAlign w:val="center"/>
          </w:tcPr>
          <w:p w14:paraId="784FC6C7" w14:textId="77777777" w:rsidR="00FA3CB3" w:rsidRDefault="00052A0D">
            <w:pPr>
              <w:jc w:val="right"/>
            </w:pPr>
            <w:r>
              <w:rPr>
                <w:rFonts w:eastAsiaTheme="minorEastAsia"/>
                <w:color w:val="000000" w:themeColor="text1"/>
                <w:szCs w:val="21"/>
              </w:rPr>
              <w:t>25,169,032.00</w:t>
            </w:r>
          </w:p>
        </w:tc>
        <w:tc>
          <w:tcPr>
            <w:tcW w:w="1587" w:type="dxa"/>
            <w:vAlign w:val="center"/>
          </w:tcPr>
          <w:p w14:paraId="2789C7FD" w14:textId="77777777" w:rsidR="00FA3CB3" w:rsidRDefault="00052A0D">
            <w:pPr>
              <w:jc w:val="right"/>
            </w:pPr>
            <w:r>
              <w:rPr>
                <w:rFonts w:eastAsiaTheme="minorEastAsia"/>
                <w:color w:val="000000" w:themeColor="text1"/>
                <w:szCs w:val="21"/>
              </w:rPr>
              <w:t>25,777,456.17</w:t>
            </w:r>
          </w:p>
        </w:tc>
      </w:tr>
      <w:tr w:rsidR="00FA3CB3" w14:paraId="3364F2D1" w14:textId="77777777">
        <w:tc>
          <w:tcPr>
            <w:tcW w:w="1246" w:type="dxa"/>
            <w:vAlign w:val="center"/>
          </w:tcPr>
          <w:p w14:paraId="415FB087" w14:textId="77777777" w:rsidR="00FA3CB3" w:rsidRDefault="00052A0D">
            <w:pPr>
              <w:jc w:val="center"/>
            </w:pPr>
            <w:r>
              <w:rPr>
                <w:rFonts w:eastAsiaTheme="minorEastAsia"/>
                <w:color w:val="000000" w:themeColor="text1"/>
                <w:szCs w:val="21"/>
              </w:rPr>
              <w:t>买入返售金融资产</w:t>
            </w:r>
          </w:p>
        </w:tc>
        <w:tc>
          <w:tcPr>
            <w:tcW w:w="1586" w:type="dxa"/>
            <w:vAlign w:val="center"/>
          </w:tcPr>
          <w:p w14:paraId="0F03F467" w14:textId="77777777" w:rsidR="00FA3CB3" w:rsidRDefault="00052A0D">
            <w:pPr>
              <w:jc w:val="right"/>
            </w:pPr>
            <w:r>
              <w:rPr>
                <w:rFonts w:eastAsiaTheme="minorEastAsia"/>
                <w:color w:val="000000" w:themeColor="text1"/>
                <w:szCs w:val="21"/>
              </w:rPr>
              <w:t>-</w:t>
            </w:r>
          </w:p>
        </w:tc>
        <w:tc>
          <w:tcPr>
            <w:tcW w:w="1587" w:type="dxa"/>
            <w:vAlign w:val="center"/>
          </w:tcPr>
          <w:p w14:paraId="25C3C03A" w14:textId="77777777" w:rsidR="00FA3CB3" w:rsidRDefault="00052A0D">
            <w:pPr>
              <w:jc w:val="right"/>
            </w:pPr>
            <w:r>
              <w:rPr>
                <w:rFonts w:eastAsiaTheme="minorEastAsia"/>
                <w:color w:val="000000" w:themeColor="text1"/>
                <w:szCs w:val="21"/>
              </w:rPr>
              <w:t>-</w:t>
            </w:r>
          </w:p>
        </w:tc>
        <w:tc>
          <w:tcPr>
            <w:tcW w:w="1587" w:type="dxa"/>
            <w:vAlign w:val="center"/>
          </w:tcPr>
          <w:p w14:paraId="61B23C5F" w14:textId="77777777" w:rsidR="00FA3CB3" w:rsidRDefault="00052A0D">
            <w:pPr>
              <w:jc w:val="right"/>
            </w:pPr>
            <w:r>
              <w:rPr>
                <w:rFonts w:eastAsiaTheme="minorEastAsia"/>
                <w:color w:val="000000" w:themeColor="text1"/>
                <w:szCs w:val="21"/>
              </w:rPr>
              <w:t>-</w:t>
            </w:r>
          </w:p>
        </w:tc>
        <w:tc>
          <w:tcPr>
            <w:tcW w:w="1587" w:type="dxa"/>
            <w:vAlign w:val="center"/>
          </w:tcPr>
          <w:p w14:paraId="0DC2F769" w14:textId="77777777" w:rsidR="00FA3CB3" w:rsidRDefault="00052A0D">
            <w:pPr>
              <w:jc w:val="right"/>
            </w:pPr>
            <w:r>
              <w:rPr>
                <w:rFonts w:eastAsiaTheme="minorEastAsia"/>
                <w:color w:val="000000" w:themeColor="text1"/>
                <w:szCs w:val="21"/>
              </w:rPr>
              <w:t>-</w:t>
            </w:r>
          </w:p>
        </w:tc>
        <w:tc>
          <w:tcPr>
            <w:tcW w:w="1587" w:type="dxa"/>
            <w:vAlign w:val="center"/>
          </w:tcPr>
          <w:p w14:paraId="0B9A2408" w14:textId="77777777" w:rsidR="00FA3CB3" w:rsidRDefault="00052A0D">
            <w:pPr>
              <w:jc w:val="right"/>
            </w:pPr>
            <w:r>
              <w:rPr>
                <w:rFonts w:eastAsiaTheme="minorEastAsia"/>
                <w:color w:val="000000" w:themeColor="text1"/>
                <w:szCs w:val="21"/>
              </w:rPr>
              <w:t>-</w:t>
            </w:r>
          </w:p>
        </w:tc>
      </w:tr>
      <w:tr w:rsidR="00FA3CB3" w14:paraId="039A0C6B" w14:textId="77777777">
        <w:tc>
          <w:tcPr>
            <w:tcW w:w="1246" w:type="dxa"/>
            <w:vAlign w:val="center"/>
          </w:tcPr>
          <w:p w14:paraId="42C40056" w14:textId="77777777" w:rsidR="00FA3CB3" w:rsidRDefault="00052A0D">
            <w:pPr>
              <w:jc w:val="center"/>
            </w:pPr>
            <w:r>
              <w:rPr>
                <w:rFonts w:eastAsiaTheme="minorEastAsia"/>
                <w:color w:val="000000" w:themeColor="text1"/>
                <w:szCs w:val="21"/>
              </w:rPr>
              <w:t>应收清算款</w:t>
            </w:r>
          </w:p>
        </w:tc>
        <w:tc>
          <w:tcPr>
            <w:tcW w:w="1586" w:type="dxa"/>
            <w:vAlign w:val="center"/>
          </w:tcPr>
          <w:p w14:paraId="744DB6DC" w14:textId="77777777" w:rsidR="00FA3CB3" w:rsidRDefault="00052A0D">
            <w:pPr>
              <w:jc w:val="right"/>
            </w:pPr>
            <w:r>
              <w:rPr>
                <w:rFonts w:eastAsiaTheme="minorEastAsia"/>
                <w:color w:val="000000" w:themeColor="text1"/>
                <w:szCs w:val="21"/>
              </w:rPr>
              <w:t>-</w:t>
            </w:r>
          </w:p>
        </w:tc>
        <w:tc>
          <w:tcPr>
            <w:tcW w:w="1587" w:type="dxa"/>
            <w:vAlign w:val="center"/>
          </w:tcPr>
          <w:p w14:paraId="646D0B08" w14:textId="77777777" w:rsidR="00FA3CB3" w:rsidRDefault="00052A0D">
            <w:pPr>
              <w:jc w:val="right"/>
            </w:pPr>
            <w:r>
              <w:rPr>
                <w:rFonts w:eastAsiaTheme="minorEastAsia"/>
                <w:color w:val="000000" w:themeColor="text1"/>
                <w:szCs w:val="21"/>
              </w:rPr>
              <w:t>-</w:t>
            </w:r>
          </w:p>
        </w:tc>
        <w:tc>
          <w:tcPr>
            <w:tcW w:w="1587" w:type="dxa"/>
            <w:vAlign w:val="center"/>
          </w:tcPr>
          <w:p w14:paraId="464D2E83" w14:textId="77777777" w:rsidR="00FA3CB3" w:rsidRDefault="00052A0D">
            <w:pPr>
              <w:jc w:val="right"/>
            </w:pPr>
            <w:r>
              <w:rPr>
                <w:rFonts w:eastAsiaTheme="minorEastAsia"/>
                <w:color w:val="000000" w:themeColor="text1"/>
                <w:szCs w:val="21"/>
              </w:rPr>
              <w:t>-</w:t>
            </w:r>
          </w:p>
        </w:tc>
        <w:tc>
          <w:tcPr>
            <w:tcW w:w="1587" w:type="dxa"/>
            <w:vAlign w:val="center"/>
          </w:tcPr>
          <w:p w14:paraId="19FE340E" w14:textId="77777777" w:rsidR="00FA3CB3" w:rsidRDefault="00052A0D">
            <w:pPr>
              <w:jc w:val="right"/>
            </w:pPr>
            <w:r>
              <w:rPr>
                <w:rFonts w:eastAsiaTheme="minorEastAsia"/>
                <w:color w:val="000000" w:themeColor="text1"/>
                <w:szCs w:val="21"/>
              </w:rPr>
              <w:t>-</w:t>
            </w:r>
          </w:p>
        </w:tc>
        <w:tc>
          <w:tcPr>
            <w:tcW w:w="1587" w:type="dxa"/>
            <w:vAlign w:val="center"/>
          </w:tcPr>
          <w:p w14:paraId="481FB61B" w14:textId="77777777" w:rsidR="00FA3CB3" w:rsidRDefault="00052A0D">
            <w:pPr>
              <w:jc w:val="right"/>
            </w:pPr>
            <w:r>
              <w:rPr>
                <w:rFonts w:eastAsiaTheme="minorEastAsia"/>
                <w:color w:val="000000" w:themeColor="text1"/>
                <w:szCs w:val="21"/>
              </w:rPr>
              <w:t>-</w:t>
            </w:r>
          </w:p>
        </w:tc>
      </w:tr>
      <w:tr w:rsidR="00FA3CB3" w14:paraId="63DCBC06" w14:textId="77777777">
        <w:tc>
          <w:tcPr>
            <w:tcW w:w="1246" w:type="dxa"/>
            <w:vAlign w:val="center"/>
          </w:tcPr>
          <w:p w14:paraId="47DB19D8" w14:textId="77777777" w:rsidR="00FA3CB3" w:rsidRDefault="00052A0D">
            <w:pPr>
              <w:jc w:val="center"/>
            </w:pPr>
            <w:r>
              <w:rPr>
                <w:rFonts w:eastAsiaTheme="minorEastAsia"/>
                <w:color w:val="000000" w:themeColor="text1"/>
                <w:szCs w:val="21"/>
              </w:rPr>
              <w:t>应收股利</w:t>
            </w:r>
          </w:p>
        </w:tc>
        <w:tc>
          <w:tcPr>
            <w:tcW w:w="1586" w:type="dxa"/>
            <w:vAlign w:val="center"/>
          </w:tcPr>
          <w:p w14:paraId="3B7B5D6B" w14:textId="77777777" w:rsidR="00FA3CB3" w:rsidRDefault="00052A0D">
            <w:pPr>
              <w:jc w:val="right"/>
            </w:pPr>
            <w:r>
              <w:rPr>
                <w:rFonts w:eastAsiaTheme="minorEastAsia"/>
                <w:color w:val="000000" w:themeColor="text1"/>
                <w:szCs w:val="21"/>
              </w:rPr>
              <w:t>-</w:t>
            </w:r>
          </w:p>
        </w:tc>
        <w:tc>
          <w:tcPr>
            <w:tcW w:w="1587" w:type="dxa"/>
            <w:vAlign w:val="center"/>
          </w:tcPr>
          <w:p w14:paraId="06BBA592" w14:textId="77777777" w:rsidR="00FA3CB3" w:rsidRDefault="00052A0D">
            <w:pPr>
              <w:jc w:val="right"/>
            </w:pPr>
            <w:r>
              <w:rPr>
                <w:rFonts w:eastAsiaTheme="minorEastAsia"/>
                <w:color w:val="000000" w:themeColor="text1"/>
                <w:szCs w:val="21"/>
              </w:rPr>
              <w:t>-</w:t>
            </w:r>
          </w:p>
        </w:tc>
        <w:tc>
          <w:tcPr>
            <w:tcW w:w="1587" w:type="dxa"/>
            <w:vAlign w:val="center"/>
          </w:tcPr>
          <w:p w14:paraId="67CB8164" w14:textId="77777777" w:rsidR="00FA3CB3" w:rsidRDefault="00052A0D">
            <w:pPr>
              <w:jc w:val="right"/>
            </w:pPr>
            <w:r>
              <w:rPr>
                <w:rFonts w:eastAsiaTheme="minorEastAsia"/>
                <w:color w:val="000000" w:themeColor="text1"/>
                <w:szCs w:val="21"/>
              </w:rPr>
              <w:t>-</w:t>
            </w:r>
          </w:p>
        </w:tc>
        <w:tc>
          <w:tcPr>
            <w:tcW w:w="1587" w:type="dxa"/>
            <w:vAlign w:val="center"/>
          </w:tcPr>
          <w:p w14:paraId="052FD1BE" w14:textId="77777777" w:rsidR="00FA3CB3" w:rsidRDefault="00052A0D">
            <w:pPr>
              <w:jc w:val="right"/>
            </w:pPr>
            <w:r>
              <w:rPr>
                <w:rFonts w:eastAsiaTheme="minorEastAsia"/>
                <w:color w:val="000000" w:themeColor="text1"/>
                <w:szCs w:val="21"/>
              </w:rPr>
              <w:t>-</w:t>
            </w:r>
          </w:p>
        </w:tc>
        <w:tc>
          <w:tcPr>
            <w:tcW w:w="1587" w:type="dxa"/>
            <w:vAlign w:val="center"/>
          </w:tcPr>
          <w:p w14:paraId="168E1588" w14:textId="77777777" w:rsidR="00FA3CB3" w:rsidRDefault="00052A0D">
            <w:pPr>
              <w:jc w:val="right"/>
            </w:pPr>
            <w:r>
              <w:rPr>
                <w:rFonts w:eastAsiaTheme="minorEastAsia"/>
                <w:color w:val="000000" w:themeColor="text1"/>
                <w:szCs w:val="21"/>
              </w:rPr>
              <w:t>-</w:t>
            </w:r>
          </w:p>
        </w:tc>
      </w:tr>
      <w:tr w:rsidR="00FA3CB3" w14:paraId="55313AA3" w14:textId="77777777">
        <w:tc>
          <w:tcPr>
            <w:tcW w:w="1246" w:type="dxa"/>
            <w:vAlign w:val="center"/>
          </w:tcPr>
          <w:p w14:paraId="2626262C" w14:textId="77777777" w:rsidR="00FA3CB3" w:rsidRDefault="00052A0D">
            <w:pPr>
              <w:jc w:val="center"/>
            </w:pPr>
            <w:r>
              <w:rPr>
                <w:rFonts w:eastAsiaTheme="minorEastAsia"/>
                <w:color w:val="000000" w:themeColor="text1"/>
                <w:szCs w:val="21"/>
              </w:rPr>
              <w:t>应收申购款</w:t>
            </w:r>
          </w:p>
        </w:tc>
        <w:tc>
          <w:tcPr>
            <w:tcW w:w="1586" w:type="dxa"/>
            <w:vAlign w:val="center"/>
          </w:tcPr>
          <w:p w14:paraId="2093205B" w14:textId="77777777" w:rsidR="00FA3CB3" w:rsidRDefault="00052A0D">
            <w:pPr>
              <w:jc w:val="right"/>
            </w:pPr>
            <w:r>
              <w:rPr>
                <w:rFonts w:eastAsiaTheme="minorEastAsia"/>
                <w:color w:val="000000" w:themeColor="text1"/>
                <w:szCs w:val="21"/>
              </w:rPr>
              <w:t>-</w:t>
            </w:r>
          </w:p>
        </w:tc>
        <w:tc>
          <w:tcPr>
            <w:tcW w:w="1587" w:type="dxa"/>
            <w:vAlign w:val="center"/>
          </w:tcPr>
          <w:p w14:paraId="474D09A4" w14:textId="77777777" w:rsidR="00FA3CB3" w:rsidRDefault="00052A0D">
            <w:pPr>
              <w:jc w:val="right"/>
            </w:pPr>
            <w:r>
              <w:rPr>
                <w:rFonts w:eastAsiaTheme="minorEastAsia"/>
                <w:color w:val="000000" w:themeColor="text1"/>
                <w:szCs w:val="21"/>
              </w:rPr>
              <w:t>-</w:t>
            </w:r>
          </w:p>
        </w:tc>
        <w:tc>
          <w:tcPr>
            <w:tcW w:w="1587" w:type="dxa"/>
            <w:vAlign w:val="center"/>
          </w:tcPr>
          <w:p w14:paraId="7177B676" w14:textId="77777777" w:rsidR="00FA3CB3" w:rsidRDefault="00052A0D">
            <w:pPr>
              <w:jc w:val="right"/>
            </w:pPr>
            <w:r>
              <w:rPr>
                <w:rFonts w:eastAsiaTheme="minorEastAsia"/>
                <w:color w:val="000000" w:themeColor="text1"/>
                <w:szCs w:val="21"/>
              </w:rPr>
              <w:t>-</w:t>
            </w:r>
          </w:p>
        </w:tc>
        <w:tc>
          <w:tcPr>
            <w:tcW w:w="1587" w:type="dxa"/>
            <w:vAlign w:val="center"/>
          </w:tcPr>
          <w:p w14:paraId="189FBD90" w14:textId="77777777" w:rsidR="00FA3CB3" w:rsidRDefault="00052A0D">
            <w:pPr>
              <w:jc w:val="right"/>
            </w:pPr>
            <w:r>
              <w:rPr>
                <w:rFonts w:eastAsiaTheme="minorEastAsia"/>
                <w:color w:val="000000" w:themeColor="text1"/>
                <w:szCs w:val="21"/>
              </w:rPr>
              <w:t>280,854.66</w:t>
            </w:r>
          </w:p>
        </w:tc>
        <w:tc>
          <w:tcPr>
            <w:tcW w:w="1587" w:type="dxa"/>
            <w:vAlign w:val="center"/>
          </w:tcPr>
          <w:p w14:paraId="4337F7FB" w14:textId="77777777" w:rsidR="00FA3CB3" w:rsidRDefault="00052A0D">
            <w:pPr>
              <w:jc w:val="right"/>
            </w:pPr>
            <w:r>
              <w:rPr>
                <w:rFonts w:eastAsiaTheme="minorEastAsia"/>
                <w:color w:val="000000" w:themeColor="text1"/>
                <w:szCs w:val="21"/>
              </w:rPr>
              <w:t>280,854.66</w:t>
            </w:r>
          </w:p>
        </w:tc>
      </w:tr>
      <w:tr w:rsidR="00FA3CB3" w14:paraId="1300A3D7" w14:textId="77777777">
        <w:tc>
          <w:tcPr>
            <w:tcW w:w="1246" w:type="dxa"/>
            <w:vAlign w:val="center"/>
          </w:tcPr>
          <w:p w14:paraId="5CA372FA" w14:textId="77777777" w:rsidR="00FA3CB3" w:rsidRDefault="00052A0D">
            <w:pPr>
              <w:jc w:val="center"/>
            </w:pPr>
            <w:r>
              <w:rPr>
                <w:rFonts w:eastAsiaTheme="minorEastAsia"/>
                <w:color w:val="000000" w:themeColor="text1"/>
                <w:szCs w:val="21"/>
              </w:rPr>
              <w:t>其他资产</w:t>
            </w:r>
          </w:p>
        </w:tc>
        <w:tc>
          <w:tcPr>
            <w:tcW w:w="1586" w:type="dxa"/>
            <w:vAlign w:val="center"/>
          </w:tcPr>
          <w:p w14:paraId="057ED304" w14:textId="77777777" w:rsidR="00FA3CB3" w:rsidRDefault="00052A0D">
            <w:pPr>
              <w:jc w:val="right"/>
            </w:pPr>
            <w:r>
              <w:rPr>
                <w:rFonts w:eastAsiaTheme="minorEastAsia"/>
                <w:color w:val="000000" w:themeColor="text1"/>
                <w:szCs w:val="21"/>
              </w:rPr>
              <w:t>-</w:t>
            </w:r>
          </w:p>
        </w:tc>
        <w:tc>
          <w:tcPr>
            <w:tcW w:w="1587" w:type="dxa"/>
            <w:vAlign w:val="center"/>
          </w:tcPr>
          <w:p w14:paraId="6D71ED08" w14:textId="77777777" w:rsidR="00FA3CB3" w:rsidRDefault="00052A0D">
            <w:pPr>
              <w:jc w:val="right"/>
            </w:pPr>
            <w:r>
              <w:rPr>
                <w:rFonts w:eastAsiaTheme="minorEastAsia"/>
                <w:color w:val="000000" w:themeColor="text1"/>
                <w:szCs w:val="21"/>
              </w:rPr>
              <w:t>-</w:t>
            </w:r>
          </w:p>
        </w:tc>
        <w:tc>
          <w:tcPr>
            <w:tcW w:w="1587" w:type="dxa"/>
            <w:vAlign w:val="center"/>
          </w:tcPr>
          <w:p w14:paraId="469F4F08" w14:textId="77777777" w:rsidR="00FA3CB3" w:rsidRDefault="00052A0D">
            <w:pPr>
              <w:jc w:val="right"/>
            </w:pPr>
            <w:r>
              <w:rPr>
                <w:rFonts w:eastAsiaTheme="minorEastAsia"/>
                <w:color w:val="000000" w:themeColor="text1"/>
                <w:szCs w:val="21"/>
              </w:rPr>
              <w:t>-</w:t>
            </w:r>
          </w:p>
        </w:tc>
        <w:tc>
          <w:tcPr>
            <w:tcW w:w="1587" w:type="dxa"/>
            <w:vAlign w:val="center"/>
          </w:tcPr>
          <w:p w14:paraId="68A7BAF3" w14:textId="77777777" w:rsidR="00FA3CB3" w:rsidRDefault="00052A0D">
            <w:pPr>
              <w:jc w:val="right"/>
            </w:pPr>
            <w:r>
              <w:rPr>
                <w:rFonts w:eastAsiaTheme="minorEastAsia"/>
                <w:color w:val="000000" w:themeColor="text1"/>
                <w:szCs w:val="21"/>
              </w:rPr>
              <w:t>-</w:t>
            </w:r>
          </w:p>
        </w:tc>
        <w:tc>
          <w:tcPr>
            <w:tcW w:w="1587" w:type="dxa"/>
            <w:vAlign w:val="center"/>
          </w:tcPr>
          <w:p w14:paraId="05BBDC57" w14:textId="77777777" w:rsidR="00FA3CB3" w:rsidRDefault="00052A0D">
            <w:pPr>
              <w:jc w:val="right"/>
            </w:pPr>
            <w:r>
              <w:rPr>
                <w:rFonts w:eastAsiaTheme="minorEastAsia"/>
                <w:color w:val="000000" w:themeColor="text1"/>
                <w:szCs w:val="21"/>
              </w:rPr>
              <w:t>-</w:t>
            </w:r>
          </w:p>
        </w:tc>
      </w:tr>
      <w:tr w:rsidR="00DB6272" w:rsidRPr="00B079CA" w14:paraId="1A04FCF0"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A9A255B"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697DB04" w14:textId="77777777"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2ABA02D1" w14:textId="77777777" w:rsidR="00DB6272" w:rsidRPr="000C0CB8"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1,896,199.01</w:t>
            </w:r>
          </w:p>
        </w:tc>
        <w:tc>
          <w:tcPr>
            <w:tcW w:w="1587" w:type="dxa"/>
            <w:tcBorders>
              <w:top w:val="single" w:sz="4" w:space="0" w:color="auto"/>
              <w:left w:val="single" w:sz="4" w:space="0" w:color="auto"/>
              <w:bottom w:val="single" w:sz="4" w:space="0" w:color="auto"/>
              <w:right w:val="single" w:sz="4" w:space="0" w:color="auto"/>
            </w:tcBorders>
            <w:vAlign w:val="center"/>
          </w:tcPr>
          <w:p w14:paraId="3D0AE803"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66739DFE"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7C81107B"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25,449,886.66</w:t>
            </w:r>
          </w:p>
        </w:tc>
        <w:tc>
          <w:tcPr>
            <w:tcW w:w="1587" w:type="dxa"/>
            <w:tcBorders>
              <w:top w:val="single" w:sz="4" w:space="0" w:color="auto"/>
              <w:left w:val="single" w:sz="4" w:space="0" w:color="auto"/>
              <w:bottom w:val="single" w:sz="4" w:space="0" w:color="auto"/>
              <w:right w:val="single" w:sz="4" w:space="0" w:color="auto"/>
            </w:tcBorders>
            <w:vAlign w:val="center"/>
          </w:tcPr>
          <w:p w14:paraId="7E623E82"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27,346,085.67</w:t>
            </w:r>
          </w:p>
        </w:tc>
      </w:tr>
      <w:tr w:rsidR="00DB6272" w:rsidRPr="00B079CA" w14:paraId="40327633"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683278"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464F0AC"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71D079"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579192"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7838D3"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28C5A1" w14:textId="77777777" w:rsidR="00DB6272" w:rsidRPr="00B079CA" w:rsidRDefault="00DB6272" w:rsidP="00E71356">
            <w:pPr>
              <w:spacing w:line="360" w:lineRule="auto"/>
              <w:jc w:val="right"/>
              <w:rPr>
                <w:rFonts w:eastAsiaTheme="minorEastAsia"/>
                <w:color w:val="000000" w:themeColor="text1"/>
                <w:szCs w:val="21"/>
              </w:rPr>
            </w:pPr>
          </w:p>
        </w:tc>
      </w:tr>
      <w:tr w:rsidR="00FA3CB3" w14:paraId="2C70E25A" w14:textId="77777777">
        <w:tc>
          <w:tcPr>
            <w:tcW w:w="1246" w:type="dxa"/>
            <w:vAlign w:val="center"/>
          </w:tcPr>
          <w:p w14:paraId="6AED4BA8" w14:textId="77777777" w:rsidR="00FA3CB3" w:rsidRDefault="00052A0D">
            <w:pPr>
              <w:jc w:val="center"/>
            </w:pPr>
            <w:r>
              <w:rPr>
                <w:rFonts w:eastAsiaTheme="minorEastAsia"/>
                <w:color w:val="000000" w:themeColor="text1"/>
                <w:szCs w:val="21"/>
              </w:rPr>
              <w:t>卖出回购金融资产款</w:t>
            </w:r>
          </w:p>
        </w:tc>
        <w:tc>
          <w:tcPr>
            <w:tcW w:w="1586" w:type="dxa"/>
            <w:vAlign w:val="center"/>
          </w:tcPr>
          <w:p w14:paraId="2C7C50A9" w14:textId="77777777" w:rsidR="00FA3CB3" w:rsidRDefault="00052A0D">
            <w:pPr>
              <w:jc w:val="right"/>
            </w:pPr>
            <w:r>
              <w:rPr>
                <w:rFonts w:eastAsiaTheme="minorEastAsia"/>
                <w:color w:val="000000" w:themeColor="text1"/>
                <w:szCs w:val="21"/>
              </w:rPr>
              <w:t>-</w:t>
            </w:r>
          </w:p>
        </w:tc>
        <w:tc>
          <w:tcPr>
            <w:tcW w:w="1587" w:type="dxa"/>
            <w:vAlign w:val="center"/>
          </w:tcPr>
          <w:p w14:paraId="382F3B23" w14:textId="77777777" w:rsidR="00FA3CB3" w:rsidRDefault="00052A0D">
            <w:pPr>
              <w:jc w:val="right"/>
            </w:pPr>
            <w:r>
              <w:rPr>
                <w:rFonts w:eastAsiaTheme="minorEastAsia"/>
                <w:color w:val="000000" w:themeColor="text1"/>
                <w:szCs w:val="21"/>
              </w:rPr>
              <w:t>-</w:t>
            </w:r>
          </w:p>
        </w:tc>
        <w:tc>
          <w:tcPr>
            <w:tcW w:w="1587" w:type="dxa"/>
            <w:vAlign w:val="center"/>
          </w:tcPr>
          <w:p w14:paraId="06FC7C18" w14:textId="77777777" w:rsidR="00FA3CB3" w:rsidRDefault="00052A0D">
            <w:pPr>
              <w:jc w:val="right"/>
            </w:pPr>
            <w:r>
              <w:rPr>
                <w:rFonts w:eastAsiaTheme="minorEastAsia"/>
                <w:color w:val="000000" w:themeColor="text1"/>
                <w:szCs w:val="21"/>
              </w:rPr>
              <w:t>-</w:t>
            </w:r>
          </w:p>
        </w:tc>
        <w:tc>
          <w:tcPr>
            <w:tcW w:w="1587" w:type="dxa"/>
            <w:vAlign w:val="center"/>
          </w:tcPr>
          <w:p w14:paraId="1F31580C" w14:textId="77777777" w:rsidR="00FA3CB3" w:rsidRDefault="00052A0D">
            <w:pPr>
              <w:jc w:val="right"/>
            </w:pPr>
            <w:r>
              <w:rPr>
                <w:rFonts w:eastAsiaTheme="minorEastAsia"/>
                <w:color w:val="000000" w:themeColor="text1"/>
                <w:szCs w:val="21"/>
              </w:rPr>
              <w:t>-</w:t>
            </w:r>
          </w:p>
        </w:tc>
        <w:tc>
          <w:tcPr>
            <w:tcW w:w="1587" w:type="dxa"/>
            <w:vAlign w:val="center"/>
          </w:tcPr>
          <w:p w14:paraId="430B8818" w14:textId="77777777" w:rsidR="00FA3CB3" w:rsidRDefault="00052A0D">
            <w:pPr>
              <w:jc w:val="right"/>
            </w:pPr>
            <w:r>
              <w:rPr>
                <w:rFonts w:eastAsiaTheme="minorEastAsia"/>
                <w:color w:val="000000" w:themeColor="text1"/>
                <w:szCs w:val="21"/>
              </w:rPr>
              <w:t>-</w:t>
            </w:r>
          </w:p>
        </w:tc>
      </w:tr>
      <w:tr w:rsidR="00FA3CB3" w14:paraId="39C4AA44" w14:textId="77777777">
        <w:tc>
          <w:tcPr>
            <w:tcW w:w="1246" w:type="dxa"/>
            <w:vAlign w:val="center"/>
          </w:tcPr>
          <w:p w14:paraId="01A8642D" w14:textId="77777777" w:rsidR="00FA3CB3" w:rsidRDefault="00052A0D">
            <w:pPr>
              <w:jc w:val="center"/>
            </w:pPr>
            <w:r>
              <w:rPr>
                <w:rFonts w:eastAsiaTheme="minorEastAsia"/>
                <w:color w:val="000000" w:themeColor="text1"/>
                <w:szCs w:val="21"/>
              </w:rPr>
              <w:lastRenderedPageBreak/>
              <w:t>应付清算款</w:t>
            </w:r>
          </w:p>
        </w:tc>
        <w:tc>
          <w:tcPr>
            <w:tcW w:w="1586" w:type="dxa"/>
            <w:vAlign w:val="center"/>
          </w:tcPr>
          <w:p w14:paraId="3417BEC8" w14:textId="77777777" w:rsidR="00FA3CB3" w:rsidRDefault="00052A0D">
            <w:pPr>
              <w:jc w:val="right"/>
            </w:pPr>
            <w:r>
              <w:rPr>
                <w:rFonts w:eastAsiaTheme="minorEastAsia"/>
                <w:color w:val="000000" w:themeColor="text1"/>
                <w:szCs w:val="21"/>
              </w:rPr>
              <w:t>-</w:t>
            </w:r>
          </w:p>
        </w:tc>
        <w:tc>
          <w:tcPr>
            <w:tcW w:w="1587" w:type="dxa"/>
            <w:vAlign w:val="center"/>
          </w:tcPr>
          <w:p w14:paraId="0DFECD7C" w14:textId="77777777" w:rsidR="00FA3CB3" w:rsidRDefault="00052A0D">
            <w:pPr>
              <w:jc w:val="right"/>
            </w:pPr>
            <w:r>
              <w:rPr>
                <w:rFonts w:eastAsiaTheme="minorEastAsia"/>
                <w:color w:val="000000" w:themeColor="text1"/>
                <w:szCs w:val="21"/>
              </w:rPr>
              <w:t>-</w:t>
            </w:r>
          </w:p>
        </w:tc>
        <w:tc>
          <w:tcPr>
            <w:tcW w:w="1587" w:type="dxa"/>
            <w:vAlign w:val="center"/>
          </w:tcPr>
          <w:p w14:paraId="031DD053" w14:textId="77777777" w:rsidR="00FA3CB3" w:rsidRDefault="00052A0D">
            <w:pPr>
              <w:jc w:val="right"/>
            </w:pPr>
            <w:r>
              <w:rPr>
                <w:rFonts w:eastAsiaTheme="minorEastAsia"/>
                <w:color w:val="000000" w:themeColor="text1"/>
                <w:szCs w:val="21"/>
              </w:rPr>
              <w:t>-</w:t>
            </w:r>
          </w:p>
        </w:tc>
        <w:tc>
          <w:tcPr>
            <w:tcW w:w="1587" w:type="dxa"/>
            <w:vAlign w:val="center"/>
          </w:tcPr>
          <w:p w14:paraId="29CDB9D0" w14:textId="77777777" w:rsidR="00FA3CB3" w:rsidRDefault="00052A0D">
            <w:pPr>
              <w:jc w:val="right"/>
            </w:pPr>
            <w:r>
              <w:rPr>
                <w:rFonts w:eastAsiaTheme="minorEastAsia"/>
                <w:color w:val="000000" w:themeColor="text1"/>
                <w:szCs w:val="21"/>
              </w:rPr>
              <w:t>-</w:t>
            </w:r>
          </w:p>
        </w:tc>
        <w:tc>
          <w:tcPr>
            <w:tcW w:w="1587" w:type="dxa"/>
            <w:vAlign w:val="center"/>
          </w:tcPr>
          <w:p w14:paraId="545E1E7E" w14:textId="77777777" w:rsidR="00FA3CB3" w:rsidRDefault="00052A0D">
            <w:pPr>
              <w:jc w:val="right"/>
            </w:pPr>
            <w:r>
              <w:rPr>
                <w:rFonts w:eastAsiaTheme="minorEastAsia"/>
                <w:color w:val="000000" w:themeColor="text1"/>
                <w:szCs w:val="21"/>
              </w:rPr>
              <w:t>-</w:t>
            </w:r>
          </w:p>
        </w:tc>
      </w:tr>
      <w:tr w:rsidR="00FA3CB3" w14:paraId="138DC6FC" w14:textId="77777777">
        <w:tc>
          <w:tcPr>
            <w:tcW w:w="1246" w:type="dxa"/>
            <w:vAlign w:val="center"/>
          </w:tcPr>
          <w:p w14:paraId="48C4D6CF" w14:textId="77777777" w:rsidR="00FA3CB3" w:rsidRDefault="00052A0D">
            <w:pPr>
              <w:jc w:val="center"/>
            </w:pPr>
            <w:r>
              <w:rPr>
                <w:rFonts w:eastAsiaTheme="minorEastAsia"/>
                <w:color w:val="000000" w:themeColor="text1"/>
                <w:szCs w:val="21"/>
              </w:rPr>
              <w:t>应付赎回款</w:t>
            </w:r>
          </w:p>
        </w:tc>
        <w:tc>
          <w:tcPr>
            <w:tcW w:w="1586" w:type="dxa"/>
            <w:vAlign w:val="center"/>
          </w:tcPr>
          <w:p w14:paraId="42719073" w14:textId="77777777" w:rsidR="00FA3CB3" w:rsidRDefault="00052A0D">
            <w:pPr>
              <w:jc w:val="right"/>
            </w:pPr>
            <w:r>
              <w:rPr>
                <w:rFonts w:eastAsiaTheme="minorEastAsia"/>
                <w:color w:val="000000" w:themeColor="text1"/>
                <w:szCs w:val="21"/>
              </w:rPr>
              <w:t>-</w:t>
            </w:r>
          </w:p>
        </w:tc>
        <w:tc>
          <w:tcPr>
            <w:tcW w:w="1587" w:type="dxa"/>
            <w:vAlign w:val="center"/>
          </w:tcPr>
          <w:p w14:paraId="19BF7009" w14:textId="77777777" w:rsidR="00FA3CB3" w:rsidRDefault="00052A0D">
            <w:pPr>
              <w:jc w:val="right"/>
            </w:pPr>
            <w:r>
              <w:rPr>
                <w:rFonts w:eastAsiaTheme="minorEastAsia"/>
                <w:color w:val="000000" w:themeColor="text1"/>
                <w:szCs w:val="21"/>
              </w:rPr>
              <w:t>-</w:t>
            </w:r>
          </w:p>
        </w:tc>
        <w:tc>
          <w:tcPr>
            <w:tcW w:w="1587" w:type="dxa"/>
            <w:vAlign w:val="center"/>
          </w:tcPr>
          <w:p w14:paraId="6039BE18" w14:textId="77777777" w:rsidR="00FA3CB3" w:rsidRDefault="00052A0D">
            <w:pPr>
              <w:jc w:val="right"/>
            </w:pPr>
            <w:r>
              <w:rPr>
                <w:rFonts w:eastAsiaTheme="minorEastAsia"/>
                <w:color w:val="000000" w:themeColor="text1"/>
                <w:szCs w:val="21"/>
              </w:rPr>
              <w:t>-</w:t>
            </w:r>
          </w:p>
        </w:tc>
        <w:tc>
          <w:tcPr>
            <w:tcW w:w="1587" w:type="dxa"/>
            <w:vAlign w:val="center"/>
          </w:tcPr>
          <w:p w14:paraId="223E7ABC" w14:textId="77777777" w:rsidR="00FA3CB3" w:rsidRDefault="00052A0D">
            <w:pPr>
              <w:jc w:val="right"/>
            </w:pPr>
            <w:r>
              <w:rPr>
                <w:rFonts w:eastAsiaTheme="minorEastAsia"/>
                <w:color w:val="000000" w:themeColor="text1"/>
                <w:szCs w:val="21"/>
              </w:rPr>
              <w:t>702,029.65</w:t>
            </w:r>
          </w:p>
        </w:tc>
        <w:tc>
          <w:tcPr>
            <w:tcW w:w="1587" w:type="dxa"/>
            <w:vAlign w:val="center"/>
          </w:tcPr>
          <w:p w14:paraId="51F733DF" w14:textId="77777777" w:rsidR="00FA3CB3" w:rsidRDefault="00052A0D">
            <w:pPr>
              <w:jc w:val="right"/>
            </w:pPr>
            <w:r>
              <w:rPr>
                <w:rFonts w:eastAsiaTheme="minorEastAsia"/>
                <w:color w:val="000000" w:themeColor="text1"/>
                <w:szCs w:val="21"/>
              </w:rPr>
              <w:t>702,029.65</w:t>
            </w:r>
          </w:p>
        </w:tc>
      </w:tr>
      <w:tr w:rsidR="00FA3CB3" w14:paraId="7E7F4449" w14:textId="77777777">
        <w:tc>
          <w:tcPr>
            <w:tcW w:w="1246" w:type="dxa"/>
            <w:vAlign w:val="center"/>
          </w:tcPr>
          <w:p w14:paraId="41176446" w14:textId="77777777" w:rsidR="00FA3CB3" w:rsidRDefault="00052A0D">
            <w:pPr>
              <w:jc w:val="center"/>
            </w:pPr>
            <w:r>
              <w:rPr>
                <w:rFonts w:eastAsiaTheme="minorEastAsia"/>
                <w:color w:val="000000" w:themeColor="text1"/>
                <w:szCs w:val="21"/>
              </w:rPr>
              <w:t>应付管理人报酬</w:t>
            </w:r>
          </w:p>
        </w:tc>
        <w:tc>
          <w:tcPr>
            <w:tcW w:w="1586" w:type="dxa"/>
            <w:vAlign w:val="center"/>
          </w:tcPr>
          <w:p w14:paraId="396EAA25" w14:textId="77777777" w:rsidR="00FA3CB3" w:rsidRDefault="00052A0D">
            <w:pPr>
              <w:jc w:val="right"/>
            </w:pPr>
            <w:r>
              <w:rPr>
                <w:rFonts w:eastAsiaTheme="minorEastAsia"/>
                <w:color w:val="000000" w:themeColor="text1"/>
                <w:szCs w:val="21"/>
              </w:rPr>
              <w:t>-</w:t>
            </w:r>
          </w:p>
        </w:tc>
        <w:tc>
          <w:tcPr>
            <w:tcW w:w="1587" w:type="dxa"/>
            <w:vAlign w:val="center"/>
          </w:tcPr>
          <w:p w14:paraId="658229AD" w14:textId="77777777" w:rsidR="00FA3CB3" w:rsidRDefault="00052A0D">
            <w:pPr>
              <w:jc w:val="right"/>
            </w:pPr>
            <w:r>
              <w:rPr>
                <w:rFonts w:eastAsiaTheme="minorEastAsia"/>
                <w:color w:val="000000" w:themeColor="text1"/>
                <w:szCs w:val="21"/>
              </w:rPr>
              <w:t>-</w:t>
            </w:r>
          </w:p>
        </w:tc>
        <w:tc>
          <w:tcPr>
            <w:tcW w:w="1587" w:type="dxa"/>
            <w:vAlign w:val="center"/>
          </w:tcPr>
          <w:p w14:paraId="4D85C2B0" w14:textId="77777777" w:rsidR="00FA3CB3" w:rsidRDefault="00052A0D">
            <w:pPr>
              <w:jc w:val="right"/>
            </w:pPr>
            <w:r>
              <w:rPr>
                <w:rFonts w:eastAsiaTheme="minorEastAsia"/>
                <w:color w:val="000000" w:themeColor="text1"/>
                <w:szCs w:val="21"/>
              </w:rPr>
              <w:t>-</w:t>
            </w:r>
          </w:p>
        </w:tc>
        <w:tc>
          <w:tcPr>
            <w:tcW w:w="1587" w:type="dxa"/>
            <w:vAlign w:val="center"/>
          </w:tcPr>
          <w:p w14:paraId="1F8AC8E9" w14:textId="77777777" w:rsidR="00FA3CB3" w:rsidRDefault="00052A0D">
            <w:pPr>
              <w:jc w:val="right"/>
            </w:pPr>
            <w:r>
              <w:rPr>
                <w:rFonts w:eastAsiaTheme="minorEastAsia"/>
                <w:color w:val="000000" w:themeColor="text1"/>
                <w:szCs w:val="21"/>
              </w:rPr>
              <w:t>497.58</w:t>
            </w:r>
          </w:p>
        </w:tc>
        <w:tc>
          <w:tcPr>
            <w:tcW w:w="1587" w:type="dxa"/>
            <w:vAlign w:val="center"/>
          </w:tcPr>
          <w:p w14:paraId="2A4A467F" w14:textId="77777777" w:rsidR="00FA3CB3" w:rsidRDefault="00052A0D">
            <w:pPr>
              <w:jc w:val="right"/>
            </w:pPr>
            <w:r>
              <w:rPr>
                <w:rFonts w:eastAsiaTheme="minorEastAsia"/>
                <w:color w:val="000000" w:themeColor="text1"/>
                <w:szCs w:val="21"/>
              </w:rPr>
              <w:t>497.58</w:t>
            </w:r>
          </w:p>
        </w:tc>
      </w:tr>
      <w:tr w:rsidR="00FA3CB3" w14:paraId="4D05295D" w14:textId="77777777">
        <w:tc>
          <w:tcPr>
            <w:tcW w:w="1246" w:type="dxa"/>
            <w:vAlign w:val="center"/>
          </w:tcPr>
          <w:p w14:paraId="736B8FAA" w14:textId="77777777" w:rsidR="00FA3CB3" w:rsidRDefault="00052A0D">
            <w:pPr>
              <w:jc w:val="center"/>
            </w:pPr>
            <w:r>
              <w:rPr>
                <w:rFonts w:eastAsiaTheme="minorEastAsia"/>
                <w:color w:val="000000" w:themeColor="text1"/>
                <w:szCs w:val="21"/>
              </w:rPr>
              <w:t>应付托管费</w:t>
            </w:r>
          </w:p>
        </w:tc>
        <w:tc>
          <w:tcPr>
            <w:tcW w:w="1586" w:type="dxa"/>
            <w:vAlign w:val="center"/>
          </w:tcPr>
          <w:p w14:paraId="00736360" w14:textId="77777777" w:rsidR="00FA3CB3" w:rsidRDefault="00052A0D">
            <w:pPr>
              <w:jc w:val="right"/>
            </w:pPr>
            <w:r>
              <w:rPr>
                <w:rFonts w:eastAsiaTheme="minorEastAsia"/>
                <w:color w:val="000000" w:themeColor="text1"/>
                <w:szCs w:val="21"/>
              </w:rPr>
              <w:t>-</w:t>
            </w:r>
          </w:p>
        </w:tc>
        <w:tc>
          <w:tcPr>
            <w:tcW w:w="1587" w:type="dxa"/>
            <w:vAlign w:val="center"/>
          </w:tcPr>
          <w:p w14:paraId="65B7FBAA" w14:textId="77777777" w:rsidR="00FA3CB3" w:rsidRDefault="00052A0D">
            <w:pPr>
              <w:jc w:val="right"/>
            </w:pPr>
            <w:r>
              <w:rPr>
                <w:rFonts w:eastAsiaTheme="minorEastAsia"/>
                <w:color w:val="000000" w:themeColor="text1"/>
                <w:szCs w:val="21"/>
              </w:rPr>
              <w:t>-</w:t>
            </w:r>
          </w:p>
        </w:tc>
        <w:tc>
          <w:tcPr>
            <w:tcW w:w="1587" w:type="dxa"/>
            <w:vAlign w:val="center"/>
          </w:tcPr>
          <w:p w14:paraId="5E3EA5E3" w14:textId="77777777" w:rsidR="00FA3CB3" w:rsidRDefault="00052A0D">
            <w:pPr>
              <w:jc w:val="right"/>
            </w:pPr>
            <w:r>
              <w:rPr>
                <w:rFonts w:eastAsiaTheme="minorEastAsia"/>
                <w:color w:val="000000" w:themeColor="text1"/>
                <w:szCs w:val="21"/>
              </w:rPr>
              <w:t>-</w:t>
            </w:r>
          </w:p>
        </w:tc>
        <w:tc>
          <w:tcPr>
            <w:tcW w:w="1587" w:type="dxa"/>
            <w:vAlign w:val="center"/>
          </w:tcPr>
          <w:p w14:paraId="246EE7CF" w14:textId="77777777" w:rsidR="00FA3CB3" w:rsidRDefault="00052A0D">
            <w:pPr>
              <w:jc w:val="right"/>
            </w:pPr>
            <w:r>
              <w:rPr>
                <w:rFonts w:eastAsiaTheme="minorEastAsia"/>
                <w:color w:val="000000" w:themeColor="text1"/>
                <w:szCs w:val="21"/>
              </w:rPr>
              <w:t>99.52</w:t>
            </w:r>
          </w:p>
        </w:tc>
        <w:tc>
          <w:tcPr>
            <w:tcW w:w="1587" w:type="dxa"/>
            <w:vAlign w:val="center"/>
          </w:tcPr>
          <w:p w14:paraId="4DBFAAB8" w14:textId="77777777" w:rsidR="00FA3CB3" w:rsidRDefault="00052A0D">
            <w:pPr>
              <w:jc w:val="right"/>
            </w:pPr>
            <w:r>
              <w:rPr>
                <w:rFonts w:eastAsiaTheme="minorEastAsia"/>
                <w:color w:val="000000" w:themeColor="text1"/>
                <w:szCs w:val="21"/>
              </w:rPr>
              <w:t>99.52</w:t>
            </w:r>
          </w:p>
        </w:tc>
      </w:tr>
      <w:tr w:rsidR="00FA3CB3" w14:paraId="51EC0D38" w14:textId="77777777">
        <w:tc>
          <w:tcPr>
            <w:tcW w:w="1246" w:type="dxa"/>
            <w:vAlign w:val="center"/>
          </w:tcPr>
          <w:p w14:paraId="5A10AA6D" w14:textId="77777777" w:rsidR="00FA3CB3" w:rsidRDefault="00052A0D">
            <w:pPr>
              <w:jc w:val="center"/>
            </w:pPr>
            <w:r>
              <w:rPr>
                <w:rFonts w:eastAsiaTheme="minorEastAsia"/>
                <w:color w:val="000000" w:themeColor="text1"/>
                <w:szCs w:val="21"/>
              </w:rPr>
              <w:t>应付销售服务费</w:t>
            </w:r>
          </w:p>
        </w:tc>
        <w:tc>
          <w:tcPr>
            <w:tcW w:w="1586" w:type="dxa"/>
            <w:vAlign w:val="center"/>
          </w:tcPr>
          <w:p w14:paraId="4C67090A" w14:textId="77777777" w:rsidR="00FA3CB3" w:rsidRDefault="00052A0D">
            <w:pPr>
              <w:jc w:val="right"/>
            </w:pPr>
            <w:r>
              <w:rPr>
                <w:rFonts w:eastAsiaTheme="minorEastAsia"/>
                <w:color w:val="000000" w:themeColor="text1"/>
                <w:szCs w:val="21"/>
              </w:rPr>
              <w:t>-</w:t>
            </w:r>
          </w:p>
        </w:tc>
        <w:tc>
          <w:tcPr>
            <w:tcW w:w="1587" w:type="dxa"/>
            <w:vAlign w:val="center"/>
          </w:tcPr>
          <w:p w14:paraId="27D29EA0" w14:textId="77777777" w:rsidR="00FA3CB3" w:rsidRDefault="00052A0D">
            <w:pPr>
              <w:jc w:val="right"/>
            </w:pPr>
            <w:r>
              <w:rPr>
                <w:rFonts w:eastAsiaTheme="minorEastAsia"/>
                <w:color w:val="000000" w:themeColor="text1"/>
                <w:szCs w:val="21"/>
              </w:rPr>
              <w:t>-</w:t>
            </w:r>
          </w:p>
        </w:tc>
        <w:tc>
          <w:tcPr>
            <w:tcW w:w="1587" w:type="dxa"/>
            <w:vAlign w:val="center"/>
          </w:tcPr>
          <w:p w14:paraId="561C195F" w14:textId="77777777" w:rsidR="00FA3CB3" w:rsidRDefault="00052A0D">
            <w:pPr>
              <w:jc w:val="right"/>
            </w:pPr>
            <w:r>
              <w:rPr>
                <w:rFonts w:eastAsiaTheme="minorEastAsia"/>
                <w:color w:val="000000" w:themeColor="text1"/>
                <w:szCs w:val="21"/>
              </w:rPr>
              <w:t>-</w:t>
            </w:r>
          </w:p>
        </w:tc>
        <w:tc>
          <w:tcPr>
            <w:tcW w:w="1587" w:type="dxa"/>
            <w:vAlign w:val="center"/>
          </w:tcPr>
          <w:p w14:paraId="0F0622AA" w14:textId="77777777" w:rsidR="00FA3CB3" w:rsidRDefault="00052A0D">
            <w:pPr>
              <w:jc w:val="right"/>
            </w:pPr>
            <w:r>
              <w:rPr>
                <w:rFonts w:eastAsiaTheme="minorEastAsia"/>
                <w:color w:val="000000" w:themeColor="text1"/>
                <w:szCs w:val="21"/>
              </w:rPr>
              <w:t>5,527.57</w:t>
            </w:r>
          </w:p>
        </w:tc>
        <w:tc>
          <w:tcPr>
            <w:tcW w:w="1587" w:type="dxa"/>
            <w:vAlign w:val="center"/>
          </w:tcPr>
          <w:p w14:paraId="796C7C5E" w14:textId="77777777" w:rsidR="00FA3CB3" w:rsidRDefault="00052A0D">
            <w:pPr>
              <w:jc w:val="right"/>
            </w:pPr>
            <w:r>
              <w:rPr>
                <w:rFonts w:eastAsiaTheme="minorEastAsia"/>
                <w:color w:val="000000" w:themeColor="text1"/>
                <w:szCs w:val="21"/>
              </w:rPr>
              <w:t>5,527.57</w:t>
            </w:r>
          </w:p>
        </w:tc>
      </w:tr>
      <w:tr w:rsidR="00FA3CB3" w14:paraId="53B908A1" w14:textId="77777777">
        <w:tc>
          <w:tcPr>
            <w:tcW w:w="1246" w:type="dxa"/>
            <w:vAlign w:val="center"/>
          </w:tcPr>
          <w:p w14:paraId="67C40CE9" w14:textId="77777777" w:rsidR="00FA3CB3" w:rsidRDefault="00052A0D">
            <w:pPr>
              <w:jc w:val="center"/>
            </w:pPr>
            <w:r>
              <w:rPr>
                <w:rFonts w:eastAsiaTheme="minorEastAsia"/>
                <w:color w:val="000000" w:themeColor="text1"/>
                <w:szCs w:val="21"/>
              </w:rPr>
              <w:t>应付交易费用</w:t>
            </w:r>
          </w:p>
        </w:tc>
        <w:tc>
          <w:tcPr>
            <w:tcW w:w="1586" w:type="dxa"/>
            <w:vAlign w:val="center"/>
          </w:tcPr>
          <w:p w14:paraId="6730323D" w14:textId="77777777" w:rsidR="00FA3CB3" w:rsidRDefault="00052A0D">
            <w:pPr>
              <w:jc w:val="right"/>
            </w:pPr>
            <w:r>
              <w:rPr>
                <w:rFonts w:eastAsiaTheme="minorEastAsia"/>
                <w:color w:val="000000" w:themeColor="text1"/>
                <w:szCs w:val="21"/>
              </w:rPr>
              <w:t>-</w:t>
            </w:r>
          </w:p>
        </w:tc>
        <w:tc>
          <w:tcPr>
            <w:tcW w:w="1587" w:type="dxa"/>
            <w:vAlign w:val="center"/>
          </w:tcPr>
          <w:p w14:paraId="3F044812" w14:textId="77777777" w:rsidR="00FA3CB3" w:rsidRDefault="00052A0D">
            <w:pPr>
              <w:jc w:val="right"/>
            </w:pPr>
            <w:r>
              <w:rPr>
                <w:rFonts w:eastAsiaTheme="minorEastAsia"/>
                <w:color w:val="000000" w:themeColor="text1"/>
                <w:szCs w:val="21"/>
              </w:rPr>
              <w:t>-</w:t>
            </w:r>
          </w:p>
        </w:tc>
        <w:tc>
          <w:tcPr>
            <w:tcW w:w="1587" w:type="dxa"/>
            <w:vAlign w:val="center"/>
          </w:tcPr>
          <w:p w14:paraId="224DA253" w14:textId="77777777" w:rsidR="00FA3CB3" w:rsidRDefault="00052A0D">
            <w:pPr>
              <w:jc w:val="right"/>
            </w:pPr>
            <w:r>
              <w:rPr>
                <w:rFonts w:eastAsiaTheme="minorEastAsia"/>
                <w:color w:val="000000" w:themeColor="text1"/>
                <w:szCs w:val="21"/>
              </w:rPr>
              <w:t>-</w:t>
            </w:r>
          </w:p>
        </w:tc>
        <w:tc>
          <w:tcPr>
            <w:tcW w:w="1587" w:type="dxa"/>
            <w:vAlign w:val="center"/>
          </w:tcPr>
          <w:p w14:paraId="1758FE15" w14:textId="77777777" w:rsidR="00FA3CB3" w:rsidRDefault="00052A0D">
            <w:pPr>
              <w:jc w:val="right"/>
            </w:pPr>
            <w:r>
              <w:rPr>
                <w:rFonts w:eastAsiaTheme="minorEastAsia"/>
                <w:color w:val="000000" w:themeColor="text1"/>
                <w:szCs w:val="21"/>
              </w:rPr>
              <w:t>-</w:t>
            </w:r>
          </w:p>
        </w:tc>
        <w:tc>
          <w:tcPr>
            <w:tcW w:w="1587" w:type="dxa"/>
            <w:vAlign w:val="center"/>
          </w:tcPr>
          <w:p w14:paraId="4C181A62" w14:textId="77777777" w:rsidR="00FA3CB3" w:rsidRDefault="00052A0D">
            <w:pPr>
              <w:jc w:val="right"/>
            </w:pPr>
            <w:r>
              <w:rPr>
                <w:rFonts w:eastAsiaTheme="minorEastAsia"/>
                <w:color w:val="000000" w:themeColor="text1"/>
                <w:szCs w:val="21"/>
              </w:rPr>
              <w:t>-</w:t>
            </w:r>
          </w:p>
        </w:tc>
      </w:tr>
      <w:tr w:rsidR="00FA3CB3" w14:paraId="409C6683" w14:textId="77777777">
        <w:tc>
          <w:tcPr>
            <w:tcW w:w="1246" w:type="dxa"/>
            <w:vAlign w:val="center"/>
          </w:tcPr>
          <w:p w14:paraId="7C8CD8F5" w14:textId="77777777" w:rsidR="00FA3CB3" w:rsidRDefault="00052A0D">
            <w:pPr>
              <w:jc w:val="center"/>
            </w:pPr>
            <w:r>
              <w:rPr>
                <w:rFonts w:eastAsiaTheme="minorEastAsia"/>
                <w:color w:val="000000" w:themeColor="text1"/>
                <w:szCs w:val="21"/>
              </w:rPr>
              <w:t>应交税费</w:t>
            </w:r>
          </w:p>
        </w:tc>
        <w:tc>
          <w:tcPr>
            <w:tcW w:w="1586" w:type="dxa"/>
            <w:vAlign w:val="center"/>
          </w:tcPr>
          <w:p w14:paraId="426C325A" w14:textId="77777777" w:rsidR="00FA3CB3" w:rsidRDefault="00052A0D">
            <w:pPr>
              <w:jc w:val="right"/>
            </w:pPr>
            <w:r>
              <w:rPr>
                <w:rFonts w:eastAsiaTheme="minorEastAsia"/>
                <w:color w:val="000000" w:themeColor="text1"/>
                <w:szCs w:val="21"/>
              </w:rPr>
              <w:t>-</w:t>
            </w:r>
          </w:p>
        </w:tc>
        <w:tc>
          <w:tcPr>
            <w:tcW w:w="1587" w:type="dxa"/>
            <w:vAlign w:val="center"/>
          </w:tcPr>
          <w:p w14:paraId="4BD49092" w14:textId="77777777" w:rsidR="00FA3CB3" w:rsidRDefault="00052A0D">
            <w:pPr>
              <w:jc w:val="right"/>
            </w:pPr>
            <w:r>
              <w:rPr>
                <w:rFonts w:eastAsiaTheme="minorEastAsia"/>
                <w:color w:val="000000" w:themeColor="text1"/>
                <w:szCs w:val="21"/>
              </w:rPr>
              <w:t>-</w:t>
            </w:r>
          </w:p>
        </w:tc>
        <w:tc>
          <w:tcPr>
            <w:tcW w:w="1587" w:type="dxa"/>
            <w:vAlign w:val="center"/>
          </w:tcPr>
          <w:p w14:paraId="34BAFDC4" w14:textId="77777777" w:rsidR="00FA3CB3" w:rsidRDefault="00052A0D">
            <w:pPr>
              <w:jc w:val="right"/>
            </w:pPr>
            <w:r>
              <w:rPr>
                <w:rFonts w:eastAsiaTheme="minorEastAsia"/>
                <w:color w:val="000000" w:themeColor="text1"/>
                <w:szCs w:val="21"/>
              </w:rPr>
              <w:t>-</w:t>
            </w:r>
          </w:p>
        </w:tc>
        <w:tc>
          <w:tcPr>
            <w:tcW w:w="1587" w:type="dxa"/>
            <w:vAlign w:val="center"/>
          </w:tcPr>
          <w:p w14:paraId="04A6220C" w14:textId="77777777" w:rsidR="00FA3CB3" w:rsidRDefault="00052A0D">
            <w:pPr>
              <w:jc w:val="right"/>
            </w:pPr>
            <w:r>
              <w:rPr>
                <w:rFonts w:eastAsiaTheme="minorEastAsia"/>
                <w:color w:val="000000" w:themeColor="text1"/>
                <w:szCs w:val="21"/>
              </w:rPr>
              <w:t>-</w:t>
            </w:r>
          </w:p>
        </w:tc>
        <w:tc>
          <w:tcPr>
            <w:tcW w:w="1587" w:type="dxa"/>
            <w:vAlign w:val="center"/>
          </w:tcPr>
          <w:p w14:paraId="7474D1AA" w14:textId="77777777" w:rsidR="00FA3CB3" w:rsidRDefault="00052A0D">
            <w:pPr>
              <w:jc w:val="right"/>
            </w:pPr>
            <w:r>
              <w:rPr>
                <w:rFonts w:eastAsiaTheme="minorEastAsia"/>
                <w:color w:val="000000" w:themeColor="text1"/>
                <w:szCs w:val="21"/>
              </w:rPr>
              <w:t>-</w:t>
            </w:r>
          </w:p>
        </w:tc>
      </w:tr>
      <w:tr w:rsidR="00FA3CB3" w14:paraId="04413C35" w14:textId="77777777">
        <w:tc>
          <w:tcPr>
            <w:tcW w:w="1246" w:type="dxa"/>
            <w:vAlign w:val="center"/>
          </w:tcPr>
          <w:p w14:paraId="4B157DE4" w14:textId="77777777" w:rsidR="00FA3CB3" w:rsidRDefault="00052A0D">
            <w:pPr>
              <w:jc w:val="center"/>
            </w:pPr>
            <w:r>
              <w:rPr>
                <w:rFonts w:eastAsiaTheme="minorEastAsia"/>
                <w:color w:val="000000" w:themeColor="text1"/>
                <w:szCs w:val="21"/>
              </w:rPr>
              <w:t>应付利息</w:t>
            </w:r>
          </w:p>
        </w:tc>
        <w:tc>
          <w:tcPr>
            <w:tcW w:w="1586" w:type="dxa"/>
            <w:vAlign w:val="center"/>
          </w:tcPr>
          <w:p w14:paraId="128B668D" w14:textId="77777777" w:rsidR="00FA3CB3" w:rsidRDefault="00052A0D">
            <w:pPr>
              <w:jc w:val="right"/>
            </w:pPr>
            <w:r>
              <w:rPr>
                <w:rFonts w:eastAsiaTheme="minorEastAsia"/>
                <w:color w:val="000000" w:themeColor="text1"/>
                <w:szCs w:val="21"/>
              </w:rPr>
              <w:t>-</w:t>
            </w:r>
          </w:p>
        </w:tc>
        <w:tc>
          <w:tcPr>
            <w:tcW w:w="1587" w:type="dxa"/>
            <w:vAlign w:val="center"/>
          </w:tcPr>
          <w:p w14:paraId="08E9F715" w14:textId="77777777" w:rsidR="00FA3CB3" w:rsidRDefault="00052A0D">
            <w:pPr>
              <w:jc w:val="right"/>
            </w:pPr>
            <w:r>
              <w:rPr>
                <w:rFonts w:eastAsiaTheme="minorEastAsia"/>
                <w:color w:val="000000" w:themeColor="text1"/>
                <w:szCs w:val="21"/>
              </w:rPr>
              <w:t>-</w:t>
            </w:r>
          </w:p>
        </w:tc>
        <w:tc>
          <w:tcPr>
            <w:tcW w:w="1587" w:type="dxa"/>
            <w:vAlign w:val="center"/>
          </w:tcPr>
          <w:p w14:paraId="12B89B87" w14:textId="77777777" w:rsidR="00FA3CB3" w:rsidRDefault="00052A0D">
            <w:pPr>
              <w:jc w:val="right"/>
            </w:pPr>
            <w:r>
              <w:rPr>
                <w:rFonts w:eastAsiaTheme="minorEastAsia"/>
                <w:color w:val="000000" w:themeColor="text1"/>
                <w:szCs w:val="21"/>
              </w:rPr>
              <w:t>-</w:t>
            </w:r>
          </w:p>
        </w:tc>
        <w:tc>
          <w:tcPr>
            <w:tcW w:w="1587" w:type="dxa"/>
            <w:vAlign w:val="center"/>
          </w:tcPr>
          <w:p w14:paraId="4F3334AD" w14:textId="77777777" w:rsidR="00FA3CB3" w:rsidRDefault="00052A0D">
            <w:pPr>
              <w:jc w:val="right"/>
            </w:pPr>
            <w:r>
              <w:rPr>
                <w:rFonts w:eastAsiaTheme="minorEastAsia"/>
                <w:color w:val="000000" w:themeColor="text1"/>
                <w:szCs w:val="21"/>
              </w:rPr>
              <w:t>-</w:t>
            </w:r>
          </w:p>
        </w:tc>
        <w:tc>
          <w:tcPr>
            <w:tcW w:w="1587" w:type="dxa"/>
            <w:vAlign w:val="center"/>
          </w:tcPr>
          <w:p w14:paraId="7A78B83F" w14:textId="77777777" w:rsidR="00FA3CB3" w:rsidRDefault="00052A0D">
            <w:pPr>
              <w:jc w:val="right"/>
            </w:pPr>
            <w:r>
              <w:rPr>
                <w:rFonts w:eastAsiaTheme="minorEastAsia"/>
                <w:color w:val="000000" w:themeColor="text1"/>
                <w:szCs w:val="21"/>
              </w:rPr>
              <w:t>-</w:t>
            </w:r>
          </w:p>
        </w:tc>
      </w:tr>
      <w:tr w:rsidR="00FA3CB3" w14:paraId="1FE5D6AD" w14:textId="77777777">
        <w:tc>
          <w:tcPr>
            <w:tcW w:w="1246" w:type="dxa"/>
            <w:vAlign w:val="center"/>
          </w:tcPr>
          <w:p w14:paraId="55AF5F58" w14:textId="77777777" w:rsidR="00FA3CB3" w:rsidRDefault="00052A0D">
            <w:pPr>
              <w:jc w:val="center"/>
            </w:pPr>
            <w:r>
              <w:rPr>
                <w:rFonts w:eastAsiaTheme="minorEastAsia"/>
                <w:color w:val="000000" w:themeColor="text1"/>
                <w:szCs w:val="21"/>
              </w:rPr>
              <w:t>应付利润</w:t>
            </w:r>
          </w:p>
        </w:tc>
        <w:tc>
          <w:tcPr>
            <w:tcW w:w="1586" w:type="dxa"/>
            <w:vAlign w:val="center"/>
          </w:tcPr>
          <w:p w14:paraId="43E9A59C" w14:textId="77777777" w:rsidR="00FA3CB3" w:rsidRDefault="00052A0D">
            <w:pPr>
              <w:jc w:val="right"/>
            </w:pPr>
            <w:r>
              <w:rPr>
                <w:rFonts w:eastAsiaTheme="minorEastAsia"/>
                <w:color w:val="000000" w:themeColor="text1"/>
                <w:szCs w:val="21"/>
              </w:rPr>
              <w:t>-</w:t>
            </w:r>
          </w:p>
        </w:tc>
        <w:tc>
          <w:tcPr>
            <w:tcW w:w="1587" w:type="dxa"/>
            <w:vAlign w:val="center"/>
          </w:tcPr>
          <w:p w14:paraId="75832810" w14:textId="77777777" w:rsidR="00FA3CB3" w:rsidRDefault="00052A0D">
            <w:pPr>
              <w:jc w:val="right"/>
            </w:pPr>
            <w:r>
              <w:rPr>
                <w:rFonts w:eastAsiaTheme="minorEastAsia"/>
                <w:color w:val="000000" w:themeColor="text1"/>
                <w:szCs w:val="21"/>
              </w:rPr>
              <w:t>-</w:t>
            </w:r>
          </w:p>
        </w:tc>
        <w:tc>
          <w:tcPr>
            <w:tcW w:w="1587" w:type="dxa"/>
            <w:vAlign w:val="center"/>
          </w:tcPr>
          <w:p w14:paraId="43A4D836" w14:textId="77777777" w:rsidR="00FA3CB3" w:rsidRDefault="00052A0D">
            <w:pPr>
              <w:jc w:val="right"/>
            </w:pPr>
            <w:r>
              <w:rPr>
                <w:rFonts w:eastAsiaTheme="minorEastAsia"/>
                <w:color w:val="000000" w:themeColor="text1"/>
                <w:szCs w:val="21"/>
              </w:rPr>
              <w:t>-</w:t>
            </w:r>
          </w:p>
        </w:tc>
        <w:tc>
          <w:tcPr>
            <w:tcW w:w="1587" w:type="dxa"/>
            <w:vAlign w:val="center"/>
          </w:tcPr>
          <w:p w14:paraId="260766C3" w14:textId="77777777" w:rsidR="00FA3CB3" w:rsidRDefault="00052A0D">
            <w:pPr>
              <w:jc w:val="right"/>
            </w:pPr>
            <w:r>
              <w:rPr>
                <w:rFonts w:eastAsiaTheme="minorEastAsia"/>
                <w:color w:val="000000" w:themeColor="text1"/>
                <w:szCs w:val="21"/>
              </w:rPr>
              <w:t>-</w:t>
            </w:r>
          </w:p>
        </w:tc>
        <w:tc>
          <w:tcPr>
            <w:tcW w:w="1587" w:type="dxa"/>
            <w:vAlign w:val="center"/>
          </w:tcPr>
          <w:p w14:paraId="04FE03D6" w14:textId="77777777" w:rsidR="00FA3CB3" w:rsidRDefault="00052A0D">
            <w:pPr>
              <w:jc w:val="right"/>
            </w:pPr>
            <w:r>
              <w:rPr>
                <w:rFonts w:eastAsiaTheme="minorEastAsia"/>
                <w:color w:val="000000" w:themeColor="text1"/>
                <w:szCs w:val="21"/>
              </w:rPr>
              <w:t>-</w:t>
            </w:r>
          </w:p>
        </w:tc>
      </w:tr>
      <w:tr w:rsidR="00FA3CB3" w14:paraId="483889B1" w14:textId="77777777">
        <w:tc>
          <w:tcPr>
            <w:tcW w:w="1246" w:type="dxa"/>
            <w:vAlign w:val="center"/>
          </w:tcPr>
          <w:p w14:paraId="4F696B96" w14:textId="77777777" w:rsidR="00FA3CB3" w:rsidRDefault="00052A0D">
            <w:pPr>
              <w:jc w:val="center"/>
            </w:pPr>
            <w:r>
              <w:rPr>
                <w:rFonts w:eastAsiaTheme="minorEastAsia"/>
                <w:color w:val="000000" w:themeColor="text1"/>
                <w:szCs w:val="21"/>
              </w:rPr>
              <w:t>其他负债</w:t>
            </w:r>
          </w:p>
        </w:tc>
        <w:tc>
          <w:tcPr>
            <w:tcW w:w="1586" w:type="dxa"/>
            <w:vAlign w:val="center"/>
          </w:tcPr>
          <w:p w14:paraId="1A5130F0" w14:textId="77777777" w:rsidR="00FA3CB3" w:rsidRDefault="00052A0D">
            <w:pPr>
              <w:jc w:val="right"/>
            </w:pPr>
            <w:r>
              <w:rPr>
                <w:rFonts w:eastAsiaTheme="minorEastAsia"/>
                <w:color w:val="000000" w:themeColor="text1"/>
                <w:szCs w:val="21"/>
              </w:rPr>
              <w:t>-</w:t>
            </w:r>
          </w:p>
        </w:tc>
        <w:tc>
          <w:tcPr>
            <w:tcW w:w="1587" w:type="dxa"/>
            <w:vAlign w:val="center"/>
          </w:tcPr>
          <w:p w14:paraId="37CF19B1" w14:textId="77777777" w:rsidR="00FA3CB3" w:rsidRDefault="00052A0D">
            <w:pPr>
              <w:jc w:val="right"/>
            </w:pPr>
            <w:r>
              <w:rPr>
                <w:rFonts w:eastAsiaTheme="minorEastAsia"/>
                <w:color w:val="000000" w:themeColor="text1"/>
                <w:szCs w:val="21"/>
              </w:rPr>
              <w:t>-</w:t>
            </w:r>
          </w:p>
        </w:tc>
        <w:tc>
          <w:tcPr>
            <w:tcW w:w="1587" w:type="dxa"/>
            <w:vAlign w:val="center"/>
          </w:tcPr>
          <w:p w14:paraId="1F195F1D" w14:textId="77777777" w:rsidR="00FA3CB3" w:rsidRDefault="00052A0D">
            <w:pPr>
              <w:jc w:val="right"/>
            </w:pPr>
            <w:r>
              <w:rPr>
                <w:rFonts w:eastAsiaTheme="minorEastAsia"/>
                <w:color w:val="000000" w:themeColor="text1"/>
                <w:szCs w:val="21"/>
              </w:rPr>
              <w:t>-</w:t>
            </w:r>
          </w:p>
        </w:tc>
        <w:tc>
          <w:tcPr>
            <w:tcW w:w="1587" w:type="dxa"/>
            <w:vAlign w:val="center"/>
          </w:tcPr>
          <w:p w14:paraId="2B629DC6" w14:textId="77777777" w:rsidR="00FA3CB3" w:rsidRDefault="00052A0D">
            <w:pPr>
              <w:jc w:val="right"/>
            </w:pPr>
            <w:r>
              <w:rPr>
                <w:rFonts w:eastAsiaTheme="minorEastAsia"/>
                <w:color w:val="000000" w:themeColor="text1"/>
                <w:szCs w:val="21"/>
              </w:rPr>
              <w:t>119,781.56</w:t>
            </w:r>
          </w:p>
        </w:tc>
        <w:tc>
          <w:tcPr>
            <w:tcW w:w="1587" w:type="dxa"/>
            <w:vAlign w:val="center"/>
          </w:tcPr>
          <w:p w14:paraId="014B7E4A" w14:textId="77777777" w:rsidR="00FA3CB3" w:rsidRDefault="00052A0D">
            <w:pPr>
              <w:jc w:val="right"/>
            </w:pPr>
            <w:r>
              <w:rPr>
                <w:rFonts w:eastAsiaTheme="minorEastAsia"/>
                <w:color w:val="000000" w:themeColor="text1"/>
                <w:szCs w:val="21"/>
              </w:rPr>
              <w:t>119,781.56</w:t>
            </w:r>
          </w:p>
        </w:tc>
      </w:tr>
      <w:tr w:rsidR="00DB6272" w:rsidRPr="00B079CA" w14:paraId="7E8221E8"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C07169B"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6FB0C4D" w14:textId="77777777"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1813D791" w14:textId="77777777" w:rsidR="00DB6272" w:rsidRPr="00B079CA" w:rsidRDefault="00DB6272" w:rsidP="00503E49">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4C41973D"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0B53D688"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2A59CAF1"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827,935.88</w:t>
            </w:r>
          </w:p>
        </w:tc>
        <w:tc>
          <w:tcPr>
            <w:tcW w:w="1587" w:type="dxa"/>
            <w:tcBorders>
              <w:top w:val="single" w:sz="4" w:space="0" w:color="auto"/>
              <w:left w:val="single" w:sz="4" w:space="0" w:color="auto"/>
              <w:bottom w:val="single" w:sz="4" w:space="0" w:color="auto"/>
              <w:right w:val="single" w:sz="4" w:space="0" w:color="auto"/>
            </w:tcBorders>
            <w:vAlign w:val="center"/>
          </w:tcPr>
          <w:p w14:paraId="51CB477B"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827,935.88</w:t>
            </w:r>
          </w:p>
        </w:tc>
      </w:tr>
      <w:tr w:rsidR="00DB6272" w:rsidRPr="00B079CA" w14:paraId="74305872"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15BB485"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14:paraId="16293A3F" w14:textId="77777777"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1,896,199.01</w:t>
            </w:r>
          </w:p>
        </w:tc>
        <w:tc>
          <w:tcPr>
            <w:tcW w:w="1587" w:type="dxa"/>
            <w:tcBorders>
              <w:top w:val="single" w:sz="4" w:space="0" w:color="auto"/>
              <w:left w:val="single" w:sz="4" w:space="0" w:color="auto"/>
              <w:bottom w:val="single" w:sz="4" w:space="0" w:color="auto"/>
              <w:right w:val="single" w:sz="4" w:space="0" w:color="auto"/>
            </w:tcBorders>
            <w:vAlign w:val="center"/>
          </w:tcPr>
          <w:p w14:paraId="46AC33E4"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574F83B9"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207D3E81"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24,621,950.78</w:t>
            </w:r>
          </w:p>
        </w:tc>
        <w:tc>
          <w:tcPr>
            <w:tcW w:w="1587" w:type="dxa"/>
            <w:tcBorders>
              <w:top w:val="single" w:sz="4" w:space="0" w:color="auto"/>
              <w:left w:val="single" w:sz="4" w:space="0" w:color="auto"/>
              <w:bottom w:val="single" w:sz="4" w:space="0" w:color="auto"/>
              <w:right w:val="single" w:sz="4" w:space="0" w:color="auto"/>
            </w:tcBorders>
            <w:vAlign w:val="center"/>
          </w:tcPr>
          <w:p w14:paraId="7FD39CB9"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26,518,149.79</w:t>
            </w:r>
          </w:p>
        </w:tc>
      </w:tr>
      <w:tr w:rsidR="00DB6272" w:rsidRPr="00B079CA" w14:paraId="38000CB6"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DBDF556"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B79E20B"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DE1BF4D"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874B7D4"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0BD051A"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E797C0F"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598F51B" w14:textId="77777777"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14:paraId="4CD74F54"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F47E47"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629D53AA"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9F93EC"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FAA58B"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AD930C"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EF0D1F" w14:textId="77777777" w:rsidR="00DB6272" w:rsidRPr="00B079CA" w:rsidRDefault="00DB6272" w:rsidP="00E71356">
            <w:pPr>
              <w:spacing w:line="360" w:lineRule="auto"/>
              <w:jc w:val="right"/>
              <w:rPr>
                <w:rFonts w:eastAsiaTheme="minorEastAsia"/>
                <w:color w:val="000000" w:themeColor="text1"/>
                <w:szCs w:val="21"/>
              </w:rPr>
            </w:pPr>
          </w:p>
        </w:tc>
      </w:tr>
      <w:tr w:rsidR="00FA3CB3" w14:paraId="2C4A03E0" w14:textId="77777777">
        <w:tc>
          <w:tcPr>
            <w:tcW w:w="1246" w:type="dxa"/>
            <w:vAlign w:val="center"/>
          </w:tcPr>
          <w:p w14:paraId="7B0B2719" w14:textId="77777777" w:rsidR="00FA3CB3" w:rsidRDefault="00052A0D">
            <w:pPr>
              <w:jc w:val="center"/>
            </w:pPr>
            <w:r>
              <w:rPr>
                <w:rFonts w:eastAsiaTheme="minorEastAsia"/>
                <w:color w:val="000000" w:themeColor="text1"/>
                <w:szCs w:val="21"/>
              </w:rPr>
              <w:t>货币资金</w:t>
            </w:r>
          </w:p>
        </w:tc>
        <w:tc>
          <w:tcPr>
            <w:tcW w:w="1586" w:type="dxa"/>
            <w:vAlign w:val="center"/>
          </w:tcPr>
          <w:p w14:paraId="75E7E543" w14:textId="77777777" w:rsidR="00FA3CB3" w:rsidRDefault="00052A0D">
            <w:pPr>
              <w:jc w:val="right"/>
            </w:pPr>
            <w:r>
              <w:rPr>
                <w:rFonts w:eastAsiaTheme="minorEastAsia"/>
                <w:color w:val="000000" w:themeColor="text1"/>
                <w:szCs w:val="21"/>
              </w:rPr>
              <w:t>1,586,105.79</w:t>
            </w:r>
          </w:p>
        </w:tc>
        <w:tc>
          <w:tcPr>
            <w:tcW w:w="1587" w:type="dxa"/>
            <w:vAlign w:val="center"/>
          </w:tcPr>
          <w:p w14:paraId="5C532CDB" w14:textId="77777777" w:rsidR="00FA3CB3" w:rsidRDefault="00052A0D">
            <w:pPr>
              <w:jc w:val="right"/>
            </w:pPr>
            <w:r>
              <w:rPr>
                <w:rFonts w:eastAsiaTheme="minorEastAsia"/>
                <w:color w:val="000000" w:themeColor="text1"/>
                <w:szCs w:val="21"/>
              </w:rPr>
              <w:t>-</w:t>
            </w:r>
          </w:p>
        </w:tc>
        <w:tc>
          <w:tcPr>
            <w:tcW w:w="1587" w:type="dxa"/>
            <w:vAlign w:val="center"/>
          </w:tcPr>
          <w:p w14:paraId="7DECAE96" w14:textId="77777777" w:rsidR="00FA3CB3" w:rsidRDefault="00052A0D">
            <w:pPr>
              <w:jc w:val="right"/>
            </w:pPr>
            <w:r>
              <w:rPr>
                <w:rFonts w:eastAsiaTheme="minorEastAsia"/>
                <w:color w:val="000000" w:themeColor="text1"/>
                <w:szCs w:val="21"/>
              </w:rPr>
              <w:t>-</w:t>
            </w:r>
          </w:p>
        </w:tc>
        <w:tc>
          <w:tcPr>
            <w:tcW w:w="1587" w:type="dxa"/>
            <w:vAlign w:val="center"/>
          </w:tcPr>
          <w:p w14:paraId="7BF2B94F" w14:textId="77777777" w:rsidR="00FA3CB3" w:rsidRDefault="00052A0D">
            <w:pPr>
              <w:jc w:val="right"/>
            </w:pPr>
            <w:r>
              <w:rPr>
                <w:rFonts w:eastAsiaTheme="minorEastAsia"/>
                <w:color w:val="000000" w:themeColor="text1"/>
                <w:szCs w:val="21"/>
              </w:rPr>
              <w:t>-</w:t>
            </w:r>
          </w:p>
        </w:tc>
        <w:tc>
          <w:tcPr>
            <w:tcW w:w="1587" w:type="dxa"/>
            <w:vAlign w:val="center"/>
          </w:tcPr>
          <w:p w14:paraId="29BBFF9D" w14:textId="77777777" w:rsidR="00FA3CB3" w:rsidRDefault="00052A0D">
            <w:pPr>
              <w:jc w:val="right"/>
            </w:pPr>
            <w:r>
              <w:rPr>
                <w:rFonts w:eastAsiaTheme="minorEastAsia"/>
                <w:color w:val="000000" w:themeColor="text1"/>
                <w:szCs w:val="21"/>
              </w:rPr>
              <w:t>1,586,105.79</w:t>
            </w:r>
          </w:p>
        </w:tc>
      </w:tr>
      <w:tr w:rsidR="00FA3CB3" w14:paraId="233A5E86" w14:textId="77777777">
        <w:tc>
          <w:tcPr>
            <w:tcW w:w="1246" w:type="dxa"/>
            <w:vAlign w:val="center"/>
          </w:tcPr>
          <w:p w14:paraId="2E837A0C" w14:textId="77777777" w:rsidR="00FA3CB3" w:rsidRDefault="00052A0D">
            <w:pPr>
              <w:jc w:val="center"/>
            </w:pPr>
            <w:r>
              <w:rPr>
                <w:rFonts w:eastAsiaTheme="minorEastAsia"/>
                <w:color w:val="000000" w:themeColor="text1"/>
                <w:szCs w:val="21"/>
              </w:rPr>
              <w:t>结算备付金</w:t>
            </w:r>
          </w:p>
        </w:tc>
        <w:tc>
          <w:tcPr>
            <w:tcW w:w="1586" w:type="dxa"/>
            <w:vAlign w:val="center"/>
          </w:tcPr>
          <w:p w14:paraId="04EDF7C1" w14:textId="77777777" w:rsidR="00FA3CB3" w:rsidRDefault="00052A0D">
            <w:pPr>
              <w:jc w:val="right"/>
            </w:pPr>
            <w:r>
              <w:rPr>
                <w:rFonts w:eastAsiaTheme="minorEastAsia"/>
                <w:color w:val="000000" w:themeColor="text1"/>
                <w:szCs w:val="21"/>
              </w:rPr>
              <w:t>7,296.08</w:t>
            </w:r>
          </w:p>
        </w:tc>
        <w:tc>
          <w:tcPr>
            <w:tcW w:w="1587" w:type="dxa"/>
            <w:vAlign w:val="center"/>
          </w:tcPr>
          <w:p w14:paraId="38464EFA" w14:textId="77777777" w:rsidR="00FA3CB3" w:rsidRDefault="00052A0D">
            <w:pPr>
              <w:jc w:val="right"/>
            </w:pPr>
            <w:r>
              <w:rPr>
                <w:rFonts w:eastAsiaTheme="minorEastAsia"/>
                <w:color w:val="000000" w:themeColor="text1"/>
                <w:szCs w:val="21"/>
              </w:rPr>
              <w:t>-</w:t>
            </w:r>
          </w:p>
        </w:tc>
        <w:tc>
          <w:tcPr>
            <w:tcW w:w="1587" w:type="dxa"/>
            <w:vAlign w:val="center"/>
          </w:tcPr>
          <w:p w14:paraId="7C509892" w14:textId="77777777" w:rsidR="00FA3CB3" w:rsidRDefault="00052A0D">
            <w:pPr>
              <w:jc w:val="right"/>
            </w:pPr>
            <w:r>
              <w:rPr>
                <w:rFonts w:eastAsiaTheme="minorEastAsia"/>
                <w:color w:val="000000" w:themeColor="text1"/>
                <w:szCs w:val="21"/>
              </w:rPr>
              <w:t>-</w:t>
            </w:r>
          </w:p>
        </w:tc>
        <w:tc>
          <w:tcPr>
            <w:tcW w:w="1587" w:type="dxa"/>
            <w:vAlign w:val="center"/>
          </w:tcPr>
          <w:p w14:paraId="3AFA0B61" w14:textId="77777777" w:rsidR="00FA3CB3" w:rsidRDefault="00052A0D">
            <w:pPr>
              <w:jc w:val="right"/>
            </w:pPr>
            <w:r>
              <w:rPr>
                <w:rFonts w:eastAsiaTheme="minorEastAsia"/>
                <w:color w:val="000000" w:themeColor="text1"/>
                <w:szCs w:val="21"/>
              </w:rPr>
              <w:t>-</w:t>
            </w:r>
          </w:p>
        </w:tc>
        <w:tc>
          <w:tcPr>
            <w:tcW w:w="1587" w:type="dxa"/>
            <w:vAlign w:val="center"/>
          </w:tcPr>
          <w:p w14:paraId="25936946" w14:textId="77777777" w:rsidR="00FA3CB3" w:rsidRDefault="00052A0D">
            <w:pPr>
              <w:jc w:val="right"/>
            </w:pPr>
            <w:r>
              <w:rPr>
                <w:rFonts w:eastAsiaTheme="minorEastAsia"/>
                <w:color w:val="000000" w:themeColor="text1"/>
                <w:szCs w:val="21"/>
              </w:rPr>
              <w:t>7,296.08</w:t>
            </w:r>
          </w:p>
        </w:tc>
      </w:tr>
      <w:tr w:rsidR="00FA3CB3" w14:paraId="12467F99" w14:textId="77777777">
        <w:tc>
          <w:tcPr>
            <w:tcW w:w="1246" w:type="dxa"/>
            <w:vAlign w:val="center"/>
          </w:tcPr>
          <w:p w14:paraId="11490815" w14:textId="77777777" w:rsidR="00FA3CB3" w:rsidRDefault="00052A0D">
            <w:pPr>
              <w:jc w:val="center"/>
            </w:pPr>
            <w:r>
              <w:rPr>
                <w:rFonts w:eastAsiaTheme="minorEastAsia"/>
                <w:color w:val="000000" w:themeColor="text1"/>
                <w:szCs w:val="21"/>
              </w:rPr>
              <w:t>存出保证金</w:t>
            </w:r>
          </w:p>
        </w:tc>
        <w:tc>
          <w:tcPr>
            <w:tcW w:w="1586" w:type="dxa"/>
            <w:vAlign w:val="center"/>
          </w:tcPr>
          <w:p w14:paraId="39C7D975" w14:textId="77777777" w:rsidR="00FA3CB3" w:rsidRDefault="00052A0D">
            <w:pPr>
              <w:jc w:val="right"/>
            </w:pPr>
            <w:r>
              <w:rPr>
                <w:rFonts w:eastAsiaTheme="minorEastAsia"/>
                <w:color w:val="000000" w:themeColor="text1"/>
                <w:szCs w:val="21"/>
              </w:rPr>
              <w:t>3,053.74</w:t>
            </w:r>
          </w:p>
        </w:tc>
        <w:tc>
          <w:tcPr>
            <w:tcW w:w="1587" w:type="dxa"/>
            <w:vAlign w:val="center"/>
          </w:tcPr>
          <w:p w14:paraId="42EE3073" w14:textId="77777777" w:rsidR="00FA3CB3" w:rsidRDefault="00052A0D">
            <w:pPr>
              <w:jc w:val="right"/>
            </w:pPr>
            <w:r>
              <w:rPr>
                <w:rFonts w:eastAsiaTheme="minorEastAsia"/>
                <w:color w:val="000000" w:themeColor="text1"/>
                <w:szCs w:val="21"/>
              </w:rPr>
              <w:t>-</w:t>
            </w:r>
          </w:p>
        </w:tc>
        <w:tc>
          <w:tcPr>
            <w:tcW w:w="1587" w:type="dxa"/>
            <w:vAlign w:val="center"/>
          </w:tcPr>
          <w:p w14:paraId="46C5888A" w14:textId="77777777" w:rsidR="00FA3CB3" w:rsidRDefault="00052A0D">
            <w:pPr>
              <w:jc w:val="right"/>
            </w:pPr>
            <w:r>
              <w:rPr>
                <w:rFonts w:eastAsiaTheme="minorEastAsia"/>
                <w:color w:val="000000" w:themeColor="text1"/>
                <w:szCs w:val="21"/>
              </w:rPr>
              <w:t>-</w:t>
            </w:r>
          </w:p>
        </w:tc>
        <w:tc>
          <w:tcPr>
            <w:tcW w:w="1587" w:type="dxa"/>
            <w:vAlign w:val="center"/>
          </w:tcPr>
          <w:p w14:paraId="2313EB07" w14:textId="77777777" w:rsidR="00FA3CB3" w:rsidRDefault="00052A0D">
            <w:pPr>
              <w:jc w:val="right"/>
            </w:pPr>
            <w:r>
              <w:rPr>
                <w:rFonts w:eastAsiaTheme="minorEastAsia"/>
                <w:color w:val="000000" w:themeColor="text1"/>
                <w:szCs w:val="21"/>
              </w:rPr>
              <w:t>-</w:t>
            </w:r>
          </w:p>
        </w:tc>
        <w:tc>
          <w:tcPr>
            <w:tcW w:w="1587" w:type="dxa"/>
            <w:vAlign w:val="center"/>
          </w:tcPr>
          <w:p w14:paraId="4E2C3DAA" w14:textId="77777777" w:rsidR="00FA3CB3" w:rsidRDefault="00052A0D">
            <w:pPr>
              <w:jc w:val="right"/>
            </w:pPr>
            <w:r>
              <w:rPr>
                <w:rFonts w:eastAsiaTheme="minorEastAsia"/>
                <w:color w:val="000000" w:themeColor="text1"/>
                <w:szCs w:val="21"/>
              </w:rPr>
              <w:t>3,053.74</w:t>
            </w:r>
          </w:p>
        </w:tc>
      </w:tr>
      <w:tr w:rsidR="00FA3CB3" w14:paraId="221EA1E2" w14:textId="77777777">
        <w:tc>
          <w:tcPr>
            <w:tcW w:w="1246" w:type="dxa"/>
            <w:vAlign w:val="center"/>
          </w:tcPr>
          <w:p w14:paraId="3599C615" w14:textId="77777777" w:rsidR="00FA3CB3" w:rsidRDefault="00052A0D">
            <w:pPr>
              <w:jc w:val="center"/>
            </w:pPr>
            <w:r>
              <w:rPr>
                <w:rFonts w:eastAsiaTheme="minorEastAsia"/>
                <w:color w:val="000000" w:themeColor="text1"/>
                <w:szCs w:val="21"/>
              </w:rPr>
              <w:t>交易性金融资产</w:t>
            </w:r>
          </w:p>
        </w:tc>
        <w:tc>
          <w:tcPr>
            <w:tcW w:w="1586" w:type="dxa"/>
            <w:vAlign w:val="center"/>
          </w:tcPr>
          <w:p w14:paraId="6750E1A1" w14:textId="77777777" w:rsidR="00FA3CB3" w:rsidRDefault="00052A0D">
            <w:pPr>
              <w:jc w:val="right"/>
            </w:pPr>
            <w:r>
              <w:rPr>
                <w:rFonts w:eastAsiaTheme="minorEastAsia"/>
                <w:color w:val="000000" w:themeColor="text1"/>
                <w:szCs w:val="21"/>
              </w:rPr>
              <w:t>709,938.08</w:t>
            </w:r>
          </w:p>
        </w:tc>
        <w:tc>
          <w:tcPr>
            <w:tcW w:w="1587" w:type="dxa"/>
            <w:vAlign w:val="center"/>
          </w:tcPr>
          <w:p w14:paraId="24ECBAB3" w14:textId="77777777" w:rsidR="00FA3CB3" w:rsidRDefault="00052A0D">
            <w:pPr>
              <w:jc w:val="right"/>
            </w:pPr>
            <w:r>
              <w:rPr>
                <w:rFonts w:eastAsiaTheme="minorEastAsia"/>
                <w:color w:val="000000" w:themeColor="text1"/>
                <w:szCs w:val="21"/>
              </w:rPr>
              <w:t>-</w:t>
            </w:r>
          </w:p>
        </w:tc>
        <w:tc>
          <w:tcPr>
            <w:tcW w:w="1587" w:type="dxa"/>
            <w:vAlign w:val="center"/>
          </w:tcPr>
          <w:p w14:paraId="28C33D5F" w14:textId="77777777" w:rsidR="00FA3CB3" w:rsidRDefault="00052A0D">
            <w:pPr>
              <w:jc w:val="right"/>
            </w:pPr>
            <w:r>
              <w:rPr>
                <w:rFonts w:eastAsiaTheme="minorEastAsia"/>
                <w:color w:val="000000" w:themeColor="text1"/>
                <w:szCs w:val="21"/>
              </w:rPr>
              <w:t>-</w:t>
            </w:r>
          </w:p>
        </w:tc>
        <w:tc>
          <w:tcPr>
            <w:tcW w:w="1587" w:type="dxa"/>
            <w:vAlign w:val="center"/>
          </w:tcPr>
          <w:p w14:paraId="65161EE8" w14:textId="77777777" w:rsidR="00FA3CB3" w:rsidRDefault="00052A0D">
            <w:pPr>
              <w:jc w:val="right"/>
            </w:pPr>
            <w:r>
              <w:rPr>
                <w:rFonts w:eastAsiaTheme="minorEastAsia"/>
                <w:color w:val="000000" w:themeColor="text1"/>
                <w:szCs w:val="21"/>
              </w:rPr>
              <w:t>32,719,470.41</w:t>
            </w:r>
          </w:p>
        </w:tc>
        <w:tc>
          <w:tcPr>
            <w:tcW w:w="1587" w:type="dxa"/>
            <w:vAlign w:val="center"/>
          </w:tcPr>
          <w:p w14:paraId="1CAC895E" w14:textId="77777777" w:rsidR="00FA3CB3" w:rsidRDefault="00052A0D">
            <w:pPr>
              <w:jc w:val="right"/>
            </w:pPr>
            <w:r>
              <w:rPr>
                <w:rFonts w:eastAsiaTheme="minorEastAsia"/>
                <w:color w:val="000000" w:themeColor="text1"/>
                <w:szCs w:val="21"/>
              </w:rPr>
              <w:t>33,429,408.49</w:t>
            </w:r>
          </w:p>
        </w:tc>
      </w:tr>
      <w:tr w:rsidR="00FA3CB3" w14:paraId="627E29F8" w14:textId="77777777">
        <w:tc>
          <w:tcPr>
            <w:tcW w:w="1246" w:type="dxa"/>
            <w:vAlign w:val="center"/>
          </w:tcPr>
          <w:p w14:paraId="0C352090" w14:textId="77777777" w:rsidR="00FA3CB3" w:rsidRDefault="00052A0D">
            <w:pPr>
              <w:jc w:val="center"/>
            </w:pPr>
            <w:r>
              <w:rPr>
                <w:rFonts w:eastAsiaTheme="minorEastAsia"/>
                <w:color w:val="000000" w:themeColor="text1"/>
                <w:szCs w:val="21"/>
              </w:rPr>
              <w:t>应收申购款</w:t>
            </w:r>
          </w:p>
        </w:tc>
        <w:tc>
          <w:tcPr>
            <w:tcW w:w="1586" w:type="dxa"/>
            <w:vAlign w:val="center"/>
          </w:tcPr>
          <w:p w14:paraId="6D2EF666" w14:textId="77777777" w:rsidR="00FA3CB3" w:rsidRDefault="00052A0D">
            <w:pPr>
              <w:jc w:val="right"/>
            </w:pPr>
            <w:r>
              <w:rPr>
                <w:rFonts w:eastAsiaTheme="minorEastAsia"/>
                <w:color w:val="000000" w:themeColor="text1"/>
                <w:szCs w:val="21"/>
              </w:rPr>
              <w:t>-</w:t>
            </w:r>
          </w:p>
        </w:tc>
        <w:tc>
          <w:tcPr>
            <w:tcW w:w="1587" w:type="dxa"/>
            <w:vAlign w:val="center"/>
          </w:tcPr>
          <w:p w14:paraId="3DAF88D6" w14:textId="77777777" w:rsidR="00FA3CB3" w:rsidRDefault="00052A0D">
            <w:pPr>
              <w:jc w:val="right"/>
            </w:pPr>
            <w:r>
              <w:rPr>
                <w:rFonts w:eastAsiaTheme="minorEastAsia"/>
                <w:color w:val="000000" w:themeColor="text1"/>
                <w:szCs w:val="21"/>
              </w:rPr>
              <w:t>-</w:t>
            </w:r>
          </w:p>
        </w:tc>
        <w:tc>
          <w:tcPr>
            <w:tcW w:w="1587" w:type="dxa"/>
            <w:vAlign w:val="center"/>
          </w:tcPr>
          <w:p w14:paraId="1221553C" w14:textId="77777777" w:rsidR="00FA3CB3" w:rsidRDefault="00052A0D">
            <w:pPr>
              <w:jc w:val="right"/>
            </w:pPr>
            <w:r>
              <w:rPr>
                <w:rFonts w:eastAsiaTheme="minorEastAsia"/>
                <w:color w:val="000000" w:themeColor="text1"/>
                <w:szCs w:val="21"/>
              </w:rPr>
              <w:t>-</w:t>
            </w:r>
          </w:p>
        </w:tc>
        <w:tc>
          <w:tcPr>
            <w:tcW w:w="1587" w:type="dxa"/>
            <w:vAlign w:val="center"/>
          </w:tcPr>
          <w:p w14:paraId="23CF89F5" w14:textId="77777777" w:rsidR="00FA3CB3" w:rsidRDefault="00052A0D">
            <w:pPr>
              <w:jc w:val="right"/>
            </w:pPr>
            <w:r>
              <w:rPr>
                <w:rFonts w:eastAsiaTheme="minorEastAsia"/>
                <w:color w:val="000000" w:themeColor="text1"/>
                <w:szCs w:val="21"/>
              </w:rPr>
              <w:t>284,931.98</w:t>
            </w:r>
          </w:p>
        </w:tc>
        <w:tc>
          <w:tcPr>
            <w:tcW w:w="1587" w:type="dxa"/>
            <w:vAlign w:val="center"/>
          </w:tcPr>
          <w:p w14:paraId="6BEC4774" w14:textId="77777777" w:rsidR="00FA3CB3" w:rsidRDefault="00052A0D">
            <w:pPr>
              <w:jc w:val="right"/>
            </w:pPr>
            <w:r>
              <w:rPr>
                <w:rFonts w:eastAsiaTheme="minorEastAsia"/>
                <w:color w:val="000000" w:themeColor="text1"/>
                <w:szCs w:val="21"/>
              </w:rPr>
              <w:t>284,931.98</w:t>
            </w:r>
          </w:p>
        </w:tc>
      </w:tr>
      <w:tr w:rsidR="00DB6272" w:rsidRPr="00B079CA" w14:paraId="15AB5515"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D1D009D"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CAD41A0" w14:textId="77777777"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1DBB98FA" w14:textId="77777777"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2,306,393.69</w:t>
            </w:r>
          </w:p>
        </w:tc>
        <w:tc>
          <w:tcPr>
            <w:tcW w:w="1587" w:type="dxa"/>
            <w:tcBorders>
              <w:top w:val="single" w:sz="4" w:space="0" w:color="auto"/>
              <w:left w:val="single" w:sz="4" w:space="0" w:color="auto"/>
              <w:bottom w:val="single" w:sz="4" w:space="0" w:color="auto"/>
              <w:right w:val="single" w:sz="4" w:space="0" w:color="auto"/>
            </w:tcBorders>
            <w:vAlign w:val="center"/>
          </w:tcPr>
          <w:p w14:paraId="40E8806B"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32935B4B"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5A221E97"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33,004,402.39</w:t>
            </w:r>
          </w:p>
        </w:tc>
        <w:tc>
          <w:tcPr>
            <w:tcW w:w="1587" w:type="dxa"/>
            <w:tcBorders>
              <w:top w:val="single" w:sz="4" w:space="0" w:color="auto"/>
              <w:left w:val="single" w:sz="4" w:space="0" w:color="auto"/>
              <w:bottom w:val="single" w:sz="4" w:space="0" w:color="auto"/>
              <w:right w:val="single" w:sz="4" w:space="0" w:color="auto"/>
            </w:tcBorders>
            <w:vAlign w:val="center"/>
          </w:tcPr>
          <w:p w14:paraId="69FC7898"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35,310,796.08</w:t>
            </w:r>
          </w:p>
        </w:tc>
      </w:tr>
      <w:tr w:rsidR="00DB6272" w:rsidRPr="00B079CA" w14:paraId="0EFE1DE1" w14:textId="77777777"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14:paraId="68EBD5C0"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A741FC3"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F33CBB"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6D90F2"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5E8AE7" w14:textId="77777777"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103847A" w14:textId="77777777" w:rsidR="00DB6272" w:rsidRPr="00B079CA" w:rsidRDefault="00DB6272" w:rsidP="00E71356">
            <w:pPr>
              <w:spacing w:line="360" w:lineRule="auto"/>
              <w:jc w:val="right"/>
              <w:rPr>
                <w:rFonts w:eastAsiaTheme="minorEastAsia"/>
                <w:color w:val="000000" w:themeColor="text1"/>
                <w:szCs w:val="21"/>
              </w:rPr>
            </w:pPr>
          </w:p>
        </w:tc>
      </w:tr>
      <w:tr w:rsidR="00FA3CB3" w14:paraId="567018CB" w14:textId="77777777">
        <w:tc>
          <w:tcPr>
            <w:tcW w:w="1246" w:type="dxa"/>
            <w:vAlign w:val="center"/>
          </w:tcPr>
          <w:p w14:paraId="45CD073F" w14:textId="77777777" w:rsidR="00FA3CB3" w:rsidRDefault="00052A0D">
            <w:pPr>
              <w:jc w:val="center"/>
            </w:pPr>
            <w:r>
              <w:rPr>
                <w:rFonts w:eastAsiaTheme="minorEastAsia"/>
                <w:color w:val="000000" w:themeColor="text1"/>
                <w:szCs w:val="21"/>
              </w:rPr>
              <w:t>应付赎回款</w:t>
            </w:r>
          </w:p>
        </w:tc>
        <w:tc>
          <w:tcPr>
            <w:tcW w:w="1586" w:type="dxa"/>
            <w:vAlign w:val="center"/>
          </w:tcPr>
          <w:p w14:paraId="659BD2CD" w14:textId="77777777" w:rsidR="00FA3CB3" w:rsidRDefault="00052A0D">
            <w:pPr>
              <w:jc w:val="right"/>
            </w:pPr>
            <w:r>
              <w:rPr>
                <w:rFonts w:eastAsiaTheme="minorEastAsia"/>
                <w:color w:val="000000" w:themeColor="text1"/>
                <w:szCs w:val="21"/>
              </w:rPr>
              <w:t>-</w:t>
            </w:r>
          </w:p>
        </w:tc>
        <w:tc>
          <w:tcPr>
            <w:tcW w:w="1587" w:type="dxa"/>
            <w:vAlign w:val="center"/>
          </w:tcPr>
          <w:p w14:paraId="25F2F74A" w14:textId="77777777" w:rsidR="00FA3CB3" w:rsidRDefault="00052A0D">
            <w:pPr>
              <w:jc w:val="right"/>
            </w:pPr>
            <w:r>
              <w:rPr>
                <w:rFonts w:eastAsiaTheme="minorEastAsia"/>
                <w:color w:val="000000" w:themeColor="text1"/>
                <w:szCs w:val="21"/>
              </w:rPr>
              <w:t>-</w:t>
            </w:r>
          </w:p>
        </w:tc>
        <w:tc>
          <w:tcPr>
            <w:tcW w:w="1587" w:type="dxa"/>
            <w:vAlign w:val="center"/>
          </w:tcPr>
          <w:p w14:paraId="75058C2D" w14:textId="77777777" w:rsidR="00FA3CB3" w:rsidRDefault="00052A0D">
            <w:pPr>
              <w:jc w:val="right"/>
            </w:pPr>
            <w:r>
              <w:rPr>
                <w:rFonts w:eastAsiaTheme="minorEastAsia"/>
                <w:color w:val="000000" w:themeColor="text1"/>
                <w:szCs w:val="21"/>
              </w:rPr>
              <w:t>-</w:t>
            </w:r>
          </w:p>
        </w:tc>
        <w:tc>
          <w:tcPr>
            <w:tcW w:w="1587" w:type="dxa"/>
            <w:vAlign w:val="center"/>
          </w:tcPr>
          <w:p w14:paraId="70DF8053" w14:textId="77777777" w:rsidR="00FA3CB3" w:rsidRDefault="00052A0D">
            <w:pPr>
              <w:jc w:val="right"/>
            </w:pPr>
            <w:r>
              <w:rPr>
                <w:rFonts w:eastAsiaTheme="minorEastAsia"/>
                <w:color w:val="000000" w:themeColor="text1"/>
                <w:szCs w:val="21"/>
              </w:rPr>
              <w:t>1,306,708.84</w:t>
            </w:r>
          </w:p>
        </w:tc>
        <w:tc>
          <w:tcPr>
            <w:tcW w:w="1587" w:type="dxa"/>
            <w:vAlign w:val="center"/>
          </w:tcPr>
          <w:p w14:paraId="494AD23C" w14:textId="77777777" w:rsidR="00FA3CB3" w:rsidRDefault="00052A0D">
            <w:pPr>
              <w:jc w:val="right"/>
            </w:pPr>
            <w:r>
              <w:rPr>
                <w:rFonts w:eastAsiaTheme="minorEastAsia"/>
                <w:color w:val="000000" w:themeColor="text1"/>
                <w:szCs w:val="21"/>
              </w:rPr>
              <w:t>1,306,708.84</w:t>
            </w:r>
          </w:p>
        </w:tc>
      </w:tr>
      <w:tr w:rsidR="00FA3CB3" w14:paraId="53A99225" w14:textId="77777777">
        <w:tc>
          <w:tcPr>
            <w:tcW w:w="1246" w:type="dxa"/>
            <w:vAlign w:val="center"/>
          </w:tcPr>
          <w:p w14:paraId="25740B26" w14:textId="77777777" w:rsidR="00FA3CB3" w:rsidRDefault="00052A0D">
            <w:pPr>
              <w:jc w:val="center"/>
            </w:pPr>
            <w:r>
              <w:rPr>
                <w:rFonts w:eastAsiaTheme="minorEastAsia"/>
                <w:color w:val="000000" w:themeColor="text1"/>
                <w:szCs w:val="21"/>
              </w:rPr>
              <w:t>应付管理人报酬</w:t>
            </w:r>
          </w:p>
        </w:tc>
        <w:tc>
          <w:tcPr>
            <w:tcW w:w="1586" w:type="dxa"/>
            <w:vAlign w:val="center"/>
          </w:tcPr>
          <w:p w14:paraId="6FDC7DC1" w14:textId="77777777" w:rsidR="00FA3CB3" w:rsidRDefault="00052A0D">
            <w:pPr>
              <w:jc w:val="right"/>
            </w:pPr>
            <w:r>
              <w:rPr>
                <w:rFonts w:eastAsiaTheme="minorEastAsia"/>
                <w:color w:val="000000" w:themeColor="text1"/>
                <w:szCs w:val="21"/>
              </w:rPr>
              <w:t>-</w:t>
            </w:r>
          </w:p>
        </w:tc>
        <w:tc>
          <w:tcPr>
            <w:tcW w:w="1587" w:type="dxa"/>
            <w:vAlign w:val="center"/>
          </w:tcPr>
          <w:p w14:paraId="78D143DB" w14:textId="77777777" w:rsidR="00FA3CB3" w:rsidRDefault="00052A0D">
            <w:pPr>
              <w:jc w:val="right"/>
            </w:pPr>
            <w:r>
              <w:rPr>
                <w:rFonts w:eastAsiaTheme="minorEastAsia"/>
                <w:color w:val="000000" w:themeColor="text1"/>
                <w:szCs w:val="21"/>
              </w:rPr>
              <w:t>-</w:t>
            </w:r>
          </w:p>
        </w:tc>
        <w:tc>
          <w:tcPr>
            <w:tcW w:w="1587" w:type="dxa"/>
            <w:vAlign w:val="center"/>
          </w:tcPr>
          <w:p w14:paraId="0F251462" w14:textId="77777777" w:rsidR="00FA3CB3" w:rsidRDefault="00052A0D">
            <w:pPr>
              <w:jc w:val="right"/>
            </w:pPr>
            <w:r>
              <w:rPr>
                <w:rFonts w:eastAsiaTheme="minorEastAsia"/>
                <w:color w:val="000000" w:themeColor="text1"/>
                <w:szCs w:val="21"/>
              </w:rPr>
              <w:t>-</w:t>
            </w:r>
          </w:p>
        </w:tc>
        <w:tc>
          <w:tcPr>
            <w:tcW w:w="1587" w:type="dxa"/>
            <w:vAlign w:val="center"/>
          </w:tcPr>
          <w:p w14:paraId="1C8BB5C4" w14:textId="77777777" w:rsidR="00FA3CB3" w:rsidRDefault="00052A0D">
            <w:pPr>
              <w:jc w:val="right"/>
            </w:pPr>
            <w:r>
              <w:rPr>
                <w:rFonts w:eastAsiaTheme="minorEastAsia"/>
                <w:color w:val="000000" w:themeColor="text1"/>
                <w:szCs w:val="21"/>
              </w:rPr>
              <w:t>721.17</w:t>
            </w:r>
          </w:p>
        </w:tc>
        <w:tc>
          <w:tcPr>
            <w:tcW w:w="1587" w:type="dxa"/>
            <w:vAlign w:val="center"/>
          </w:tcPr>
          <w:p w14:paraId="36C8E297" w14:textId="77777777" w:rsidR="00FA3CB3" w:rsidRDefault="00052A0D">
            <w:pPr>
              <w:jc w:val="right"/>
            </w:pPr>
            <w:r>
              <w:rPr>
                <w:rFonts w:eastAsiaTheme="minorEastAsia"/>
                <w:color w:val="000000" w:themeColor="text1"/>
                <w:szCs w:val="21"/>
              </w:rPr>
              <w:t>721.17</w:t>
            </w:r>
          </w:p>
        </w:tc>
      </w:tr>
      <w:tr w:rsidR="00FA3CB3" w14:paraId="63866111" w14:textId="77777777">
        <w:tc>
          <w:tcPr>
            <w:tcW w:w="1246" w:type="dxa"/>
            <w:vAlign w:val="center"/>
          </w:tcPr>
          <w:p w14:paraId="2B5886BC" w14:textId="77777777" w:rsidR="00FA3CB3" w:rsidRDefault="00052A0D">
            <w:pPr>
              <w:jc w:val="center"/>
            </w:pPr>
            <w:r>
              <w:rPr>
                <w:rFonts w:eastAsiaTheme="minorEastAsia"/>
                <w:color w:val="000000" w:themeColor="text1"/>
                <w:szCs w:val="21"/>
              </w:rPr>
              <w:t>应付托管费</w:t>
            </w:r>
          </w:p>
        </w:tc>
        <w:tc>
          <w:tcPr>
            <w:tcW w:w="1586" w:type="dxa"/>
            <w:vAlign w:val="center"/>
          </w:tcPr>
          <w:p w14:paraId="7E35A658" w14:textId="77777777" w:rsidR="00FA3CB3" w:rsidRDefault="00052A0D">
            <w:pPr>
              <w:jc w:val="right"/>
            </w:pPr>
            <w:r>
              <w:rPr>
                <w:rFonts w:eastAsiaTheme="minorEastAsia"/>
                <w:color w:val="000000" w:themeColor="text1"/>
                <w:szCs w:val="21"/>
              </w:rPr>
              <w:t>-</w:t>
            </w:r>
          </w:p>
        </w:tc>
        <w:tc>
          <w:tcPr>
            <w:tcW w:w="1587" w:type="dxa"/>
            <w:vAlign w:val="center"/>
          </w:tcPr>
          <w:p w14:paraId="6B3B8C2E" w14:textId="77777777" w:rsidR="00FA3CB3" w:rsidRDefault="00052A0D">
            <w:pPr>
              <w:jc w:val="right"/>
            </w:pPr>
            <w:r>
              <w:rPr>
                <w:rFonts w:eastAsiaTheme="minorEastAsia"/>
                <w:color w:val="000000" w:themeColor="text1"/>
                <w:szCs w:val="21"/>
              </w:rPr>
              <w:t>-</w:t>
            </w:r>
          </w:p>
        </w:tc>
        <w:tc>
          <w:tcPr>
            <w:tcW w:w="1587" w:type="dxa"/>
            <w:vAlign w:val="center"/>
          </w:tcPr>
          <w:p w14:paraId="667DB79F" w14:textId="77777777" w:rsidR="00FA3CB3" w:rsidRDefault="00052A0D">
            <w:pPr>
              <w:jc w:val="right"/>
            </w:pPr>
            <w:r>
              <w:rPr>
                <w:rFonts w:eastAsiaTheme="minorEastAsia"/>
                <w:color w:val="000000" w:themeColor="text1"/>
                <w:szCs w:val="21"/>
              </w:rPr>
              <w:t>-</w:t>
            </w:r>
          </w:p>
        </w:tc>
        <w:tc>
          <w:tcPr>
            <w:tcW w:w="1587" w:type="dxa"/>
            <w:vAlign w:val="center"/>
          </w:tcPr>
          <w:p w14:paraId="7FFA32CA" w14:textId="77777777" w:rsidR="00FA3CB3" w:rsidRDefault="00052A0D">
            <w:pPr>
              <w:jc w:val="right"/>
            </w:pPr>
            <w:r>
              <w:rPr>
                <w:rFonts w:eastAsiaTheme="minorEastAsia"/>
                <w:color w:val="000000" w:themeColor="text1"/>
                <w:szCs w:val="21"/>
              </w:rPr>
              <w:t>144.23</w:t>
            </w:r>
          </w:p>
        </w:tc>
        <w:tc>
          <w:tcPr>
            <w:tcW w:w="1587" w:type="dxa"/>
            <w:vAlign w:val="center"/>
          </w:tcPr>
          <w:p w14:paraId="3C7B5C08" w14:textId="77777777" w:rsidR="00FA3CB3" w:rsidRDefault="00052A0D">
            <w:pPr>
              <w:jc w:val="right"/>
            </w:pPr>
            <w:r>
              <w:rPr>
                <w:rFonts w:eastAsiaTheme="minorEastAsia"/>
                <w:color w:val="000000" w:themeColor="text1"/>
                <w:szCs w:val="21"/>
              </w:rPr>
              <w:t>144.23</w:t>
            </w:r>
          </w:p>
        </w:tc>
      </w:tr>
      <w:tr w:rsidR="00FA3CB3" w14:paraId="52619273" w14:textId="77777777">
        <w:tc>
          <w:tcPr>
            <w:tcW w:w="1246" w:type="dxa"/>
            <w:vAlign w:val="center"/>
          </w:tcPr>
          <w:p w14:paraId="3546B1ED" w14:textId="77777777" w:rsidR="00FA3CB3" w:rsidRDefault="00052A0D">
            <w:pPr>
              <w:jc w:val="center"/>
            </w:pPr>
            <w:r>
              <w:rPr>
                <w:rFonts w:eastAsiaTheme="minorEastAsia"/>
                <w:color w:val="000000" w:themeColor="text1"/>
                <w:szCs w:val="21"/>
              </w:rPr>
              <w:t>应付销售服务费</w:t>
            </w:r>
          </w:p>
        </w:tc>
        <w:tc>
          <w:tcPr>
            <w:tcW w:w="1586" w:type="dxa"/>
            <w:vAlign w:val="center"/>
          </w:tcPr>
          <w:p w14:paraId="7424A863" w14:textId="77777777" w:rsidR="00FA3CB3" w:rsidRDefault="00052A0D">
            <w:pPr>
              <w:jc w:val="right"/>
            </w:pPr>
            <w:r>
              <w:rPr>
                <w:rFonts w:eastAsiaTheme="minorEastAsia"/>
                <w:color w:val="000000" w:themeColor="text1"/>
                <w:szCs w:val="21"/>
              </w:rPr>
              <w:t>-</w:t>
            </w:r>
          </w:p>
        </w:tc>
        <w:tc>
          <w:tcPr>
            <w:tcW w:w="1587" w:type="dxa"/>
            <w:vAlign w:val="center"/>
          </w:tcPr>
          <w:p w14:paraId="3D5CCF42" w14:textId="77777777" w:rsidR="00FA3CB3" w:rsidRDefault="00052A0D">
            <w:pPr>
              <w:jc w:val="right"/>
            </w:pPr>
            <w:r>
              <w:rPr>
                <w:rFonts w:eastAsiaTheme="minorEastAsia"/>
                <w:color w:val="000000" w:themeColor="text1"/>
                <w:szCs w:val="21"/>
              </w:rPr>
              <w:t>-</w:t>
            </w:r>
          </w:p>
        </w:tc>
        <w:tc>
          <w:tcPr>
            <w:tcW w:w="1587" w:type="dxa"/>
            <w:vAlign w:val="center"/>
          </w:tcPr>
          <w:p w14:paraId="2C87E308" w14:textId="77777777" w:rsidR="00FA3CB3" w:rsidRDefault="00052A0D">
            <w:pPr>
              <w:jc w:val="right"/>
            </w:pPr>
            <w:r>
              <w:rPr>
                <w:rFonts w:eastAsiaTheme="minorEastAsia"/>
                <w:color w:val="000000" w:themeColor="text1"/>
                <w:szCs w:val="21"/>
              </w:rPr>
              <w:t>-</w:t>
            </w:r>
          </w:p>
        </w:tc>
        <w:tc>
          <w:tcPr>
            <w:tcW w:w="1587" w:type="dxa"/>
            <w:vAlign w:val="center"/>
          </w:tcPr>
          <w:p w14:paraId="741D6B64" w14:textId="77777777" w:rsidR="00FA3CB3" w:rsidRDefault="00052A0D">
            <w:pPr>
              <w:jc w:val="right"/>
            </w:pPr>
            <w:r>
              <w:rPr>
                <w:rFonts w:eastAsiaTheme="minorEastAsia"/>
                <w:color w:val="000000" w:themeColor="text1"/>
                <w:szCs w:val="21"/>
              </w:rPr>
              <w:t>7,521.99</w:t>
            </w:r>
          </w:p>
        </w:tc>
        <w:tc>
          <w:tcPr>
            <w:tcW w:w="1587" w:type="dxa"/>
            <w:vAlign w:val="center"/>
          </w:tcPr>
          <w:p w14:paraId="27ADD217" w14:textId="77777777" w:rsidR="00FA3CB3" w:rsidRDefault="00052A0D">
            <w:pPr>
              <w:jc w:val="right"/>
            </w:pPr>
            <w:r>
              <w:rPr>
                <w:rFonts w:eastAsiaTheme="minorEastAsia"/>
                <w:color w:val="000000" w:themeColor="text1"/>
                <w:szCs w:val="21"/>
              </w:rPr>
              <w:t>7,521.99</w:t>
            </w:r>
          </w:p>
        </w:tc>
      </w:tr>
      <w:tr w:rsidR="00FA3CB3" w14:paraId="2B3B276E" w14:textId="77777777">
        <w:tc>
          <w:tcPr>
            <w:tcW w:w="1246" w:type="dxa"/>
            <w:vAlign w:val="center"/>
          </w:tcPr>
          <w:p w14:paraId="043C144E" w14:textId="77777777" w:rsidR="00FA3CB3" w:rsidRDefault="00052A0D">
            <w:pPr>
              <w:jc w:val="center"/>
            </w:pPr>
            <w:r>
              <w:rPr>
                <w:rFonts w:eastAsiaTheme="minorEastAsia"/>
                <w:color w:val="000000" w:themeColor="text1"/>
                <w:szCs w:val="21"/>
              </w:rPr>
              <w:t>其他负债</w:t>
            </w:r>
          </w:p>
        </w:tc>
        <w:tc>
          <w:tcPr>
            <w:tcW w:w="1586" w:type="dxa"/>
            <w:vAlign w:val="center"/>
          </w:tcPr>
          <w:p w14:paraId="0FE3B59A" w14:textId="77777777" w:rsidR="00FA3CB3" w:rsidRDefault="00052A0D">
            <w:pPr>
              <w:jc w:val="right"/>
            </w:pPr>
            <w:r>
              <w:rPr>
                <w:rFonts w:eastAsiaTheme="minorEastAsia"/>
                <w:color w:val="000000" w:themeColor="text1"/>
                <w:szCs w:val="21"/>
              </w:rPr>
              <w:t>-</w:t>
            </w:r>
          </w:p>
        </w:tc>
        <w:tc>
          <w:tcPr>
            <w:tcW w:w="1587" w:type="dxa"/>
            <w:vAlign w:val="center"/>
          </w:tcPr>
          <w:p w14:paraId="2DBA9071" w14:textId="77777777" w:rsidR="00FA3CB3" w:rsidRDefault="00052A0D">
            <w:pPr>
              <w:jc w:val="right"/>
            </w:pPr>
            <w:r>
              <w:rPr>
                <w:rFonts w:eastAsiaTheme="minorEastAsia"/>
                <w:color w:val="000000" w:themeColor="text1"/>
                <w:szCs w:val="21"/>
              </w:rPr>
              <w:t>-</w:t>
            </w:r>
          </w:p>
        </w:tc>
        <w:tc>
          <w:tcPr>
            <w:tcW w:w="1587" w:type="dxa"/>
            <w:vAlign w:val="center"/>
          </w:tcPr>
          <w:p w14:paraId="6943FB11" w14:textId="77777777" w:rsidR="00FA3CB3" w:rsidRDefault="00052A0D">
            <w:pPr>
              <w:jc w:val="right"/>
            </w:pPr>
            <w:r>
              <w:rPr>
                <w:rFonts w:eastAsiaTheme="minorEastAsia"/>
                <w:color w:val="000000" w:themeColor="text1"/>
                <w:szCs w:val="21"/>
              </w:rPr>
              <w:t>-</w:t>
            </w:r>
          </w:p>
        </w:tc>
        <w:tc>
          <w:tcPr>
            <w:tcW w:w="1587" w:type="dxa"/>
            <w:vAlign w:val="center"/>
          </w:tcPr>
          <w:p w14:paraId="7003A7F8" w14:textId="77777777" w:rsidR="00FA3CB3" w:rsidRDefault="00052A0D">
            <w:pPr>
              <w:jc w:val="right"/>
            </w:pPr>
            <w:r>
              <w:rPr>
                <w:rFonts w:eastAsiaTheme="minorEastAsia"/>
                <w:color w:val="000000" w:themeColor="text1"/>
                <w:szCs w:val="21"/>
              </w:rPr>
              <w:t>110,000.00</w:t>
            </w:r>
          </w:p>
        </w:tc>
        <w:tc>
          <w:tcPr>
            <w:tcW w:w="1587" w:type="dxa"/>
            <w:vAlign w:val="center"/>
          </w:tcPr>
          <w:p w14:paraId="574FCB68" w14:textId="77777777" w:rsidR="00FA3CB3" w:rsidRDefault="00052A0D">
            <w:pPr>
              <w:jc w:val="right"/>
            </w:pPr>
            <w:r>
              <w:rPr>
                <w:rFonts w:eastAsiaTheme="minorEastAsia"/>
                <w:color w:val="000000" w:themeColor="text1"/>
                <w:szCs w:val="21"/>
              </w:rPr>
              <w:t>110,000.00</w:t>
            </w:r>
          </w:p>
        </w:tc>
      </w:tr>
      <w:tr w:rsidR="00DB6272" w:rsidRPr="00B079CA" w14:paraId="558E4014"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76467DA"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1F0D537" w14:textId="77777777"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0F30493E" w14:textId="77777777" w:rsidR="00AD640D" w:rsidRPr="00AD640D" w:rsidRDefault="00503E49" w:rsidP="00AD640D">
            <w:pPr>
              <w:spacing w:line="360" w:lineRule="auto"/>
              <w:jc w:val="right"/>
              <w:rPr>
                <w:rFonts w:eastAsiaTheme="minorEastAsia"/>
                <w:color w:val="000000" w:themeColor="text1"/>
                <w:szCs w:val="21"/>
              </w:rPr>
            </w:pPr>
            <w:r>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center"/>
          </w:tcPr>
          <w:p w14:paraId="4A769416"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421BE230"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42C12F3E"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1,425,096.23</w:t>
            </w:r>
          </w:p>
        </w:tc>
        <w:tc>
          <w:tcPr>
            <w:tcW w:w="1587" w:type="dxa"/>
            <w:tcBorders>
              <w:top w:val="single" w:sz="4" w:space="0" w:color="auto"/>
              <w:left w:val="single" w:sz="4" w:space="0" w:color="auto"/>
              <w:bottom w:val="single" w:sz="4" w:space="0" w:color="auto"/>
              <w:right w:val="single" w:sz="4" w:space="0" w:color="auto"/>
            </w:tcBorders>
            <w:vAlign w:val="center"/>
          </w:tcPr>
          <w:p w14:paraId="083E3545"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1,425,096.23</w:t>
            </w:r>
          </w:p>
        </w:tc>
      </w:tr>
      <w:tr w:rsidR="00DB6272" w:rsidRPr="00B079CA" w14:paraId="509AD66F" w14:textId="77777777"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D3D18F4" w14:textId="77777777"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14:paraId="3BF332BD" w14:textId="77777777"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2,306,393.69</w:t>
            </w:r>
          </w:p>
        </w:tc>
        <w:tc>
          <w:tcPr>
            <w:tcW w:w="1587" w:type="dxa"/>
            <w:tcBorders>
              <w:top w:val="single" w:sz="4" w:space="0" w:color="auto"/>
              <w:left w:val="single" w:sz="4" w:space="0" w:color="auto"/>
              <w:bottom w:val="single" w:sz="4" w:space="0" w:color="auto"/>
              <w:right w:val="single" w:sz="4" w:space="0" w:color="auto"/>
            </w:tcBorders>
            <w:vAlign w:val="center"/>
          </w:tcPr>
          <w:p w14:paraId="7BEE5E4A"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02A430BA"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14:paraId="6FEDFC26"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31,579,306.16</w:t>
            </w:r>
          </w:p>
        </w:tc>
        <w:tc>
          <w:tcPr>
            <w:tcW w:w="1587" w:type="dxa"/>
            <w:tcBorders>
              <w:top w:val="single" w:sz="4" w:space="0" w:color="auto"/>
              <w:left w:val="single" w:sz="4" w:space="0" w:color="auto"/>
              <w:bottom w:val="single" w:sz="4" w:space="0" w:color="auto"/>
              <w:right w:val="single" w:sz="4" w:space="0" w:color="auto"/>
            </w:tcBorders>
            <w:vAlign w:val="center"/>
          </w:tcPr>
          <w:p w14:paraId="17EF40EF" w14:textId="77777777"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33,885,699.85</w:t>
            </w:r>
          </w:p>
        </w:tc>
      </w:tr>
    </w:tbl>
    <w:p w14:paraId="5F213059" w14:textId="77777777" w:rsidR="00DB6272" w:rsidRPr="00B079CA" w:rsidRDefault="00DB6272" w:rsidP="00DB6272">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17489FE0"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6.4.13.4.1.2 </w:t>
      </w:r>
      <w:r w:rsidRPr="007C68A4">
        <w:rPr>
          <w:b/>
          <w:bCs/>
          <w:color w:val="000000" w:themeColor="text1"/>
          <w:szCs w:val="21"/>
        </w:rPr>
        <w:t>利率风险的敏感性分析</w:t>
      </w:r>
    </w:p>
    <w:p w14:paraId="582A0A2C" w14:textId="77777777" w:rsidR="001548F9" w:rsidRPr="007C68A4" w:rsidRDefault="001548F9" w:rsidP="002B03F8">
      <w:pPr>
        <w:tabs>
          <w:tab w:val="left" w:pos="426"/>
        </w:tabs>
        <w:spacing w:line="360" w:lineRule="auto"/>
        <w:ind w:firstLineChars="200" w:firstLine="420"/>
        <w:jc w:val="left"/>
        <w:rPr>
          <w:color w:val="000000" w:themeColor="text1"/>
          <w:szCs w:val="21"/>
        </w:rPr>
      </w:pPr>
      <w:r w:rsidRPr="007C68A4">
        <w:rPr>
          <w:color w:val="000000" w:themeColor="text1"/>
          <w:kern w:val="0"/>
          <w:szCs w:val="21"/>
        </w:rPr>
        <w:t>于</w:t>
      </w:r>
      <w:r w:rsidRPr="007C68A4">
        <w:rPr>
          <w:color w:val="000000" w:themeColor="text1"/>
          <w:kern w:val="0"/>
          <w:szCs w:val="21"/>
        </w:rPr>
        <w:t>2024</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日，本基金持有的交易性债券投资公允价值占基金净资产的比例为</w:t>
      </w:r>
      <w:r w:rsidRPr="007C68A4">
        <w:rPr>
          <w:color w:val="000000" w:themeColor="text1"/>
          <w:kern w:val="0"/>
          <w:szCs w:val="21"/>
        </w:rPr>
        <w:t>2.29%(2023</w:t>
      </w:r>
      <w:r w:rsidRPr="007C68A4">
        <w:rPr>
          <w:color w:val="000000" w:themeColor="text1"/>
          <w:kern w:val="0"/>
          <w:szCs w:val="21"/>
        </w:rPr>
        <w:t>年</w:t>
      </w:r>
      <w:r w:rsidRPr="007C68A4">
        <w:rPr>
          <w:color w:val="000000" w:themeColor="text1"/>
          <w:kern w:val="0"/>
          <w:szCs w:val="21"/>
        </w:rPr>
        <w:t>12</w:t>
      </w:r>
      <w:r w:rsidRPr="007C68A4">
        <w:rPr>
          <w:color w:val="000000" w:themeColor="text1"/>
          <w:kern w:val="0"/>
          <w:szCs w:val="21"/>
        </w:rPr>
        <w:t>月</w:t>
      </w:r>
      <w:r w:rsidRPr="007C68A4">
        <w:rPr>
          <w:color w:val="000000" w:themeColor="text1"/>
          <w:kern w:val="0"/>
          <w:szCs w:val="21"/>
        </w:rPr>
        <w:t>31</w:t>
      </w:r>
      <w:r w:rsidRPr="007C68A4">
        <w:rPr>
          <w:color w:val="000000" w:themeColor="text1"/>
          <w:kern w:val="0"/>
          <w:szCs w:val="21"/>
        </w:rPr>
        <w:t>日：</w:t>
      </w:r>
      <w:r w:rsidRPr="007C68A4">
        <w:rPr>
          <w:color w:val="000000" w:themeColor="text1"/>
          <w:kern w:val="0"/>
          <w:szCs w:val="21"/>
        </w:rPr>
        <w:t>2.10%)</w:t>
      </w:r>
      <w:r w:rsidRPr="007C68A4">
        <w:rPr>
          <w:color w:val="000000" w:themeColor="text1"/>
          <w:kern w:val="0"/>
          <w:szCs w:val="21"/>
        </w:rPr>
        <w:t>，因此市场利率的变动对于本基金净资产无重大影响（</w:t>
      </w:r>
      <w:r w:rsidRPr="007C68A4">
        <w:rPr>
          <w:color w:val="000000" w:themeColor="text1"/>
          <w:kern w:val="0"/>
          <w:szCs w:val="21"/>
        </w:rPr>
        <w:t>2023</w:t>
      </w:r>
      <w:r w:rsidRPr="007C68A4">
        <w:rPr>
          <w:color w:val="000000" w:themeColor="text1"/>
          <w:kern w:val="0"/>
          <w:szCs w:val="21"/>
        </w:rPr>
        <w:t>年</w:t>
      </w:r>
      <w:r w:rsidRPr="007C68A4">
        <w:rPr>
          <w:color w:val="000000" w:themeColor="text1"/>
          <w:kern w:val="0"/>
          <w:szCs w:val="21"/>
        </w:rPr>
        <w:t>12</w:t>
      </w:r>
      <w:r w:rsidRPr="007C68A4">
        <w:rPr>
          <w:color w:val="000000" w:themeColor="text1"/>
          <w:kern w:val="0"/>
          <w:szCs w:val="21"/>
        </w:rPr>
        <w:t>月</w:t>
      </w:r>
      <w:r w:rsidRPr="007C68A4">
        <w:rPr>
          <w:color w:val="000000" w:themeColor="text1"/>
          <w:kern w:val="0"/>
          <w:szCs w:val="21"/>
        </w:rPr>
        <w:t>31</w:t>
      </w:r>
      <w:r w:rsidRPr="007C68A4">
        <w:rPr>
          <w:color w:val="000000" w:themeColor="text1"/>
          <w:kern w:val="0"/>
          <w:szCs w:val="21"/>
        </w:rPr>
        <w:t>日：同）。</w:t>
      </w:r>
      <w:r w:rsidRPr="007C68A4">
        <w:rPr>
          <w:color w:val="000000" w:themeColor="text1"/>
          <w:szCs w:val="21"/>
        </w:rPr>
        <w:tab/>
      </w:r>
    </w:p>
    <w:p w14:paraId="5FD523DB" w14:textId="77777777" w:rsidR="00194D6E" w:rsidRPr="007C68A4" w:rsidRDefault="00194D6E" w:rsidP="004C1748">
      <w:pPr>
        <w:spacing w:line="360" w:lineRule="auto"/>
        <w:rPr>
          <w:rFonts w:eastAsiaTheme="minorEastAsia"/>
          <w:b/>
          <w:bCs/>
          <w:color w:val="000000" w:themeColor="text1"/>
          <w:szCs w:val="21"/>
        </w:rPr>
      </w:pPr>
      <w:r w:rsidRPr="007C68A4">
        <w:rPr>
          <w:rFonts w:eastAsiaTheme="minorEastAsia"/>
          <w:b/>
          <w:bCs/>
          <w:color w:val="000000" w:themeColor="text1"/>
          <w:kern w:val="0"/>
          <w:szCs w:val="21"/>
        </w:rPr>
        <w:t>6.4.13.4.2</w:t>
      </w:r>
      <w:r w:rsidRPr="007C68A4">
        <w:rPr>
          <w:rFonts w:eastAsiaTheme="minorEastAsia"/>
          <w:b/>
          <w:bCs/>
          <w:color w:val="000000" w:themeColor="text1"/>
          <w:szCs w:val="21"/>
        </w:rPr>
        <w:t>外汇风险</w:t>
      </w:r>
    </w:p>
    <w:p w14:paraId="0ECD7BA7" w14:textId="77777777" w:rsidR="00194D6E" w:rsidRPr="007C68A4" w:rsidRDefault="00194D6E" w:rsidP="00087767">
      <w:pPr>
        <w:spacing w:line="360" w:lineRule="auto"/>
        <w:ind w:firstLineChars="200" w:firstLine="420"/>
        <w:rPr>
          <w:color w:val="000000" w:themeColor="text1"/>
          <w:szCs w:val="21"/>
        </w:rPr>
      </w:pPr>
      <w:r w:rsidRPr="007C68A4">
        <w:rPr>
          <w:color w:val="000000" w:themeColor="text1"/>
          <w:szCs w:val="21"/>
        </w:rPr>
        <w:t>外汇风险是指金融工具的公允价值或未来现金流量因外汇汇率变动而发生波动的风险。本基金的所有资产及负债以人民币计价，因此无重大外汇风险。</w:t>
      </w:r>
    </w:p>
    <w:p w14:paraId="7C0D6924"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 </w:t>
      </w:r>
      <w:r w:rsidRPr="007C68A4">
        <w:rPr>
          <w:b/>
          <w:bCs/>
          <w:color w:val="000000" w:themeColor="text1"/>
          <w:szCs w:val="21"/>
        </w:rPr>
        <w:t>其他价格风险</w:t>
      </w:r>
    </w:p>
    <w:p w14:paraId="2987821D" w14:textId="77777777" w:rsidR="00FA3CB3" w:rsidRDefault="00052A0D">
      <w:pPr>
        <w:spacing w:line="360" w:lineRule="auto"/>
        <w:ind w:firstLineChars="200" w:firstLine="420"/>
        <w:rPr>
          <w:b/>
          <w:bCs/>
          <w:color w:val="000000" w:themeColor="text1"/>
          <w:szCs w:val="21"/>
        </w:rPr>
      </w:pPr>
      <w:r>
        <w:rPr>
          <w:color w:val="000000" w:themeColor="text1"/>
          <w:szCs w:val="21"/>
        </w:rPr>
        <w:t>其他价格风险是指基金所持金融工具的公允价值或未来现金流量因除市场利率和外汇汇率以外的市场价格因素变动而发生波动的风险。本基金主要投资于目标</w:t>
      </w:r>
      <w:r>
        <w:rPr>
          <w:color w:val="000000" w:themeColor="text1"/>
          <w:szCs w:val="21"/>
        </w:rPr>
        <w:t>ETF</w:t>
      </w:r>
      <w:r>
        <w:rPr>
          <w:color w:val="000000" w:themeColor="text1"/>
          <w:szCs w:val="21"/>
        </w:rPr>
        <w:t>、证券交易所上市或银行间同业市场交易的股票和债券，所面临的其他价格风险来源于单个证券发行主体自身经营情况或特殊事项的影响，也可能来源于证券市场整体波动的影响。</w:t>
      </w:r>
      <w:r>
        <w:rPr>
          <w:color w:val="000000" w:themeColor="text1"/>
          <w:szCs w:val="21"/>
        </w:rPr>
        <w:t xml:space="preserve"> </w:t>
      </w:r>
    </w:p>
    <w:p w14:paraId="4E976C13" w14:textId="77777777" w:rsidR="00FA3CB3" w:rsidRDefault="00FA3CB3">
      <w:pPr>
        <w:spacing w:line="360" w:lineRule="auto"/>
        <w:ind w:firstLineChars="200" w:firstLine="422"/>
        <w:rPr>
          <w:b/>
          <w:bCs/>
          <w:color w:val="000000" w:themeColor="text1"/>
          <w:szCs w:val="21"/>
        </w:rPr>
      </w:pPr>
    </w:p>
    <w:p w14:paraId="2219F111" w14:textId="77777777" w:rsidR="00FA3CB3" w:rsidRDefault="00052A0D">
      <w:pPr>
        <w:spacing w:line="360" w:lineRule="auto"/>
        <w:ind w:firstLineChars="200" w:firstLine="420"/>
        <w:rPr>
          <w:b/>
          <w:bCs/>
          <w:color w:val="000000" w:themeColor="text1"/>
          <w:szCs w:val="21"/>
        </w:rPr>
      </w:pPr>
      <w:r>
        <w:rPr>
          <w:color w:val="000000" w:themeColor="text1"/>
          <w:szCs w:val="21"/>
        </w:rPr>
        <w:t>本基金通过把全部或接近全部的基金资产投资于目标</w:t>
      </w:r>
      <w:r>
        <w:rPr>
          <w:color w:val="000000" w:themeColor="text1"/>
          <w:szCs w:val="21"/>
        </w:rPr>
        <w:t>ETF</w:t>
      </w:r>
      <w:r>
        <w:rPr>
          <w:color w:val="000000" w:themeColor="text1"/>
          <w:szCs w:val="21"/>
        </w:rPr>
        <w:t>、标的指数成份股和备选成份股进行被动式指数化投资，正常情况下投资于目标</w:t>
      </w:r>
      <w:r>
        <w:rPr>
          <w:color w:val="000000" w:themeColor="text1"/>
          <w:szCs w:val="21"/>
        </w:rPr>
        <w:t>ETF</w:t>
      </w:r>
      <w:r>
        <w:rPr>
          <w:color w:val="000000" w:themeColor="text1"/>
          <w:szCs w:val="21"/>
        </w:rPr>
        <w:t>的比例不低于基金资产净值的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。本基金还可适度参与目标</w:t>
      </w:r>
      <w:r>
        <w:rPr>
          <w:color w:val="000000" w:themeColor="text1"/>
          <w:szCs w:val="21"/>
        </w:rPr>
        <w:t>ETF</w:t>
      </w:r>
      <w:r>
        <w:rPr>
          <w:color w:val="000000" w:themeColor="text1"/>
          <w:szCs w:val="21"/>
        </w:rPr>
        <w:t>基金份额交易和申购、赎回之间的套利，以增强基金收益。</w:t>
      </w:r>
      <w:r>
        <w:rPr>
          <w:color w:val="000000" w:themeColor="text1"/>
          <w:szCs w:val="21"/>
        </w:rPr>
        <w:t xml:space="preserve"> </w:t>
      </w:r>
    </w:p>
    <w:p w14:paraId="5841DCAF" w14:textId="77777777" w:rsidR="00FA3CB3" w:rsidRDefault="00FA3CB3">
      <w:pPr>
        <w:spacing w:line="360" w:lineRule="auto"/>
        <w:ind w:firstLineChars="200" w:firstLine="422"/>
        <w:rPr>
          <w:b/>
          <w:bCs/>
          <w:color w:val="000000" w:themeColor="text1"/>
          <w:szCs w:val="21"/>
        </w:rPr>
      </w:pPr>
    </w:p>
    <w:p w14:paraId="71BC18A9" w14:textId="77777777" w:rsidR="001548F9" w:rsidRPr="007C68A4" w:rsidRDefault="001548F9" w:rsidP="001F0F10">
      <w:pPr>
        <w:spacing w:line="360" w:lineRule="auto"/>
        <w:ind w:firstLineChars="200" w:firstLine="420"/>
        <w:rPr>
          <w:b/>
          <w:bCs/>
          <w:color w:val="000000" w:themeColor="text1"/>
          <w:szCs w:val="21"/>
        </w:rPr>
      </w:pPr>
      <w:r w:rsidRPr="007C68A4">
        <w:rPr>
          <w:color w:val="000000" w:themeColor="text1"/>
          <w:szCs w:val="21"/>
        </w:rPr>
        <w:t>本基金通过投资组合的分散化降低其他价格风险。本基金投资组合中目标</w:t>
      </w:r>
      <w:r w:rsidRPr="007C68A4">
        <w:rPr>
          <w:color w:val="000000" w:themeColor="text1"/>
          <w:szCs w:val="21"/>
        </w:rPr>
        <w:t>ETF</w:t>
      </w:r>
      <w:r w:rsidRPr="007C68A4">
        <w:rPr>
          <w:color w:val="000000" w:themeColor="text1"/>
          <w:szCs w:val="21"/>
        </w:rPr>
        <w:t>基金份额的比例不低于基金资产净值的</w:t>
      </w:r>
      <w:r w:rsidRPr="007C68A4">
        <w:rPr>
          <w:color w:val="000000" w:themeColor="text1"/>
          <w:szCs w:val="21"/>
        </w:rPr>
        <w:t>90%</w:t>
      </w:r>
      <w:r w:rsidRPr="007C68A4">
        <w:rPr>
          <w:color w:val="000000" w:themeColor="text1"/>
          <w:szCs w:val="21"/>
        </w:rPr>
        <w:t>，每个交易日日终在扣除股指期货和股票期权合约需缴纳的交易保证金后，现金或者到期日在一年以内的政府债券不低于基金资产净值的</w:t>
      </w:r>
      <w:r w:rsidRPr="007C68A4">
        <w:rPr>
          <w:color w:val="000000" w:themeColor="text1"/>
          <w:szCs w:val="21"/>
        </w:rPr>
        <w:t>5%</w:t>
      </w:r>
      <w:r w:rsidRPr="007C68A4">
        <w:rPr>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7C68A4">
        <w:rPr>
          <w:color w:val="000000" w:themeColor="text1"/>
          <w:szCs w:val="21"/>
        </w:rPr>
        <w:t>VaR(Value at Risk)</w:t>
      </w:r>
      <w:r w:rsidRPr="007C68A4">
        <w:rPr>
          <w:color w:val="000000" w:themeColor="text1"/>
          <w:szCs w:val="21"/>
        </w:rPr>
        <w:t>指标等来测试本基金面临的潜在价格风险，及时可靠地对风险进行跟踪和控制。</w:t>
      </w:r>
    </w:p>
    <w:p w14:paraId="580B0B98" w14:textId="77777777"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6.4.13.4.3.1 </w:t>
      </w:r>
      <w:r w:rsidRPr="007C68A4">
        <w:rPr>
          <w:b/>
          <w:bCs/>
          <w:color w:val="000000" w:themeColor="text1"/>
          <w:szCs w:val="21"/>
        </w:rPr>
        <w:t>其他价格风险敞口</w:t>
      </w:r>
    </w:p>
    <w:p w14:paraId="3AC8BE54" w14:textId="77777777" w:rsidR="00D141F2" w:rsidRPr="007C68A4" w:rsidRDefault="00D141F2" w:rsidP="00D141F2">
      <w:pPr>
        <w:wordWrap w:val="0"/>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lastRenderedPageBreak/>
        <w:t>金额单位</w:t>
      </w:r>
      <w:r w:rsidRPr="007C68A4">
        <w:rPr>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A53B3" w:rsidRPr="007C68A4" w14:paraId="4401181C" w14:textId="77777777" w:rsidTr="003C0ECA">
        <w:tc>
          <w:tcPr>
            <w:tcW w:w="3119" w:type="dxa"/>
            <w:vMerge w:val="restart"/>
            <w:vAlign w:val="center"/>
          </w:tcPr>
          <w:p w14:paraId="423A7CE0" w14:textId="77777777" w:rsidR="0002154E" w:rsidRPr="007C68A4" w:rsidRDefault="0002154E" w:rsidP="00FD7B1C">
            <w:pPr>
              <w:spacing w:line="360" w:lineRule="auto"/>
              <w:jc w:val="center"/>
              <w:rPr>
                <w:color w:val="000000" w:themeColor="text1"/>
                <w:szCs w:val="21"/>
              </w:rPr>
            </w:pPr>
            <w:r w:rsidRPr="007C68A4">
              <w:rPr>
                <w:color w:val="000000" w:themeColor="text1"/>
                <w:szCs w:val="21"/>
              </w:rPr>
              <w:t>项目</w:t>
            </w:r>
          </w:p>
        </w:tc>
        <w:tc>
          <w:tcPr>
            <w:tcW w:w="2940" w:type="dxa"/>
            <w:gridSpan w:val="2"/>
            <w:vAlign w:val="center"/>
          </w:tcPr>
          <w:p w14:paraId="58D5677A"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本期末</w:t>
            </w:r>
          </w:p>
          <w:p w14:paraId="0DEFA5D0"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941" w:type="dxa"/>
            <w:gridSpan w:val="2"/>
            <w:vAlign w:val="center"/>
          </w:tcPr>
          <w:p w14:paraId="3DB8E505"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上年度末</w:t>
            </w:r>
          </w:p>
          <w:p w14:paraId="7936BD17" w14:textId="77777777" w:rsidR="0002154E" w:rsidRPr="007C68A4" w:rsidRDefault="0002154E" w:rsidP="003C0ECA">
            <w:pPr>
              <w:spacing w:line="360" w:lineRule="auto"/>
              <w:jc w:val="center"/>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3A53B3" w:rsidRPr="007C68A4" w14:paraId="2649A504" w14:textId="77777777" w:rsidTr="003C0ECA">
        <w:tc>
          <w:tcPr>
            <w:tcW w:w="3119" w:type="dxa"/>
            <w:vMerge/>
            <w:vAlign w:val="center"/>
          </w:tcPr>
          <w:p w14:paraId="7906D4A4" w14:textId="77777777" w:rsidR="0002154E" w:rsidRPr="007C68A4" w:rsidRDefault="0002154E" w:rsidP="003C0ECA">
            <w:pPr>
              <w:widowControl/>
              <w:spacing w:line="360" w:lineRule="auto"/>
              <w:jc w:val="left"/>
              <w:rPr>
                <w:color w:val="000000" w:themeColor="text1"/>
                <w:szCs w:val="21"/>
              </w:rPr>
            </w:pPr>
          </w:p>
        </w:tc>
        <w:tc>
          <w:tcPr>
            <w:tcW w:w="1843" w:type="dxa"/>
            <w:vAlign w:val="center"/>
          </w:tcPr>
          <w:p w14:paraId="16189C0E" w14:textId="77777777" w:rsidR="0002154E" w:rsidRPr="007C68A4" w:rsidRDefault="0002154E" w:rsidP="003C0ECA">
            <w:pPr>
              <w:spacing w:line="360" w:lineRule="auto"/>
              <w:ind w:right="142"/>
              <w:jc w:val="center"/>
              <w:rPr>
                <w:color w:val="000000" w:themeColor="text1"/>
                <w:szCs w:val="21"/>
              </w:rPr>
            </w:pPr>
            <w:r w:rsidRPr="007C68A4">
              <w:rPr>
                <w:color w:val="000000" w:themeColor="text1"/>
                <w:szCs w:val="21"/>
              </w:rPr>
              <w:t>公允价值</w:t>
            </w:r>
          </w:p>
        </w:tc>
        <w:tc>
          <w:tcPr>
            <w:tcW w:w="1097" w:type="dxa"/>
            <w:vAlign w:val="center"/>
          </w:tcPr>
          <w:p w14:paraId="49277DF5" w14:textId="77777777"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c>
          <w:tcPr>
            <w:tcW w:w="1879" w:type="dxa"/>
            <w:vAlign w:val="center"/>
          </w:tcPr>
          <w:p w14:paraId="0B17F4AD" w14:textId="77777777" w:rsidR="0002154E" w:rsidRPr="007C68A4" w:rsidRDefault="0002154E" w:rsidP="003C0ECA">
            <w:pPr>
              <w:spacing w:line="360" w:lineRule="auto"/>
              <w:ind w:right="113"/>
              <w:jc w:val="center"/>
              <w:rPr>
                <w:color w:val="000000" w:themeColor="text1"/>
                <w:szCs w:val="21"/>
              </w:rPr>
            </w:pPr>
            <w:r w:rsidRPr="007C68A4">
              <w:rPr>
                <w:color w:val="000000" w:themeColor="text1"/>
                <w:szCs w:val="21"/>
              </w:rPr>
              <w:t>公允价值</w:t>
            </w:r>
          </w:p>
        </w:tc>
        <w:tc>
          <w:tcPr>
            <w:tcW w:w="1062" w:type="dxa"/>
            <w:vAlign w:val="center"/>
          </w:tcPr>
          <w:p w14:paraId="31124E11" w14:textId="77777777"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3A53B3" w:rsidRPr="007C68A4" w14:paraId="0ADA3FAB" w14:textId="77777777" w:rsidTr="003C0ECA">
        <w:tc>
          <w:tcPr>
            <w:tcW w:w="3119" w:type="dxa"/>
            <w:vAlign w:val="center"/>
          </w:tcPr>
          <w:p w14:paraId="724C3ED3" w14:textId="77777777"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交易性金融资产－股票投资</w:t>
            </w:r>
          </w:p>
        </w:tc>
        <w:tc>
          <w:tcPr>
            <w:tcW w:w="1843" w:type="dxa"/>
            <w:vAlign w:val="center"/>
          </w:tcPr>
          <w:p w14:paraId="72132394"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97" w:type="dxa"/>
            <w:vAlign w:val="center"/>
          </w:tcPr>
          <w:p w14:paraId="6348D994"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879" w:type="dxa"/>
            <w:vAlign w:val="center"/>
          </w:tcPr>
          <w:p w14:paraId="7CCFE37F"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62" w:type="dxa"/>
            <w:vAlign w:val="center"/>
          </w:tcPr>
          <w:p w14:paraId="4E576C15"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w:t>
            </w:r>
          </w:p>
        </w:tc>
      </w:tr>
      <w:tr w:rsidR="003A53B3" w:rsidRPr="007C68A4" w14:paraId="00A2AFD2" w14:textId="77777777" w:rsidTr="003C0ECA">
        <w:tc>
          <w:tcPr>
            <w:tcW w:w="3119" w:type="dxa"/>
            <w:vAlign w:val="center"/>
          </w:tcPr>
          <w:p w14:paraId="71C93505" w14:textId="77777777"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交易性金融资产－基金投资</w:t>
            </w:r>
          </w:p>
        </w:tc>
        <w:tc>
          <w:tcPr>
            <w:tcW w:w="1843" w:type="dxa"/>
          </w:tcPr>
          <w:p w14:paraId="4F03FFF8"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25,169,032.00</w:t>
            </w:r>
          </w:p>
        </w:tc>
        <w:tc>
          <w:tcPr>
            <w:tcW w:w="1097" w:type="dxa"/>
          </w:tcPr>
          <w:p w14:paraId="677FB05F"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94.91</w:t>
            </w:r>
          </w:p>
        </w:tc>
        <w:tc>
          <w:tcPr>
            <w:tcW w:w="1879" w:type="dxa"/>
          </w:tcPr>
          <w:p w14:paraId="289E2034"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32,719,470.41</w:t>
            </w:r>
          </w:p>
        </w:tc>
        <w:tc>
          <w:tcPr>
            <w:tcW w:w="1062" w:type="dxa"/>
          </w:tcPr>
          <w:p w14:paraId="55462FC0" w14:textId="77777777" w:rsidR="0002154E" w:rsidRPr="007C68A4" w:rsidRDefault="0002154E" w:rsidP="003C0ECA">
            <w:pPr>
              <w:spacing w:line="360" w:lineRule="auto"/>
              <w:jc w:val="right"/>
              <w:rPr>
                <w:color w:val="000000" w:themeColor="text1"/>
                <w:szCs w:val="21"/>
              </w:rPr>
            </w:pPr>
            <w:r w:rsidRPr="007C68A4">
              <w:rPr>
                <w:color w:val="000000" w:themeColor="text1"/>
                <w:szCs w:val="21"/>
              </w:rPr>
              <w:t>96.56</w:t>
            </w:r>
          </w:p>
        </w:tc>
      </w:tr>
      <w:tr w:rsidR="003A53B3" w:rsidRPr="007C68A4" w14:paraId="3B2CA294" w14:textId="77777777" w:rsidTr="00785EEA">
        <w:tc>
          <w:tcPr>
            <w:tcW w:w="3119" w:type="dxa"/>
            <w:vAlign w:val="center"/>
          </w:tcPr>
          <w:p w14:paraId="7C3FC14F" w14:textId="77777777" w:rsidR="00FB4B02" w:rsidRPr="007C68A4" w:rsidRDefault="00FB4B02" w:rsidP="00785EEA">
            <w:pPr>
              <w:spacing w:line="360" w:lineRule="auto"/>
              <w:jc w:val="left"/>
              <w:rPr>
                <w:color w:val="000000" w:themeColor="text1"/>
                <w:szCs w:val="21"/>
              </w:rPr>
            </w:pPr>
            <w:r w:rsidRPr="007C68A4">
              <w:rPr>
                <w:color w:val="000000" w:themeColor="text1"/>
                <w:szCs w:val="21"/>
              </w:rPr>
              <w:t>交易性金融资产－贵金属投资</w:t>
            </w:r>
          </w:p>
        </w:tc>
        <w:tc>
          <w:tcPr>
            <w:tcW w:w="1843" w:type="dxa"/>
            <w:vAlign w:val="center"/>
          </w:tcPr>
          <w:p w14:paraId="34E7F27B"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97" w:type="dxa"/>
            <w:vAlign w:val="center"/>
          </w:tcPr>
          <w:p w14:paraId="414E2496"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879" w:type="dxa"/>
            <w:vAlign w:val="center"/>
          </w:tcPr>
          <w:p w14:paraId="6DDE6867"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62" w:type="dxa"/>
            <w:vAlign w:val="center"/>
          </w:tcPr>
          <w:p w14:paraId="0858366D" w14:textId="77777777" w:rsidR="00FB4B02" w:rsidRPr="007C68A4" w:rsidRDefault="00FB4B02" w:rsidP="00785EEA">
            <w:pPr>
              <w:spacing w:line="360" w:lineRule="auto"/>
              <w:jc w:val="right"/>
              <w:rPr>
                <w:color w:val="000000" w:themeColor="text1"/>
                <w:szCs w:val="21"/>
              </w:rPr>
            </w:pPr>
            <w:r w:rsidRPr="007C68A4">
              <w:rPr>
                <w:color w:val="000000" w:themeColor="text1"/>
                <w:szCs w:val="21"/>
              </w:rPr>
              <w:t>-</w:t>
            </w:r>
          </w:p>
        </w:tc>
      </w:tr>
      <w:tr w:rsidR="003A53B3" w:rsidRPr="007C68A4" w14:paraId="52F0BFD5" w14:textId="77777777" w:rsidTr="003C0ECA">
        <w:tc>
          <w:tcPr>
            <w:tcW w:w="3119" w:type="dxa"/>
            <w:vAlign w:val="center"/>
          </w:tcPr>
          <w:p w14:paraId="3A65DD56" w14:textId="77777777" w:rsidR="00FB4B02" w:rsidRPr="007C68A4" w:rsidRDefault="00FB4B02" w:rsidP="003C0ECA">
            <w:pPr>
              <w:spacing w:line="360" w:lineRule="auto"/>
              <w:jc w:val="left"/>
              <w:rPr>
                <w:color w:val="000000" w:themeColor="text1"/>
                <w:szCs w:val="21"/>
              </w:rPr>
            </w:pPr>
            <w:r w:rsidRPr="007C68A4">
              <w:rPr>
                <w:color w:val="000000" w:themeColor="text1"/>
                <w:szCs w:val="21"/>
              </w:rPr>
              <w:t>衍生金融资产－权证投资</w:t>
            </w:r>
          </w:p>
        </w:tc>
        <w:tc>
          <w:tcPr>
            <w:tcW w:w="1843" w:type="dxa"/>
          </w:tcPr>
          <w:p w14:paraId="70E8F059"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14:paraId="33598ACE"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14:paraId="0D2EE013"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14:paraId="5A56E735"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14:paraId="05DC9EC4" w14:textId="77777777" w:rsidTr="003C0ECA">
        <w:tc>
          <w:tcPr>
            <w:tcW w:w="3119" w:type="dxa"/>
            <w:vAlign w:val="center"/>
          </w:tcPr>
          <w:p w14:paraId="78FC3793" w14:textId="77777777" w:rsidR="00FB4B02" w:rsidRPr="007C68A4" w:rsidRDefault="00FB4B02" w:rsidP="003C0ECA">
            <w:pPr>
              <w:spacing w:line="360" w:lineRule="auto"/>
              <w:jc w:val="left"/>
              <w:rPr>
                <w:color w:val="000000" w:themeColor="text1"/>
                <w:szCs w:val="21"/>
              </w:rPr>
            </w:pPr>
            <w:r w:rsidRPr="007C68A4">
              <w:rPr>
                <w:color w:val="000000" w:themeColor="text1"/>
                <w:szCs w:val="21"/>
              </w:rPr>
              <w:t>其他</w:t>
            </w:r>
          </w:p>
        </w:tc>
        <w:tc>
          <w:tcPr>
            <w:tcW w:w="1843" w:type="dxa"/>
          </w:tcPr>
          <w:p w14:paraId="7EED0380"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14:paraId="65AC4480"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14:paraId="1CCCDE36"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14:paraId="7A756CD2"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14:paraId="19619EAB" w14:textId="77777777" w:rsidTr="003C0ECA">
        <w:tc>
          <w:tcPr>
            <w:tcW w:w="3119" w:type="dxa"/>
            <w:vAlign w:val="center"/>
          </w:tcPr>
          <w:p w14:paraId="7BC37D05" w14:textId="77777777" w:rsidR="00FB4B02" w:rsidRPr="007C68A4" w:rsidRDefault="00FB4B02" w:rsidP="003C0ECA">
            <w:pPr>
              <w:spacing w:line="360" w:lineRule="auto"/>
              <w:jc w:val="center"/>
              <w:rPr>
                <w:b/>
                <w:color w:val="000000" w:themeColor="text1"/>
                <w:szCs w:val="21"/>
              </w:rPr>
            </w:pPr>
            <w:r w:rsidRPr="007C68A4">
              <w:rPr>
                <w:b/>
                <w:color w:val="000000" w:themeColor="text1"/>
                <w:szCs w:val="21"/>
              </w:rPr>
              <w:t>合计</w:t>
            </w:r>
          </w:p>
        </w:tc>
        <w:tc>
          <w:tcPr>
            <w:tcW w:w="1843" w:type="dxa"/>
          </w:tcPr>
          <w:p w14:paraId="15A03563"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25,169,032.00</w:t>
            </w:r>
          </w:p>
        </w:tc>
        <w:tc>
          <w:tcPr>
            <w:tcW w:w="1097" w:type="dxa"/>
          </w:tcPr>
          <w:p w14:paraId="3E2CC126"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94.91</w:t>
            </w:r>
          </w:p>
        </w:tc>
        <w:tc>
          <w:tcPr>
            <w:tcW w:w="1879" w:type="dxa"/>
          </w:tcPr>
          <w:p w14:paraId="55FAB2C2"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32,719,470.41</w:t>
            </w:r>
          </w:p>
        </w:tc>
        <w:tc>
          <w:tcPr>
            <w:tcW w:w="1062" w:type="dxa"/>
          </w:tcPr>
          <w:p w14:paraId="0DA8A228" w14:textId="77777777" w:rsidR="00FB4B02" w:rsidRPr="007C68A4" w:rsidRDefault="00FB4B02" w:rsidP="003C0ECA">
            <w:pPr>
              <w:spacing w:line="360" w:lineRule="auto"/>
              <w:jc w:val="right"/>
              <w:rPr>
                <w:color w:val="000000" w:themeColor="text1"/>
                <w:szCs w:val="21"/>
              </w:rPr>
            </w:pPr>
            <w:r w:rsidRPr="007C68A4">
              <w:rPr>
                <w:color w:val="000000" w:themeColor="text1"/>
                <w:szCs w:val="21"/>
              </w:rPr>
              <w:t>96.56</w:t>
            </w:r>
          </w:p>
        </w:tc>
      </w:tr>
    </w:tbl>
    <w:p w14:paraId="5110BA32" w14:textId="77777777"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6.4.13.4.3.2 </w:t>
      </w:r>
      <w:r w:rsidRPr="007C68A4">
        <w:rPr>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A3CB3" w14:paraId="3BFDE536" w14:textId="77777777">
        <w:tc>
          <w:tcPr>
            <w:tcW w:w="993" w:type="dxa"/>
            <w:vAlign w:val="center"/>
          </w:tcPr>
          <w:p w14:paraId="09C3F339" w14:textId="77777777" w:rsidR="00FA3CB3" w:rsidRDefault="00052A0D">
            <w:pPr>
              <w:jc w:val="left"/>
            </w:pPr>
            <w:r>
              <w:rPr>
                <w:color w:val="000000" w:themeColor="text1"/>
                <w:szCs w:val="21"/>
              </w:rPr>
              <w:t>假设</w:t>
            </w:r>
          </w:p>
        </w:tc>
        <w:tc>
          <w:tcPr>
            <w:tcW w:w="8079" w:type="dxa"/>
            <w:gridSpan w:val="4"/>
            <w:vAlign w:val="center"/>
          </w:tcPr>
          <w:p w14:paraId="3D568A21" w14:textId="77777777" w:rsidR="00FA3CB3" w:rsidRDefault="00052A0D">
            <w:pPr>
              <w:jc w:val="center"/>
            </w:pPr>
            <w:r>
              <w:rPr>
                <w:color w:val="000000" w:themeColor="text1"/>
                <w:szCs w:val="21"/>
              </w:rPr>
              <w:t>除业绩比较基准以外的其他市场变量保持不变</w:t>
            </w:r>
          </w:p>
        </w:tc>
      </w:tr>
      <w:tr w:rsidR="003A53B3" w:rsidRPr="007C68A4" w14:paraId="5643A3E6" w14:textId="77777777" w:rsidTr="004D62FA">
        <w:trPr>
          <w:gridAfter w:val="1"/>
          <w:wAfter w:w="72" w:type="dxa"/>
        </w:trPr>
        <w:tc>
          <w:tcPr>
            <w:tcW w:w="993" w:type="dxa"/>
            <w:vMerge w:val="restart"/>
            <w:vAlign w:val="center"/>
          </w:tcPr>
          <w:p w14:paraId="164F1E90" w14:textId="77777777" w:rsidR="0075605D" w:rsidRPr="007C68A4" w:rsidRDefault="0075605D" w:rsidP="00731EF6">
            <w:pPr>
              <w:jc w:val="left"/>
              <w:rPr>
                <w:color w:val="000000" w:themeColor="text1"/>
                <w:szCs w:val="21"/>
              </w:rPr>
            </w:pPr>
            <w:r w:rsidRPr="007C68A4">
              <w:rPr>
                <w:bCs/>
                <w:color w:val="000000" w:themeColor="text1"/>
                <w:szCs w:val="21"/>
              </w:rPr>
              <w:t>分析</w:t>
            </w:r>
          </w:p>
        </w:tc>
        <w:tc>
          <w:tcPr>
            <w:tcW w:w="2448" w:type="dxa"/>
            <w:vMerge w:val="restart"/>
            <w:vAlign w:val="center"/>
          </w:tcPr>
          <w:p w14:paraId="74543AE6" w14:textId="77777777" w:rsidR="0075605D" w:rsidRPr="007C68A4" w:rsidRDefault="0075605D" w:rsidP="004D62FA">
            <w:pPr>
              <w:widowControl/>
              <w:autoSpaceDE w:val="0"/>
              <w:autoSpaceDN w:val="0"/>
              <w:ind w:right="-15"/>
              <w:jc w:val="center"/>
              <w:textAlignment w:val="bottom"/>
              <w:rPr>
                <w:color w:val="000000" w:themeColor="text1"/>
                <w:kern w:val="0"/>
                <w:szCs w:val="21"/>
              </w:rPr>
            </w:pPr>
            <w:r w:rsidRPr="007C68A4">
              <w:rPr>
                <w:bCs/>
                <w:color w:val="000000" w:themeColor="text1"/>
                <w:szCs w:val="21"/>
              </w:rPr>
              <w:t>相关风险变量的变动</w:t>
            </w:r>
          </w:p>
        </w:tc>
        <w:tc>
          <w:tcPr>
            <w:tcW w:w="5559" w:type="dxa"/>
            <w:gridSpan w:val="2"/>
          </w:tcPr>
          <w:p w14:paraId="5E64796C" w14:textId="77777777" w:rsidR="0075605D" w:rsidRPr="007C68A4" w:rsidRDefault="0075605D" w:rsidP="004D62FA">
            <w:pPr>
              <w:jc w:val="center"/>
              <w:rPr>
                <w:color w:val="000000" w:themeColor="text1"/>
                <w:szCs w:val="21"/>
              </w:rPr>
            </w:pPr>
            <w:r w:rsidRPr="007C68A4">
              <w:rPr>
                <w:color w:val="000000" w:themeColor="text1"/>
                <w:szCs w:val="21"/>
              </w:rPr>
              <w:t>对资产负债表日基金资产净值的</w:t>
            </w:r>
          </w:p>
          <w:p w14:paraId="4F93056A" w14:textId="77777777" w:rsidR="0075605D" w:rsidRPr="007C68A4" w:rsidRDefault="00376EB3" w:rsidP="00376EB3">
            <w:pPr>
              <w:widowControl/>
              <w:autoSpaceDE w:val="0"/>
              <w:autoSpaceDN w:val="0"/>
              <w:ind w:right="-15"/>
              <w:jc w:val="center"/>
              <w:textAlignment w:val="bottom"/>
              <w:rPr>
                <w:color w:val="000000" w:themeColor="text1"/>
                <w:kern w:val="0"/>
                <w:szCs w:val="21"/>
              </w:rPr>
            </w:pPr>
            <w:r w:rsidRPr="007C68A4">
              <w:rPr>
                <w:color w:val="000000" w:themeColor="text1"/>
                <w:szCs w:val="21"/>
              </w:rPr>
              <w:t>影响金额（单位：</w:t>
            </w:r>
            <w:r w:rsidR="00896323" w:rsidRPr="00B079CA">
              <w:rPr>
                <w:rFonts w:eastAsiaTheme="minorEastAsia"/>
                <w:color w:val="000000" w:themeColor="text1"/>
                <w:szCs w:val="21"/>
              </w:rPr>
              <w:t>人民币万元</w:t>
            </w:r>
            <w:r w:rsidR="0075605D" w:rsidRPr="007C68A4">
              <w:rPr>
                <w:color w:val="000000" w:themeColor="text1"/>
                <w:szCs w:val="21"/>
              </w:rPr>
              <w:t>）</w:t>
            </w:r>
          </w:p>
        </w:tc>
      </w:tr>
      <w:tr w:rsidR="003A53B3" w:rsidRPr="007C68A4" w14:paraId="02493D4E" w14:textId="77777777" w:rsidTr="004D62FA">
        <w:trPr>
          <w:gridAfter w:val="1"/>
          <w:wAfter w:w="72" w:type="dxa"/>
        </w:trPr>
        <w:tc>
          <w:tcPr>
            <w:tcW w:w="993" w:type="dxa"/>
            <w:vMerge/>
            <w:vAlign w:val="center"/>
          </w:tcPr>
          <w:p w14:paraId="7BF39A13" w14:textId="77777777" w:rsidR="0075605D" w:rsidRPr="007C68A4" w:rsidRDefault="0075605D" w:rsidP="004D62FA">
            <w:pPr>
              <w:jc w:val="left"/>
              <w:rPr>
                <w:color w:val="000000" w:themeColor="text1"/>
                <w:szCs w:val="21"/>
              </w:rPr>
            </w:pPr>
          </w:p>
        </w:tc>
        <w:tc>
          <w:tcPr>
            <w:tcW w:w="2448" w:type="dxa"/>
            <w:vMerge/>
            <w:vAlign w:val="center"/>
          </w:tcPr>
          <w:p w14:paraId="4B6ABDD8" w14:textId="77777777" w:rsidR="0075605D" w:rsidRPr="007C68A4" w:rsidRDefault="0075605D" w:rsidP="004D62FA">
            <w:pPr>
              <w:widowControl/>
              <w:jc w:val="left"/>
              <w:rPr>
                <w:color w:val="000000" w:themeColor="text1"/>
                <w:kern w:val="0"/>
                <w:szCs w:val="21"/>
              </w:rPr>
            </w:pPr>
          </w:p>
        </w:tc>
        <w:tc>
          <w:tcPr>
            <w:tcW w:w="2880" w:type="dxa"/>
          </w:tcPr>
          <w:p w14:paraId="5901D385" w14:textId="77777777" w:rsidR="0075605D" w:rsidRPr="007C68A4" w:rsidRDefault="0075605D" w:rsidP="005B2B01">
            <w:pPr>
              <w:spacing w:line="360" w:lineRule="auto"/>
              <w:ind w:firstLineChars="350" w:firstLine="735"/>
              <w:rPr>
                <w:color w:val="000000" w:themeColor="text1"/>
                <w:szCs w:val="21"/>
              </w:rPr>
            </w:pPr>
            <w:r w:rsidRPr="007C68A4">
              <w:rPr>
                <w:color w:val="000000" w:themeColor="text1"/>
                <w:szCs w:val="21"/>
              </w:rPr>
              <w:t>本期末</w:t>
            </w:r>
          </w:p>
          <w:p w14:paraId="361C7D2B" w14:textId="77777777" w:rsidR="0075605D" w:rsidRPr="007C68A4" w:rsidRDefault="0075605D" w:rsidP="004D62FA">
            <w:pPr>
              <w:spacing w:line="360" w:lineRule="auto"/>
              <w:jc w:val="center"/>
              <w:rPr>
                <w:bCs/>
                <w:color w:val="000000" w:themeColor="text1"/>
                <w:szCs w:val="21"/>
              </w:rPr>
            </w:pP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79" w:type="dxa"/>
          </w:tcPr>
          <w:p w14:paraId="7DFAAB04" w14:textId="77777777" w:rsidR="0075605D" w:rsidRPr="007C68A4" w:rsidRDefault="0075605D" w:rsidP="005B2B01">
            <w:pPr>
              <w:spacing w:line="360" w:lineRule="auto"/>
              <w:ind w:firstLineChars="300" w:firstLine="630"/>
              <w:rPr>
                <w:color w:val="000000" w:themeColor="text1"/>
                <w:szCs w:val="21"/>
              </w:rPr>
            </w:pPr>
            <w:r w:rsidRPr="007C68A4">
              <w:rPr>
                <w:color w:val="000000" w:themeColor="text1"/>
                <w:szCs w:val="21"/>
              </w:rPr>
              <w:t>上年度末</w:t>
            </w:r>
          </w:p>
          <w:p w14:paraId="147FB4D6" w14:textId="77777777" w:rsidR="0075605D" w:rsidRPr="007C68A4" w:rsidRDefault="0075605D" w:rsidP="004D62FA">
            <w:pPr>
              <w:spacing w:line="360" w:lineRule="auto"/>
              <w:jc w:val="center"/>
              <w:rPr>
                <w:bCs/>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FA3CB3" w14:paraId="7AEE2513" w14:textId="77777777">
        <w:trPr>
          <w:gridAfter w:val="1"/>
          <w:wAfter w:w="72" w:type="dxa"/>
        </w:trPr>
        <w:tc>
          <w:tcPr>
            <w:tcW w:w="993" w:type="dxa"/>
            <w:vMerge/>
          </w:tcPr>
          <w:p w14:paraId="4EC1785B" w14:textId="77777777" w:rsidR="00FA3CB3" w:rsidRDefault="00FA3CB3"/>
        </w:tc>
        <w:tc>
          <w:tcPr>
            <w:tcW w:w="2448" w:type="dxa"/>
            <w:vAlign w:val="center"/>
          </w:tcPr>
          <w:p w14:paraId="6F331C8A" w14:textId="77777777" w:rsidR="00FA3CB3" w:rsidRDefault="00052A0D">
            <w:r>
              <w:rPr>
                <w:color w:val="000000" w:themeColor="text1"/>
                <w:szCs w:val="21"/>
              </w:rPr>
              <w:t>1.</w:t>
            </w:r>
            <w:r>
              <w:rPr>
                <w:color w:val="000000" w:themeColor="text1"/>
                <w:szCs w:val="21"/>
              </w:rPr>
              <w:t>业绩比较基准上升</w:t>
            </w:r>
            <w:r>
              <w:rPr>
                <w:color w:val="000000" w:themeColor="text1"/>
                <w:szCs w:val="21"/>
              </w:rPr>
              <w:t>5%</w:t>
            </w:r>
          </w:p>
        </w:tc>
        <w:tc>
          <w:tcPr>
            <w:tcW w:w="2880" w:type="dxa"/>
            <w:vAlign w:val="center"/>
          </w:tcPr>
          <w:p w14:paraId="16DAD70B" w14:textId="77777777" w:rsidR="00FA3CB3" w:rsidRDefault="00052A0D">
            <w:pPr>
              <w:jc w:val="right"/>
            </w:pPr>
            <w:r>
              <w:rPr>
                <w:color w:val="000000" w:themeColor="text1"/>
                <w:szCs w:val="21"/>
              </w:rPr>
              <w:t>增加约</w:t>
            </w:r>
            <w:r>
              <w:rPr>
                <w:color w:val="000000" w:themeColor="text1"/>
                <w:szCs w:val="21"/>
              </w:rPr>
              <w:t>121</w:t>
            </w:r>
          </w:p>
        </w:tc>
        <w:tc>
          <w:tcPr>
            <w:tcW w:w="2679" w:type="dxa"/>
            <w:vAlign w:val="center"/>
          </w:tcPr>
          <w:p w14:paraId="64786CAD" w14:textId="77777777" w:rsidR="00FA3CB3" w:rsidRDefault="00052A0D">
            <w:pPr>
              <w:jc w:val="right"/>
            </w:pPr>
            <w:r>
              <w:rPr>
                <w:color w:val="000000" w:themeColor="text1"/>
                <w:szCs w:val="21"/>
              </w:rPr>
              <w:t>增加约</w:t>
            </w:r>
            <w:r>
              <w:rPr>
                <w:color w:val="000000" w:themeColor="text1"/>
                <w:szCs w:val="21"/>
              </w:rPr>
              <w:t>141</w:t>
            </w:r>
          </w:p>
        </w:tc>
      </w:tr>
      <w:tr w:rsidR="00FA3CB3" w14:paraId="4BF3F833" w14:textId="77777777">
        <w:trPr>
          <w:gridAfter w:val="1"/>
          <w:wAfter w:w="72" w:type="dxa"/>
        </w:trPr>
        <w:tc>
          <w:tcPr>
            <w:tcW w:w="993" w:type="dxa"/>
            <w:vMerge/>
          </w:tcPr>
          <w:p w14:paraId="1D115040" w14:textId="77777777" w:rsidR="00FA3CB3" w:rsidRDefault="00FA3CB3"/>
        </w:tc>
        <w:tc>
          <w:tcPr>
            <w:tcW w:w="2448" w:type="dxa"/>
            <w:vAlign w:val="center"/>
          </w:tcPr>
          <w:p w14:paraId="3C4074F4" w14:textId="77777777" w:rsidR="00FA3CB3" w:rsidRDefault="00052A0D">
            <w:r>
              <w:rPr>
                <w:color w:val="000000" w:themeColor="text1"/>
                <w:szCs w:val="21"/>
              </w:rPr>
              <w:t>2.</w:t>
            </w:r>
            <w:r>
              <w:rPr>
                <w:color w:val="000000" w:themeColor="text1"/>
                <w:szCs w:val="21"/>
              </w:rPr>
              <w:t>业绩比较基准下降</w:t>
            </w:r>
            <w:r>
              <w:rPr>
                <w:color w:val="000000" w:themeColor="text1"/>
                <w:szCs w:val="21"/>
              </w:rPr>
              <w:t>5%</w:t>
            </w:r>
          </w:p>
        </w:tc>
        <w:tc>
          <w:tcPr>
            <w:tcW w:w="2880" w:type="dxa"/>
            <w:vAlign w:val="center"/>
          </w:tcPr>
          <w:p w14:paraId="0FD375FB" w14:textId="77777777" w:rsidR="00FA3CB3" w:rsidRDefault="00052A0D">
            <w:pPr>
              <w:jc w:val="right"/>
            </w:pPr>
            <w:r>
              <w:rPr>
                <w:color w:val="000000" w:themeColor="text1"/>
                <w:szCs w:val="21"/>
              </w:rPr>
              <w:t>减少约</w:t>
            </w:r>
            <w:r>
              <w:rPr>
                <w:color w:val="000000" w:themeColor="text1"/>
                <w:szCs w:val="21"/>
              </w:rPr>
              <w:t>121</w:t>
            </w:r>
          </w:p>
        </w:tc>
        <w:tc>
          <w:tcPr>
            <w:tcW w:w="2679" w:type="dxa"/>
            <w:vAlign w:val="center"/>
          </w:tcPr>
          <w:p w14:paraId="3E61E0A5" w14:textId="77777777" w:rsidR="00FA3CB3" w:rsidRDefault="00052A0D">
            <w:pPr>
              <w:jc w:val="right"/>
            </w:pPr>
            <w:r>
              <w:rPr>
                <w:color w:val="000000" w:themeColor="text1"/>
                <w:szCs w:val="21"/>
              </w:rPr>
              <w:t>减少约</w:t>
            </w:r>
            <w:r>
              <w:rPr>
                <w:color w:val="000000" w:themeColor="text1"/>
                <w:szCs w:val="21"/>
              </w:rPr>
              <w:t>141</w:t>
            </w:r>
          </w:p>
        </w:tc>
      </w:tr>
    </w:tbl>
    <w:p w14:paraId="6985A9B2" w14:textId="77777777" w:rsidR="000D5E8A" w:rsidRPr="007C68A4" w:rsidRDefault="000D5E8A" w:rsidP="000D5E8A">
      <w:pPr>
        <w:adjustRightInd w:val="0"/>
        <w:snapToGrid w:val="0"/>
        <w:spacing w:line="360" w:lineRule="auto"/>
        <w:rPr>
          <w:b/>
          <w:color w:val="000000" w:themeColor="text1"/>
          <w:szCs w:val="21"/>
        </w:rPr>
      </w:pPr>
      <w:bookmarkStart w:id="63" w:name="_Toc105503243"/>
      <w:r w:rsidRPr="007C68A4">
        <w:rPr>
          <w:b/>
          <w:color w:val="000000" w:themeColor="text1"/>
          <w:szCs w:val="21"/>
        </w:rPr>
        <w:t xml:space="preserve">6.4.14 </w:t>
      </w:r>
      <w:r w:rsidRPr="007C68A4">
        <w:rPr>
          <w:rFonts w:hint="eastAsia"/>
          <w:b/>
          <w:color w:val="000000" w:themeColor="text1"/>
          <w:szCs w:val="21"/>
        </w:rPr>
        <w:t>公允价值</w:t>
      </w:r>
      <w:bookmarkEnd w:id="63"/>
    </w:p>
    <w:p w14:paraId="47CC0474"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6.4.14.1 </w:t>
      </w:r>
      <w:r w:rsidRPr="007C68A4">
        <w:rPr>
          <w:b/>
          <w:color w:val="000000" w:themeColor="text1"/>
          <w:szCs w:val="21"/>
        </w:rPr>
        <w:t>金融工具公允价值计量的方法</w:t>
      </w:r>
    </w:p>
    <w:p w14:paraId="78D3BA77" w14:textId="77777777" w:rsidR="00FA3CB3" w:rsidRDefault="00052A0D">
      <w:pPr>
        <w:spacing w:line="360" w:lineRule="auto"/>
        <w:ind w:firstLineChars="200" w:firstLine="420"/>
        <w:rPr>
          <w:color w:val="000000" w:themeColor="text1"/>
          <w:szCs w:val="21"/>
        </w:rPr>
      </w:pPr>
      <w:r>
        <w:rPr>
          <w:color w:val="000000" w:themeColor="text1"/>
          <w:szCs w:val="21"/>
        </w:rPr>
        <w:t>公允价值计量结果所属的层次，由对公允价值计量整体而言具有重要意义的输入值所属的最低层次决定：</w:t>
      </w:r>
      <w:r>
        <w:rPr>
          <w:color w:val="000000" w:themeColor="text1"/>
          <w:szCs w:val="21"/>
        </w:rPr>
        <w:t xml:space="preserve"> </w:t>
      </w:r>
    </w:p>
    <w:p w14:paraId="6DA56FBF" w14:textId="77777777" w:rsidR="00FA3CB3" w:rsidRDefault="00FA3CB3">
      <w:pPr>
        <w:spacing w:line="360" w:lineRule="auto"/>
        <w:ind w:firstLineChars="200" w:firstLine="420"/>
        <w:rPr>
          <w:color w:val="000000" w:themeColor="text1"/>
          <w:szCs w:val="21"/>
        </w:rPr>
      </w:pPr>
    </w:p>
    <w:p w14:paraId="7EBCF0CA" w14:textId="77777777" w:rsidR="00FA3CB3" w:rsidRDefault="00052A0D">
      <w:pPr>
        <w:spacing w:line="360" w:lineRule="auto"/>
        <w:ind w:firstLineChars="200" w:firstLine="420"/>
        <w:rPr>
          <w:color w:val="000000" w:themeColor="text1"/>
          <w:szCs w:val="21"/>
        </w:rPr>
      </w:pPr>
      <w:r>
        <w:rPr>
          <w:color w:val="000000" w:themeColor="text1"/>
          <w:szCs w:val="21"/>
        </w:rPr>
        <w:t>第一层次：相同资产或负债在活跃市场上未经调整的报价。</w:t>
      </w:r>
      <w:r>
        <w:rPr>
          <w:color w:val="000000" w:themeColor="text1"/>
          <w:szCs w:val="21"/>
        </w:rPr>
        <w:t xml:space="preserve"> </w:t>
      </w:r>
    </w:p>
    <w:p w14:paraId="316E5FB5" w14:textId="77777777" w:rsidR="00FA3CB3" w:rsidRDefault="00052A0D">
      <w:pPr>
        <w:spacing w:line="360" w:lineRule="auto"/>
        <w:ind w:firstLineChars="200" w:firstLine="420"/>
        <w:rPr>
          <w:color w:val="000000" w:themeColor="text1"/>
          <w:szCs w:val="21"/>
        </w:rPr>
      </w:pPr>
      <w:r>
        <w:rPr>
          <w:color w:val="000000" w:themeColor="text1"/>
          <w:szCs w:val="21"/>
        </w:rPr>
        <w:t>第二层次：除第一层次输入值外相关资产或负债直接或间接可观察的输入值。</w:t>
      </w:r>
      <w:r>
        <w:rPr>
          <w:color w:val="000000" w:themeColor="text1"/>
          <w:szCs w:val="21"/>
        </w:rPr>
        <w:t xml:space="preserve"> </w:t>
      </w:r>
    </w:p>
    <w:p w14:paraId="725A7300"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第三层次：相关资产或负债的不可观察输入值。</w:t>
      </w:r>
    </w:p>
    <w:p w14:paraId="12FAB573" w14:textId="77777777" w:rsidR="000D5E8A" w:rsidRPr="007C68A4" w:rsidRDefault="000D5E8A" w:rsidP="000D5E8A">
      <w:pPr>
        <w:adjustRightInd w:val="0"/>
        <w:snapToGrid w:val="0"/>
        <w:spacing w:line="360" w:lineRule="auto"/>
        <w:rPr>
          <w:b/>
          <w:color w:val="000000" w:themeColor="text1"/>
          <w:szCs w:val="21"/>
        </w:rPr>
      </w:pPr>
      <w:bookmarkStart w:id="64" w:name="_Toc105503244"/>
      <w:r w:rsidRPr="007C68A4">
        <w:rPr>
          <w:b/>
          <w:color w:val="000000" w:themeColor="text1"/>
          <w:szCs w:val="21"/>
        </w:rPr>
        <w:t>6.4.14.2</w:t>
      </w:r>
      <w:r w:rsidRPr="007C68A4">
        <w:rPr>
          <w:rFonts w:hint="eastAsia"/>
          <w:b/>
          <w:color w:val="000000" w:themeColor="text1"/>
          <w:szCs w:val="21"/>
        </w:rPr>
        <w:t xml:space="preserve"> </w:t>
      </w:r>
      <w:r w:rsidRPr="007C68A4">
        <w:rPr>
          <w:rFonts w:hint="eastAsia"/>
          <w:b/>
          <w:color w:val="000000" w:themeColor="text1"/>
          <w:szCs w:val="21"/>
        </w:rPr>
        <w:t>持续的以公允价值计量的金融工具</w:t>
      </w:r>
      <w:bookmarkEnd w:id="64"/>
    </w:p>
    <w:p w14:paraId="370FA65D" w14:textId="77777777" w:rsidR="000D5E8A" w:rsidRPr="007C68A4" w:rsidRDefault="000D5E8A" w:rsidP="000D5E8A">
      <w:pPr>
        <w:adjustRightInd w:val="0"/>
        <w:snapToGrid w:val="0"/>
        <w:spacing w:line="360" w:lineRule="auto"/>
        <w:rPr>
          <w:rFonts w:ascii="宋体" w:hAnsi="宋体"/>
          <w:b/>
          <w:color w:val="000000" w:themeColor="text1"/>
          <w:szCs w:val="21"/>
        </w:rPr>
      </w:pPr>
      <w:r w:rsidRPr="007C68A4">
        <w:rPr>
          <w:b/>
          <w:color w:val="000000" w:themeColor="text1"/>
          <w:szCs w:val="21"/>
        </w:rPr>
        <w:t>6.4.14.2.1</w:t>
      </w:r>
      <w:r w:rsidRPr="007C68A4">
        <w:rPr>
          <w:rFonts w:hint="eastAsia"/>
          <w:b/>
          <w:color w:val="000000" w:themeColor="text1"/>
          <w:szCs w:val="21"/>
        </w:rPr>
        <w:t xml:space="preserve"> </w:t>
      </w:r>
      <w:r w:rsidRPr="007C68A4">
        <w:rPr>
          <w:rFonts w:hint="eastAsia"/>
          <w:b/>
          <w:color w:val="000000" w:themeColor="text1"/>
          <w:szCs w:val="21"/>
        </w:rPr>
        <w:t>各层次金融工具的公允价值</w:t>
      </w:r>
    </w:p>
    <w:p w14:paraId="6E6E105B" w14:textId="77777777" w:rsidR="000D5E8A" w:rsidRPr="007C68A4" w:rsidRDefault="000D5E8A" w:rsidP="000D5E8A">
      <w:pPr>
        <w:wordWrap w:val="0"/>
        <w:spacing w:line="360" w:lineRule="auto"/>
        <w:jc w:val="right"/>
        <w:rPr>
          <w:color w:val="000000" w:themeColor="text1"/>
          <w:szCs w:val="21"/>
        </w:rPr>
      </w:pPr>
      <w:r w:rsidRPr="007C68A4">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D23E86" w:rsidRPr="00B079CA" w14:paraId="11A95F43" w14:textId="77777777" w:rsidTr="00412BA8">
        <w:tc>
          <w:tcPr>
            <w:tcW w:w="3020" w:type="dxa"/>
            <w:vAlign w:val="center"/>
          </w:tcPr>
          <w:p w14:paraId="0F765358" w14:textId="77777777" w:rsidR="00D23E86" w:rsidRPr="00B079CA" w:rsidRDefault="00D23E86" w:rsidP="00D23E86">
            <w:pPr>
              <w:jc w:val="center"/>
              <w:rPr>
                <w:rFonts w:ascii="宋体" w:hAnsi="宋体"/>
                <w:b/>
                <w:color w:val="000000" w:themeColor="text1"/>
                <w:kern w:val="0"/>
                <w:szCs w:val="21"/>
              </w:rPr>
            </w:pPr>
            <w:r w:rsidRPr="00B079CA">
              <w:rPr>
                <w:rFonts w:ascii="Arial" w:hAnsi="Arial" w:cs="Arial" w:hint="eastAsia"/>
                <w:bCs/>
                <w:color w:val="000000" w:themeColor="text1"/>
                <w:szCs w:val="21"/>
              </w:rPr>
              <w:lastRenderedPageBreak/>
              <w:t>公允价值计量结果所属的层次</w:t>
            </w:r>
          </w:p>
        </w:tc>
        <w:tc>
          <w:tcPr>
            <w:tcW w:w="3151" w:type="dxa"/>
            <w:vAlign w:val="center"/>
          </w:tcPr>
          <w:p w14:paraId="49681A2E" w14:textId="77777777" w:rsidR="00D23E86" w:rsidRPr="00B079CA" w:rsidRDefault="00D23E86" w:rsidP="00D23E86">
            <w:pPr>
              <w:jc w:val="center"/>
              <w:rPr>
                <w:color w:val="000000" w:themeColor="text1"/>
                <w:szCs w:val="21"/>
              </w:rPr>
            </w:pPr>
            <w:r w:rsidRPr="00B079CA">
              <w:rPr>
                <w:color w:val="000000" w:themeColor="text1"/>
                <w:szCs w:val="21"/>
              </w:rPr>
              <w:t>本期末</w:t>
            </w:r>
          </w:p>
          <w:p w14:paraId="39C12DEE" w14:textId="77777777" w:rsidR="00D23E86" w:rsidRPr="00B079CA" w:rsidRDefault="00D23E86" w:rsidP="00D23E86">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430BC76C" w14:textId="77777777" w:rsidR="00D23E86" w:rsidRPr="00B61C1F" w:rsidRDefault="00D23E86" w:rsidP="00D23E86">
            <w:pPr>
              <w:jc w:val="center"/>
              <w:rPr>
                <w:color w:val="000000" w:themeColor="text1"/>
                <w:szCs w:val="21"/>
              </w:rPr>
            </w:pPr>
            <w:r w:rsidRPr="00B61C1F">
              <w:rPr>
                <w:rFonts w:hint="eastAsia"/>
                <w:color w:val="000000" w:themeColor="text1"/>
                <w:szCs w:val="21"/>
              </w:rPr>
              <w:t>上年度末</w:t>
            </w:r>
          </w:p>
          <w:p w14:paraId="35EE4A69" w14:textId="77777777" w:rsidR="00D23E86" w:rsidRPr="00B079CA" w:rsidRDefault="00D23E86" w:rsidP="00D23E86">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D23E86" w:rsidRPr="00B079CA" w14:paraId="4D2007AA" w14:textId="77777777" w:rsidTr="00412BA8">
        <w:tc>
          <w:tcPr>
            <w:tcW w:w="3020" w:type="dxa"/>
            <w:vAlign w:val="center"/>
          </w:tcPr>
          <w:p w14:paraId="29B83AE6"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BB84DD1"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25,169,032.00</w:t>
            </w:r>
          </w:p>
        </w:tc>
        <w:tc>
          <w:tcPr>
            <w:tcW w:w="3151" w:type="dxa"/>
          </w:tcPr>
          <w:p w14:paraId="088E109D" w14:textId="77777777" w:rsidR="00D23E86" w:rsidRPr="00B079CA" w:rsidRDefault="00D23E86" w:rsidP="00D23E86">
            <w:pPr>
              <w:jc w:val="right"/>
              <w:rPr>
                <w:color w:val="000000" w:themeColor="text1"/>
                <w:kern w:val="0"/>
                <w:szCs w:val="21"/>
              </w:rPr>
            </w:pPr>
            <w:r w:rsidRPr="00B079CA">
              <w:rPr>
                <w:color w:val="000000" w:themeColor="text1"/>
                <w:kern w:val="0"/>
                <w:szCs w:val="21"/>
              </w:rPr>
              <w:t>32,719,470.41</w:t>
            </w:r>
          </w:p>
        </w:tc>
      </w:tr>
      <w:tr w:rsidR="00D23E86" w:rsidRPr="00B079CA" w14:paraId="59B7A0A0" w14:textId="77777777" w:rsidTr="00412BA8">
        <w:tc>
          <w:tcPr>
            <w:tcW w:w="3020" w:type="dxa"/>
            <w:vAlign w:val="center"/>
          </w:tcPr>
          <w:p w14:paraId="60D2DA2D"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1408CCE3"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608,424.17</w:t>
            </w:r>
          </w:p>
        </w:tc>
        <w:tc>
          <w:tcPr>
            <w:tcW w:w="3151" w:type="dxa"/>
          </w:tcPr>
          <w:p w14:paraId="30A8E074" w14:textId="77777777" w:rsidR="00D23E86" w:rsidRPr="00B079CA" w:rsidRDefault="00D23E86" w:rsidP="00D23E86">
            <w:pPr>
              <w:jc w:val="right"/>
              <w:rPr>
                <w:color w:val="000000" w:themeColor="text1"/>
                <w:kern w:val="0"/>
                <w:szCs w:val="21"/>
              </w:rPr>
            </w:pPr>
            <w:r w:rsidRPr="00B079CA">
              <w:rPr>
                <w:color w:val="000000" w:themeColor="text1"/>
                <w:kern w:val="0"/>
                <w:szCs w:val="21"/>
              </w:rPr>
              <w:t>709,938.08</w:t>
            </w:r>
          </w:p>
        </w:tc>
      </w:tr>
      <w:tr w:rsidR="00D23E86" w:rsidRPr="00B079CA" w14:paraId="5ED3AC5D" w14:textId="77777777" w:rsidTr="00412BA8">
        <w:tc>
          <w:tcPr>
            <w:tcW w:w="3020" w:type="dxa"/>
            <w:vAlign w:val="center"/>
          </w:tcPr>
          <w:p w14:paraId="7499F5D6" w14:textId="77777777"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5178F92B"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c>
          <w:tcPr>
            <w:tcW w:w="3151" w:type="dxa"/>
          </w:tcPr>
          <w:p w14:paraId="28FBCC27" w14:textId="77777777" w:rsidR="00D23E86" w:rsidRPr="00B079CA" w:rsidRDefault="00D23E86" w:rsidP="00D23E86">
            <w:pPr>
              <w:jc w:val="right"/>
              <w:rPr>
                <w:color w:val="000000" w:themeColor="text1"/>
                <w:kern w:val="0"/>
                <w:szCs w:val="21"/>
              </w:rPr>
            </w:pPr>
            <w:r w:rsidRPr="00B079CA">
              <w:rPr>
                <w:color w:val="000000" w:themeColor="text1"/>
                <w:kern w:val="0"/>
                <w:szCs w:val="21"/>
              </w:rPr>
              <w:t>-</w:t>
            </w:r>
          </w:p>
        </w:tc>
      </w:tr>
      <w:tr w:rsidR="00D23E86" w:rsidRPr="00B079CA" w14:paraId="14488FBB" w14:textId="77777777" w:rsidTr="00412BA8">
        <w:tc>
          <w:tcPr>
            <w:tcW w:w="3020" w:type="dxa"/>
            <w:vAlign w:val="center"/>
          </w:tcPr>
          <w:p w14:paraId="79884E76" w14:textId="77777777" w:rsidR="00D23E86" w:rsidRPr="00B079CA" w:rsidRDefault="00D23E86" w:rsidP="00D23E86">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D370D88" w14:textId="77777777"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25,777,456.17</w:t>
            </w:r>
          </w:p>
        </w:tc>
        <w:tc>
          <w:tcPr>
            <w:tcW w:w="3151" w:type="dxa"/>
          </w:tcPr>
          <w:p w14:paraId="440F2699" w14:textId="77777777" w:rsidR="00D23E86" w:rsidRPr="00B079CA" w:rsidRDefault="00D23E86" w:rsidP="00D23E86">
            <w:pPr>
              <w:jc w:val="right"/>
              <w:rPr>
                <w:color w:val="000000" w:themeColor="text1"/>
                <w:kern w:val="0"/>
                <w:szCs w:val="21"/>
              </w:rPr>
            </w:pPr>
            <w:r w:rsidRPr="00B079CA">
              <w:rPr>
                <w:color w:val="000000" w:themeColor="text1"/>
                <w:kern w:val="0"/>
                <w:szCs w:val="21"/>
              </w:rPr>
              <w:t>33,429,408.49</w:t>
            </w:r>
          </w:p>
        </w:tc>
      </w:tr>
    </w:tbl>
    <w:p w14:paraId="3EBEABBC"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6.4.14.2.2</w:t>
      </w:r>
      <w:r w:rsidRPr="007C68A4">
        <w:rPr>
          <w:rFonts w:hint="eastAsia"/>
          <w:b/>
          <w:color w:val="000000" w:themeColor="text1"/>
          <w:szCs w:val="21"/>
        </w:rPr>
        <w:t xml:space="preserve"> </w:t>
      </w:r>
      <w:r w:rsidRPr="007C68A4">
        <w:rPr>
          <w:rFonts w:hint="eastAsia"/>
          <w:b/>
          <w:color w:val="000000" w:themeColor="text1"/>
          <w:szCs w:val="21"/>
        </w:rPr>
        <w:t>公允价值所属层次间的重大变动</w:t>
      </w:r>
    </w:p>
    <w:p w14:paraId="33CF2AFB" w14:textId="77777777" w:rsidR="00FA3CB3" w:rsidRDefault="00052A0D">
      <w:pPr>
        <w:spacing w:line="360" w:lineRule="auto"/>
        <w:ind w:firstLineChars="200" w:firstLine="420"/>
        <w:rPr>
          <w:color w:val="000000" w:themeColor="text1"/>
          <w:szCs w:val="21"/>
        </w:rPr>
      </w:pPr>
      <w:r>
        <w:rPr>
          <w:color w:val="000000" w:themeColor="text1"/>
          <w:szCs w:val="21"/>
        </w:rPr>
        <w:t>本基金以导致各层次之间转换的事项发生日为确认各层次之间转换的时点。</w:t>
      </w:r>
    </w:p>
    <w:p w14:paraId="2DB0B74D" w14:textId="77777777" w:rsidR="00FA3CB3" w:rsidRDefault="00052A0D">
      <w:pPr>
        <w:spacing w:line="360" w:lineRule="auto"/>
        <w:ind w:firstLineChars="200" w:firstLine="420"/>
        <w:rPr>
          <w:color w:val="000000" w:themeColor="text1"/>
          <w:szCs w:val="21"/>
        </w:rPr>
      </w:pPr>
      <w:r>
        <w:rPr>
          <w:color w:val="000000" w:themeColor="text1"/>
          <w:szCs w:val="21"/>
        </w:rPr>
        <w:t xml:space="preserve"> </w:t>
      </w:r>
    </w:p>
    <w:p w14:paraId="6F74CFD3"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对于证券交易所上市的股票、债券和基金，若出现重大事项停牌、交易不活跃</w:t>
      </w:r>
      <w:r w:rsidRPr="007C68A4">
        <w:rPr>
          <w:color w:val="000000" w:themeColor="text1"/>
          <w:szCs w:val="21"/>
        </w:rPr>
        <w:t>(</w:t>
      </w:r>
      <w:r w:rsidRPr="007C68A4">
        <w:rPr>
          <w:color w:val="000000" w:themeColor="text1"/>
          <w:szCs w:val="21"/>
        </w:rPr>
        <w:t>包括涨跌停时的交易不活跃</w:t>
      </w:r>
      <w:r w:rsidRPr="007C68A4">
        <w:rPr>
          <w:color w:val="000000" w:themeColor="text1"/>
          <w:szCs w:val="21"/>
        </w:rPr>
        <w:t>)</w:t>
      </w:r>
      <w:r w:rsidRPr="007C68A4">
        <w:rPr>
          <w:color w:val="000000" w:themeColor="text1"/>
          <w:szCs w:val="21"/>
        </w:rPr>
        <w:t>、或属于非公开发行等情况，本基金不会于停牌日至交易恢复活跃日期间、交易不活跃期间及限售期间将相关股票、债券和基金的公允价值列入第一层次；并根据估值调整中采用的不可观察输入值对于公允价值的影响程度，确定相关股票、债券和基金的公允价值应属第二层次还是第三层次。</w:t>
      </w:r>
    </w:p>
    <w:p w14:paraId="6F55BD19"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6.4.14.3 </w:t>
      </w:r>
      <w:r w:rsidRPr="007C68A4">
        <w:rPr>
          <w:rFonts w:hint="eastAsia"/>
          <w:b/>
          <w:color w:val="000000" w:themeColor="text1"/>
          <w:szCs w:val="21"/>
        </w:rPr>
        <w:t>非持续的</w:t>
      </w:r>
      <w:r w:rsidRPr="007C68A4">
        <w:rPr>
          <w:b/>
          <w:color w:val="000000" w:themeColor="text1"/>
          <w:szCs w:val="21"/>
        </w:rPr>
        <w:t>以公允价值计量的金融工具</w:t>
      </w:r>
      <w:r w:rsidRPr="007C68A4">
        <w:rPr>
          <w:rFonts w:hint="eastAsia"/>
          <w:b/>
          <w:color w:val="000000" w:themeColor="text1"/>
          <w:szCs w:val="21"/>
        </w:rPr>
        <w:t>的说明</w:t>
      </w:r>
    </w:p>
    <w:p w14:paraId="47445434"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于</w:t>
      </w:r>
      <w:r w:rsidRPr="007C68A4">
        <w:rPr>
          <w:color w:val="000000" w:themeColor="text1"/>
          <w:szCs w:val="21"/>
        </w:rPr>
        <w:t>2024</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日，本基金未持有非持续的以公允价值计量的金融资产</w:t>
      </w:r>
      <w:r w:rsidRPr="007C68A4">
        <w:rPr>
          <w:color w:val="000000" w:themeColor="text1"/>
          <w:szCs w:val="21"/>
        </w:rPr>
        <w:t>(2023</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日：同</w:t>
      </w:r>
      <w:r w:rsidRPr="007C68A4">
        <w:rPr>
          <w:color w:val="000000" w:themeColor="text1"/>
          <w:szCs w:val="21"/>
        </w:rPr>
        <w:t>)</w:t>
      </w:r>
      <w:r w:rsidRPr="007C68A4">
        <w:rPr>
          <w:color w:val="000000" w:themeColor="text1"/>
          <w:szCs w:val="21"/>
        </w:rPr>
        <w:t>。</w:t>
      </w:r>
    </w:p>
    <w:p w14:paraId="235F2CED" w14:textId="77777777"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6.4.14.4 </w:t>
      </w:r>
      <w:r w:rsidRPr="007C68A4">
        <w:rPr>
          <w:b/>
          <w:color w:val="000000" w:themeColor="text1"/>
          <w:szCs w:val="21"/>
        </w:rPr>
        <w:t>不以公允价值计量的金融工具</w:t>
      </w:r>
      <w:r w:rsidRPr="007C68A4">
        <w:rPr>
          <w:rFonts w:hint="eastAsia"/>
          <w:b/>
          <w:color w:val="000000" w:themeColor="text1"/>
          <w:szCs w:val="21"/>
        </w:rPr>
        <w:t>的相关说明</w:t>
      </w:r>
    </w:p>
    <w:p w14:paraId="154B585E" w14:textId="77777777"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不以公允价值计量的金融资产和负债主要包括应收款项和其他金融负债，其账面价值与公允价值相差很小。</w:t>
      </w:r>
    </w:p>
    <w:p w14:paraId="0689C094" w14:textId="77777777" w:rsidR="001548F9" w:rsidRPr="007C68A4" w:rsidRDefault="001548F9" w:rsidP="004C1748">
      <w:pPr>
        <w:adjustRightInd w:val="0"/>
        <w:snapToGrid w:val="0"/>
        <w:spacing w:line="360" w:lineRule="auto"/>
        <w:rPr>
          <w:b/>
          <w:color w:val="000000" w:themeColor="text1"/>
          <w:szCs w:val="21"/>
        </w:rPr>
      </w:pPr>
      <w:r w:rsidRPr="007C68A4">
        <w:rPr>
          <w:b/>
          <w:bCs/>
          <w:color w:val="000000" w:themeColor="text1"/>
          <w:kern w:val="0"/>
          <w:szCs w:val="21"/>
        </w:rPr>
        <w:t xml:space="preserve">6.4.15 </w:t>
      </w:r>
      <w:r w:rsidRPr="007C68A4">
        <w:rPr>
          <w:b/>
          <w:color w:val="000000" w:themeColor="text1"/>
          <w:szCs w:val="21"/>
        </w:rPr>
        <w:t>有助于理解和分析会计报表需要说明的其他事项</w:t>
      </w:r>
    </w:p>
    <w:p w14:paraId="6DADAA9B" w14:textId="77777777"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截至资产负债表日本基金无需要说明的其他重要事项。</w:t>
      </w:r>
    </w:p>
    <w:p w14:paraId="3A76E908"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65" w:name="_Toc225498272"/>
      <w:bookmarkStart w:id="66" w:name="_Toc175575283"/>
      <w:r w:rsidRPr="007C68A4">
        <w:rPr>
          <w:b/>
          <w:bCs/>
          <w:color w:val="000000" w:themeColor="text1"/>
          <w:sz w:val="21"/>
          <w:szCs w:val="21"/>
          <w:lang w:val="en-US"/>
        </w:rPr>
        <w:t xml:space="preserve">7  </w:t>
      </w:r>
      <w:r w:rsidRPr="007C68A4">
        <w:rPr>
          <w:b/>
          <w:bCs/>
          <w:color w:val="000000" w:themeColor="text1"/>
          <w:sz w:val="21"/>
          <w:szCs w:val="21"/>
          <w:lang w:val="en-US"/>
        </w:rPr>
        <w:t>投资组合报告</w:t>
      </w:r>
      <w:bookmarkEnd w:id="65"/>
      <w:bookmarkEnd w:id="66"/>
    </w:p>
    <w:p w14:paraId="7ED6A0F5"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7" w:name="_Toc225498273"/>
      <w:bookmarkStart w:id="68" w:name="_Toc175575284"/>
      <w:r w:rsidRPr="007C68A4">
        <w:rPr>
          <w:rFonts w:ascii="Times New Roman" w:hAnsi="Times New Roman"/>
          <w:color w:val="000000" w:themeColor="text1"/>
          <w:kern w:val="0"/>
          <w:sz w:val="21"/>
          <w:szCs w:val="21"/>
        </w:rPr>
        <w:t xml:space="preserve">7.1 </w:t>
      </w:r>
      <w:r w:rsidRPr="007C68A4">
        <w:rPr>
          <w:rFonts w:ascii="Times New Roman" w:hAnsi="Times New Roman"/>
          <w:color w:val="000000" w:themeColor="text1"/>
          <w:kern w:val="0"/>
          <w:sz w:val="21"/>
          <w:szCs w:val="21"/>
        </w:rPr>
        <w:t>期末基金资产组合情况</w:t>
      </w:r>
      <w:bookmarkEnd w:id="67"/>
      <w:bookmarkEnd w:id="68"/>
    </w:p>
    <w:p w14:paraId="0AE9DB08" w14:textId="77777777"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A53B3" w:rsidRPr="007C68A4" w14:paraId="668A2009" w14:textId="77777777" w:rsidTr="006358BF">
        <w:tc>
          <w:tcPr>
            <w:tcW w:w="1080" w:type="dxa"/>
            <w:vAlign w:val="center"/>
          </w:tcPr>
          <w:p w14:paraId="4884777B"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序号</w:t>
            </w:r>
          </w:p>
        </w:tc>
        <w:tc>
          <w:tcPr>
            <w:tcW w:w="2748" w:type="dxa"/>
            <w:vAlign w:val="center"/>
          </w:tcPr>
          <w:p w14:paraId="1CE87EA8"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项目</w:t>
            </w:r>
          </w:p>
        </w:tc>
        <w:tc>
          <w:tcPr>
            <w:tcW w:w="2551" w:type="dxa"/>
            <w:vAlign w:val="center"/>
          </w:tcPr>
          <w:p w14:paraId="1E4FA5C3"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金额</w:t>
            </w:r>
          </w:p>
        </w:tc>
        <w:tc>
          <w:tcPr>
            <w:tcW w:w="2621" w:type="dxa"/>
            <w:vAlign w:val="center"/>
          </w:tcPr>
          <w:p w14:paraId="7096DC30"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占基金总资产的比例（</w:t>
            </w:r>
            <w:r w:rsidRPr="007C68A4">
              <w:rPr>
                <w:rFonts w:eastAsiaTheme="minorEastAsia"/>
                <w:color w:val="000000" w:themeColor="text1"/>
                <w:szCs w:val="21"/>
              </w:rPr>
              <w:t>%</w:t>
            </w:r>
            <w:r w:rsidRPr="007C68A4">
              <w:rPr>
                <w:rFonts w:eastAsiaTheme="minorEastAsia"/>
                <w:color w:val="000000" w:themeColor="text1"/>
                <w:szCs w:val="21"/>
              </w:rPr>
              <w:t>）</w:t>
            </w:r>
          </w:p>
        </w:tc>
      </w:tr>
      <w:tr w:rsidR="003A53B3" w:rsidRPr="007C68A4" w14:paraId="15DF0A36" w14:textId="77777777" w:rsidTr="006358BF">
        <w:tc>
          <w:tcPr>
            <w:tcW w:w="1080" w:type="dxa"/>
            <w:vAlign w:val="center"/>
          </w:tcPr>
          <w:p w14:paraId="5BFBEA2F"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1</w:t>
            </w:r>
          </w:p>
        </w:tc>
        <w:tc>
          <w:tcPr>
            <w:tcW w:w="2748" w:type="dxa"/>
            <w:vAlign w:val="center"/>
          </w:tcPr>
          <w:p w14:paraId="6A540302"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权益投资</w:t>
            </w:r>
          </w:p>
        </w:tc>
        <w:tc>
          <w:tcPr>
            <w:tcW w:w="2551" w:type="dxa"/>
            <w:vAlign w:val="center"/>
          </w:tcPr>
          <w:p w14:paraId="3404602F"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26EAB99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65130BD9" w14:textId="77777777" w:rsidTr="006358BF">
        <w:tc>
          <w:tcPr>
            <w:tcW w:w="1080" w:type="dxa"/>
            <w:vAlign w:val="center"/>
          </w:tcPr>
          <w:p w14:paraId="2897751D"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5574958D"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其中：股票</w:t>
            </w:r>
          </w:p>
        </w:tc>
        <w:tc>
          <w:tcPr>
            <w:tcW w:w="2551" w:type="dxa"/>
            <w:vAlign w:val="center"/>
          </w:tcPr>
          <w:p w14:paraId="749A2F04"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5A0AA2C3"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0821932C" w14:textId="77777777" w:rsidTr="006358BF">
        <w:tc>
          <w:tcPr>
            <w:tcW w:w="1080" w:type="dxa"/>
            <w:vAlign w:val="center"/>
          </w:tcPr>
          <w:p w14:paraId="26BA6B16"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2</w:t>
            </w:r>
          </w:p>
        </w:tc>
        <w:tc>
          <w:tcPr>
            <w:tcW w:w="2748" w:type="dxa"/>
            <w:vAlign w:val="center"/>
          </w:tcPr>
          <w:p w14:paraId="58AAEA01"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基金投资</w:t>
            </w:r>
          </w:p>
        </w:tc>
        <w:tc>
          <w:tcPr>
            <w:tcW w:w="2551" w:type="dxa"/>
            <w:vAlign w:val="center"/>
          </w:tcPr>
          <w:p w14:paraId="2FE01F5A"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25,169,032.00</w:t>
            </w:r>
          </w:p>
        </w:tc>
        <w:tc>
          <w:tcPr>
            <w:tcW w:w="2621" w:type="dxa"/>
            <w:vAlign w:val="center"/>
          </w:tcPr>
          <w:p w14:paraId="441F8441"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92.04</w:t>
            </w:r>
          </w:p>
        </w:tc>
      </w:tr>
      <w:tr w:rsidR="003A53B3" w:rsidRPr="007C68A4" w14:paraId="64D02AC2" w14:textId="77777777" w:rsidTr="006358BF">
        <w:tc>
          <w:tcPr>
            <w:tcW w:w="1080" w:type="dxa"/>
            <w:vAlign w:val="center"/>
          </w:tcPr>
          <w:p w14:paraId="0B17C57F"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3</w:t>
            </w:r>
          </w:p>
        </w:tc>
        <w:tc>
          <w:tcPr>
            <w:tcW w:w="2748" w:type="dxa"/>
            <w:vAlign w:val="center"/>
          </w:tcPr>
          <w:p w14:paraId="2A0049B1"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固定收益投资</w:t>
            </w:r>
          </w:p>
        </w:tc>
        <w:tc>
          <w:tcPr>
            <w:tcW w:w="2551" w:type="dxa"/>
            <w:vAlign w:val="center"/>
          </w:tcPr>
          <w:p w14:paraId="6817D9C0"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608,424.17</w:t>
            </w:r>
          </w:p>
        </w:tc>
        <w:tc>
          <w:tcPr>
            <w:tcW w:w="2621" w:type="dxa"/>
            <w:vAlign w:val="center"/>
          </w:tcPr>
          <w:p w14:paraId="76097B68"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2.22</w:t>
            </w:r>
          </w:p>
        </w:tc>
      </w:tr>
      <w:tr w:rsidR="003A53B3" w:rsidRPr="007C68A4" w14:paraId="0EEE406B" w14:textId="77777777" w:rsidTr="006358BF">
        <w:tc>
          <w:tcPr>
            <w:tcW w:w="1080" w:type="dxa"/>
            <w:vAlign w:val="center"/>
          </w:tcPr>
          <w:p w14:paraId="2105368F"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600ADCDF"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其中：债券</w:t>
            </w:r>
          </w:p>
        </w:tc>
        <w:tc>
          <w:tcPr>
            <w:tcW w:w="2551" w:type="dxa"/>
            <w:vAlign w:val="center"/>
          </w:tcPr>
          <w:p w14:paraId="1BC83772"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608,424.17</w:t>
            </w:r>
          </w:p>
        </w:tc>
        <w:tc>
          <w:tcPr>
            <w:tcW w:w="2621" w:type="dxa"/>
            <w:vAlign w:val="center"/>
          </w:tcPr>
          <w:p w14:paraId="6B03E17C"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2.22</w:t>
            </w:r>
          </w:p>
        </w:tc>
      </w:tr>
      <w:tr w:rsidR="003A53B3" w:rsidRPr="007C68A4" w14:paraId="1373BE0B" w14:textId="77777777" w:rsidTr="006358BF">
        <w:tc>
          <w:tcPr>
            <w:tcW w:w="1080" w:type="dxa"/>
            <w:vAlign w:val="center"/>
          </w:tcPr>
          <w:p w14:paraId="652A11C6"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19F8CF05" w14:textId="77777777" w:rsidR="00FF180B" w:rsidRPr="007C68A4" w:rsidRDefault="00FF180B" w:rsidP="006358BF">
            <w:pPr>
              <w:spacing w:line="276" w:lineRule="auto"/>
              <w:ind w:leftChars="50" w:left="105" w:firstLineChars="300" w:firstLine="630"/>
              <w:rPr>
                <w:rFonts w:eastAsiaTheme="minorEastAsia"/>
                <w:color w:val="000000" w:themeColor="text1"/>
                <w:szCs w:val="21"/>
              </w:rPr>
            </w:pPr>
            <w:r w:rsidRPr="007C68A4">
              <w:rPr>
                <w:rFonts w:eastAsiaTheme="minorEastAsia"/>
                <w:color w:val="000000" w:themeColor="text1"/>
                <w:szCs w:val="21"/>
              </w:rPr>
              <w:t>资产支持证券</w:t>
            </w:r>
          </w:p>
        </w:tc>
        <w:tc>
          <w:tcPr>
            <w:tcW w:w="2551" w:type="dxa"/>
            <w:vAlign w:val="center"/>
          </w:tcPr>
          <w:p w14:paraId="792AB07B"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75C14B54"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14023149" w14:textId="77777777" w:rsidTr="006358BF">
        <w:tc>
          <w:tcPr>
            <w:tcW w:w="1080" w:type="dxa"/>
            <w:vAlign w:val="center"/>
          </w:tcPr>
          <w:p w14:paraId="5A4E6E75"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4</w:t>
            </w:r>
          </w:p>
        </w:tc>
        <w:tc>
          <w:tcPr>
            <w:tcW w:w="2748" w:type="dxa"/>
            <w:vAlign w:val="center"/>
          </w:tcPr>
          <w:p w14:paraId="0DF05CC4"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贵金属投资</w:t>
            </w:r>
          </w:p>
        </w:tc>
        <w:tc>
          <w:tcPr>
            <w:tcW w:w="2551" w:type="dxa"/>
            <w:vAlign w:val="center"/>
          </w:tcPr>
          <w:p w14:paraId="59239202"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44A54984"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78BD89D6" w14:textId="77777777" w:rsidTr="006358BF">
        <w:tc>
          <w:tcPr>
            <w:tcW w:w="1080" w:type="dxa"/>
            <w:vAlign w:val="center"/>
          </w:tcPr>
          <w:p w14:paraId="33297950"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5</w:t>
            </w:r>
          </w:p>
        </w:tc>
        <w:tc>
          <w:tcPr>
            <w:tcW w:w="2748" w:type="dxa"/>
            <w:vAlign w:val="center"/>
          </w:tcPr>
          <w:p w14:paraId="591FC9F4"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金融衍生品投资</w:t>
            </w:r>
          </w:p>
        </w:tc>
        <w:tc>
          <w:tcPr>
            <w:tcW w:w="2551" w:type="dxa"/>
            <w:vAlign w:val="center"/>
          </w:tcPr>
          <w:p w14:paraId="339371F4"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3A876F17"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540E229" w14:textId="77777777" w:rsidTr="006358BF">
        <w:tc>
          <w:tcPr>
            <w:tcW w:w="1080" w:type="dxa"/>
            <w:vAlign w:val="center"/>
          </w:tcPr>
          <w:p w14:paraId="1A5DD7B2"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6</w:t>
            </w:r>
          </w:p>
        </w:tc>
        <w:tc>
          <w:tcPr>
            <w:tcW w:w="2748" w:type="dxa"/>
            <w:vAlign w:val="center"/>
          </w:tcPr>
          <w:p w14:paraId="1D28925F"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买入返售金融资产</w:t>
            </w:r>
          </w:p>
        </w:tc>
        <w:tc>
          <w:tcPr>
            <w:tcW w:w="2551" w:type="dxa"/>
            <w:vAlign w:val="center"/>
          </w:tcPr>
          <w:p w14:paraId="3883FDA9"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3AA70A3F"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1868DB65" w14:textId="77777777" w:rsidTr="006358BF">
        <w:tc>
          <w:tcPr>
            <w:tcW w:w="1080" w:type="dxa"/>
            <w:vAlign w:val="center"/>
          </w:tcPr>
          <w:p w14:paraId="15311F7B" w14:textId="77777777"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14:paraId="18916A55"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其中：买断式回购的买入返售金融资产</w:t>
            </w:r>
          </w:p>
        </w:tc>
        <w:tc>
          <w:tcPr>
            <w:tcW w:w="2551" w:type="dxa"/>
            <w:vAlign w:val="center"/>
          </w:tcPr>
          <w:p w14:paraId="1DA8FEA5"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14:paraId="773DC985"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48C1C2A1" w14:textId="77777777" w:rsidTr="006358BF">
        <w:tc>
          <w:tcPr>
            <w:tcW w:w="1080" w:type="dxa"/>
            <w:vAlign w:val="center"/>
          </w:tcPr>
          <w:p w14:paraId="09B570B6" w14:textId="77777777"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7</w:t>
            </w:r>
          </w:p>
        </w:tc>
        <w:tc>
          <w:tcPr>
            <w:tcW w:w="2748" w:type="dxa"/>
            <w:vAlign w:val="center"/>
          </w:tcPr>
          <w:p w14:paraId="10B1A061"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银行存款和结算备付金合计</w:t>
            </w:r>
          </w:p>
        </w:tc>
        <w:tc>
          <w:tcPr>
            <w:tcW w:w="2551" w:type="dxa"/>
            <w:vAlign w:val="center"/>
          </w:tcPr>
          <w:p w14:paraId="09626DCD"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1,284,475.98</w:t>
            </w:r>
          </w:p>
        </w:tc>
        <w:tc>
          <w:tcPr>
            <w:tcW w:w="2621" w:type="dxa"/>
            <w:vAlign w:val="center"/>
          </w:tcPr>
          <w:p w14:paraId="201B0CAB" w14:textId="77777777"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4.70</w:t>
            </w:r>
          </w:p>
        </w:tc>
      </w:tr>
      <w:tr w:rsidR="003A53B3" w:rsidRPr="007C68A4" w14:paraId="7E1443E2" w14:textId="77777777" w:rsidTr="006358BF">
        <w:tc>
          <w:tcPr>
            <w:tcW w:w="1080" w:type="dxa"/>
            <w:vAlign w:val="center"/>
          </w:tcPr>
          <w:p w14:paraId="4C547168" w14:textId="77777777"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8</w:t>
            </w:r>
          </w:p>
        </w:tc>
        <w:tc>
          <w:tcPr>
            <w:tcW w:w="2748" w:type="dxa"/>
            <w:vAlign w:val="center"/>
          </w:tcPr>
          <w:p w14:paraId="5E8F713B"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其他各项资产</w:t>
            </w:r>
          </w:p>
        </w:tc>
        <w:tc>
          <w:tcPr>
            <w:tcW w:w="2551" w:type="dxa"/>
            <w:vAlign w:val="center"/>
          </w:tcPr>
          <w:p w14:paraId="3FF7C517"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284,153.52</w:t>
            </w:r>
          </w:p>
        </w:tc>
        <w:tc>
          <w:tcPr>
            <w:tcW w:w="2621" w:type="dxa"/>
            <w:vAlign w:val="center"/>
          </w:tcPr>
          <w:p w14:paraId="1F50E956"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1.04</w:t>
            </w:r>
          </w:p>
        </w:tc>
      </w:tr>
      <w:tr w:rsidR="003A53B3" w:rsidRPr="007C68A4" w14:paraId="17D92B5B" w14:textId="77777777" w:rsidTr="006358BF">
        <w:tc>
          <w:tcPr>
            <w:tcW w:w="1080" w:type="dxa"/>
            <w:vAlign w:val="center"/>
          </w:tcPr>
          <w:p w14:paraId="6A7D256B" w14:textId="77777777"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9</w:t>
            </w:r>
          </w:p>
        </w:tc>
        <w:tc>
          <w:tcPr>
            <w:tcW w:w="2748" w:type="dxa"/>
            <w:vAlign w:val="center"/>
          </w:tcPr>
          <w:p w14:paraId="5E115E80" w14:textId="77777777"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合计</w:t>
            </w:r>
          </w:p>
        </w:tc>
        <w:tc>
          <w:tcPr>
            <w:tcW w:w="2551" w:type="dxa"/>
            <w:vAlign w:val="center"/>
          </w:tcPr>
          <w:p w14:paraId="5B632C2A"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27,346,085.67</w:t>
            </w:r>
          </w:p>
        </w:tc>
        <w:tc>
          <w:tcPr>
            <w:tcW w:w="2621" w:type="dxa"/>
            <w:vAlign w:val="center"/>
          </w:tcPr>
          <w:p w14:paraId="06A23508" w14:textId="77777777"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100.00</w:t>
            </w:r>
          </w:p>
        </w:tc>
      </w:tr>
    </w:tbl>
    <w:p w14:paraId="0161056C" w14:textId="77777777" w:rsidR="00F4240A" w:rsidRPr="007C68A4" w:rsidRDefault="00F4240A" w:rsidP="00F4240A">
      <w:pPr>
        <w:pStyle w:val="20"/>
        <w:tabs>
          <w:tab w:val="num" w:pos="927"/>
        </w:tabs>
        <w:spacing w:beforeLines="100" w:before="312" w:afterLines="100" w:after="312"/>
        <w:ind w:left="927" w:hanging="567"/>
        <w:rPr>
          <w:rFonts w:ascii="Times New Roman" w:hAnsi="Times New Roman"/>
          <w:color w:val="000000" w:themeColor="text1"/>
          <w:sz w:val="21"/>
          <w:szCs w:val="21"/>
        </w:rPr>
      </w:pPr>
      <w:bookmarkStart w:id="69" w:name="_Toc175575285"/>
      <w:r w:rsidRPr="007C68A4">
        <w:rPr>
          <w:rFonts w:ascii="Times New Roman" w:hAnsi="Times New Roman"/>
          <w:color w:val="000000" w:themeColor="text1"/>
          <w:sz w:val="21"/>
          <w:szCs w:val="21"/>
        </w:rPr>
        <w:t>7.2</w:t>
      </w:r>
      <w:bookmarkStart w:id="70" w:name="_Toc351577071"/>
      <w:r w:rsidRPr="007C68A4">
        <w:rPr>
          <w:rFonts w:ascii="Times New Roman" w:hAnsi="Times New Roman"/>
          <w:color w:val="000000" w:themeColor="text1"/>
          <w:sz w:val="21"/>
          <w:szCs w:val="21"/>
        </w:rPr>
        <w:tab/>
      </w:r>
      <w:r w:rsidRPr="007C68A4">
        <w:rPr>
          <w:rFonts w:ascii="Times New Roman" w:hAnsi="Times New Roman"/>
          <w:color w:val="000000" w:themeColor="text1"/>
          <w:sz w:val="21"/>
          <w:szCs w:val="21"/>
        </w:rPr>
        <w:t>期末投资目标基金明细</w:t>
      </w:r>
      <w:bookmarkEnd w:id="70"/>
      <w:bookmarkEnd w:id="69"/>
    </w:p>
    <w:p w14:paraId="0219BF07" w14:textId="77777777" w:rsidR="00F4240A" w:rsidRPr="007C68A4" w:rsidRDefault="00F4240A" w:rsidP="00F4240A">
      <w:pPr>
        <w:wordWrap w:val="0"/>
        <w:spacing w:line="360" w:lineRule="auto"/>
        <w:jc w:val="right"/>
        <w:rPr>
          <w:color w:val="000000" w:themeColor="text1"/>
          <w:szCs w:val="21"/>
        </w:rPr>
      </w:pPr>
      <w:r w:rsidRPr="007C68A4">
        <w:rPr>
          <w:color w:val="000000" w:themeColor="text1"/>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3A53B3" w:rsidRPr="007C68A4" w14:paraId="4D3850B9" w14:textId="77777777" w:rsidTr="00B15BF5">
        <w:trPr>
          <w:jc w:val="center"/>
        </w:trPr>
        <w:tc>
          <w:tcPr>
            <w:tcW w:w="710" w:type="dxa"/>
            <w:vAlign w:val="center"/>
          </w:tcPr>
          <w:p w14:paraId="30C22B43"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序号</w:t>
            </w:r>
          </w:p>
        </w:tc>
        <w:tc>
          <w:tcPr>
            <w:tcW w:w="1276" w:type="dxa"/>
            <w:vAlign w:val="center"/>
          </w:tcPr>
          <w:p w14:paraId="240285C3"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基金名称</w:t>
            </w:r>
          </w:p>
        </w:tc>
        <w:tc>
          <w:tcPr>
            <w:tcW w:w="1276" w:type="dxa"/>
            <w:vAlign w:val="center"/>
          </w:tcPr>
          <w:p w14:paraId="0FD261EC"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基金类型</w:t>
            </w:r>
          </w:p>
        </w:tc>
        <w:tc>
          <w:tcPr>
            <w:tcW w:w="1134" w:type="dxa"/>
            <w:vAlign w:val="center"/>
          </w:tcPr>
          <w:p w14:paraId="15034EED"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运作方式</w:t>
            </w:r>
          </w:p>
        </w:tc>
        <w:tc>
          <w:tcPr>
            <w:tcW w:w="1843" w:type="dxa"/>
            <w:vAlign w:val="center"/>
          </w:tcPr>
          <w:p w14:paraId="3AF78E10"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管理人</w:t>
            </w:r>
          </w:p>
        </w:tc>
        <w:tc>
          <w:tcPr>
            <w:tcW w:w="1701" w:type="dxa"/>
            <w:vAlign w:val="center"/>
          </w:tcPr>
          <w:p w14:paraId="4611C13C"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公允价值</w:t>
            </w:r>
          </w:p>
        </w:tc>
        <w:tc>
          <w:tcPr>
            <w:tcW w:w="1416" w:type="dxa"/>
            <w:vAlign w:val="center"/>
          </w:tcPr>
          <w:p w14:paraId="322EEC9F" w14:textId="77777777" w:rsidR="00F4240A" w:rsidRPr="007C68A4" w:rsidRDefault="00F4240A" w:rsidP="00B15BF5">
            <w:pPr>
              <w:spacing w:line="360" w:lineRule="auto"/>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FA3CB3" w14:paraId="5BAF1966" w14:textId="77777777">
        <w:trPr>
          <w:jc w:val="center"/>
        </w:trPr>
        <w:tc>
          <w:tcPr>
            <w:tcW w:w="710" w:type="dxa"/>
            <w:vAlign w:val="center"/>
          </w:tcPr>
          <w:p w14:paraId="047DB58F" w14:textId="77777777" w:rsidR="00FA3CB3" w:rsidRDefault="00052A0D">
            <w:pPr>
              <w:jc w:val="center"/>
            </w:pPr>
            <w:r>
              <w:rPr>
                <w:color w:val="000000" w:themeColor="text1"/>
                <w:szCs w:val="21"/>
              </w:rPr>
              <w:t>1</w:t>
            </w:r>
          </w:p>
        </w:tc>
        <w:tc>
          <w:tcPr>
            <w:tcW w:w="1276" w:type="dxa"/>
            <w:vAlign w:val="center"/>
          </w:tcPr>
          <w:p w14:paraId="65AAD516" w14:textId="77777777" w:rsidR="00FA3CB3" w:rsidRDefault="00052A0D">
            <w:pPr>
              <w:jc w:val="center"/>
            </w:pPr>
            <w:r>
              <w:rPr>
                <w:color w:val="000000" w:themeColor="text1"/>
                <w:szCs w:val="21"/>
              </w:rPr>
              <w:t>摩根恒生科技</w:t>
            </w:r>
            <w:r>
              <w:rPr>
                <w:color w:val="000000" w:themeColor="text1"/>
                <w:szCs w:val="21"/>
              </w:rPr>
              <w:t>ETF(QDII)</w:t>
            </w:r>
          </w:p>
        </w:tc>
        <w:tc>
          <w:tcPr>
            <w:tcW w:w="1276" w:type="dxa"/>
            <w:vAlign w:val="center"/>
          </w:tcPr>
          <w:p w14:paraId="65BD984A" w14:textId="77777777" w:rsidR="00FA3CB3" w:rsidRDefault="00052A0D">
            <w:pPr>
              <w:jc w:val="center"/>
            </w:pPr>
            <w:r>
              <w:rPr>
                <w:color w:val="000000" w:themeColor="text1"/>
                <w:szCs w:val="21"/>
              </w:rPr>
              <w:t>股票型</w:t>
            </w:r>
          </w:p>
        </w:tc>
        <w:tc>
          <w:tcPr>
            <w:tcW w:w="1134" w:type="dxa"/>
            <w:vAlign w:val="center"/>
          </w:tcPr>
          <w:p w14:paraId="35882CEB" w14:textId="77777777" w:rsidR="00FA3CB3" w:rsidRDefault="00052A0D">
            <w:pPr>
              <w:jc w:val="center"/>
            </w:pPr>
            <w:r>
              <w:rPr>
                <w:color w:val="000000" w:themeColor="text1"/>
                <w:szCs w:val="21"/>
              </w:rPr>
              <w:t>交易型开放式</w:t>
            </w:r>
          </w:p>
        </w:tc>
        <w:tc>
          <w:tcPr>
            <w:tcW w:w="1843" w:type="dxa"/>
            <w:vAlign w:val="center"/>
          </w:tcPr>
          <w:p w14:paraId="44300BA3" w14:textId="77777777" w:rsidR="00FA3CB3" w:rsidRDefault="00052A0D">
            <w:pPr>
              <w:jc w:val="center"/>
            </w:pPr>
            <w:r>
              <w:rPr>
                <w:color w:val="000000" w:themeColor="text1"/>
                <w:szCs w:val="21"/>
              </w:rPr>
              <w:t>摩根基金管理（中国）有限公司</w:t>
            </w:r>
          </w:p>
        </w:tc>
        <w:tc>
          <w:tcPr>
            <w:tcW w:w="1701" w:type="dxa"/>
            <w:vAlign w:val="center"/>
          </w:tcPr>
          <w:p w14:paraId="023B4502" w14:textId="77777777" w:rsidR="00FA3CB3" w:rsidRDefault="00052A0D">
            <w:pPr>
              <w:jc w:val="right"/>
            </w:pPr>
            <w:r>
              <w:rPr>
                <w:color w:val="000000" w:themeColor="text1"/>
                <w:szCs w:val="21"/>
              </w:rPr>
              <w:t>25,169,032.00</w:t>
            </w:r>
          </w:p>
        </w:tc>
        <w:tc>
          <w:tcPr>
            <w:tcW w:w="1416" w:type="dxa"/>
            <w:vAlign w:val="center"/>
          </w:tcPr>
          <w:p w14:paraId="36D31A92" w14:textId="77777777" w:rsidR="00FA3CB3" w:rsidRDefault="00052A0D">
            <w:pPr>
              <w:jc w:val="right"/>
            </w:pPr>
            <w:r>
              <w:rPr>
                <w:color w:val="000000" w:themeColor="text1"/>
                <w:szCs w:val="21"/>
              </w:rPr>
              <w:t>94.91</w:t>
            </w:r>
          </w:p>
        </w:tc>
      </w:tr>
    </w:tbl>
    <w:p w14:paraId="676E3E09" w14:textId="77777777" w:rsidR="002D75F0" w:rsidRPr="007C68A4" w:rsidRDefault="002D75F0" w:rsidP="002D75F0">
      <w:pPr>
        <w:pStyle w:val="20"/>
        <w:spacing w:before="0" w:after="0"/>
        <w:rPr>
          <w:rFonts w:ascii="Times New Roman" w:eastAsiaTheme="minorEastAsia" w:hAnsi="Times New Roman"/>
          <w:color w:val="000000" w:themeColor="text1"/>
          <w:kern w:val="0"/>
          <w:sz w:val="21"/>
          <w:szCs w:val="21"/>
        </w:rPr>
      </w:pPr>
      <w:bookmarkStart w:id="71" w:name="_Toc225498274"/>
      <w:bookmarkStart w:id="72" w:name="_Toc390421256"/>
      <w:bookmarkStart w:id="73" w:name="_Toc175575286"/>
      <w:r w:rsidRPr="007C68A4">
        <w:rPr>
          <w:rFonts w:ascii="Times New Roman" w:eastAsiaTheme="minorEastAsia" w:hAnsi="Times New Roman"/>
          <w:color w:val="000000" w:themeColor="text1"/>
          <w:kern w:val="0"/>
          <w:sz w:val="21"/>
          <w:szCs w:val="21"/>
        </w:rPr>
        <w:t xml:space="preserve">7.3 </w:t>
      </w:r>
      <w:r w:rsidR="004F2835" w:rsidRPr="007C68A4">
        <w:rPr>
          <w:rFonts w:ascii="Times New Roman" w:eastAsiaTheme="minorEastAsia" w:hAnsi="Times New Roman"/>
          <w:color w:val="000000" w:themeColor="text1"/>
          <w:kern w:val="0"/>
          <w:sz w:val="21"/>
          <w:szCs w:val="21"/>
        </w:rPr>
        <w:t>报告</w:t>
      </w:r>
      <w:r w:rsidRPr="007C68A4">
        <w:rPr>
          <w:rFonts w:ascii="Times New Roman" w:eastAsiaTheme="minorEastAsia" w:hAnsi="Times New Roman"/>
          <w:color w:val="000000" w:themeColor="text1"/>
          <w:kern w:val="0"/>
          <w:sz w:val="21"/>
          <w:szCs w:val="21"/>
        </w:rPr>
        <w:t>期末按行业分类的股票投资组合</w:t>
      </w:r>
      <w:bookmarkEnd w:id="71"/>
      <w:bookmarkEnd w:id="72"/>
      <w:bookmarkEnd w:id="73"/>
    </w:p>
    <w:p w14:paraId="0B4ED343" w14:textId="77777777" w:rsidR="002D75F0" w:rsidRPr="007C68A4" w:rsidRDefault="002D75F0" w:rsidP="002D75F0">
      <w:pPr>
        <w:rPr>
          <w:b/>
          <w:bCs/>
          <w:color w:val="000000" w:themeColor="text1"/>
          <w:kern w:val="0"/>
          <w:szCs w:val="21"/>
        </w:rPr>
      </w:pPr>
      <w:r w:rsidRPr="007C68A4">
        <w:rPr>
          <w:b/>
          <w:bCs/>
          <w:color w:val="000000" w:themeColor="text1"/>
          <w:kern w:val="0"/>
          <w:szCs w:val="21"/>
        </w:rPr>
        <w:t>7.3.1</w:t>
      </w:r>
      <w:r w:rsidRPr="007C68A4">
        <w:rPr>
          <w:b/>
          <w:bCs/>
          <w:color w:val="000000" w:themeColor="text1"/>
          <w:kern w:val="0"/>
          <w:szCs w:val="21"/>
        </w:rPr>
        <w:t>报告期末按行业分类的境内股票投资组合</w:t>
      </w:r>
    </w:p>
    <w:p w14:paraId="6A0B6BB5" w14:textId="77777777" w:rsidR="000A101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本基金本报告期末未持有股票及存托凭证。</w:t>
      </w:r>
    </w:p>
    <w:p w14:paraId="532FEBB3" w14:textId="77777777" w:rsidR="002D75F0" w:rsidRPr="007C68A4" w:rsidRDefault="002D75F0" w:rsidP="002D75F0">
      <w:pPr>
        <w:spacing w:beforeLines="100" w:before="312" w:line="360" w:lineRule="auto"/>
        <w:rPr>
          <w:b/>
          <w:bCs/>
          <w:color w:val="000000" w:themeColor="text1"/>
          <w:kern w:val="0"/>
          <w:szCs w:val="21"/>
        </w:rPr>
      </w:pPr>
      <w:r w:rsidRPr="007C68A4">
        <w:rPr>
          <w:b/>
          <w:color w:val="000000" w:themeColor="text1"/>
          <w:szCs w:val="21"/>
        </w:rPr>
        <w:t>7.3.2</w:t>
      </w:r>
      <w:r w:rsidR="006E61D9" w:rsidRPr="007C68A4">
        <w:rPr>
          <w:b/>
          <w:bCs/>
          <w:color w:val="000000" w:themeColor="text1"/>
          <w:kern w:val="0"/>
          <w:szCs w:val="21"/>
        </w:rPr>
        <w:t>报告期末按行业分类的港股通</w:t>
      </w:r>
      <w:r w:rsidRPr="007C68A4">
        <w:rPr>
          <w:b/>
          <w:bCs/>
          <w:color w:val="000000" w:themeColor="text1"/>
          <w:kern w:val="0"/>
          <w:szCs w:val="21"/>
        </w:rPr>
        <w:t>投资股票投资组合</w:t>
      </w:r>
    </w:p>
    <w:p w14:paraId="70720FE9" w14:textId="77777777" w:rsidR="002D75F0" w:rsidRPr="007C68A4" w:rsidRDefault="002D75F0" w:rsidP="002D75F0">
      <w:pPr>
        <w:tabs>
          <w:tab w:val="left" w:pos="426"/>
        </w:tabs>
        <w:spacing w:line="360" w:lineRule="auto"/>
        <w:ind w:firstLineChars="200" w:firstLine="420"/>
        <w:jc w:val="left"/>
        <w:rPr>
          <w:color w:val="000000" w:themeColor="text1"/>
          <w:kern w:val="0"/>
          <w:szCs w:val="21"/>
        </w:rPr>
      </w:pPr>
      <w:r w:rsidRPr="007C68A4">
        <w:rPr>
          <w:color w:val="000000" w:themeColor="text1"/>
          <w:kern w:val="0"/>
          <w:szCs w:val="21"/>
        </w:rPr>
        <w:t>本基金本报告期末未持有股票及存托凭证。</w:t>
      </w:r>
    </w:p>
    <w:p w14:paraId="62D94E56" w14:textId="77777777" w:rsidR="002D75F0" w:rsidRPr="007C68A4" w:rsidRDefault="002D75F0" w:rsidP="001F0F10">
      <w:pPr>
        <w:tabs>
          <w:tab w:val="left" w:pos="426"/>
        </w:tabs>
        <w:spacing w:line="360" w:lineRule="auto"/>
        <w:jc w:val="left"/>
        <w:rPr>
          <w:color w:val="000000" w:themeColor="text1"/>
          <w:szCs w:val="21"/>
        </w:rPr>
      </w:pPr>
    </w:p>
    <w:p w14:paraId="459F1A46"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4" w:name="_Toc175575287"/>
      <w:r w:rsidRPr="007C68A4">
        <w:rPr>
          <w:rFonts w:ascii="Times New Roman" w:hAnsi="Times New Roman"/>
          <w:color w:val="000000" w:themeColor="text1"/>
          <w:kern w:val="0"/>
          <w:sz w:val="21"/>
          <w:szCs w:val="21"/>
        </w:rPr>
        <w:t xml:space="preserve">7.4 </w:t>
      </w:r>
      <w:r w:rsidRPr="007C68A4">
        <w:rPr>
          <w:rFonts w:ascii="Times New Roman" w:hAnsi="Times New Roman"/>
          <w:color w:val="000000" w:themeColor="text1"/>
          <w:kern w:val="0"/>
          <w:sz w:val="21"/>
          <w:szCs w:val="21"/>
        </w:rPr>
        <w:t>期末按公允价值占基金资产净值比例大小排序的所有股票投资明细</w:t>
      </w:r>
      <w:bookmarkEnd w:id="74"/>
    </w:p>
    <w:p w14:paraId="03BFD1E4" w14:textId="77777777" w:rsidR="00D24C0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本基金本报告期末未持有股票及存托凭证。</w:t>
      </w:r>
    </w:p>
    <w:p w14:paraId="70E3BEDD"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5" w:name="_Toc175575288"/>
      <w:r w:rsidRPr="007C68A4">
        <w:rPr>
          <w:rFonts w:ascii="Times New Roman" w:hAnsi="Times New Roman"/>
          <w:color w:val="000000" w:themeColor="text1"/>
          <w:kern w:val="0"/>
          <w:sz w:val="21"/>
          <w:szCs w:val="21"/>
        </w:rPr>
        <w:t>7.5</w:t>
      </w:r>
      <w:bookmarkStart w:id="76" w:name="_Toc234814103"/>
      <w:r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报告期内股票投资组合的重大变动</w:t>
      </w:r>
      <w:bookmarkEnd w:id="76"/>
      <w:bookmarkEnd w:id="75"/>
    </w:p>
    <w:p w14:paraId="6C1E1679"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7.5.1 </w:t>
      </w:r>
      <w:r w:rsidRPr="007C68A4">
        <w:rPr>
          <w:b/>
          <w:bCs/>
          <w:color w:val="000000" w:themeColor="text1"/>
          <w:szCs w:val="21"/>
        </w:rPr>
        <w:t>累计买入金额超出</w:t>
      </w:r>
      <w:r w:rsidR="00F345DF" w:rsidRPr="007C68A4">
        <w:rPr>
          <w:b/>
          <w:color w:val="000000" w:themeColor="text1"/>
          <w:kern w:val="0"/>
          <w:szCs w:val="21"/>
        </w:rPr>
        <w:t>期初</w:t>
      </w:r>
      <w:r w:rsidRPr="007C68A4">
        <w:rPr>
          <w:b/>
          <w:bCs/>
          <w:color w:val="000000" w:themeColor="text1"/>
          <w:szCs w:val="21"/>
        </w:rPr>
        <w:t>基金资产净值</w:t>
      </w:r>
      <w:r w:rsidR="00AD1469"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14:paraId="59511944" w14:textId="77777777" w:rsidR="001548F9" w:rsidRPr="007C68A4" w:rsidRDefault="001548F9" w:rsidP="005012DE">
      <w:pPr>
        <w:tabs>
          <w:tab w:val="left" w:pos="426"/>
        </w:tabs>
        <w:jc w:val="left"/>
        <w:rPr>
          <w:color w:val="000000" w:themeColor="text1"/>
          <w:szCs w:val="21"/>
        </w:rPr>
      </w:pPr>
      <w:r w:rsidRPr="007C68A4">
        <w:rPr>
          <w:color w:val="000000" w:themeColor="text1"/>
          <w:kern w:val="0"/>
          <w:szCs w:val="21"/>
        </w:rPr>
        <w:t>本基金本报告期未买入股票。</w:t>
      </w:r>
    </w:p>
    <w:p w14:paraId="1743228B" w14:textId="77777777" w:rsidR="001548F9" w:rsidRPr="007C68A4" w:rsidRDefault="001548F9" w:rsidP="004C1748">
      <w:pPr>
        <w:spacing w:line="360" w:lineRule="auto"/>
        <w:rPr>
          <w:b/>
          <w:bCs/>
          <w:color w:val="000000" w:themeColor="text1"/>
          <w:szCs w:val="21"/>
        </w:rPr>
      </w:pPr>
      <w:r w:rsidRPr="007C68A4">
        <w:rPr>
          <w:b/>
          <w:color w:val="000000" w:themeColor="text1"/>
          <w:szCs w:val="21"/>
        </w:rPr>
        <w:lastRenderedPageBreak/>
        <w:t xml:space="preserve">7.5.2 </w:t>
      </w:r>
      <w:r w:rsidRPr="007C68A4">
        <w:rPr>
          <w:b/>
          <w:bCs/>
          <w:color w:val="000000" w:themeColor="text1"/>
          <w:szCs w:val="21"/>
        </w:rPr>
        <w:t>累计卖出金额超出</w:t>
      </w:r>
      <w:r w:rsidR="00F345DF" w:rsidRPr="007C68A4">
        <w:rPr>
          <w:b/>
          <w:color w:val="000000" w:themeColor="text1"/>
          <w:kern w:val="0"/>
          <w:szCs w:val="21"/>
        </w:rPr>
        <w:t>期初</w:t>
      </w:r>
      <w:r w:rsidRPr="007C68A4">
        <w:rPr>
          <w:b/>
          <w:bCs/>
          <w:color w:val="000000" w:themeColor="text1"/>
          <w:szCs w:val="21"/>
        </w:rPr>
        <w:t>基金资产净值</w:t>
      </w:r>
      <w:r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14:paraId="0590E400" w14:textId="77777777" w:rsidR="001548F9" w:rsidRPr="007C68A4" w:rsidRDefault="001548F9" w:rsidP="00637869">
      <w:pPr>
        <w:tabs>
          <w:tab w:val="left" w:pos="426"/>
        </w:tabs>
        <w:spacing w:line="360" w:lineRule="auto"/>
        <w:jc w:val="left"/>
        <w:rPr>
          <w:color w:val="000000" w:themeColor="text1"/>
          <w:szCs w:val="21"/>
        </w:rPr>
      </w:pPr>
      <w:r w:rsidRPr="007C68A4">
        <w:rPr>
          <w:color w:val="000000" w:themeColor="text1"/>
          <w:kern w:val="0"/>
          <w:szCs w:val="21"/>
        </w:rPr>
        <w:t>本基金本报告期未卖出股票。</w:t>
      </w:r>
    </w:p>
    <w:p w14:paraId="22877BA4"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7.5.3 </w:t>
      </w:r>
      <w:r w:rsidRPr="007C68A4">
        <w:rPr>
          <w:b/>
          <w:bCs/>
          <w:color w:val="000000" w:themeColor="text1"/>
          <w:szCs w:val="21"/>
        </w:rPr>
        <w:t>买入股票的成本总额及卖出股票的收入总额</w:t>
      </w:r>
    </w:p>
    <w:p w14:paraId="429EF96D" w14:textId="77777777" w:rsidR="001548F9" w:rsidRPr="007C68A4" w:rsidRDefault="001548F9" w:rsidP="00C66025">
      <w:pPr>
        <w:tabs>
          <w:tab w:val="left" w:pos="426"/>
        </w:tabs>
        <w:jc w:val="left"/>
        <w:rPr>
          <w:color w:val="000000" w:themeColor="text1"/>
          <w:szCs w:val="21"/>
        </w:rPr>
      </w:pPr>
      <w:r w:rsidRPr="007C68A4">
        <w:rPr>
          <w:color w:val="000000" w:themeColor="text1"/>
          <w:kern w:val="0"/>
          <w:szCs w:val="21"/>
        </w:rPr>
        <w:t>本基金本报告期未买入卖出股票。</w:t>
      </w:r>
    </w:p>
    <w:p w14:paraId="67D3A2F0"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7" w:name="_Toc234814104"/>
      <w:bookmarkStart w:id="78" w:name="_Toc175575289"/>
      <w:r w:rsidRPr="007C68A4">
        <w:rPr>
          <w:rFonts w:ascii="Times New Roman" w:hAnsi="Times New Roman"/>
          <w:color w:val="000000" w:themeColor="text1"/>
          <w:kern w:val="0"/>
          <w:sz w:val="21"/>
          <w:szCs w:val="21"/>
        </w:rPr>
        <w:t xml:space="preserve">7.6 </w:t>
      </w:r>
      <w:r w:rsidRPr="007C68A4">
        <w:rPr>
          <w:rFonts w:ascii="Times New Roman" w:hAnsi="Times New Roman"/>
          <w:color w:val="000000" w:themeColor="text1"/>
          <w:kern w:val="0"/>
          <w:sz w:val="21"/>
          <w:szCs w:val="21"/>
        </w:rPr>
        <w:t>期末按债券品种分类的债券投资组合</w:t>
      </w:r>
      <w:bookmarkEnd w:id="77"/>
      <w:bookmarkEnd w:id="78"/>
    </w:p>
    <w:p w14:paraId="3D1EB0F2" w14:textId="77777777" w:rsidR="00FB5FEE" w:rsidRPr="007C68A4" w:rsidRDefault="00FB5FEE" w:rsidP="00FB5FEE">
      <w:pPr>
        <w:autoSpaceDE w:val="0"/>
        <w:autoSpaceDN w:val="0"/>
        <w:adjustRightInd w:val="0"/>
        <w:spacing w:before="29" w:line="288" w:lineRule="auto"/>
        <w:ind w:left="15"/>
        <w:jc w:val="right"/>
        <w:rPr>
          <w:rFonts w:eastAsiaTheme="minorEastAsia"/>
          <w:color w:val="000000" w:themeColor="text1"/>
          <w:kern w:val="0"/>
          <w:szCs w:val="21"/>
        </w:rPr>
      </w:pPr>
      <w:r w:rsidRPr="007C68A4">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3A53B3" w:rsidRPr="007C68A4" w14:paraId="55AA1418" w14:textId="77777777" w:rsidTr="00B15BF5">
        <w:tc>
          <w:tcPr>
            <w:tcW w:w="817" w:type="dxa"/>
            <w:vAlign w:val="center"/>
          </w:tcPr>
          <w:p w14:paraId="5D7712FF"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序号</w:t>
            </w:r>
          </w:p>
        </w:tc>
        <w:tc>
          <w:tcPr>
            <w:tcW w:w="3260" w:type="dxa"/>
            <w:vAlign w:val="center"/>
          </w:tcPr>
          <w:p w14:paraId="3C20ADBC"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债券品种</w:t>
            </w:r>
          </w:p>
        </w:tc>
        <w:tc>
          <w:tcPr>
            <w:tcW w:w="2410" w:type="dxa"/>
            <w:vAlign w:val="center"/>
          </w:tcPr>
          <w:p w14:paraId="4CB5CAC1"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公允价值</w:t>
            </w:r>
          </w:p>
        </w:tc>
        <w:tc>
          <w:tcPr>
            <w:tcW w:w="2041" w:type="dxa"/>
            <w:vAlign w:val="center"/>
          </w:tcPr>
          <w:p w14:paraId="7530368F"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占基金资产净值比例</w:t>
            </w:r>
            <w:r w:rsidRPr="007C68A4">
              <w:rPr>
                <w:rFonts w:eastAsiaTheme="minorEastAsia"/>
                <w:color w:val="000000" w:themeColor="text1"/>
                <w:szCs w:val="21"/>
              </w:rPr>
              <w:t>(</w:t>
            </w:r>
            <w:r w:rsidRPr="007C68A4">
              <w:rPr>
                <w:rFonts w:eastAsiaTheme="minorEastAsia"/>
                <w:color w:val="000000" w:themeColor="text1"/>
                <w:szCs w:val="21"/>
              </w:rPr>
              <w:t>％</w:t>
            </w:r>
            <w:r w:rsidRPr="007C68A4">
              <w:rPr>
                <w:rFonts w:eastAsiaTheme="minorEastAsia"/>
                <w:color w:val="000000" w:themeColor="text1"/>
                <w:szCs w:val="21"/>
              </w:rPr>
              <w:t>)</w:t>
            </w:r>
          </w:p>
        </w:tc>
      </w:tr>
      <w:tr w:rsidR="003A53B3" w:rsidRPr="007C68A4" w14:paraId="37306490" w14:textId="77777777" w:rsidTr="00B15BF5">
        <w:tc>
          <w:tcPr>
            <w:tcW w:w="817" w:type="dxa"/>
            <w:vAlign w:val="center"/>
          </w:tcPr>
          <w:p w14:paraId="78D1B834"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1</w:t>
            </w:r>
          </w:p>
        </w:tc>
        <w:tc>
          <w:tcPr>
            <w:tcW w:w="3260" w:type="dxa"/>
            <w:vAlign w:val="center"/>
          </w:tcPr>
          <w:p w14:paraId="20949AC7"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国家债券</w:t>
            </w:r>
          </w:p>
        </w:tc>
        <w:tc>
          <w:tcPr>
            <w:tcW w:w="2410" w:type="dxa"/>
            <w:vAlign w:val="center"/>
          </w:tcPr>
          <w:p w14:paraId="00028FC0"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608,424.17</w:t>
            </w:r>
          </w:p>
        </w:tc>
        <w:tc>
          <w:tcPr>
            <w:tcW w:w="2041" w:type="dxa"/>
            <w:vAlign w:val="center"/>
          </w:tcPr>
          <w:p w14:paraId="7D5168DA"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2.29</w:t>
            </w:r>
          </w:p>
        </w:tc>
      </w:tr>
      <w:tr w:rsidR="003A53B3" w:rsidRPr="007C68A4" w14:paraId="2A6D963A" w14:textId="77777777" w:rsidTr="00B15BF5">
        <w:tc>
          <w:tcPr>
            <w:tcW w:w="817" w:type="dxa"/>
            <w:vAlign w:val="center"/>
          </w:tcPr>
          <w:p w14:paraId="568EC932"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2</w:t>
            </w:r>
          </w:p>
        </w:tc>
        <w:tc>
          <w:tcPr>
            <w:tcW w:w="3260" w:type="dxa"/>
            <w:vAlign w:val="center"/>
          </w:tcPr>
          <w:p w14:paraId="3EC957AF"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央行票据</w:t>
            </w:r>
          </w:p>
        </w:tc>
        <w:tc>
          <w:tcPr>
            <w:tcW w:w="2410" w:type="dxa"/>
            <w:vAlign w:val="center"/>
          </w:tcPr>
          <w:p w14:paraId="4D35AA37"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1ECFF16D"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03BC5E69" w14:textId="77777777" w:rsidTr="00B15BF5">
        <w:tc>
          <w:tcPr>
            <w:tcW w:w="817" w:type="dxa"/>
            <w:vAlign w:val="center"/>
          </w:tcPr>
          <w:p w14:paraId="4928E851"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3</w:t>
            </w:r>
          </w:p>
        </w:tc>
        <w:tc>
          <w:tcPr>
            <w:tcW w:w="3260" w:type="dxa"/>
            <w:vAlign w:val="center"/>
          </w:tcPr>
          <w:p w14:paraId="41653C93"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金融债券</w:t>
            </w:r>
          </w:p>
        </w:tc>
        <w:tc>
          <w:tcPr>
            <w:tcW w:w="2410" w:type="dxa"/>
            <w:vAlign w:val="center"/>
          </w:tcPr>
          <w:p w14:paraId="63D1A260"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7C4F27F2"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445676D" w14:textId="77777777" w:rsidTr="00B15BF5">
        <w:tc>
          <w:tcPr>
            <w:tcW w:w="817" w:type="dxa"/>
            <w:vAlign w:val="center"/>
          </w:tcPr>
          <w:p w14:paraId="6C7EA068" w14:textId="77777777" w:rsidR="00FB5FEE" w:rsidRPr="007C68A4" w:rsidRDefault="00FB5FEE" w:rsidP="00B15BF5">
            <w:pPr>
              <w:spacing w:before="29" w:line="360" w:lineRule="auto"/>
              <w:ind w:left="17"/>
              <w:jc w:val="center"/>
              <w:rPr>
                <w:rFonts w:eastAsiaTheme="minorEastAsia"/>
                <w:color w:val="000000" w:themeColor="text1"/>
                <w:szCs w:val="21"/>
              </w:rPr>
            </w:pPr>
          </w:p>
        </w:tc>
        <w:tc>
          <w:tcPr>
            <w:tcW w:w="3260" w:type="dxa"/>
            <w:vAlign w:val="center"/>
          </w:tcPr>
          <w:p w14:paraId="50DCB3CF"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其中：政策性金融债</w:t>
            </w:r>
          </w:p>
        </w:tc>
        <w:tc>
          <w:tcPr>
            <w:tcW w:w="2410" w:type="dxa"/>
            <w:vAlign w:val="center"/>
          </w:tcPr>
          <w:p w14:paraId="3DEAFA1F"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7A8A3CA4"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53C00FD" w14:textId="77777777" w:rsidTr="00B15BF5">
        <w:tc>
          <w:tcPr>
            <w:tcW w:w="817" w:type="dxa"/>
            <w:vAlign w:val="center"/>
          </w:tcPr>
          <w:p w14:paraId="159D8037"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4</w:t>
            </w:r>
          </w:p>
        </w:tc>
        <w:tc>
          <w:tcPr>
            <w:tcW w:w="3260" w:type="dxa"/>
            <w:vAlign w:val="center"/>
          </w:tcPr>
          <w:p w14:paraId="564C799F"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企业债券</w:t>
            </w:r>
          </w:p>
        </w:tc>
        <w:tc>
          <w:tcPr>
            <w:tcW w:w="2410" w:type="dxa"/>
            <w:vAlign w:val="center"/>
          </w:tcPr>
          <w:p w14:paraId="4EE2B914"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6AE318D1"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6B48657" w14:textId="77777777" w:rsidTr="00B15BF5">
        <w:tc>
          <w:tcPr>
            <w:tcW w:w="817" w:type="dxa"/>
            <w:vAlign w:val="center"/>
          </w:tcPr>
          <w:p w14:paraId="09FEB584"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5</w:t>
            </w:r>
          </w:p>
        </w:tc>
        <w:tc>
          <w:tcPr>
            <w:tcW w:w="3260" w:type="dxa"/>
            <w:vAlign w:val="center"/>
          </w:tcPr>
          <w:p w14:paraId="0B8646FF"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企业短期融资券</w:t>
            </w:r>
          </w:p>
        </w:tc>
        <w:tc>
          <w:tcPr>
            <w:tcW w:w="2410" w:type="dxa"/>
            <w:vAlign w:val="center"/>
          </w:tcPr>
          <w:p w14:paraId="395E6766"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75B187D2"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67FDE57" w14:textId="77777777" w:rsidTr="00B15BF5">
        <w:tc>
          <w:tcPr>
            <w:tcW w:w="817" w:type="dxa"/>
            <w:vAlign w:val="center"/>
          </w:tcPr>
          <w:p w14:paraId="4692859B"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6</w:t>
            </w:r>
          </w:p>
        </w:tc>
        <w:tc>
          <w:tcPr>
            <w:tcW w:w="3260" w:type="dxa"/>
            <w:vAlign w:val="center"/>
          </w:tcPr>
          <w:p w14:paraId="7E1C6884"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中期票据</w:t>
            </w:r>
          </w:p>
        </w:tc>
        <w:tc>
          <w:tcPr>
            <w:tcW w:w="2410" w:type="dxa"/>
            <w:vAlign w:val="center"/>
          </w:tcPr>
          <w:p w14:paraId="22E28EA9"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6887A2DD"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ADD9661" w14:textId="77777777" w:rsidTr="00B15BF5">
        <w:tc>
          <w:tcPr>
            <w:tcW w:w="817" w:type="dxa"/>
            <w:vAlign w:val="center"/>
          </w:tcPr>
          <w:p w14:paraId="62817237"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7</w:t>
            </w:r>
          </w:p>
        </w:tc>
        <w:tc>
          <w:tcPr>
            <w:tcW w:w="3260" w:type="dxa"/>
            <w:vAlign w:val="center"/>
          </w:tcPr>
          <w:p w14:paraId="1B07942E" w14:textId="77777777" w:rsidR="00FB5FEE" w:rsidRPr="007C68A4" w:rsidRDefault="002D75F0"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可转债（可交换债）</w:t>
            </w:r>
          </w:p>
        </w:tc>
        <w:tc>
          <w:tcPr>
            <w:tcW w:w="2410" w:type="dxa"/>
            <w:vAlign w:val="center"/>
          </w:tcPr>
          <w:p w14:paraId="0CCC6748"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18A2DBF9"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2436860A" w14:textId="77777777" w:rsidTr="00B15BF5">
        <w:tc>
          <w:tcPr>
            <w:tcW w:w="817" w:type="dxa"/>
            <w:vAlign w:val="center"/>
          </w:tcPr>
          <w:p w14:paraId="61DEE68C"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8</w:t>
            </w:r>
          </w:p>
        </w:tc>
        <w:tc>
          <w:tcPr>
            <w:tcW w:w="3260" w:type="dxa"/>
            <w:vAlign w:val="center"/>
          </w:tcPr>
          <w:p w14:paraId="3F3F647F"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同业存单</w:t>
            </w:r>
          </w:p>
        </w:tc>
        <w:tc>
          <w:tcPr>
            <w:tcW w:w="2410" w:type="dxa"/>
            <w:vAlign w:val="center"/>
          </w:tcPr>
          <w:p w14:paraId="7DFF3B98"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439E1FCB"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3E85AD0E" w14:textId="77777777" w:rsidTr="00B15BF5">
        <w:tc>
          <w:tcPr>
            <w:tcW w:w="817" w:type="dxa"/>
            <w:vAlign w:val="center"/>
          </w:tcPr>
          <w:p w14:paraId="5AC0F88F"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9</w:t>
            </w:r>
          </w:p>
        </w:tc>
        <w:tc>
          <w:tcPr>
            <w:tcW w:w="3260" w:type="dxa"/>
            <w:vAlign w:val="center"/>
          </w:tcPr>
          <w:p w14:paraId="380C785E"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其他</w:t>
            </w:r>
          </w:p>
        </w:tc>
        <w:tc>
          <w:tcPr>
            <w:tcW w:w="2410" w:type="dxa"/>
            <w:vAlign w:val="center"/>
          </w:tcPr>
          <w:p w14:paraId="51726FA3"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041" w:type="dxa"/>
            <w:vAlign w:val="center"/>
          </w:tcPr>
          <w:p w14:paraId="2E31909D"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14:paraId="18E8C006" w14:textId="77777777" w:rsidTr="00B15BF5">
        <w:tc>
          <w:tcPr>
            <w:tcW w:w="817" w:type="dxa"/>
            <w:vAlign w:val="center"/>
          </w:tcPr>
          <w:p w14:paraId="294CB9A5" w14:textId="77777777" w:rsidR="00FB5FEE" w:rsidRPr="007C68A4" w:rsidRDefault="00FB5FEE" w:rsidP="00B15BF5">
            <w:pPr>
              <w:spacing w:before="29" w:line="360" w:lineRule="auto"/>
              <w:ind w:left="17"/>
              <w:jc w:val="center"/>
              <w:rPr>
                <w:rFonts w:eastAsiaTheme="minorEastAsia"/>
                <w:color w:val="000000" w:themeColor="text1"/>
                <w:szCs w:val="21"/>
              </w:rPr>
            </w:pPr>
            <w:r w:rsidRPr="007C68A4">
              <w:rPr>
                <w:rFonts w:eastAsiaTheme="minorEastAsia"/>
                <w:color w:val="000000" w:themeColor="text1"/>
                <w:szCs w:val="21"/>
              </w:rPr>
              <w:t>10</w:t>
            </w:r>
          </w:p>
        </w:tc>
        <w:tc>
          <w:tcPr>
            <w:tcW w:w="3260" w:type="dxa"/>
            <w:vAlign w:val="center"/>
          </w:tcPr>
          <w:p w14:paraId="7F7AB452" w14:textId="77777777" w:rsidR="00FB5FEE" w:rsidRPr="007C68A4" w:rsidRDefault="00FB5FEE" w:rsidP="00B15BF5">
            <w:pPr>
              <w:spacing w:before="29" w:line="360" w:lineRule="auto"/>
              <w:ind w:left="17"/>
              <w:jc w:val="left"/>
              <w:rPr>
                <w:rFonts w:eastAsiaTheme="minorEastAsia"/>
                <w:color w:val="000000" w:themeColor="text1"/>
                <w:szCs w:val="21"/>
              </w:rPr>
            </w:pPr>
            <w:r w:rsidRPr="007C68A4">
              <w:rPr>
                <w:rFonts w:eastAsiaTheme="minorEastAsia"/>
                <w:color w:val="000000" w:themeColor="text1"/>
                <w:szCs w:val="21"/>
              </w:rPr>
              <w:t>合计</w:t>
            </w:r>
          </w:p>
        </w:tc>
        <w:tc>
          <w:tcPr>
            <w:tcW w:w="2410" w:type="dxa"/>
            <w:vAlign w:val="center"/>
          </w:tcPr>
          <w:p w14:paraId="2164B5A3"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608,424.17</w:t>
            </w:r>
          </w:p>
        </w:tc>
        <w:tc>
          <w:tcPr>
            <w:tcW w:w="2041" w:type="dxa"/>
            <w:vAlign w:val="center"/>
          </w:tcPr>
          <w:p w14:paraId="2F98EDD5" w14:textId="77777777" w:rsidR="00FB5FEE" w:rsidRPr="007C68A4" w:rsidRDefault="00FB5FEE" w:rsidP="00B15BF5">
            <w:pPr>
              <w:spacing w:before="29" w:line="360" w:lineRule="auto"/>
              <w:ind w:left="17"/>
              <w:jc w:val="right"/>
              <w:rPr>
                <w:rFonts w:eastAsiaTheme="minorEastAsia"/>
                <w:color w:val="000000" w:themeColor="text1"/>
                <w:szCs w:val="21"/>
              </w:rPr>
            </w:pPr>
            <w:r w:rsidRPr="007C68A4">
              <w:rPr>
                <w:rFonts w:eastAsiaTheme="minorEastAsia"/>
                <w:color w:val="000000" w:themeColor="text1"/>
                <w:szCs w:val="21"/>
              </w:rPr>
              <w:t>2.29</w:t>
            </w:r>
          </w:p>
        </w:tc>
      </w:tr>
    </w:tbl>
    <w:p w14:paraId="341B7023"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9" w:name="_Toc175575290"/>
      <w:r w:rsidRPr="007C68A4">
        <w:rPr>
          <w:rFonts w:ascii="Times New Roman" w:hAnsi="Times New Roman"/>
          <w:color w:val="000000" w:themeColor="text1"/>
          <w:kern w:val="0"/>
          <w:sz w:val="21"/>
          <w:szCs w:val="21"/>
        </w:rPr>
        <w:t>7.7</w:t>
      </w:r>
      <w:bookmarkStart w:id="80" w:name="_Toc234814105"/>
      <w:r w:rsidRPr="007C68A4">
        <w:rPr>
          <w:rFonts w:ascii="Times New Roman" w:hAnsi="Times New Roman"/>
          <w:color w:val="000000" w:themeColor="text1"/>
          <w:kern w:val="0"/>
          <w:sz w:val="21"/>
          <w:szCs w:val="21"/>
        </w:rPr>
        <w:t xml:space="preserve"> </w:t>
      </w:r>
      <w:r w:rsidR="00C36018" w:rsidRPr="007C68A4">
        <w:rPr>
          <w:rFonts w:ascii="Times New Roman" w:hAnsi="Times New Roman"/>
          <w:color w:val="000000" w:themeColor="text1"/>
          <w:kern w:val="0"/>
          <w:sz w:val="21"/>
          <w:szCs w:val="21"/>
        </w:rPr>
        <w:t>期末按公允价值占基金资产净值比例大小排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的前五名债券投资明细</w:t>
      </w:r>
      <w:bookmarkEnd w:id="80"/>
      <w:bookmarkEnd w:id="79"/>
    </w:p>
    <w:p w14:paraId="1BA9ACE8" w14:textId="77777777"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3A53B3" w:rsidRPr="007C68A4" w14:paraId="5729326E" w14:textId="77777777" w:rsidTr="0070173B">
        <w:tc>
          <w:tcPr>
            <w:tcW w:w="1252" w:type="dxa"/>
            <w:vAlign w:val="center"/>
          </w:tcPr>
          <w:p w14:paraId="575B10FA" w14:textId="77777777" w:rsidR="001548F9" w:rsidRPr="007C68A4" w:rsidRDefault="001548F9" w:rsidP="0070173B">
            <w:pPr>
              <w:spacing w:before="29" w:line="360" w:lineRule="auto"/>
              <w:ind w:left="17"/>
              <w:jc w:val="center"/>
              <w:rPr>
                <w:color w:val="000000" w:themeColor="text1"/>
                <w:szCs w:val="21"/>
              </w:rPr>
            </w:pPr>
            <w:r w:rsidRPr="007C68A4">
              <w:rPr>
                <w:color w:val="000000" w:themeColor="text1"/>
                <w:szCs w:val="21"/>
              </w:rPr>
              <w:t>序号</w:t>
            </w:r>
          </w:p>
        </w:tc>
        <w:tc>
          <w:tcPr>
            <w:tcW w:w="1310" w:type="dxa"/>
            <w:vAlign w:val="center"/>
          </w:tcPr>
          <w:p w14:paraId="5BA738B6" w14:textId="77777777" w:rsidR="001548F9" w:rsidRPr="007C68A4" w:rsidRDefault="001548F9" w:rsidP="0070173B">
            <w:pPr>
              <w:spacing w:before="29" w:line="360" w:lineRule="auto"/>
              <w:ind w:left="17"/>
              <w:jc w:val="center"/>
              <w:rPr>
                <w:color w:val="000000" w:themeColor="text1"/>
                <w:szCs w:val="21"/>
              </w:rPr>
            </w:pPr>
            <w:r w:rsidRPr="007C68A4">
              <w:rPr>
                <w:color w:val="000000" w:themeColor="text1"/>
                <w:szCs w:val="21"/>
              </w:rPr>
              <w:t>债券代码</w:t>
            </w:r>
          </w:p>
        </w:tc>
        <w:tc>
          <w:tcPr>
            <w:tcW w:w="1282" w:type="dxa"/>
            <w:vAlign w:val="center"/>
          </w:tcPr>
          <w:p w14:paraId="39377B8E" w14:textId="77777777" w:rsidR="001548F9" w:rsidRPr="007C68A4" w:rsidRDefault="001548F9" w:rsidP="0070173B">
            <w:pPr>
              <w:spacing w:before="29" w:line="360" w:lineRule="auto"/>
              <w:ind w:left="17"/>
              <w:jc w:val="center"/>
              <w:rPr>
                <w:color w:val="000000" w:themeColor="text1"/>
                <w:szCs w:val="21"/>
              </w:rPr>
            </w:pPr>
            <w:r w:rsidRPr="007C68A4">
              <w:rPr>
                <w:color w:val="000000" w:themeColor="text1"/>
                <w:szCs w:val="21"/>
              </w:rPr>
              <w:t>债券名称</w:t>
            </w:r>
          </w:p>
        </w:tc>
        <w:tc>
          <w:tcPr>
            <w:tcW w:w="1426" w:type="dxa"/>
            <w:vAlign w:val="center"/>
          </w:tcPr>
          <w:p w14:paraId="208BBD78" w14:textId="77777777" w:rsidR="001548F9" w:rsidRPr="007C68A4" w:rsidRDefault="001548F9" w:rsidP="0070173B">
            <w:pPr>
              <w:spacing w:before="29" w:line="360" w:lineRule="auto"/>
              <w:ind w:left="17"/>
              <w:jc w:val="center"/>
              <w:rPr>
                <w:color w:val="000000" w:themeColor="text1"/>
                <w:szCs w:val="21"/>
              </w:rPr>
            </w:pPr>
            <w:r w:rsidRPr="007C68A4">
              <w:rPr>
                <w:color w:val="000000" w:themeColor="text1"/>
                <w:szCs w:val="21"/>
              </w:rPr>
              <w:t>数量</w:t>
            </w:r>
            <w:r w:rsidRPr="007C68A4">
              <w:rPr>
                <w:color w:val="000000" w:themeColor="text1"/>
                <w:szCs w:val="21"/>
              </w:rPr>
              <w:t>(</w:t>
            </w:r>
            <w:r w:rsidRPr="007C68A4">
              <w:rPr>
                <w:color w:val="000000" w:themeColor="text1"/>
                <w:szCs w:val="21"/>
              </w:rPr>
              <w:t>张</w:t>
            </w:r>
            <w:r w:rsidRPr="007C68A4">
              <w:rPr>
                <w:color w:val="000000" w:themeColor="text1"/>
                <w:szCs w:val="21"/>
              </w:rPr>
              <w:t>)</w:t>
            </w:r>
          </w:p>
        </w:tc>
        <w:tc>
          <w:tcPr>
            <w:tcW w:w="1646" w:type="dxa"/>
            <w:vAlign w:val="center"/>
          </w:tcPr>
          <w:p w14:paraId="2BF077FE" w14:textId="77777777" w:rsidR="001548F9" w:rsidRPr="007C68A4" w:rsidRDefault="001548F9" w:rsidP="001674E8">
            <w:pPr>
              <w:spacing w:before="29" w:line="360" w:lineRule="auto"/>
              <w:ind w:left="17"/>
              <w:jc w:val="center"/>
              <w:rPr>
                <w:color w:val="000000" w:themeColor="text1"/>
                <w:szCs w:val="21"/>
              </w:rPr>
            </w:pPr>
            <w:r w:rsidRPr="007C68A4">
              <w:rPr>
                <w:color w:val="000000" w:themeColor="text1"/>
                <w:szCs w:val="21"/>
              </w:rPr>
              <w:t>公允价值</w:t>
            </w:r>
          </w:p>
        </w:tc>
        <w:tc>
          <w:tcPr>
            <w:tcW w:w="1612" w:type="dxa"/>
            <w:vAlign w:val="center"/>
          </w:tcPr>
          <w:p w14:paraId="4338051E" w14:textId="77777777" w:rsidR="001548F9" w:rsidRPr="007C68A4" w:rsidRDefault="001548F9" w:rsidP="0070173B">
            <w:pPr>
              <w:spacing w:before="29" w:line="360" w:lineRule="auto"/>
              <w:ind w:left="17"/>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r w:rsidRPr="007C68A4">
              <w:rPr>
                <w:color w:val="000000" w:themeColor="text1"/>
                <w:szCs w:val="21"/>
              </w:rPr>
              <w:t>)</w:t>
            </w:r>
          </w:p>
        </w:tc>
      </w:tr>
      <w:tr w:rsidR="00FA3CB3" w14:paraId="4912B208" w14:textId="77777777">
        <w:tc>
          <w:tcPr>
            <w:tcW w:w="1252" w:type="dxa"/>
            <w:vAlign w:val="center"/>
          </w:tcPr>
          <w:p w14:paraId="62807A54" w14:textId="77777777" w:rsidR="00FA3CB3" w:rsidRDefault="00052A0D">
            <w:pPr>
              <w:jc w:val="center"/>
            </w:pPr>
            <w:r>
              <w:rPr>
                <w:color w:val="000000" w:themeColor="text1"/>
                <w:szCs w:val="21"/>
              </w:rPr>
              <w:t>1</w:t>
            </w:r>
          </w:p>
        </w:tc>
        <w:tc>
          <w:tcPr>
            <w:tcW w:w="1310" w:type="dxa"/>
            <w:vAlign w:val="center"/>
          </w:tcPr>
          <w:p w14:paraId="75E1D695" w14:textId="77777777" w:rsidR="00FA3CB3" w:rsidRDefault="00052A0D">
            <w:pPr>
              <w:jc w:val="center"/>
            </w:pPr>
            <w:r>
              <w:rPr>
                <w:color w:val="000000" w:themeColor="text1"/>
                <w:szCs w:val="21"/>
              </w:rPr>
              <w:t>019693</w:t>
            </w:r>
          </w:p>
        </w:tc>
        <w:tc>
          <w:tcPr>
            <w:tcW w:w="1282" w:type="dxa"/>
            <w:vAlign w:val="center"/>
          </w:tcPr>
          <w:p w14:paraId="73F20BCF" w14:textId="77777777" w:rsidR="00FA3CB3" w:rsidRDefault="00052A0D">
            <w:pPr>
              <w:jc w:val="center"/>
            </w:pPr>
            <w:r>
              <w:rPr>
                <w:color w:val="000000" w:themeColor="text1"/>
                <w:szCs w:val="21"/>
              </w:rPr>
              <w:t>22</w:t>
            </w:r>
            <w:r>
              <w:rPr>
                <w:color w:val="000000" w:themeColor="text1"/>
                <w:szCs w:val="21"/>
              </w:rPr>
              <w:t>国债</w:t>
            </w:r>
            <w:r>
              <w:rPr>
                <w:color w:val="000000" w:themeColor="text1"/>
                <w:szCs w:val="21"/>
              </w:rPr>
              <w:t>28</w:t>
            </w:r>
          </w:p>
        </w:tc>
        <w:tc>
          <w:tcPr>
            <w:tcW w:w="1426" w:type="dxa"/>
            <w:vAlign w:val="center"/>
          </w:tcPr>
          <w:p w14:paraId="27BC03CE" w14:textId="77777777" w:rsidR="00FA3CB3" w:rsidRDefault="00052A0D">
            <w:pPr>
              <w:jc w:val="right"/>
            </w:pPr>
            <w:r>
              <w:rPr>
                <w:color w:val="000000" w:themeColor="text1"/>
                <w:szCs w:val="21"/>
              </w:rPr>
              <w:t>4,000</w:t>
            </w:r>
          </w:p>
        </w:tc>
        <w:tc>
          <w:tcPr>
            <w:tcW w:w="1646" w:type="dxa"/>
            <w:vAlign w:val="center"/>
          </w:tcPr>
          <w:p w14:paraId="72EAB632" w14:textId="77777777" w:rsidR="00FA3CB3" w:rsidRDefault="00052A0D">
            <w:pPr>
              <w:jc w:val="right"/>
            </w:pPr>
            <w:r>
              <w:rPr>
                <w:color w:val="000000" w:themeColor="text1"/>
                <w:szCs w:val="21"/>
              </w:rPr>
              <w:t>406,278.03</w:t>
            </w:r>
          </w:p>
        </w:tc>
        <w:tc>
          <w:tcPr>
            <w:tcW w:w="1612" w:type="dxa"/>
            <w:vAlign w:val="center"/>
          </w:tcPr>
          <w:p w14:paraId="315C9D7E" w14:textId="77777777" w:rsidR="00FA3CB3" w:rsidRDefault="00052A0D">
            <w:pPr>
              <w:jc w:val="right"/>
            </w:pPr>
            <w:r>
              <w:rPr>
                <w:color w:val="000000" w:themeColor="text1"/>
                <w:szCs w:val="21"/>
              </w:rPr>
              <w:t>1.53</w:t>
            </w:r>
          </w:p>
        </w:tc>
      </w:tr>
      <w:tr w:rsidR="00FA3CB3" w14:paraId="696463ED" w14:textId="77777777">
        <w:tc>
          <w:tcPr>
            <w:tcW w:w="1252" w:type="dxa"/>
            <w:vAlign w:val="center"/>
          </w:tcPr>
          <w:p w14:paraId="6D44ACC7" w14:textId="77777777" w:rsidR="00FA3CB3" w:rsidRDefault="00052A0D">
            <w:pPr>
              <w:jc w:val="center"/>
            </w:pPr>
            <w:r>
              <w:rPr>
                <w:color w:val="000000" w:themeColor="text1"/>
                <w:szCs w:val="21"/>
              </w:rPr>
              <w:t>2</w:t>
            </w:r>
          </w:p>
        </w:tc>
        <w:tc>
          <w:tcPr>
            <w:tcW w:w="1310" w:type="dxa"/>
            <w:vAlign w:val="center"/>
          </w:tcPr>
          <w:p w14:paraId="7EA54041" w14:textId="77777777" w:rsidR="00FA3CB3" w:rsidRDefault="00052A0D">
            <w:pPr>
              <w:jc w:val="center"/>
            </w:pPr>
            <w:r>
              <w:rPr>
                <w:color w:val="000000" w:themeColor="text1"/>
                <w:szCs w:val="21"/>
              </w:rPr>
              <w:t>019733</w:t>
            </w:r>
          </w:p>
        </w:tc>
        <w:tc>
          <w:tcPr>
            <w:tcW w:w="1282" w:type="dxa"/>
            <w:vAlign w:val="center"/>
          </w:tcPr>
          <w:p w14:paraId="249F0875" w14:textId="77777777" w:rsidR="00FA3CB3" w:rsidRDefault="00052A0D">
            <w:pPr>
              <w:jc w:val="center"/>
            </w:pPr>
            <w:r>
              <w:rPr>
                <w:color w:val="000000" w:themeColor="text1"/>
                <w:szCs w:val="21"/>
              </w:rPr>
              <w:t>24</w:t>
            </w:r>
            <w:r>
              <w:rPr>
                <w:color w:val="000000" w:themeColor="text1"/>
                <w:szCs w:val="21"/>
              </w:rPr>
              <w:t>国债</w:t>
            </w:r>
            <w:r>
              <w:rPr>
                <w:color w:val="000000" w:themeColor="text1"/>
                <w:szCs w:val="21"/>
              </w:rPr>
              <w:t>02</w:t>
            </w:r>
          </w:p>
        </w:tc>
        <w:tc>
          <w:tcPr>
            <w:tcW w:w="1426" w:type="dxa"/>
            <w:vAlign w:val="center"/>
          </w:tcPr>
          <w:p w14:paraId="04143A50" w14:textId="77777777" w:rsidR="00FA3CB3" w:rsidRDefault="00052A0D">
            <w:pPr>
              <w:jc w:val="right"/>
            </w:pPr>
            <w:r>
              <w:rPr>
                <w:color w:val="000000" w:themeColor="text1"/>
                <w:szCs w:val="21"/>
              </w:rPr>
              <w:t>2,000</w:t>
            </w:r>
          </w:p>
        </w:tc>
        <w:tc>
          <w:tcPr>
            <w:tcW w:w="1646" w:type="dxa"/>
            <w:vAlign w:val="center"/>
          </w:tcPr>
          <w:p w14:paraId="170DBF52" w14:textId="77777777" w:rsidR="00FA3CB3" w:rsidRDefault="00052A0D">
            <w:pPr>
              <w:jc w:val="right"/>
            </w:pPr>
            <w:r>
              <w:rPr>
                <w:color w:val="000000" w:themeColor="text1"/>
                <w:szCs w:val="21"/>
              </w:rPr>
              <w:t>202,146.14</w:t>
            </w:r>
          </w:p>
        </w:tc>
        <w:tc>
          <w:tcPr>
            <w:tcW w:w="1612" w:type="dxa"/>
            <w:vAlign w:val="center"/>
          </w:tcPr>
          <w:p w14:paraId="05715F5F" w14:textId="77777777" w:rsidR="00FA3CB3" w:rsidRDefault="00052A0D">
            <w:pPr>
              <w:jc w:val="right"/>
            </w:pPr>
            <w:r>
              <w:rPr>
                <w:color w:val="000000" w:themeColor="text1"/>
                <w:szCs w:val="21"/>
              </w:rPr>
              <w:t>0.76</w:t>
            </w:r>
          </w:p>
        </w:tc>
      </w:tr>
    </w:tbl>
    <w:p w14:paraId="4B5A5F93"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1" w:name="_Toc175575291"/>
      <w:r w:rsidRPr="007C68A4">
        <w:rPr>
          <w:rFonts w:ascii="Times New Roman" w:hAnsi="Times New Roman"/>
          <w:color w:val="000000" w:themeColor="text1"/>
          <w:kern w:val="0"/>
          <w:sz w:val="21"/>
          <w:szCs w:val="21"/>
        </w:rPr>
        <w:lastRenderedPageBreak/>
        <w:t xml:space="preserve">7.8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的所有资产支持证券投资明细</w:t>
      </w:r>
      <w:bookmarkEnd w:id="81"/>
    </w:p>
    <w:p w14:paraId="65117A7E"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本基金本报告期末未持有资产支持证券。</w:t>
      </w:r>
    </w:p>
    <w:p w14:paraId="6A9529C9" w14:textId="77777777" w:rsidR="00A67CDE" w:rsidRPr="007C68A4" w:rsidRDefault="00A67CDE" w:rsidP="001F0F10">
      <w:pPr>
        <w:pStyle w:val="20"/>
        <w:spacing w:beforeLines="100" w:before="312" w:afterLines="100" w:after="312"/>
        <w:rPr>
          <w:rFonts w:ascii="Times New Roman" w:hAnsi="Times New Roman"/>
          <w:color w:val="000000" w:themeColor="text1"/>
          <w:kern w:val="0"/>
          <w:sz w:val="21"/>
          <w:szCs w:val="21"/>
        </w:rPr>
      </w:pPr>
      <w:bookmarkStart w:id="82" w:name="_Toc175575292"/>
      <w:r w:rsidRPr="007C68A4">
        <w:rPr>
          <w:rFonts w:ascii="Times New Roman" w:hAnsi="Times New Roman"/>
          <w:color w:val="000000" w:themeColor="text1"/>
          <w:kern w:val="0"/>
          <w:sz w:val="21"/>
          <w:szCs w:val="21"/>
        </w:rPr>
        <w:t xml:space="preserve">7.9 </w:t>
      </w:r>
      <w:r w:rsidRPr="007C68A4">
        <w:rPr>
          <w:rFonts w:ascii="Times New Roman" w:hAnsi="Times New Roman"/>
          <w:color w:val="000000" w:themeColor="text1"/>
          <w:kern w:val="0"/>
          <w:sz w:val="21"/>
          <w:szCs w:val="21"/>
        </w:rPr>
        <w:t>报告期末按公允价值占基金资产净值比例大小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的前五名贵金属投资明细</w:t>
      </w:r>
      <w:bookmarkEnd w:id="82"/>
    </w:p>
    <w:p w14:paraId="7770E114" w14:textId="77777777" w:rsidR="00A67CDE" w:rsidRPr="007C68A4" w:rsidRDefault="00A67CDE" w:rsidP="001F0F10">
      <w:pPr>
        <w:widowControl/>
        <w:spacing w:line="360" w:lineRule="auto"/>
        <w:jc w:val="left"/>
        <w:rPr>
          <w:color w:val="000000" w:themeColor="text1"/>
          <w:szCs w:val="21"/>
        </w:rPr>
      </w:pPr>
      <w:r w:rsidRPr="007C68A4">
        <w:rPr>
          <w:color w:val="000000" w:themeColor="text1"/>
          <w:szCs w:val="21"/>
        </w:rPr>
        <w:t>本基金本报告期末未持有贵金属。</w:t>
      </w:r>
    </w:p>
    <w:p w14:paraId="4077AD08"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3" w:name="_Toc175575293"/>
      <w:r w:rsidRPr="007C68A4">
        <w:rPr>
          <w:rFonts w:ascii="Times New Roman" w:hAnsi="Times New Roman"/>
          <w:color w:val="000000" w:themeColor="text1"/>
          <w:kern w:val="0"/>
          <w:sz w:val="21"/>
          <w:szCs w:val="21"/>
        </w:rPr>
        <w:t xml:space="preserve">7.10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的前五名权证投资明细</w:t>
      </w:r>
      <w:bookmarkEnd w:id="83"/>
    </w:p>
    <w:p w14:paraId="4A35F3FB"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本基金本报告期末未持有权证。</w:t>
      </w:r>
    </w:p>
    <w:p w14:paraId="12DDC97D" w14:textId="77777777" w:rsidR="00FF180B" w:rsidRPr="007C68A4" w:rsidRDefault="00FF180B" w:rsidP="00FF180B">
      <w:pPr>
        <w:pStyle w:val="20"/>
        <w:spacing w:beforeLines="100" w:before="312" w:after="0"/>
        <w:rPr>
          <w:rFonts w:ascii="Times New Roman" w:eastAsiaTheme="minorEastAsia" w:hAnsi="Times New Roman"/>
          <w:color w:val="000000" w:themeColor="text1"/>
          <w:kern w:val="0"/>
          <w:sz w:val="21"/>
          <w:szCs w:val="21"/>
        </w:rPr>
      </w:pPr>
      <w:bookmarkStart w:id="84" w:name="_Toc175575294"/>
      <w:r w:rsidRPr="007C68A4">
        <w:rPr>
          <w:rFonts w:ascii="Times New Roman" w:eastAsiaTheme="minorEastAsia" w:hAnsi="Times New Roman"/>
          <w:color w:val="000000" w:themeColor="text1"/>
          <w:kern w:val="0"/>
          <w:sz w:val="21"/>
          <w:szCs w:val="21"/>
        </w:rPr>
        <w:t xml:space="preserve">7.11 </w:t>
      </w:r>
      <w:r w:rsidRPr="007C68A4">
        <w:rPr>
          <w:rFonts w:ascii="Times New Roman" w:eastAsiaTheme="minorEastAsia" w:hAnsi="Times New Roman"/>
          <w:color w:val="000000" w:themeColor="text1"/>
          <w:kern w:val="0"/>
          <w:sz w:val="21"/>
          <w:szCs w:val="21"/>
        </w:rPr>
        <w:t>本报告期投资基金情况</w:t>
      </w:r>
      <w:bookmarkEnd w:id="84"/>
    </w:p>
    <w:p w14:paraId="61878A10" w14:textId="77777777" w:rsidR="00FF180B" w:rsidRPr="007C68A4" w:rsidRDefault="00FF180B" w:rsidP="00FF180B">
      <w:pPr>
        <w:pStyle w:val="a0"/>
        <w:spacing w:beforeLines="50" w:before="156" w:line="360" w:lineRule="auto"/>
        <w:ind w:firstLineChars="0" w:firstLine="0"/>
        <w:rPr>
          <w:rFonts w:eastAsiaTheme="minorEastAsia"/>
          <w:b/>
          <w:color w:val="000000" w:themeColor="text1"/>
          <w:szCs w:val="21"/>
        </w:rPr>
      </w:pPr>
      <w:r w:rsidRPr="007C68A4">
        <w:rPr>
          <w:rFonts w:eastAsiaTheme="minorEastAsia"/>
          <w:b/>
          <w:color w:val="000000" w:themeColor="text1"/>
          <w:szCs w:val="21"/>
        </w:rPr>
        <w:t xml:space="preserve">7.11.1 </w:t>
      </w:r>
      <w:r w:rsidRPr="007C68A4">
        <w:rPr>
          <w:rFonts w:eastAsiaTheme="minor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3A53B3" w:rsidRPr="007C68A4" w14:paraId="20361F3D" w14:textId="77777777" w:rsidTr="006358BF">
        <w:tc>
          <w:tcPr>
            <w:tcW w:w="817" w:type="dxa"/>
            <w:vAlign w:val="center"/>
          </w:tcPr>
          <w:p w14:paraId="27C876DC"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序号</w:t>
            </w:r>
          </w:p>
        </w:tc>
        <w:tc>
          <w:tcPr>
            <w:tcW w:w="1134" w:type="dxa"/>
            <w:vAlign w:val="center"/>
          </w:tcPr>
          <w:p w14:paraId="508490BD"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基金代码</w:t>
            </w:r>
          </w:p>
        </w:tc>
        <w:tc>
          <w:tcPr>
            <w:tcW w:w="1134" w:type="dxa"/>
            <w:vAlign w:val="center"/>
          </w:tcPr>
          <w:p w14:paraId="08B1930E"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基金名称</w:t>
            </w:r>
          </w:p>
        </w:tc>
        <w:tc>
          <w:tcPr>
            <w:tcW w:w="1134" w:type="dxa"/>
            <w:vAlign w:val="center"/>
          </w:tcPr>
          <w:p w14:paraId="1F63453F"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运作方式</w:t>
            </w:r>
          </w:p>
        </w:tc>
        <w:tc>
          <w:tcPr>
            <w:tcW w:w="1134" w:type="dxa"/>
            <w:vAlign w:val="center"/>
          </w:tcPr>
          <w:p w14:paraId="3E644E77"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持有份额</w:t>
            </w:r>
            <w:r w:rsidRPr="007C68A4">
              <w:rPr>
                <w:rFonts w:eastAsiaTheme="minorEastAsia"/>
                <w:color w:val="000000" w:themeColor="text1"/>
                <w:szCs w:val="21"/>
              </w:rPr>
              <w:t>(</w:t>
            </w:r>
            <w:r w:rsidRPr="007C68A4">
              <w:rPr>
                <w:rFonts w:eastAsiaTheme="minorEastAsia"/>
                <w:color w:val="000000" w:themeColor="text1"/>
                <w:szCs w:val="21"/>
              </w:rPr>
              <w:t>份</w:t>
            </w:r>
            <w:r w:rsidRPr="007C68A4">
              <w:rPr>
                <w:rFonts w:eastAsiaTheme="minorEastAsia"/>
                <w:color w:val="000000" w:themeColor="text1"/>
                <w:szCs w:val="21"/>
              </w:rPr>
              <w:t>)</w:t>
            </w:r>
          </w:p>
        </w:tc>
        <w:tc>
          <w:tcPr>
            <w:tcW w:w="1134" w:type="dxa"/>
            <w:vAlign w:val="center"/>
          </w:tcPr>
          <w:p w14:paraId="2922F722"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公允价值</w:t>
            </w:r>
            <w:r w:rsidRPr="007C68A4">
              <w:rPr>
                <w:rFonts w:eastAsiaTheme="minorEastAsia"/>
                <w:color w:val="000000" w:themeColor="text1"/>
                <w:szCs w:val="21"/>
              </w:rPr>
              <w:t>(</w:t>
            </w:r>
            <w:r w:rsidRPr="007C68A4">
              <w:rPr>
                <w:rFonts w:eastAsiaTheme="minorEastAsia"/>
                <w:color w:val="000000" w:themeColor="text1"/>
                <w:szCs w:val="21"/>
              </w:rPr>
              <w:t>元</w:t>
            </w:r>
            <w:r w:rsidRPr="007C68A4">
              <w:rPr>
                <w:rFonts w:eastAsiaTheme="minorEastAsia"/>
                <w:color w:val="000000" w:themeColor="text1"/>
                <w:szCs w:val="21"/>
              </w:rPr>
              <w:t>)</w:t>
            </w:r>
          </w:p>
        </w:tc>
        <w:tc>
          <w:tcPr>
            <w:tcW w:w="1134" w:type="dxa"/>
            <w:vAlign w:val="center"/>
          </w:tcPr>
          <w:p w14:paraId="3D6FAD44" w14:textId="77777777"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占资金资产净值比例</w:t>
            </w:r>
            <w:r w:rsidRPr="007C68A4">
              <w:rPr>
                <w:rFonts w:eastAsiaTheme="minorEastAsia"/>
                <w:color w:val="000000" w:themeColor="text1"/>
                <w:szCs w:val="21"/>
              </w:rPr>
              <w:t>(%)</w:t>
            </w:r>
          </w:p>
        </w:tc>
        <w:tc>
          <w:tcPr>
            <w:tcW w:w="1665" w:type="dxa"/>
            <w:vAlign w:val="center"/>
          </w:tcPr>
          <w:p w14:paraId="0056E259" w14:textId="77777777" w:rsidR="00FF180B" w:rsidRPr="007C68A4" w:rsidRDefault="00FF180B" w:rsidP="00FF180B">
            <w:pPr>
              <w:pStyle w:val="a0"/>
              <w:spacing w:beforeLines="50" w:before="156" w:line="276" w:lineRule="auto"/>
              <w:ind w:firstLineChars="0" w:firstLine="0"/>
              <w:jc w:val="left"/>
              <w:rPr>
                <w:rFonts w:eastAsiaTheme="minorEastAsia"/>
                <w:color w:val="000000" w:themeColor="text1"/>
                <w:szCs w:val="21"/>
              </w:rPr>
            </w:pPr>
            <w:r w:rsidRPr="007C68A4">
              <w:rPr>
                <w:rFonts w:eastAsiaTheme="minorEastAsia"/>
                <w:color w:val="000000" w:themeColor="text1"/>
                <w:szCs w:val="21"/>
              </w:rPr>
              <w:t>是否属于基金管理人及管理人关联方所管理的基金</w:t>
            </w:r>
          </w:p>
        </w:tc>
      </w:tr>
      <w:tr w:rsidR="00FA3CB3" w14:paraId="4A57BC7D" w14:textId="77777777">
        <w:tc>
          <w:tcPr>
            <w:tcW w:w="817" w:type="dxa"/>
            <w:vAlign w:val="center"/>
          </w:tcPr>
          <w:p w14:paraId="575935C3" w14:textId="77777777" w:rsidR="00FA3CB3" w:rsidRDefault="00052A0D">
            <w:pPr>
              <w:jc w:val="center"/>
            </w:pPr>
            <w:r>
              <w:rPr>
                <w:rFonts w:eastAsiaTheme="minorEastAsia"/>
                <w:color w:val="000000" w:themeColor="text1"/>
                <w:szCs w:val="21"/>
              </w:rPr>
              <w:t>1</w:t>
            </w:r>
          </w:p>
        </w:tc>
        <w:tc>
          <w:tcPr>
            <w:tcW w:w="1134" w:type="dxa"/>
            <w:vAlign w:val="center"/>
          </w:tcPr>
          <w:p w14:paraId="14705076" w14:textId="77777777" w:rsidR="00FA3CB3" w:rsidRDefault="00052A0D">
            <w:pPr>
              <w:jc w:val="center"/>
            </w:pPr>
            <w:r>
              <w:rPr>
                <w:rFonts w:eastAsiaTheme="minorEastAsia"/>
                <w:color w:val="000000" w:themeColor="text1"/>
                <w:szCs w:val="21"/>
              </w:rPr>
              <w:t>513890</w:t>
            </w:r>
          </w:p>
        </w:tc>
        <w:tc>
          <w:tcPr>
            <w:tcW w:w="1134" w:type="dxa"/>
            <w:vAlign w:val="center"/>
          </w:tcPr>
          <w:p w14:paraId="33CB7172" w14:textId="77777777" w:rsidR="00FA3CB3" w:rsidRDefault="00052A0D">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1134" w:type="dxa"/>
            <w:vAlign w:val="center"/>
          </w:tcPr>
          <w:p w14:paraId="1ECBED32" w14:textId="77777777" w:rsidR="00FA3CB3" w:rsidRDefault="00052A0D">
            <w:pPr>
              <w:jc w:val="center"/>
            </w:pPr>
            <w:r>
              <w:rPr>
                <w:rFonts w:eastAsiaTheme="minorEastAsia"/>
                <w:color w:val="000000" w:themeColor="text1"/>
                <w:szCs w:val="21"/>
              </w:rPr>
              <w:t>交易型开放式</w:t>
            </w:r>
          </w:p>
        </w:tc>
        <w:tc>
          <w:tcPr>
            <w:tcW w:w="1134" w:type="dxa"/>
            <w:vAlign w:val="center"/>
          </w:tcPr>
          <w:p w14:paraId="10575548" w14:textId="77777777" w:rsidR="00FA3CB3" w:rsidRDefault="00052A0D">
            <w:pPr>
              <w:jc w:val="center"/>
            </w:pPr>
            <w:r>
              <w:rPr>
                <w:rFonts w:eastAsiaTheme="minorEastAsia"/>
                <w:color w:val="000000" w:themeColor="text1"/>
                <w:szCs w:val="21"/>
              </w:rPr>
              <w:t>35,320,000.00</w:t>
            </w:r>
          </w:p>
        </w:tc>
        <w:tc>
          <w:tcPr>
            <w:tcW w:w="1134" w:type="dxa"/>
            <w:vAlign w:val="center"/>
          </w:tcPr>
          <w:p w14:paraId="016F74E4" w14:textId="77777777" w:rsidR="00FA3CB3" w:rsidRDefault="00052A0D">
            <w:pPr>
              <w:jc w:val="center"/>
            </w:pPr>
            <w:r>
              <w:rPr>
                <w:rFonts w:eastAsiaTheme="minorEastAsia"/>
                <w:color w:val="000000" w:themeColor="text1"/>
                <w:szCs w:val="21"/>
              </w:rPr>
              <w:t>25,169,032.00</w:t>
            </w:r>
          </w:p>
        </w:tc>
        <w:tc>
          <w:tcPr>
            <w:tcW w:w="1134" w:type="dxa"/>
            <w:vAlign w:val="center"/>
          </w:tcPr>
          <w:p w14:paraId="2BE3F81D" w14:textId="77777777" w:rsidR="00FA3CB3" w:rsidRDefault="00052A0D">
            <w:pPr>
              <w:jc w:val="center"/>
            </w:pPr>
            <w:r>
              <w:rPr>
                <w:rFonts w:eastAsiaTheme="minorEastAsia"/>
                <w:color w:val="000000" w:themeColor="text1"/>
                <w:szCs w:val="21"/>
              </w:rPr>
              <w:t>94.91%</w:t>
            </w:r>
          </w:p>
        </w:tc>
        <w:tc>
          <w:tcPr>
            <w:tcW w:w="1665" w:type="dxa"/>
            <w:vAlign w:val="center"/>
          </w:tcPr>
          <w:p w14:paraId="63B24D98" w14:textId="77777777" w:rsidR="00FA3CB3" w:rsidRDefault="00052A0D">
            <w:pPr>
              <w:jc w:val="center"/>
            </w:pPr>
            <w:r>
              <w:rPr>
                <w:rFonts w:eastAsiaTheme="minorEastAsia"/>
                <w:color w:val="000000" w:themeColor="text1"/>
                <w:szCs w:val="21"/>
              </w:rPr>
              <w:t>是</w:t>
            </w:r>
          </w:p>
        </w:tc>
      </w:tr>
    </w:tbl>
    <w:p w14:paraId="22E6D7BC"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5" w:name="_Toc175575295"/>
      <w:r w:rsidRPr="007C68A4">
        <w:rPr>
          <w:rFonts w:ascii="Times New Roman" w:hAnsi="Times New Roman"/>
          <w:color w:val="000000" w:themeColor="text1"/>
          <w:kern w:val="0"/>
          <w:sz w:val="21"/>
          <w:szCs w:val="21"/>
        </w:rPr>
        <w:t xml:space="preserve">7.12 </w:t>
      </w:r>
      <w:r w:rsidRPr="007C68A4">
        <w:rPr>
          <w:rFonts w:ascii="Times New Roman" w:hAnsi="Times New Roman"/>
          <w:color w:val="000000" w:themeColor="text1"/>
          <w:kern w:val="0"/>
          <w:sz w:val="21"/>
          <w:szCs w:val="21"/>
        </w:rPr>
        <w:t>投资组合报告附注</w:t>
      </w:r>
      <w:bookmarkEnd w:id="85"/>
    </w:p>
    <w:p w14:paraId="0CEF165A" w14:textId="77777777" w:rsidR="001548F9" w:rsidRPr="007C68A4" w:rsidRDefault="001548F9" w:rsidP="004C1748">
      <w:pPr>
        <w:spacing w:line="360" w:lineRule="auto"/>
        <w:rPr>
          <w:color w:val="000000" w:themeColor="text1"/>
          <w:szCs w:val="21"/>
        </w:rPr>
      </w:pPr>
      <w:r w:rsidRPr="007C68A4">
        <w:rPr>
          <w:color w:val="000000" w:themeColor="text1"/>
          <w:szCs w:val="21"/>
        </w:rPr>
        <w:t>7.12.1</w:t>
      </w:r>
      <w:r w:rsidRPr="007C68A4">
        <w:rPr>
          <w:color w:val="000000" w:themeColor="text1"/>
          <w:szCs w:val="21"/>
        </w:rPr>
        <w:t>本基金投资的前十名证券的发行主体本期未出现被监管部门立案调查，或在报告编制日前一年内受到公开谴责、处罚的情形。</w:t>
      </w:r>
    </w:p>
    <w:p w14:paraId="4B392002" w14:textId="77777777" w:rsidR="001548F9" w:rsidRPr="007C68A4" w:rsidRDefault="001548F9" w:rsidP="004C1748">
      <w:pPr>
        <w:spacing w:line="360" w:lineRule="auto"/>
        <w:rPr>
          <w:color w:val="000000" w:themeColor="text1"/>
          <w:szCs w:val="21"/>
        </w:rPr>
      </w:pPr>
      <w:r w:rsidRPr="007C68A4">
        <w:rPr>
          <w:color w:val="000000" w:themeColor="text1"/>
          <w:szCs w:val="21"/>
        </w:rPr>
        <w:t>7.12.2</w:t>
      </w:r>
      <w:r w:rsidRPr="007C68A4">
        <w:rPr>
          <w:color w:val="000000" w:themeColor="text1"/>
          <w:szCs w:val="21"/>
        </w:rPr>
        <w:t>报告期内本基金投资的前十名股票中没有在基金合同规定备选股票库之外的股票。</w:t>
      </w:r>
    </w:p>
    <w:p w14:paraId="698DD819" w14:textId="77777777" w:rsidR="001548F9" w:rsidRPr="007C68A4" w:rsidRDefault="001548F9" w:rsidP="004C1748">
      <w:pPr>
        <w:spacing w:line="360" w:lineRule="auto"/>
        <w:rPr>
          <w:b/>
          <w:bCs/>
          <w:color w:val="000000" w:themeColor="text1"/>
          <w:szCs w:val="21"/>
        </w:rPr>
      </w:pPr>
      <w:r w:rsidRPr="007C68A4">
        <w:rPr>
          <w:b/>
          <w:color w:val="000000" w:themeColor="text1"/>
          <w:szCs w:val="21"/>
        </w:rPr>
        <w:t>7.12.3</w:t>
      </w:r>
      <w:r w:rsidRPr="007C68A4">
        <w:rPr>
          <w:b/>
          <w:bCs/>
          <w:color w:val="000000" w:themeColor="text1"/>
          <w:szCs w:val="21"/>
        </w:rPr>
        <w:t>期末其他各项资产构成</w:t>
      </w:r>
    </w:p>
    <w:p w14:paraId="01A81C17" w14:textId="77777777"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A53B3" w:rsidRPr="007C68A4" w14:paraId="2A2FA980" w14:textId="77777777" w:rsidTr="00BD3790">
        <w:tc>
          <w:tcPr>
            <w:tcW w:w="765" w:type="dxa"/>
            <w:vAlign w:val="center"/>
          </w:tcPr>
          <w:p w14:paraId="294A4C23" w14:textId="77777777" w:rsidR="001548F9" w:rsidRPr="007C68A4" w:rsidRDefault="001548F9" w:rsidP="00BD3790">
            <w:pPr>
              <w:jc w:val="center"/>
              <w:rPr>
                <w:color w:val="000000" w:themeColor="text1"/>
                <w:szCs w:val="21"/>
              </w:rPr>
            </w:pPr>
            <w:r w:rsidRPr="007C68A4">
              <w:rPr>
                <w:color w:val="000000" w:themeColor="text1"/>
                <w:szCs w:val="21"/>
              </w:rPr>
              <w:t>序号</w:t>
            </w:r>
          </w:p>
        </w:tc>
        <w:tc>
          <w:tcPr>
            <w:tcW w:w="4117" w:type="dxa"/>
            <w:vAlign w:val="center"/>
          </w:tcPr>
          <w:p w14:paraId="2257B3E2" w14:textId="77777777" w:rsidR="001548F9" w:rsidRPr="007C68A4" w:rsidRDefault="001548F9" w:rsidP="00BD3790">
            <w:pPr>
              <w:jc w:val="center"/>
              <w:rPr>
                <w:color w:val="000000" w:themeColor="text1"/>
                <w:szCs w:val="21"/>
              </w:rPr>
            </w:pPr>
            <w:r w:rsidRPr="007C68A4">
              <w:rPr>
                <w:color w:val="000000" w:themeColor="text1"/>
                <w:szCs w:val="21"/>
              </w:rPr>
              <w:t>名称</w:t>
            </w:r>
          </w:p>
        </w:tc>
        <w:tc>
          <w:tcPr>
            <w:tcW w:w="4118" w:type="dxa"/>
            <w:vAlign w:val="center"/>
          </w:tcPr>
          <w:p w14:paraId="199CA9ED" w14:textId="77777777" w:rsidR="001548F9" w:rsidRPr="007C68A4" w:rsidRDefault="001548F9" w:rsidP="00BD3790">
            <w:pPr>
              <w:jc w:val="center"/>
              <w:rPr>
                <w:color w:val="000000" w:themeColor="text1"/>
                <w:szCs w:val="21"/>
              </w:rPr>
            </w:pPr>
            <w:r w:rsidRPr="007C68A4">
              <w:rPr>
                <w:color w:val="000000" w:themeColor="text1"/>
                <w:szCs w:val="21"/>
              </w:rPr>
              <w:t>金额</w:t>
            </w:r>
          </w:p>
        </w:tc>
      </w:tr>
      <w:tr w:rsidR="003A53B3" w:rsidRPr="007C68A4" w14:paraId="5473725D" w14:textId="77777777" w:rsidTr="00BD3790">
        <w:tc>
          <w:tcPr>
            <w:tcW w:w="765" w:type="dxa"/>
            <w:vAlign w:val="center"/>
          </w:tcPr>
          <w:p w14:paraId="01865EC5" w14:textId="77777777" w:rsidR="001548F9" w:rsidRPr="007C68A4" w:rsidRDefault="001548F9" w:rsidP="00BD3790">
            <w:pPr>
              <w:jc w:val="center"/>
              <w:rPr>
                <w:color w:val="000000" w:themeColor="text1"/>
                <w:szCs w:val="21"/>
              </w:rPr>
            </w:pPr>
            <w:r w:rsidRPr="007C68A4">
              <w:rPr>
                <w:color w:val="000000" w:themeColor="text1"/>
                <w:szCs w:val="21"/>
              </w:rPr>
              <w:t>1</w:t>
            </w:r>
          </w:p>
        </w:tc>
        <w:tc>
          <w:tcPr>
            <w:tcW w:w="4117" w:type="dxa"/>
            <w:vAlign w:val="center"/>
          </w:tcPr>
          <w:p w14:paraId="1AEE5D6F" w14:textId="77777777" w:rsidR="001548F9" w:rsidRPr="007C68A4" w:rsidRDefault="001548F9" w:rsidP="00BD3790">
            <w:pPr>
              <w:ind w:leftChars="50" w:left="105"/>
              <w:rPr>
                <w:color w:val="000000" w:themeColor="text1"/>
                <w:szCs w:val="21"/>
              </w:rPr>
            </w:pPr>
            <w:r w:rsidRPr="007C68A4">
              <w:rPr>
                <w:color w:val="000000" w:themeColor="text1"/>
                <w:szCs w:val="21"/>
              </w:rPr>
              <w:t>存出保证金</w:t>
            </w:r>
          </w:p>
        </w:tc>
        <w:tc>
          <w:tcPr>
            <w:tcW w:w="4118" w:type="dxa"/>
            <w:vAlign w:val="center"/>
          </w:tcPr>
          <w:p w14:paraId="45832D73"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3,298.86</w:t>
            </w:r>
          </w:p>
        </w:tc>
      </w:tr>
      <w:tr w:rsidR="003A53B3" w:rsidRPr="007C68A4" w14:paraId="42402003" w14:textId="77777777" w:rsidTr="00BD3790">
        <w:tc>
          <w:tcPr>
            <w:tcW w:w="765" w:type="dxa"/>
            <w:vAlign w:val="center"/>
          </w:tcPr>
          <w:p w14:paraId="6BF72E9A" w14:textId="77777777" w:rsidR="003B0B4A" w:rsidRPr="007C68A4" w:rsidRDefault="003B0B4A" w:rsidP="003B0B4A">
            <w:pPr>
              <w:jc w:val="center"/>
              <w:rPr>
                <w:color w:val="000000" w:themeColor="text1"/>
                <w:szCs w:val="21"/>
              </w:rPr>
            </w:pPr>
            <w:r w:rsidRPr="007C68A4">
              <w:rPr>
                <w:color w:val="000000" w:themeColor="text1"/>
                <w:szCs w:val="21"/>
              </w:rPr>
              <w:t>2</w:t>
            </w:r>
          </w:p>
        </w:tc>
        <w:tc>
          <w:tcPr>
            <w:tcW w:w="4117" w:type="dxa"/>
            <w:vAlign w:val="center"/>
          </w:tcPr>
          <w:p w14:paraId="04C3BB77" w14:textId="77777777" w:rsidR="003B0B4A" w:rsidRPr="007C68A4" w:rsidRDefault="003B0B4A" w:rsidP="003B0B4A">
            <w:pPr>
              <w:ind w:leftChars="50" w:left="105"/>
              <w:rPr>
                <w:color w:val="000000" w:themeColor="text1"/>
                <w:szCs w:val="21"/>
              </w:rPr>
            </w:pPr>
            <w:r w:rsidRPr="007C68A4">
              <w:rPr>
                <w:color w:val="000000" w:themeColor="text1"/>
                <w:szCs w:val="21"/>
              </w:rPr>
              <w:t>应收清算款</w:t>
            </w:r>
          </w:p>
        </w:tc>
        <w:tc>
          <w:tcPr>
            <w:tcW w:w="4118" w:type="dxa"/>
            <w:vAlign w:val="center"/>
          </w:tcPr>
          <w:p w14:paraId="63FB7EE6" w14:textId="77777777" w:rsidR="003B0B4A" w:rsidRPr="007C68A4" w:rsidRDefault="003B0B4A" w:rsidP="003B0B4A">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1171CA98" w14:textId="77777777" w:rsidTr="00BD3790">
        <w:tc>
          <w:tcPr>
            <w:tcW w:w="765" w:type="dxa"/>
            <w:vAlign w:val="center"/>
          </w:tcPr>
          <w:p w14:paraId="3118E07E" w14:textId="77777777" w:rsidR="001548F9" w:rsidRPr="007C68A4" w:rsidRDefault="001548F9" w:rsidP="00BD3790">
            <w:pPr>
              <w:jc w:val="center"/>
              <w:rPr>
                <w:color w:val="000000" w:themeColor="text1"/>
                <w:szCs w:val="21"/>
              </w:rPr>
            </w:pPr>
            <w:r w:rsidRPr="007C68A4">
              <w:rPr>
                <w:color w:val="000000" w:themeColor="text1"/>
                <w:szCs w:val="21"/>
              </w:rPr>
              <w:t>3</w:t>
            </w:r>
          </w:p>
        </w:tc>
        <w:tc>
          <w:tcPr>
            <w:tcW w:w="4117" w:type="dxa"/>
            <w:vAlign w:val="center"/>
          </w:tcPr>
          <w:p w14:paraId="22690D9A" w14:textId="77777777" w:rsidR="001548F9" w:rsidRPr="007C68A4" w:rsidRDefault="001548F9" w:rsidP="00BD3790">
            <w:pPr>
              <w:ind w:leftChars="50" w:left="105"/>
              <w:rPr>
                <w:color w:val="000000" w:themeColor="text1"/>
                <w:szCs w:val="21"/>
              </w:rPr>
            </w:pPr>
            <w:r w:rsidRPr="007C68A4">
              <w:rPr>
                <w:color w:val="000000" w:themeColor="text1"/>
                <w:szCs w:val="21"/>
              </w:rPr>
              <w:t>应收股利</w:t>
            </w:r>
          </w:p>
        </w:tc>
        <w:tc>
          <w:tcPr>
            <w:tcW w:w="4118" w:type="dxa"/>
            <w:vAlign w:val="center"/>
          </w:tcPr>
          <w:p w14:paraId="333B9FE4"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7AEEEDB1" w14:textId="77777777" w:rsidTr="00BD3790">
        <w:tc>
          <w:tcPr>
            <w:tcW w:w="765" w:type="dxa"/>
            <w:vAlign w:val="center"/>
          </w:tcPr>
          <w:p w14:paraId="5575D7C0" w14:textId="77777777" w:rsidR="001548F9" w:rsidRPr="007C68A4" w:rsidRDefault="001548F9" w:rsidP="00BD3790">
            <w:pPr>
              <w:jc w:val="center"/>
              <w:rPr>
                <w:color w:val="000000" w:themeColor="text1"/>
                <w:szCs w:val="21"/>
              </w:rPr>
            </w:pPr>
            <w:r w:rsidRPr="007C68A4">
              <w:rPr>
                <w:color w:val="000000" w:themeColor="text1"/>
                <w:szCs w:val="21"/>
              </w:rPr>
              <w:lastRenderedPageBreak/>
              <w:t>4</w:t>
            </w:r>
          </w:p>
        </w:tc>
        <w:tc>
          <w:tcPr>
            <w:tcW w:w="4117" w:type="dxa"/>
            <w:vAlign w:val="center"/>
          </w:tcPr>
          <w:p w14:paraId="24E2B2E0" w14:textId="77777777" w:rsidR="001548F9" w:rsidRPr="007C68A4" w:rsidRDefault="001548F9" w:rsidP="00BD3790">
            <w:pPr>
              <w:ind w:leftChars="50" w:left="105"/>
              <w:rPr>
                <w:color w:val="000000" w:themeColor="text1"/>
                <w:szCs w:val="21"/>
              </w:rPr>
            </w:pPr>
            <w:r w:rsidRPr="007C68A4">
              <w:rPr>
                <w:color w:val="000000" w:themeColor="text1"/>
                <w:szCs w:val="21"/>
              </w:rPr>
              <w:t>应收利息</w:t>
            </w:r>
          </w:p>
        </w:tc>
        <w:tc>
          <w:tcPr>
            <w:tcW w:w="4118" w:type="dxa"/>
            <w:vAlign w:val="center"/>
          </w:tcPr>
          <w:p w14:paraId="27F4F1DA"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2AF20AFA" w14:textId="77777777" w:rsidTr="00BD3790">
        <w:tc>
          <w:tcPr>
            <w:tcW w:w="765" w:type="dxa"/>
            <w:vAlign w:val="center"/>
          </w:tcPr>
          <w:p w14:paraId="3B2193AA" w14:textId="77777777" w:rsidR="001548F9" w:rsidRPr="007C68A4" w:rsidRDefault="001548F9" w:rsidP="00BD3790">
            <w:pPr>
              <w:jc w:val="center"/>
              <w:rPr>
                <w:color w:val="000000" w:themeColor="text1"/>
                <w:szCs w:val="21"/>
              </w:rPr>
            </w:pPr>
            <w:r w:rsidRPr="007C68A4">
              <w:rPr>
                <w:color w:val="000000" w:themeColor="text1"/>
                <w:szCs w:val="21"/>
              </w:rPr>
              <w:t>5</w:t>
            </w:r>
          </w:p>
        </w:tc>
        <w:tc>
          <w:tcPr>
            <w:tcW w:w="4117" w:type="dxa"/>
            <w:vAlign w:val="center"/>
          </w:tcPr>
          <w:p w14:paraId="122ABE0C" w14:textId="77777777" w:rsidR="001548F9" w:rsidRPr="007C68A4" w:rsidRDefault="001548F9" w:rsidP="00BD3790">
            <w:pPr>
              <w:ind w:leftChars="50" w:left="105"/>
              <w:rPr>
                <w:color w:val="000000" w:themeColor="text1"/>
                <w:szCs w:val="21"/>
              </w:rPr>
            </w:pPr>
            <w:r w:rsidRPr="007C68A4">
              <w:rPr>
                <w:color w:val="000000" w:themeColor="text1"/>
                <w:szCs w:val="21"/>
              </w:rPr>
              <w:t>应收申购款</w:t>
            </w:r>
          </w:p>
        </w:tc>
        <w:tc>
          <w:tcPr>
            <w:tcW w:w="4118" w:type="dxa"/>
            <w:vAlign w:val="center"/>
          </w:tcPr>
          <w:p w14:paraId="0CC98B4F"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280,854.66</w:t>
            </w:r>
          </w:p>
        </w:tc>
      </w:tr>
      <w:tr w:rsidR="003A53B3" w:rsidRPr="007C68A4" w14:paraId="24D3184B" w14:textId="77777777" w:rsidTr="00BD3790">
        <w:tc>
          <w:tcPr>
            <w:tcW w:w="765" w:type="dxa"/>
            <w:vAlign w:val="center"/>
          </w:tcPr>
          <w:p w14:paraId="229BD1EB" w14:textId="77777777" w:rsidR="001548F9" w:rsidRPr="007C68A4" w:rsidRDefault="001548F9" w:rsidP="00BD3790">
            <w:pPr>
              <w:jc w:val="center"/>
              <w:rPr>
                <w:color w:val="000000" w:themeColor="text1"/>
                <w:szCs w:val="21"/>
              </w:rPr>
            </w:pPr>
            <w:r w:rsidRPr="007C68A4">
              <w:rPr>
                <w:color w:val="000000" w:themeColor="text1"/>
                <w:szCs w:val="21"/>
              </w:rPr>
              <w:t>6</w:t>
            </w:r>
          </w:p>
        </w:tc>
        <w:tc>
          <w:tcPr>
            <w:tcW w:w="4117" w:type="dxa"/>
            <w:vAlign w:val="center"/>
          </w:tcPr>
          <w:p w14:paraId="4ED0E795" w14:textId="77777777" w:rsidR="001548F9" w:rsidRPr="007C68A4" w:rsidRDefault="001548F9" w:rsidP="00BD3790">
            <w:pPr>
              <w:ind w:leftChars="50" w:left="105"/>
              <w:rPr>
                <w:color w:val="000000" w:themeColor="text1"/>
                <w:szCs w:val="21"/>
              </w:rPr>
            </w:pPr>
            <w:r w:rsidRPr="007C68A4">
              <w:rPr>
                <w:color w:val="000000" w:themeColor="text1"/>
                <w:szCs w:val="21"/>
              </w:rPr>
              <w:t>其他应收款</w:t>
            </w:r>
          </w:p>
        </w:tc>
        <w:tc>
          <w:tcPr>
            <w:tcW w:w="4118" w:type="dxa"/>
            <w:vAlign w:val="center"/>
          </w:tcPr>
          <w:p w14:paraId="3F511659"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145B0CE0" w14:textId="77777777" w:rsidTr="00BD3790">
        <w:tc>
          <w:tcPr>
            <w:tcW w:w="765" w:type="dxa"/>
            <w:vAlign w:val="center"/>
          </w:tcPr>
          <w:p w14:paraId="5157C56B" w14:textId="77777777" w:rsidR="001548F9" w:rsidRPr="007C68A4" w:rsidRDefault="001548F9" w:rsidP="00BD3790">
            <w:pPr>
              <w:jc w:val="center"/>
              <w:rPr>
                <w:color w:val="000000" w:themeColor="text1"/>
                <w:szCs w:val="21"/>
              </w:rPr>
            </w:pPr>
            <w:r w:rsidRPr="007C68A4">
              <w:rPr>
                <w:color w:val="000000" w:themeColor="text1"/>
                <w:szCs w:val="21"/>
              </w:rPr>
              <w:t>7</w:t>
            </w:r>
          </w:p>
        </w:tc>
        <w:tc>
          <w:tcPr>
            <w:tcW w:w="4117" w:type="dxa"/>
            <w:vAlign w:val="center"/>
          </w:tcPr>
          <w:p w14:paraId="2F3D8159" w14:textId="77777777" w:rsidR="001548F9" w:rsidRPr="007C68A4" w:rsidRDefault="001548F9" w:rsidP="00BD3790">
            <w:pPr>
              <w:ind w:leftChars="50" w:left="105"/>
              <w:rPr>
                <w:color w:val="000000" w:themeColor="text1"/>
                <w:szCs w:val="21"/>
              </w:rPr>
            </w:pPr>
            <w:r w:rsidRPr="007C68A4">
              <w:rPr>
                <w:color w:val="000000" w:themeColor="text1"/>
                <w:szCs w:val="21"/>
              </w:rPr>
              <w:t>待摊费用</w:t>
            </w:r>
          </w:p>
        </w:tc>
        <w:tc>
          <w:tcPr>
            <w:tcW w:w="4118" w:type="dxa"/>
            <w:vAlign w:val="center"/>
          </w:tcPr>
          <w:p w14:paraId="65980740"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5D25D122" w14:textId="77777777" w:rsidTr="00BD3790">
        <w:tc>
          <w:tcPr>
            <w:tcW w:w="765" w:type="dxa"/>
            <w:vAlign w:val="center"/>
          </w:tcPr>
          <w:p w14:paraId="0409B310" w14:textId="77777777"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8</w:t>
            </w:r>
          </w:p>
        </w:tc>
        <w:tc>
          <w:tcPr>
            <w:tcW w:w="4117" w:type="dxa"/>
            <w:vAlign w:val="center"/>
          </w:tcPr>
          <w:p w14:paraId="03271D72" w14:textId="77777777" w:rsidR="001548F9" w:rsidRPr="007C68A4" w:rsidRDefault="001548F9" w:rsidP="00BD3790">
            <w:pPr>
              <w:ind w:leftChars="50" w:left="105"/>
              <w:rPr>
                <w:color w:val="000000" w:themeColor="text1"/>
                <w:szCs w:val="21"/>
              </w:rPr>
            </w:pPr>
            <w:r w:rsidRPr="007C68A4">
              <w:rPr>
                <w:color w:val="000000" w:themeColor="text1"/>
                <w:szCs w:val="21"/>
              </w:rPr>
              <w:t>其他</w:t>
            </w:r>
          </w:p>
        </w:tc>
        <w:tc>
          <w:tcPr>
            <w:tcW w:w="4118" w:type="dxa"/>
            <w:vAlign w:val="center"/>
          </w:tcPr>
          <w:p w14:paraId="0EA14D79"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14:paraId="32C2F7DA" w14:textId="77777777" w:rsidTr="00BD3790">
        <w:tc>
          <w:tcPr>
            <w:tcW w:w="765" w:type="dxa"/>
            <w:vAlign w:val="center"/>
          </w:tcPr>
          <w:p w14:paraId="0ED4DC59" w14:textId="77777777"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9</w:t>
            </w:r>
          </w:p>
        </w:tc>
        <w:tc>
          <w:tcPr>
            <w:tcW w:w="4117" w:type="dxa"/>
            <w:vAlign w:val="center"/>
          </w:tcPr>
          <w:p w14:paraId="1715F164" w14:textId="77777777" w:rsidR="001548F9" w:rsidRPr="007C68A4" w:rsidRDefault="001548F9" w:rsidP="00BD3790">
            <w:pPr>
              <w:ind w:leftChars="50" w:left="105"/>
              <w:rPr>
                <w:color w:val="000000" w:themeColor="text1"/>
                <w:szCs w:val="21"/>
              </w:rPr>
            </w:pPr>
            <w:r w:rsidRPr="007C68A4">
              <w:rPr>
                <w:color w:val="000000" w:themeColor="text1"/>
                <w:szCs w:val="21"/>
              </w:rPr>
              <w:t>合计</w:t>
            </w:r>
          </w:p>
        </w:tc>
        <w:tc>
          <w:tcPr>
            <w:tcW w:w="4118" w:type="dxa"/>
            <w:vAlign w:val="center"/>
          </w:tcPr>
          <w:p w14:paraId="3FDA3F80" w14:textId="77777777"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284,153.52</w:t>
            </w:r>
          </w:p>
        </w:tc>
      </w:tr>
    </w:tbl>
    <w:p w14:paraId="7CAB44AD" w14:textId="77777777" w:rsidR="001548F9" w:rsidRPr="007C68A4" w:rsidRDefault="001548F9" w:rsidP="004C1748">
      <w:pPr>
        <w:spacing w:line="360" w:lineRule="auto"/>
        <w:rPr>
          <w:b/>
          <w:bCs/>
          <w:color w:val="000000" w:themeColor="text1"/>
          <w:szCs w:val="21"/>
        </w:rPr>
      </w:pPr>
      <w:r w:rsidRPr="007C68A4">
        <w:rPr>
          <w:b/>
          <w:color w:val="000000" w:themeColor="text1"/>
          <w:szCs w:val="21"/>
        </w:rPr>
        <w:t>7.12.4</w:t>
      </w:r>
      <w:r w:rsidRPr="007C68A4">
        <w:rPr>
          <w:b/>
          <w:bCs/>
          <w:color w:val="000000" w:themeColor="text1"/>
          <w:szCs w:val="21"/>
        </w:rPr>
        <w:t>期末持有的处于转股期的可转换债券明细</w:t>
      </w:r>
    </w:p>
    <w:p w14:paraId="5176A2EC" w14:textId="77777777"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本基金本报告期末未持有处于转股期的可转换债券。</w:t>
      </w:r>
    </w:p>
    <w:p w14:paraId="4F551E29" w14:textId="77777777" w:rsidR="001548F9" w:rsidRPr="007C68A4" w:rsidRDefault="001548F9" w:rsidP="004C1748">
      <w:pPr>
        <w:spacing w:line="360" w:lineRule="auto"/>
        <w:rPr>
          <w:b/>
          <w:bCs/>
          <w:color w:val="000000" w:themeColor="text1"/>
          <w:szCs w:val="21"/>
        </w:rPr>
      </w:pPr>
      <w:r w:rsidRPr="007C68A4">
        <w:rPr>
          <w:b/>
          <w:color w:val="000000" w:themeColor="text1"/>
          <w:szCs w:val="21"/>
        </w:rPr>
        <w:t xml:space="preserve">7.12.5 </w:t>
      </w:r>
      <w:r w:rsidRPr="007C68A4">
        <w:rPr>
          <w:b/>
          <w:bCs/>
          <w:color w:val="000000" w:themeColor="text1"/>
          <w:szCs w:val="21"/>
        </w:rPr>
        <w:t>期末前十名股票中存在流通受限情况的说明</w:t>
      </w:r>
    </w:p>
    <w:p w14:paraId="0F72F05A" w14:textId="77777777" w:rsidR="001548F9"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本基金本报告期末前十名股票中不存在流通受限情况。</w:t>
      </w:r>
    </w:p>
    <w:p w14:paraId="477B5DEC" w14:textId="77777777" w:rsidR="001548F9" w:rsidRPr="007C68A4" w:rsidRDefault="001548F9" w:rsidP="004C1748">
      <w:pPr>
        <w:spacing w:line="360" w:lineRule="auto"/>
        <w:rPr>
          <w:b/>
          <w:color w:val="000000" w:themeColor="text1"/>
          <w:szCs w:val="21"/>
        </w:rPr>
      </w:pPr>
      <w:r w:rsidRPr="007C68A4">
        <w:rPr>
          <w:b/>
          <w:color w:val="000000" w:themeColor="text1"/>
          <w:szCs w:val="21"/>
        </w:rPr>
        <w:t xml:space="preserve">7.12.6 </w:t>
      </w:r>
      <w:r w:rsidRPr="007C68A4">
        <w:rPr>
          <w:b/>
          <w:color w:val="000000" w:themeColor="text1"/>
          <w:szCs w:val="21"/>
        </w:rPr>
        <w:t>投资组合报告附注的其他文字描述部分</w:t>
      </w:r>
    </w:p>
    <w:p w14:paraId="62CF0D89" w14:textId="77777777"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因四舍五入原因，投资组合报告中分项之和与合计可能存在尾差。</w:t>
      </w:r>
    </w:p>
    <w:p w14:paraId="3C4722B4"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86" w:name="_Toc225500050"/>
      <w:bookmarkStart w:id="87" w:name="_Toc175575296"/>
      <w:r w:rsidRPr="007C68A4">
        <w:rPr>
          <w:b/>
          <w:bCs/>
          <w:color w:val="000000" w:themeColor="text1"/>
          <w:sz w:val="21"/>
          <w:szCs w:val="21"/>
          <w:lang w:val="en-US"/>
        </w:rPr>
        <w:t xml:space="preserve">8  </w:t>
      </w:r>
      <w:r w:rsidRPr="007C68A4">
        <w:rPr>
          <w:b/>
          <w:bCs/>
          <w:color w:val="000000" w:themeColor="text1"/>
          <w:sz w:val="21"/>
          <w:szCs w:val="21"/>
          <w:lang w:val="en-US"/>
        </w:rPr>
        <w:t>基金份额持有人信息</w:t>
      </w:r>
      <w:bookmarkEnd w:id="86"/>
      <w:bookmarkEnd w:id="87"/>
    </w:p>
    <w:p w14:paraId="100B1661" w14:textId="77777777"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8" w:name="_Toc225500051"/>
      <w:bookmarkStart w:id="89" w:name="_Toc175575297"/>
      <w:r w:rsidRPr="007C68A4">
        <w:rPr>
          <w:rFonts w:ascii="Times New Roman" w:hAnsi="Times New Roman"/>
          <w:color w:val="000000" w:themeColor="text1"/>
          <w:kern w:val="0"/>
          <w:sz w:val="21"/>
          <w:szCs w:val="21"/>
        </w:rPr>
        <w:t xml:space="preserve">8.1 </w:t>
      </w:r>
      <w:r w:rsidRPr="007C68A4">
        <w:rPr>
          <w:rFonts w:ascii="Times New Roman" w:hAnsi="Times New Roman"/>
          <w:color w:val="000000" w:themeColor="text1"/>
          <w:kern w:val="0"/>
          <w:sz w:val="21"/>
          <w:szCs w:val="21"/>
        </w:rPr>
        <w:t>期末基金份额持有人户数及持有人结构</w:t>
      </w:r>
      <w:bookmarkEnd w:id="88"/>
      <w:bookmarkEnd w:id="89"/>
    </w:p>
    <w:p w14:paraId="1466498E" w14:textId="77777777" w:rsidR="00A04BA6" w:rsidRPr="007C68A4" w:rsidRDefault="00A04BA6" w:rsidP="00A04BA6">
      <w:pPr>
        <w:autoSpaceDE w:val="0"/>
        <w:autoSpaceDN w:val="0"/>
        <w:adjustRightInd w:val="0"/>
        <w:spacing w:before="29" w:line="360" w:lineRule="auto"/>
        <w:ind w:left="15"/>
        <w:jc w:val="right"/>
        <w:rPr>
          <w:rFonts w:eastAsiaTheme="minorEastAsia"/>
          <w:color w:val="000000" w:themeColor="text1"/>
          <w:szCs w:val="21"/>
        </w:rPr>
      </w:pPr>
      <w:r w:rsidRPr="007C68A4">
        <w:rPr>
          <w:rFonts w:eastAsiaTheme="minorEastAsia"/>
          <w:color w:val="000000" w:themeColor="text1"/>
          <w:szCs w:val="21"/>
        </w:rPr>
        <w:t>份额单位：份</w:t>
      </w:r>
    </w:p>
    <w:p w14:paraId="3320768C" w14:textId="77777777" w:rsidR="00A04BA6" w:rsidRPr="007C68A4" w:rsidRDefault="00A04BA6" w:rsidP="00E801D0">
      <w:pPr>
        <w:spacing w:line="288" w:lineRule="auto"/>
        <w:rPr>
          <w:rFonts w:eastAsiaTheme="minorEastAsia"/>
          <w:color w:val="000000" w:themeColor="text1"/>
          <w:szCs w:val="21"/>
        </w:rPr>
      </w:pPr>
    </w:p>
    <w:tbl>
      <w:tblPr>
        <w:tblW w:w="5000" w:type="pct"/>
        <w:jc w:val="center"/>
        <w:tblLook w:val="00A0" w:firstRow="1" w:lastRow="0" w:firstColumn="1" w:lastColumn="0" w:noHBand="0" w:noVBand="0"/>
      </w:tblPr>
      <w:tblGrid>
        <w:gridCol w:w="1787"/>
        <w:gridCol w:w="1174"/>
        <w:gridCol w:w="1276"/>
        <w:gridCol w:w="1532"/>
        <w:gridCol w:w="984"/>
        <w:gridCol w:w="1564"/>
        <w:gridCol w:w="969"/>
      </w:tblGrid>
      <w:tr w:rsidR="00A04BA6" w:rsidRPr="007C68A4" w14:paraId="1D2FE67C" w14:textId="77777777" w:rsidTr="00A04B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7F70A7E8"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1FE66153"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持有人户数</w:t>
            </w:r>
            <w:r w:rsidRPr="007C68A4">
              <w:rPr>
                <w:rFonts w:eastAsiaTheme="minorEastAsia"/>
                <w:bCs/>
                <w:color w:val="000000" w:themeColor="text1"/>
                <w:szCs w:val="21"/>
              </w:rPr>
              <w:t>(</w:t>
            </w:r>
            <w:r w:rsidRPr="007C68A4">
              <w:rPr>
                <w:rFonts w:eastAsiaTheme="minorEastAsia"/>
                <w:bCs/>
                <w:color w:val="000000" w:themeColor="text1"/>
                <w:szCs w:val="21"/>
              </w:rPr>
              <w:t>户</w:t>
            </w:r>
            <w:r w:rsidRPr="007C68A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6430724F"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319E33A4"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持有人结构</w:t>
            </w:r>
          </w:p>
        </w:tc>
      </w:tr>
      <w:tr w:rsidR="00A04BA6" w:rsidRPr="007C68A4" w14:paraId="2B2BED9F" w14:textId="77777777"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A9D699"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A8438"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F53F9" w14:textId="77777777" w:rsidR="00A04BA6" w:rsidRPr="007C68A4" w:rsidRDefault="00A04BA6">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39D56C92"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4BB2F348"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个人投资者</w:t>
            </w:r>
          </w:p>
        </w:tc>
      </w:tr>
      <w:tr w:rsidR="00A04BA6" w:rsidRPr="007C68A4" w14:paraId="0B4B21B9" w14:textId="77777777"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A5C8"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FCC44" w14:textId="77777777"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3C01AE" w14:textId="77777777" w:rsidR="00A04BA6" w:rsidRPr="007C68A4" w:rsidRDefault="00A04BA6">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3A1933CC"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73E4ECCD"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05D708E"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BB3C9A3"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r>
      <w:tr w:rsidR="00A04BA6" w:rsidRPr="007C68A4" w14:paraId="78556506" w14:textId="77777777" w:rsidTr="00A04BA6">
        <w:trPr>
          <w:jc w:val="center"/>
        </w:trPr>
        <w:tc>
          <w:tcPr>
            <w:tcW w:w="964" w:type="pct"/>
            <w:tcBorders>
              <w:top w:val="nil"/>
              <w:left w:val="single" w:sz="8" w:space="0" w:color="000000"/>
              <w:bottom w:val="single" w:sz="8" w:space="0" w:color="000000"/>
              <w:right w:val="single" w:sz="8" w:space="0" w:color="000000"/>
            </w:tcBorders>
            <w:hideMark/>
          </w:tcPr>
          <w:p w14:paraId="5C596FD3" w14:textId="77777777"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摩根恒生科技</w:t>
            </w:r>
            <w:r w:rsidRPr="007C68A4">
              <w:rPr>
                <w:rFonts w:eastAsiaTheme="minorEastAsia"/>
                <w:bCs/>
                <w:color w:val="000000" w:themeColor="text1"/>
                <w:szCs w:val="21"/>
              </w:rPr>
              <w:t>ETF</w:t>
            </w:r>
            <w:r w:rsidRPr="007C68A4">
              <w:rPr>
                <w:rFonts w:eastAsiaTheme="minorEastAsia"/>
                <w:bCs/>
                <w:color w:val="000000" w:themeColor="text1"/>
                <w:szCs w:val="21"/>
              </w:rPr>
              <w:t>发起式联接</w:t>
            </w:r>
            <w:r w:rsidRPr="007C68A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E23E5A4"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492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22DA54F"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9,490.88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C2BB4B8"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3C0DBC6"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8BC081B"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4,669,515.30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08FD119"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r w:rsidR="00A04BA6" w:rsidRPr="007C68A4" w14:paraId="640C0FA9" w14:textId="77777777" w:rsidTr="00A04BA6">
        <w:trPr>
          <w:jc w:val="center"/>
        </w:trPr>
        <w:tc>
          <w:tcPr>
            <w:tcW w:w="964" w:type="pct"/>
            <w:tcBorders>
              <w:top w:val="nil"/>
              <w:left w:val="single" w:sz="8" w:space="0" w:color="000000"/>
              <w:bottom w:val="single" w:sz="8" w:space="0" w:color="000000"/>
              <w:right w:val="single" w:sz="8" w:space="0" w:color="000000"/>
            </w:tcBorders>
            <w:hideMark/>
          </w:tcPr>
          <w:p w14:paraId="7F11992D" w14:textId="77777777"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摩根恒生科技</w:t>
            </w:r>
            <w:r w:rsidRPr="007C68A4">
              <w:rPr>
                <w:rFonts w:eastAsiaTheme="minorEastAsia"/>
                <w:bCs/>
                <w:color w:val="000000" w:themeColor="text1"/>
                <w:szCs w:val="21"/>
              </w:rPr>
              <w:t>ETF</w:t>
            </w:r>
            <w:r w:rsidRPr="007C68A4">
              <w:rPr>
                <w:rFonts w:eastAsiaTheme="minorEastAsia"/>
                <w:bCs/>
                <w:color w:val="000000" w:themeColor="text1"/>
                <w:szCs w:val="21"/>
              </w:rPr>
              <w:t>发起式联接</w:t>
            </w:r>
            <w:r w:rsidRPr="007C68A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12E593E"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3,596</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A22902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7,251.16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B008F25"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10,000,097.22</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F803EA8"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38.35%</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5F08010"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16,075,064.40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66D8ECC"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61.65%</w:t>
            </w:r>
          </w:p>
        </w:tc>
      </w:tr>
      <w:tr w:rsidR="00A04BA6" w:rsidRPr="007C68A4" w14:paraId="163FA51A" w14:textId="77777777" w:rsidTr="00A04BA6">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3DC1A16F"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485AED66" w14:textId="77777777"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4,088</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6352463B"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7,520.71</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65D400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10,000,097.22</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226DB997"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32.53%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6758B0D"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20,744,579.70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6647094" w14:textId="77777777"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67.47%</w:t>
            </w:r>
          </w:p>
        </w:tc>
      </w:tr>
    </w:tbl>
    <w:p w14:paraId="22AD86ED" w14:textId="77777777" w:rsidR="00FA4A89" w:rsidRPr="007C68A4" w:rsidRDefault="001548F9" w:rsidP="00EA5EB9">
      <w:pPr>
        <w:pStyle w:val="20"/>
        <w:spacing w:beforeLines="100" w:before="312" w:afterLines="100" w:after="312"/>
        <w:rPr>
          <w:rFonts w:ascii="Times New Roman" w:hAnsi="Times New Roman"/>
          <w:color w:val="000000" w:themeColor="text1"/>
          <w:kern w:val="0"/>
          <w:sz w:val="21"/>
          <w:szCs w:val="21"/>
        </w:rPr>
      </w:pPr>
      <w:bookmarkStart w:id="90" w:name="_Toc175575298"/>
      <w:r w:rsidRPr="007C68A4">
        <w:rPr>
          <w:rFonts w:ascii="Times New Roman" w:hAnsi="Times New Roman"/>
          <w:color w:val="000000" w:themeColor="text1"/>
          <w:kern w:val="0"/>
          <w:sz w:val="21"/>
          <w:szCs w:val="21"/>
        </w:rPr>
        <w:lastRenderedPageBreak/>
        <w:t xml:space="preserve">8.2 </w:t>
      </w:r>
      <w:r w:rsidRPr="007C68A4">
        <w:rPr>
          <w:rFonts w:ascii="Times New Roman" w:hAnsi="Times New Roman"/>
          <w:color w:val="000000" w:themeColor="text1"/>
          <w:kern w:val="0"/>
          <w:sz w:val="21"/>
          <w:szCs w:val="21"/>
        </w:rPr>
        <w:t>期末基金管理人的从业人员持有本基金的情况</w:t>
      </w:r>
      <w:bookmarkEnd w:id="90"/>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2409"/>
        <w:gridCol w:w="2269"/>
        <w:gridCol w:w="2125"/>
      </w:tblGrid>
      <w:tr w:rsidR="00EA5EB9" w:rsidRPr="007C68A4" w14:paraId="3204C9FE" w14:textId="77777777" w:rsidTr="00EA5EB9">
        <w:trPr>
          <w:trHeight w:val="285"/>
          <w:jc w:val="center"/>
        </w:trPr>
        <w:tc>
          <w:tcPr>
            <w:tcW w:w="2837" w:type="dxa"/>
            <w:tcBorders>
              <w:top w:val="single" w:sz="4" w:space="0" w:color="auto"/>
              <w:bottom w:val="single" w:sz="4" w:space="0" w:color="auto"/>
              <w:right w:val="single" w:sz="4" w:space="0" w:color="auto"/>
            </w:tcBorders>
          </w:tcPr>
          <w:p w14:paraId="761DF994" w14:textId="77777777" w:rsidR="00EA5EB9" w:rsidRPr="007C68A4" w:rsidRDefault="00EA5EB9" w:rsidP="00E958AE">
            <w:pPr>
              <w:widowControl/>
              <w:jc w:val="center"/>
              <w:rPr>
                <w:rFonts w:eastAsiaTheme="minorEastAsia"/>
                <w:color w:val="000000" w:themeColor="text1"/>
                <w:szCs w:val="21"/>
              </w:rPr>
            </w:pPr>
            <w:r w:rsidRPr="007C68A4">
              <w:rPr>
                <w:rFonts w:eastAsiaTheme="minorEastAsia"/>
                <w:color w:val="000000" w:themeColor="text1"/>
                <w:szCs w:val="21"/>
              </w:rPr>
              <w:t>项目</w:t>
            </w:r>
          </w:p>
        </w:tc>
        <w:tc>
          <w:tcPr>
            <w:tcW w:w="2408" w:type="dxa"/>
            <w:tcBorders>
              <w:top w:val="single" w:sz="4" w:space="0" w:color="auto"/>
              <w:bottom w:val="single" w:sz="4" w:space="0" w:color="auto"/>
              <w:right w:val="single" w:sz="4" w:space="0" w:color="auto"/>
            </w:tcBorders>
            <w:shd w:val="clear" w:color="auto" w:fill="auto"/>
            <w:vAlign w:val="center"/>
          </w:tcPr>
          <w:p w14:paraId="76FC878B"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份额级别</w:t>
            </w:r>
          </w:p>
        </w:tc>
        <w:tc>
          <w:tcPr>
            <w:tcW w:w="2269" w:type="dxa"/>
            <w:tcBorders>
              <w:top w:val="single" w:sz="4" w:space="0" w:color="auto"/>
              <w:bottom w:val="single" w:sz="4" w:space="0" w:color="auto"/>
              <w:right w:val="single" w:sz="4" w:space="0" w:color="auto"/>
            </w:tcBorders>
            <w:shd w:val="clear" w:color="auto" w:fill="auto"/>
            <w:vAlign w:val="center"/>
          </w:tcPr>
          <w:p w14:paraId="50E8C52C"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持有份额总数（份）</w:t>
            </w:r>
          </w:p>
        </w:tc>
        <w:tc>
          <w:tcPr>
            <w:tcW w:w="2125" w:type="dxa"/>
            <w:tcBorders>
              <w:top w:val="single" w:sz="4" w:space="0" w:color="auto"/>
              <w:bottom w:val="single" w:sz="4" w:space="0" w:color="auto"/>
              <w:right w:val="single" w:sz="4" w:space="0" w:color="auto"/>
            </w:tcBorders>
            <w:shd w:val="clear" w:color="auto" w:fill="auto"/>
            <w:vAlign w:val="center"/>
          </w:tcPr>
          <w:p w14:paraId="0CE1158F" w14:textId="77777777" w:rsidR="00EA5EB9" w:rsidRPr="007C68A4" w:rsidRDefault="00EA5EB9" w:rsidP="00E958AE">
            <w:pPr>
              <w:widowControl/>
              <w:jc w:val="center"/>
              <w:rPr>
                <w:color w:val="000000" w:themeColor="text1"/>
              </w:rPr>
            </w:pPr>
            <w:r w:rsidRPr="007C68A4">
              <w:rPr>
                <w:rFonts w:eastAsiaTheme="minorEastAsia"/>
                <w:color w:val="000000" w:themeColor="text1"/>
                <w:szCs w:val="21"/>
              </w:rPr>
              <w:t>占基金总份额比例</w:t>
            </w:r>
          </w:p>
        </w:tc>
      </w:tr>
      <w:tr w:rsidR="00DF5C7F" w:rsidRPr="007C68A4" w14:paraId="6A87393F" w14:textId="77777777" w:rsidTr="00EA5EB9">
        <w:trPr>
          <w:trHeight w:val="285"/>
          <w:jc w:val="center"/>
        </w:trPr>
        <w:tc>
          <w:tcPr>
            <w:tcW w:w="2836" w:type="dxa"/>
            <w:vMerge w:val="restart"/>
            <w:noWrap/>
            <w:vAlign w:val="center"/>
          </w:tcPr>
          <w:p w14:paraId="7CC5F434" w14:textId="77777777" w:rsidR="00DF5C7F" w:rsidRPr="007C68A4" w:rsidRDefault="00DF5C7F" w:rsidP="004D62FA">
            <w:pPr>
              <w:spacing w:line="360" w:lineRule="auto"/>
              <w:jc w:val="left"/>
              <w:rPr>
                <w:rFonts w:eastAsiaTheme="minorEastAsia"/>
                <w:color w:val="000000" w:themeColor="text1"/>
                <w:szCs w:val="21"/>
              </w:rPr>
            </w:pPr>
            <w:r w:rsidRPr="007C68A4">
              <w:rPr>
                <w:rFonts w:eastAsiaTheme="minorEastAsia"/>
                <w:color w:val="000000" w:themeColor="text1"/>
                <w:szCs w:val="21"/>
              </w:rPr>
              <w:t>基金管理人所有从业人员持有本基金</w:t>
            </w:r>
          </w:p>
        </w:tc>
        <w:tc>
          <w:tcPr>
            <w:tcW w:w="2409" w:type="dxa"/>
            <w:tcBorders>
              <w:right w:val="single" w:sz="4" w:space="0" w:color="auto"/>
            </w:tcBorders>
            <w:vAlign w:val="center"/>
          </w:tcPr>
          <w:p w14:paraId="5136746A" w14:textId="77777777"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tc>
        <w:tc>
          <w:tcPr>
            <w:tcW w:w="2269" w:type="dxa"/>
            <w:tcBorders>
              <w:left w:val="single" w:sz="4" w:space="0" w:color="auto"/>
              <w:right w:val="single" w:sz="4" w:space="0" w:color="auto"/>
            </w:tcBorders>
            <w:noWrap/>
            <w:vAlign w:val="center"/>
          </w:tcPr>
          <w:p w14:paraId="311CD45C"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62,568.52</w:t>
            </w:r>
          </w:p>
        </w:tc>
        <w:tc>
          <w:tcPr>
            <w:tcW w:w="2125" w:type="dxa"/>
            <w:tcBorders>
              <w:left w:val="single" w:sz="4" w:space="0" w:color="auto"/>
            </w:tcBorders>
            <w:noWrap/>
            <w:vAlign w:val="center"/>
          </w:tcPr>
          <w:p w14:paraId="3A0B9CB2"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1.3399%</w:t>
            </w:r>
          </w:p>
        </w:tc>
      </w:tr>
      <w:tr w:rsidR="00DF5C7F" w:rsidRPr="007C68A4" w14:paraId="4E3DF802" w14:textId="77777777" w:rsidTr="00EA5EB9">
        <w:trPr>
          <w:trHeight w:val="285"/>
          <w:jc w:val="center"/>
        </w:trPr>
        <w:tc>
          <w:tcPr>
            <w:tcW w:w="2836" w:type="dxa"/>
            <w:vMerge/>
            <w:vAlign w:val="center"/>
          </w:tcPr>
          <w:p w14:paraId="60AC04E5" w14:textId="77777777" w:rsidR="00DF5C7F" w:rsidRPr="007C68A4" w:rsidRDefault="00DF5C7F" w:rsidP="004D62FA">
            <w:pPr>
              <w:spacing w:line="360" w:lineRule="auto"/>
              <w:jc w:val="left"/>
              <w:rPr>
                <w:rFonts w:eastAsiaTheme="minorEastAsia"/>
                <w:color w:val="000000" w:themeColor="text1"/>
                <w:szCs w:val="21"/>
              </w:rPr>
            </w:pPr>
          </w:p>
        </w:tc>
        <w:tc>
          <w:tcPr>
            <w:tcW w:w="2409" w:type="dxa"/>
            <w:vAlign w:val="center"/>
          </w:tcPr>
          <w:p w14:paraId="4244AB52" w14:textId="77777777"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tc>
        <w:tc>
          <w:tcPr>
            <w:tcW w:w="2269" w:type="dxa"/>
            <w:noWrap/>
            <w:vAlign w:val="center"/>
          </w:tcPr>
          <w:p w14:paraId="5F6D325E"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1,192.03</w:t>
            </w:r>
          </w:p>
        </w:tc>
        <w:tc>
          <w:tcPr>
            <w:tcW w:w="2125" w:type="dxa"/>
            <w:noWrap/>
            <w:vAlign w:val="center"/>
          </w:tcPr>
          <w:p w14:paraId="7B322838"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0.0046%</w:t>
            </w:r>
          </w:p>
        </w:tc>
      </w:tr>
      <w:tr w:rsidR="00DF5C7F" w:rsidRPr="007C68A4" w14:paraId="5EACBF4C" w14:textId="77777777" w:rsidTr="00EA5EB9">
        <w:trPr>
          <w:trHeight w:val="285"/>
          <w:jc w:val="center"/>
        </w:trPr>
        <w:tc>
          <w:tcPr>
            <w:tcW w:w="2836" w:type="dxa"/>
            <w:vMerge/>
            <w:vAlign w:val="center"/>
          </w:tcPr>
          <w:p w14:paraId="3A6054BF" w14:textId="77777777" w:rsidR="00DF5C7F" w:rsidRPr="007C68A4" w:rsidRDefault="00DF5C7F" w:rsidP="004D62FA">
            <w:pPr>
              <w:widowControl/>
              <w:spacing w:line="360" w:lineRule="auto"/>
              <w:jc w:val="left"/>
              <w:rPr>
                <w:rFonts w:eastAsiaTheme="minorEastAsia"/>
                <w:color w:val="000000" w:themeColor="text1"/>
                <w:szCs w:val="21"/>
              </w:rPr>
            </w:pPr>
          </w:p>
        </w:tc>
        <w:tc>
          <w:tcPr>
            <w:tcW w:w="2409" w:type="dxa"/>
            <w:vAlign w:val="center"/>
          </w:tcPr>
          <w:p w14:paraId="1C9FEC12" w14:textId="77777777" w:rsidR="00DF5C7F" w:rsidRPr="007C68A4" w:rsidRDefault="00DF5C7F" w:rsidP="004D62FA">
            <w:pPr>
              <w:widowControl/>
              <w:spacing w:line="360" w:lineRule="auto"/>
              <w:jc w:val="center"/>
              <w:rPr>
                <w:rFonts w:eastAsiaTheme="minorEastAsia"/>
                <w:color w:val="000000" w:themeColor="text1"/>
                <w:kern w:val="0"/>
                <w:szCs w:val="21"/>
              </w:rPr>
            </w:pPr>
            <w:r w:rsidRPr="007C68A4">
              <w:rPr>
                <w:rFonts w:eastAsiaTheme="minorEastAsia"/>
                <w:color w:val="000000" w:themeColor="text1"/>
                <w:kern w:val="0"/>
                <w:szCs w:val="21"/>
              </w:rPr>
              <w:t>合计</w:t>
            </w:r>
          </w:p>
        </w:tc>
        <w:tc>
          <w:tcPr>
            <w:tcW w:w="2269" w:type="dxa"/>
            <w:noWrap/>
            <w:vAlign w:val="center"/>
          </w:tcPr>
          <w:p w14:paraId="3E30295C"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63,760.55</w:t>
            </w:r>
          </w:p>
        </w:tc>
        <w:tc>
          <w:tcPr>
            <w:tcW w:w="2125" w:type="dxa"/>
            <w:noWrap/>
            <w:vAlign w:val="center"/>
          </w:tcPr>
          <w:p w14:paraId="58AF7873" w14:textId="77777777"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0.2074%</w:t>
            </w:r>
          </w:p>
        </w:tc>
      </w:tr>
    </w:tbl>
    <w:p w14:paraId="2433B98D" w14:textId="77777777" w:rsidR="00705EC3" w:rsidRPr="007C68A4" w:rsidRDefault="00705EC3" w:rsidP="001F0F10">
      <w:pPr>
        <w:pStyle w:val="20"/>
        <w:spacing w:beforeLines="100" w:before="312" w:afterLines="100" w:after="312"/>
        <w:rPr>
          <w:rFonts w:ascii="Times New Roman" w:hAnsi="Times New Roman"/>
          <w:color w:val="000000" w:themeColor="text1"/>
          <w:kern w:val="0"/>
          <w:sz w:val="21"/>
          <w:szCs w:val="21"/>
        </w:rPr>
      </w:pPr>
      <w:bookmarkStart w:id="91" w:name="_Toc175575299"/>
      <w:r w:rsidRPr="007C68A4">
        <w:rPr>
          <w:rFonts w:ascii="Times New Roman" w:hAnsi="Times New Roman"/>
          <w:color w:val="000000" w:themeColor="text1"/>
          <w:kern w:val="0"/>
          <w:sz w:val="21"/>
          <w:szCs w:val="21"/>
        </w:rPr>
        <w:t>8.3</w:t>
      </w:r>
      <w:r w:rsidR="001138CA"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发起式基金发起资金持有份额情况</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705EC3" w:rsidRPr="007C68A4" w14:paraId="1EB31D15" w14:textId="77777777" w:rsidTr="003F3DA2">
        <w:trPr>
          <w:trHeight w:val="543"/>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6F62221F" w14:textId="77777777" w:rsidR="00705EC3" w:rsidRPr="007C68A4" w:rsidRDefault="00705EC3" w:rsidP="003C0ECA">
            <w:pPr>
              <w:widowControl/>
              <w:jc w:val="left"/>
              <w:rPr>
                <w:color w:val="000000" w:themeColor="text1"/>
                <w:szCs w:val="21"/>
              </w:rPr>
            </w:pPr>
            <w:r w:rsidRPr="007C68A4">
              <w:rPr>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2C3FF8B"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42F29C6"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0626633"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9F78120"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7219738" w14:textId="77777777" w:rsidR="00705EC3" w:rsidRPr="007C68A4" w:rsidRDefault="00705EC3" w:rsidP="003C0ECA">
            <w:pPr>
              <w:widowControl/>
              <w:jc w:val="left"/>
              <w:rPr>
                <w:color w:val="000000" w:themeColor="text1"/>
                <w:szCs w:val="21"/>
              </w:rPr>
            </w:pPr>
            <w:r w:rsidRPr="007C68A4">
              <w:rPr>
                <w:color w:val="000000" w:themeColor="text1"/>
                <w:szCs w:val="21"/>
              </w:rPr>
              <w:t>发起份额承诺持有期限</w:t>
            </w:r>
          </w:p>
        </w:tc>
      </w:tr>
      <w:tr w:rsidR="00705EC3" w:rsidRPr="007C68A4" w14:paraId="6F5C4927"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586F6B05"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569881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C96BC0F"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32.53%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DB98642"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16060BB"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32.53%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96B95BD"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w:t>
            </w:r>
            <w:r w:rsidRPr="007C68A4">
              <w:rPr>
                <w:color w:val="000000" w:themeColor="text1"/>
                <w:kern w:val="0"/>
                <w:szCs w:val="21"/>
              </w:rPr>
              <w:t>年</w:t>
            </w:r>
          </w:p>
        </w:tc>
      </w:tr>
      <w:tr w:rsidR="00705EC3" w:rsidRPr="007C68A4" w14:paraId="36DFDB5E" w14:textId="77777777" w:rsidTr="003F3DA2">
        <w:trPr>
          <w:trHeight w:val="790"/>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26F40AC" w14:textId="77777777" w:rsidR="00705EC3" w:rsidRPr="007C68A4" w:rsidRDefault="00705EC3" w:rsidP="003C0ECA">
            <w:pPr>
              <w:adjustRightInd w:val="0"/>
              <w:snapToGrid w:val="0"/>
              <w:spacing w:line="360" w:lineRule="exact"/>
              <w:rPr>
                <w:color w:val="000000" w:themeColor="text1"/>
                <w:szCs w:val="21"/>
              </w:rPr>
            </w:pPr>
            <w:r w:rsidRPr="007C68A4">
              <w:rPr>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10E8B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0BC935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D6D48CC"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48E8BEF"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B9B10C9"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7590E3C4"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4EF71CD"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0ED9858"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5FA3DC3"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C203ADC"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B7EB54E"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6FE51B1"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7EE38606"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527EC8B1"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4E61D1E"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AF7FA89"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6535686"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62B3D28"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3D5DF47"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6E21B856"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79998F35"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317EE5A"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81F9D2F"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FDDC72E"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A2EDE8A"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31C4222"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w:t>
            </w:r>
          </w:p>
        </w:tc>
      </w:tr>
      <w:tr w:rsidR="00705EC3" w:rsidRPr="007C68A4" w14:paraId="00C4BCE7" w14:textId="77777777" w:rsidTr="003F3DA2">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1EA9BEF9" w14:textId="77777777" w:rsidR="00705EC3" w:rsidRPr="007C68A4" w:rsidRDefault="00705EC3" w:rsidP="003C0ECA">
            <w:pPr>
              <w:adjustRightInd w:val="0"/>
              <w:snapToGrid w:val="0"/>
              <w:spacing w:line="360" w:lineRule="exact"/>
              <w:jc w:val="left"/>
              <w:rPr>
                <w:color w:val="000000" w:themeColor="text1"/>
                <w:szCs w:val="21"/>
              </w:rPr>
            </w:pPr>
            <w:r w:rsidRPr="007C68A4">
              <w:rPr>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1100715"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EECAC6A"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32.53%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89F14AF"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10,000,097.22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9E93D8F"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32.53%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3EB9BCD" w14:textId="77777777" w:rsidR="00705EC3" w:rsidRPr="007C68A4" w:rsidRDefault="00705EC3" w:rsidP="003C0ECA">
            <w:pPr>
              <w:adjustRightInd w:val="0"/>
              <w:snapToGrid w:val="0"/>
              <w:spacing w:line="360" w:lineRule="exact"/>
              <w:jc w:val="right"/>
              <w:rPr>
                <w:color w:val="000000" w:themeColor="text1"/>
                <w:kern w:val="0"/>
                <w:szCs w:val="21"/>
              </w:rPr>
            </w:pPr>
            <w:r w:rsidRPr="007C68A4">
              <w:rPr>
                <w:color w:val="000000" w:themeColor="text1"/>
                <w:kern w:val="0"/>
                <w:szCs w:val="21"/>
              </w:rPr>
              <w:t>3</w:t>
            </w:r>
            <w:r w:rsidRPr="007C68A4">
              <w:rPr>
                <w:color w:val="000000" w:themeColor="text1"/>
                <w:kern w:val="0"/>
                <w:szCs w:val="21"/>
              </w:rPr>
              <w:t>年</w:t>
            </w:r>
          </w:p>
        </w:tc>
      </w:tr>
    </w:tbl>
    <w:p w14:paraId="168F8A97"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2" w:name="_Toc225500053"/>
      <w:bookmarkStart w:id="93" w:name="_Toc175575300"/>
      <w:r w:rsidRPr="007C68A4">
        <w:rPr>
          <w:b/>
          <w:bCs/>
          <w:color w:val="000000" w:themeColor="text1"/>
          <w:sz w:val="21"/>
          <w:szCs w:val="21"/>
          <w:lang w:val="en-US"/>
        </w:rPr>
        <w:t>9</w:t>
      </w:r>
      <w:r w:rsidR="00E7596B" w:rsidRPr="007C68A4">
        <w:rPr>
          <w:b/>
          <w:bCs/>
          <w:color w:val="000000" w:themeColor="text1"/>
          <w:sz w:val="21"/>
          <w:szCs w:val="21"/>
          <w:lang w:val="en-US"/>
        </w:rPr>
        <w:t xml:space="preserve">  </w:t>
      </w:r>
      <w:r w:rsidRPr="007C68A4">
        <w:rPr>
          <w:b/>
          <w:bCs/>
          <w:color w:val="000000" w:themeColor="text1"/>
          <w:sz w:val="21"/>
          <w:szCs w:val="21"/>
          <w:lang w:val="en-US"/>
        </w:rPr>
        <w:t>开放式基金份额变动</w:t>
      </w:r>
      <w:bookmarkEnd w:id="92"/>
      <w:bookmarkEnd w:id="93"/>
    </w:p>
    <w:p w14:paraId="1BC47DD4" w14:textId="77777777" w:rsidR="005A09F2" w:rsidRPr="007C68A4" w:rsidRDefault="001548F9" w:rsidP="00E5221F">
      <w:pPr>
        <w:jc w:val="right"/>
        <w:rPr>
          <w:color w:val="000000" w:themeColor="text1"/>
          <w:szCs w:val="21"/>
        </w:rPr>
      </w:pPr>
      <w:r w:rsidRPr="007C68A4">
        <w:rPr>
          <w:color w:val="000000" w:themeColor="text1"/>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A929DC" w:rsidRPr="007C68A4" w14:paraId="158CC50E" w14:textId="77777777" w:rsidTr="00A929DC">
        <w:tc>
          <w:tcPr>
            <w:tcW w:w="1771" w:type="pct"/>
            <w:vAlign w:val="center"/>
          </w:tcPr>
          <w:p w14:paraId="5C1BEB1E" w14:textId="77777777" w:rsidR="00A929DC" w:rsidRPr="007C68A4" w:rsidRDefault="00A929DC" w:rsidP="00A929DC">
            <w:pPr>
              <w:spacing w:line="360" w:lineRule="auto"/>
              <w:jc w:val="center"/>
              <w:rPr>
                <w:color w:val="000000" w:themeColor="text1"/>
                <w:szCs w:val="21"/>
              </w:rPr>
            </w:pPr>
            <w:r w:rsidRPr="007C68A4">
              <w:rPr>
                <w:color w:val="000000" w:themeColor="text1"/>
                <w:szCs w:val="21"/>
              </w:rPr>
              <w:t>项目</w:t>
            </w:r>
          </w:p>
        </w:tc>
        <w:tc>
          <w:tcPr>
            <w:tcW w:w="1614" w:type="pct"/>
            <w:vAlign w:val="center"/>
          </w:tcPr>
          <w:p w14:paraId="3617CFD4" w14:textId="77777777"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(QDII)A</w:t>
            </w:r>
          </w:p>
        </w:tc>
        <w:tc>
          <w:tcPr>
            <w:tcW w:w="1615" w:type="pct"/>
            <w:vAlign w:val="center"/>
          </w:tcPr>
          <w:p w14:paraId="4A8CC5CA" w14:textId="77777777"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摩根恒生科技</w:t>
            </w:r>
            <w:r w:rsidRPr="007C68A4">
              <w:rPr>
                <w:rFonts w:eastAsiaTheme="minorEastAsia"/>
                <w:color w:val="000000" w:themeColor="text1"/>
                <w:szCs w:val="21"/>
              </w:rPr>
              <w:t>ETF</w:t>
            </w:r>
            <w:r w:rsidRPr="007C68A4">
              <w:rPr>
                <w:rFonts w:eastAsiaTheme="minorEastAsia"/>
                <w:color w:val="000000" w:themeColor="text1"/>
                <w:szCs w:val="21"/>
              </w:rPr>
              <w:t>发起式联接</w:t>
            </w:r>
            <w:r w:rsidRPr="007C68A4">
              <w:rPr>
                <w:rFonts w:eastAsiaTheme="minorEastAsia"/>
                <w:color w:val="000000" w:themeColor="text1"/>
                <w:szCs w:val="21"/>
              </w:rPr>
              <w:t>(QDII)C</w:t>
            </w:r>
          </w:p>
        </w:tc>
      </w:tr>
      <w:tr w:rsidR="005A09F2" w:rsidRPr="007C68A4" w14:paraId="0160FCF8" w14:textId="77777777" w:rsidTr="004D62FA">
        <w:tc>
          <w:tcPr>
            <w:tcW w:w="1771" w:type="pct"/>
          </w:tcPr>
          <w:p w14:paraId="5470686D" w14:textId="77777777" w:rsidR="005A09F2" w:rsidRPr="007C68A4" w:rsidRDefault="005A09F2" w:rsidP="00E958AE">
            <w:pPr>
              <w:spacing w:line="360" w:lineRule="auto"/>
              <w:rPr>
                <w:color w:val="000000" w:themeColor="text1"/>
                <w:szCs w:val="21"/>
              </w:rPr>
            </w:pPr>
            <w:r w:rsidRPr="007C68A4">
              <w:rPr>
                <w:color w:val="000000" w:themeColor="text1"/>
                <w:szCs w:val="21"/>
              </w:rPr>
              <w:t>基金合同生效日（</w:t>
            </w:r>
            <w:r w:rsidRPr="007C68A4">
              <w:rPr>
                <w:color w:val="000000" w:themeColor="text1"/>
                <w:szCs w:val="21"/>
              </w:rPr>
              <w:t>2023</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18</w:t>
            </w:r>
            <w:r w:rsidRPr="007C68A4">
              <w:rPr>
                <w:color w:val="000000" w:themeColor="text1"/>
                <w:szCs w:val="21"/>
              </w:rPr>
              <w:t>日）基金份额总额</w:t>
            </w:r>
          </w:p>
        </w:tc>
        <w:tc>
          <w:tcPr>
            <w:tcW w:w="1614" w:type="pct"/>
            <w:vAlign w:val="center"/>
          </w:tcPr>
          <w:p w14:paraId="7762FC3B"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1,244,046.62</w:t>
            </w:r>
          </w:p>
        </w:tc>
        <w:tc>
          <w:tcPr>
            <w:tcW w:w="1615" w:type="pct"/>
            <w:vAlign w:val="center"/>
          </w:tcPr>
          <w:p w14:paraId="2B734D16"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19,019,057.99</w:t>
            </w:r>
          </w:p>
        </w:tc>
      </w:tr>
      <w:tr w:rsidR="005A09F2" w:rsidRPr="007C68A4" w14:paraId="5EE30FF3" w14:textId="77777777" w:rsidTr="005A09F2">
        <w:tc>
          <w:tcPr>
            <w:tcW w:w="1771" w:type="pct"/>
            <w:vAlign w:val="center"/>
          </w:tcPr>
          <w:p w14:paraId="00D55D83" w14:textId="77777777" w:rsidR="005A09F2" w:rsidRPr="007C68A4" w:rsidRDefault="005A09F2" w:rsidP="005A09F2">
            <w:pPr>
              <w:spacing w:line="360" w:lineRule="auto"/>
              <w:rPr>
                <w:color w:val="000000" w:themeColor="text1"/>
                <w:szCs w:val="21"/>
              </w:rPr>
            </w:pPr>
            <w:r w:rsidRPr="007C68A4">
              <w:rPr>
                <w:color w:val="000000" w:themeColor="text1"/>
                <w:szCs w:val="21"/>
              </w:rPr>
              <w:t>本报告期期初基金份额总额</w:t>
            </w:r>
          </w:p>
        </w:tc>
        <w:tc>
          <w:tcPr>
            <w:tcW w:w="1614" w:type="pct"/>
            <w:vAlign w:val="bottom"/>
          </w:tcPr>
          <w:p w14:paraId="14710C89"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3,844,490.35</w:t>
            </w:r>
          </w:p>
        </w:tc>
        <w:tc>
          <w:tcPr>
            <w:tcW w:w="1615" w:type="pct"/>
            <w:vAlign w:val="bottom"/>
          </w:tcPr>
          <w:p w14:paraId="4FFAAD9C"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34,035,940.74</w:t>
            </w:r>
          </w:p>
        </w:tc>
      </w:tr>
      <w:tr w:rsidR="005A09F2" w:rsidRPr="007C68A4" w14:paraId="71F2D384" w14:textId="77777777" w:rsidTr="005A09F2">
        <w:tc>
          <w:tcPr>
            <w:tcW w:w="1771" w:type="pct"/>
            <w:vAlign w:val="center"/>
          </w:tcPr>
          <w:p w14:paraId="47E7D05E" w14:textId="77777777" w:rsidR="005A09F2" w:rsidRPr="007C68A4" w:rsidRDefault="005A09F2" w:rsidP="005A09F2">
            <w:pPr>
              <w:spacing w:line="360" w:lineRule="auto"/>
              <w:rPr>
                <w:color w:val="000000" w:themeColor="text1"/>
                <w:szCs w:val="21"/>
              </w:rPr>
            </w:pPr>
            <w:r w:rsidRPr="007C68A4">
              <w:rPr>
                <w:color w:val="000000" w:themeColor="text1"/>
                <w:szCs w:val="21"/>
              </w:rPr>
              <w:t>本报告期基金总申购份额</w:t>
            </w:r>
          </w:p>
        </w:tc>
        <w:tc>
          <w:tcPr>
            <w:tcW w:w="1614" w:type="pct"/>
            <w:vAlign w:val="bottom"/>
          </w:tcPr>
          <w:p w14:paraId="23317FFD"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4,121,505.46</w:t>
            </w:r>
          </w:p>
        </w:tc>
        <w:tc>
          <w:tcPr>
            <w:tcW w:w="1615" w:type="pct"/>
            <w:vAlign w:val="bottom"/>
          </w:tcPr>
          <w:p w14:paraId="3D07DE95"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32,591,394.53</w:t>
            </w:r>
          </w:p>
        </w:tc>
      </w:tr>
      <w:tr w:rsidR="005A09F2" w:rsidRPr="007C68A4" w14:paraId="6E17181A" w14:textId="77777777" w:rsidTr="005A09F2">
        <w:tc>
          <w:tcPr>
            <w:tcW w:w="1771" w:type="pct"/>
            <w:vAlign w:val="center"/>
          </w:tcPr>
          <w:p w14:paraId="0BA9638C" w14:textId="77777777" w:rsidR="005A09F2" w:rsidRPr="007C68A4" w:rsidRDefault="005A09F2" w:rsidP="005A09F2">
            <w:pPr>
              <w:spacing w:line="360" w:lineRule="auto"/>
              <w:rPr>
                <w:color w:val="000000" w:themeColor="text1"/>
                <w:szCs w:val="21"/>
              </w:rPr>
            </w:pPr>
            <w:r w:rsidRPr="007C68A4">
              <w:rPr>
                <w:color w:val="000000" w:themeColor="text1"/>
                <w:szCs w:val="21"/>
              </w:rPr>
              <w:t>减：本报告期基金总赎回份额</w:t>
            </w:r>
          </w:p>
        </w:tc>
        <w:tc>
          <w:tcPr>
            <w:tcW w:w="1614" w:type="pct"/>
            <w:vAlign w:val="bottom"/>
          </w:tcPr>
          <w:p w14:paraId="7C5C973F"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3,296,480.51</w:t>
            </w:r>
          </w:p>
        </w:tc>
        <w:tc>
          <w:tcPr>
            <w:tcW w:w="1615" w:type="pct"/>
            <w:vAlign w:val="bottom"/>
          </w:tcPr>
          <w:p w14:paraId="07233E3B"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40,552,173.65</w:t>
            </w:r>
          </w:p>
        </w:tc>
      </w:tr>
      <w:tr w:rsidR="005A09F2" w:rsidRPr="007C68A4" w14:paraId="0B747321" w14:textId="77777777" w:rsidTr="005A09F2">
        <w:tc>
          <w:tcPr>
            <w:tcW w:w="1771" w:type="pct"/>
            <w:vAlign w:val="center"/>
          </w:tcPr>
          <w:p w14:paraId="07047FE8" w14:textId="77777777" w:rsidR="005A09F2" w:rsidRPr="007C68A4" w:rsidRDefault="005A09F2" w:rsidP="005A09F2">
            <w:pPr>
              <w:spacing w:line="360" w:lineRule="auto"/>
              <w:rPr>
                <w:color w:val="000000" w:themeColor="text1"/>
                <w:szCs w:val="21"/>
              </w:rPr>
            </w:pPr>
            <w:r w:rsidRPr="007C68A4">
              <w:rPr>
                <w:color w:val="000000" w:themeColor="text1"/>
                <w:szCs w:val="21"/>
              </w:rPr>
              <w:lastRenderedPageBreak/>
              <w:t>本报告期基金拆分变动份额</w:t>
            </w:r>
          </w:p>
        </w:tc>
        <w:tc>
          <w:tcPr>
            <w:tcW w:w="1614" w:type="pct"/>
            <w:vAlign w:val="bottom"/>
          </w:tcPr>
          <w:p w14:paraId="52AB8E78"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w:t>
            </w:r>
          </w:p>
        </w:tc>
        <w:tc>
          <w:tcPr>
            <w:tcW w:w="1615" w:type="pct"/>
            <w:vAlign w:val="bottom"/>
          </w:tcPr>
          <w:p w14:paraId="1A856B5C"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w:t>
            </w:r>
          </w:p>
        </w:tc>
      </w:tr>
      <w:tr w:rsidR="005A09F2" w:rsidRPr="007C68A4" w14:paraId="51D1ABDC" w14:textId="77777777" w:rsidTr="005A09F2">
        <w:tc>
          <w:tcPr>
            <w:tcW w:w="1771" w:type="pct"/>
            <w:vAlign w:val="center"/>
          </w:tcPr>
          <w:p w14:paraId="0D717024" w14:textId="77777777" w:rsidR="005A09F2" w:rsidRPr="007C68A4" w:rsidRDefault="005A09F2" w:rsidP="005A09F2">
            <w:pPr>
              <w:spacing w:line="360" w:lineRule="auto"/>
              <w:rPr>
                <w:color w:val="000000" w:themeColor="text1"/>
                <w:szCs w:val="21"/>
              </w:rPr>
            </w:pPr>
            <w:r w:rsidRPr="007C68A4">
              <w:rPr>
                <w:color w:val="000000" w:themeColor="text1"/>
                <w:szCs w:val="21"/>
              </w:rPr>
              <w:t>本报告期期末基金份额总额</w:t>
            </w:r>
          </w:p>
        </w:tc>
        <w:tc>
          <w:tcPr>
            <w:tcW w:w="1614" w:type="pct"/>
            <w:vAlign w:val="center"/>
          </w:tcPr>
          <w:p w14:paraId="53E7BC90"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4,669,515.30</w:t>
            </w:r>
          </w:p>
        </w:tc>
        <w:tc>
          <w:tcPr>
            <w:tcW w:w="1615" w:type="pct"/>
            <w:vAlign w:val="center"/>
          </w:tcPr>
          <w:p w14:paraId="7C39D5F2" w14:textId="77777777" w:rsidR="005A09F2" w:rsidRPr="007C68A4" w:rsidRDefault="005A09F2" w:rsidP="004D62FA">
            <w:pPr>
              <w:spacing w:line="360" w:lineRule="auto"/>
              <w:jc w:val="right"/>
              <w:rPr>
                <w:color w:val="000000" w:themeColor="text1"/>
                <w:szCs w:val="21"/>
              </w:rPr>
            </w:pPr>
            <w:r w:rsidRPr="007C68A4">
              <w:rPr>
                <w:color w:val="000000" w:themeColor="text1"/>
                <w:szCs w:val="21"/>
              </w:rPr>
              <w:t>26,075,161.62</w:t>
            </w:r>
          </w:p>
        </w:tc>
      </w:tr>
    </w:tbl>
    <w:p w14:paraId="73BAF601"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4" w:name="_Toc225500054"/>
      <w:bookmarkStart w:id="95" w:name="_Toc175575301"/>
      <w:r w:rsidRPr="007C68A4">
        <w:rPr>
          <w:b/>
          <w:bCs/>
          <w:color w:val="000000" w:themeColor="text1"/>
          <w:sz w:val="21"/>
          <w:szCs w:val="21"/>
          <w:lang w:val="en-US"/>
        </w:rPr>
        <w:t xml:space="preserve">10  </w:t>
      </w:r>
      <w:r w:rsidRPr="007C68A4">
        <w:rPr>
          <w:b/>
          <w:bCs/>
          <w:color w:val="000000" w:themeColor="text1"/>
          <w:sz w:val="21"/>
          <w:szCs w:val="21"/>
          <w:lang w:val="en-US"/>
        </w:rPr>
        <w:t>重大事件揭示</w:t>
      </w:r>
      <w:bookmarkEnd w:id="94"/>
      <w:bookmarkEnd w:id="95"/>
    </w:p>
    <w:p w14:paraId="667C7175"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96" w:name="_Toc361324894"/>
      <w:bookmarkStart w:id="97" w:name="_Toc374438161"/>
      <w:bookmarkStart w:id="98" w:name="_Toc175575302"/>
      <w:bookmarkStart w:id="99" w:name="_Toc249760071"/>
      <w:r w:rsidRPr="007C68A4">
        <w:rPr>
          <w:rFonts w:ascii="Times New Roman" w:eastAsiaTheme="minorEastAsia" w:hAnsi="Times New Roman"/>
          <w:color w:val="000000" w:themeColor="text1"/>
          <w:kern w:val="0"/>
          <w:sz w:val="21"/>
          <w:szCs w:val="21"/>
        </w:rPr>
        <w:t>10.1</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基金份额持有人大会决议</w:t>
      </w:r>
      <w:bookmarkEnd w:id="96"/>
      <w:bookmarkEnd w:id="97"/>
      <w:bookmarkEnd w:id="98"/>
    </w:p>
    <w:p w14:paraId="4F198153"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本报告期内无基金份额持有人大会决议。</w:t>
      </w:r>
    </w:p>
    <w:p w14:paraId="2083359B"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0" w:name="_Toc361324895"/>
      <w:bookmarkStart w:id="101" w:name="_Toc374438162"/>
      <w:bookmarkStart w:id="102" w:name="_Toc175575303"/>
      <w:r w:rsidRPr="007C68A4">
        <w:rPr>
          <w:rFonts w:ascii="Times New Roman" w:eastAsiaTheme="minorEastAsia" w:hAnsi="Times New Roman"/>
          <w:color w:val="000000" w:themeColor="text1"/>
          <w:kern w:val="0"/>
          <w:sz w:val="21"/>
          <w:szCs w:val="21"/>
        </w:rPr>
        <w:t>10.2</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基金管理人、基金托管人的专门基金托管部门的重大人事变动</w:t>
      </w:r>
      <w:bookmarkEnd w:id="100"/>
      <w:bookmarkEnd w:id="101"/>
      <w:bookmarkEnd w:id="102"/>
    </w:p>
    <w:p w14:paraId="64AC36BA" w14:textId="77777777" w:rsidR="00FA3CB3" w:rsidRDefault="00052A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3DBC58FC" w14:textId="77777777" w:rsidR="00FA3CB3" w:rsidRDefault="00052A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7DAE8619" w14:textId="77777777" w:rsidR="00FA3CB3" w:rsidRDefault="00052A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2B5B6305"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本报告期基金托管人的专门基金托管部门无重大人事变动。</w:t>
      </w:r>
    </w:p>
    <w:p w14:paraId="6BF28D0E"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3" w:name="_Toc361324896"/>
      <w:bookmarkStart w:id="104" w:name="_Toc374438163"/>
      <w:bookmarkStart w:id="105" w:name="_Toc175575304"/>
      <w:r w:rsidRPr="007C68A4">
        <w:rPr>
          <w:rFonts w:ascii="Times New Roman" w:eastAsiaTheme="minorEastAsia" w:hAnsi="Times New Roman"/>
          <w:color w:val="000000" w:themeColor="text1"/>
          <w:kern w:val="0"/>
          <w:sz w:val="21"/>
          <w:szCs w:val="21"/>
        </w:rPr>
        <w:t>10.3</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涉及基金管理人、基金财产、基金托管业务的诉讼</w:t>
      </w:r>
      <w:bookmarkEnd w:id="103"/>
      <w:bookmarkEnd w:id="104"/>
      <w:bookmarkEnd w:id="105"/>
    </w:p>
    <w:p w14:paraId="531A54E9"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本报告期内无涉及基金管理人、基金财产、基金托管业务的诉讼。</w:t>
      </w:r>
    </w:p>
    <w:p w14:paraId="34384E2E"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6" w:name="_Toc361324897"/>
      <w:bookmarkStart w:id="107" w:name="_Toc374438164"/>
      <w:bookmarkStart w:id="108" w:name="_Toc175575305"/>
      <w:r w:rsidRPr="007C68A4">
        <w:rPr>
          <w:rFonts w:ascii="Times New Roman" w:eastAsiaTheme="minorEastAsia" w:hAnsi="Times New Roman"/>
          <w:color w:val="000000" w:themeColor="text1"/>
          <w:kern w:val="0"/>
          <w:sz w:val="21"/>
          <w:szCs w:val="21"/>
        </w:rPr>
        <w:t>10.4</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基金投资策略的改变</w:t>
      </w:r>
      <w:bookmarkEnd w:id="106"/>
      <w:bookmarkEnd w:id="107"/>
      <w:bookmarkEnd w:id="108"/>
    </w:p>
    <w:p w14:paraId="6F1C04E3" w14:textId="77777777"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本报告期内无基金投资策略的改变。</w:t>
      </w:r>
    </w:p>
    <w:p w14:paraId="20F471ED"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9" w:name="_Toc409100466"/>
      <w:bookmarkStart w:id="110" w:name="_Toc409100103"/>
      <w:bookmarkStart w:id="111" w:name="_Toc175575306"/>
      <w:r w:rsidRPr="007C68A4">
        <w:rPr>
          <w:rFonts w:ascii="Times New Roman" w:eastAsiaTheme="minorEastAsia" w:hAnsi="Times New Roman"/>
          <w:color w:val="000000" w:themeColor="text1"/>
          <w:kern w:val="0"/>
          <w:sz w:val="21"/>
          <w:szCs w:val="21"/>
        </w:rPr>
        <w:t>10.5</w:t>
      </w:r>
      <w:r w:rsidRPr="007C68A4">
        <w:rPr>
          <w:rFonts w:ascii="Times New Roman" w:eastAsiaTheme="minorEastAsia" w:hAnsi="Times New Roman"/>
          <w:color w:val="000000" w:themeColor="text1"/>
          <w:kern w:val="0"/>
          <w:sz w:val="21"/>
          <w:szCs w:val="21"/>
        </w:rPr>
        <w:t>为基金</w:t>
      </w:r>
      <w:r w:rsidRPr="007C68A4">
        <w:rPr>
          <w:rFonts w:ascii="Times New Roman" w:eastAsiaTheme="minorEastAsia" w:hAnsi="Times New Roman"/>
          <w:color w:val="000000" w:themeColor="text1"/>
          <w:sz w:val="21"/>
          <w:szCs w:val="21"/>
        </w:rPr>
        <w:t>进行审计的会计师事务所情况</w:t>
      </w:r>
      <w:bookmarkEnd w:id="109"/>
      <w:bookmarkEnd w:id="110"/>
      <w:bookmarkEnd w:id="111"/>
    </w:p>
    <w:p w14:paraId="5CC35581" w14:textId="77777777" w:rsidR="0043295F" w:rsidRPr="007C68A4" w:rsidRDefault="0043295F" w:rsidP="0043295F">
      <w:pPr>
        <w:spacing w:line="360" w:lineRule="auto"/>
        <w:ind w:firstLineChars="200" w:firstLine="420"/>
        <w:rPr>
          <w:rFonts w:eastAsiaTheme="minorEastAsia"/>
          <w:color w:val="000000" w:themeColor="text1"/>
          <w:szCs w:val="21"/>
        </w:rPr>
      </w:pPr>
      <w:bookmarkStart w:id="112" w:name="OLE_LINK3"/>
      <w:r w:rsidRPr="007C68A4">
        <w:rPr>
          <w:rFonts w:eastAsiaTheme="minorEastAsia"/>
          <w:color w:val="000000" w:themeColor="text1"/>
          <w:szCs w:val="21"/>
        </w:rPr>
        <w:t>本报告期内，本基金未发生改聘为其审计的会计师事务所的情况。</w:t>
      </w:r>
    </w:p>
    <w:p w14:paraId="4CB42FD9"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13" w:name="_Toc409100104"/>
      <w:bookmarkStart w:id="114" w:name="_Toc64625426"/>
      <w:bookmarkStart w:id="115" w:name="_Toc361324899"/>
      <w:bookmarkStart w:id="116" w:name="_Toc409100467"/>
      <w:bookmarkStart w:id="117" w:name="_Toc175575307"/>
      <w:bookmarkStart w:id="118" w:name="_Toc361324900"/>
      <w:bookmarkStart w:id="119" w:name="_Toc409100468"/>
      <w:bookmarkStart w:id="120" w:name="_Toc409100105"/>
      <w:bookmarkEnd w:id="11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3"/>
      <w:bookmarkEnd w:id="114"/>
      <w:bookmarkEnd w:id="115"/>
      <w:bookmarkEnd w:id="116"/>
      <w:bookmarkEnd w:id="117"/>
    </w:p>
    <w:p w14:paraId="379C6695"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21" w:name="_Toc17557530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1"/>
    </w:p>
    <w:p w14:paraId="0618384D" w14:textId="77777777"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A34911A" w14:textId="77777777" w:rsidR="00C40455" w:rsidRPr="006D6271" w:rsidRDefault="00C40455" w:rsidP="00C40455">
      <w:pPr>
        <w:pStyle w:val="20"/>
        <w:spacing w:before="0" w:after="0"/>
        <w:rPr>
          <w:rFonts w:ascii="Times New Roman" w:eastAsiaTheme="minorEastAsia" w:hAnsi="Times New Roman"/>
          <w:kern w:val="0"/>
          <w:sz w:val="21"/>
          <w:szCs w:val="21"/>
        </w:rPr>
      </w:pPr>
      <w:bookmarkStart w:id="122" w:name="_Toc17557530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2"/>
    </w:p>
    <w:p w14:paraId="7DAF75F2" w14:textId="77777777"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4F4CCD82" w14:textId="77777777"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23" w:name="_Toc175575310"/>
      <w:r w:rsidRPr="007C68A4">
        <w:rPr>
          <w:rFonts w:ascii="Times New Roman" w:eastAsiaTheme="minorEastAsia" w:hAnsi="Times New Roman"/>
          <w:color w:val="000000" w:themeColor="text1"/>
          <w:kern w:val="0"/>
          <w:sz w:val="21"/>
          <w:szCs w:val="21"/>
        </w:rPr>
        <w:t>10.7</w:t>
      </w:r>
      <w:r w:rsidRPr="007C68A4">
        <w:rPr>
          <w:rFonts w:ascii="Times New Roman" w:eastAsiaTheme="minorEastAsia" w:hAnsi="Times New Roman"/>
          <w:color w:val="000000" w:themeColor="text1"/>
          <w:kern w:val="0"/>
          <w:sz w:val="21"/>
          <w:szCs w:val="21"/>
        </w:rPr>
        <w:t>基金租用证券公司交易单元的有关情况</w:t>
      </w:r>
      <w:bookmarkEnd w:id="118"/>
      <w:bookmarkEnd w:id="119"/>
      <w:bookmarkEnd w:id="120"/>
      <w:bookmarkEnd w:id="123"/>
    </w:p>
    <w:p w14:paraId="5074D329" w14:textId="77777777" w:rsidR="0043295F" w:rsidRPr="007C68A4" w:rsidRDefault="0043295F" w:rsidP="0043295F">
      <w:pPr>
        <w:spacing w:line="360" w:lineRule="auto"/>
        <w:rPr>
          <w:rFonts w:eastAsiaTheme="minorEastAsia"/>
          <w:b/>
          <w:color w:val="000000" w:themeColor="text1"/>
          <w:szCs w:val="21"/>
        </w:rPr>
      </w:pPr>
      <w:bookmarkStart w:id="124" w:name="_Toc249760070"/>
      <w:r w:rsidRPr="007C68A4">
        <w:rPr>
          <w:rFonts w:eastAsiaTheme="minorEastAsia"/>
          <w:b/>
          <w:bCs/>
          <w:color w:val="000000" w:themeColor="text1"/>
          <w:kern w:val="0"/>
          <w:szCs w:val="21"/>
        </w:rPr>
        <w:t>10.7.1</w:t>
      </w:r>
      <w:r w:rsidRPr="007C68A4">
        <w:rPr>
          <w:rFonts w:eastAsiaTheme="minorEastAsia"/>
          <w:b/>
          <w:bCs/>
          <w:color w:val="000000" w:themeColor="text1"/>
          <w:kern w:val="0"/>
          <w:szCs w:val="21"/>
        </w:rPr>
        <w:t>基金租用</w:t>
      </w:r>
      <w:r w:rsidRPr="007C68A4">
        <w:rPr>
          <w:rFonts w:eastAsiaTheme="minorEastAsia"/>
          <w:b/>
          <w:color w:val="000000" w:themeColor="text1"/>
          <w:szCs w:val="21"/>
        </w:rPr>
        <w:t>证券公司交易单元进行股票投资及佣金支付情况</w:t>
      </w:r>
      <w:bookmarkEnd w:id="124"/>
    </w:p>
    <w:p w14:paraId="2CD5AB0E" w14:textId="77777777" w:rsidR="0043295F" w:rsidRPr="007C68A4" w:rsidRDefault="0043295F" w:rsidP="0043295F">
      <w:pPr>
        <w:pStyle w:val="a0"/>
        <w:spacing w:line="360" w:lineRule="auto"/>
        <w:ind w:firstLineChars="2600" w:firstLine="5460"/>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3295F" w:rsidRPr="007C68A4" w14:paraId="30CC0250" w14:textId="77777777" w:rsidTr="006358BF">
        <w:tc>
          <w:tcPr>
            <w:tcW w:w="1560" w:type="dxa"/>
            <w:vMerge w:val="restart"/>
            <w:vAlign w:val="center"/>
          </w:tcPr>
          <w:p w14:paraId="1C1005CA"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券商名称</w:t>
            </w:r>
          </w:p>
        </w:tc>
        <w:tc>
          <w:tcPr>
            <w:tcW w:w="780" w:type="dxa"/>
            <w:vMerge w:val="restart"/>
            <w:vAlign w:val="center"/>
          </w:tcPr>
          <w:p w14:paraId="2DBAD7B9"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交易单元数量</w:t>
            </w:r>
          </w:p>
        </w:tc>
        <w:tc>
          <w:tcPr>
            <w:tcW w:w="2880" w:type="dxa"/>
            <w:gridSpan w:val="2"/>
            <w:vAlign w:val="center"/>
          </w:tcPr>
          <w:p w14:paraId="73F296AA"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股票交易</w:t>
            </w:r>
          </w:p>
        </w:tc>
        <w:tc>
          <w:tcPr>
            <w:tcW w:w="2700" w:type="dxa"/>
            <w:gridSpan w:val="2"/>
            <w:vAlign w:val="center"/>
          </w:tcPr>
          <w:p w14:paraId="3C8AFC62"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应支付该券商的佣金</w:t>
            </w:r>
          </w:p>
        </w:tc>
        <w:tc>
          <w:tcPr>
            <w:tcW w:w="1080" w:type="dxa"/>
            <w:vMerge w:val="restart"/>
            <w:vAlign w:val="center"/>
          </w:tcPr>
          <w:p w14:paraId="3B01028F" w14:textId="77777777"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备注</w:t>
            </w:r>
          </w:p>
        </w:tc>
      </w:tr>
      <w:tr w:rsidR="0043295F" w:rsidRPr="007C68A4" w14:paraId="7F9E9D1F" w14:textId="77777777" w:rsidTr="006358BF">
        <w:tc>
          <w:tcPr>
            <w:tcW w:w="1560" w:type="dxa"/>
            <w:vMerge/>
            <w:vAlign w:val="center"/>
          </w:tcPr>
          <w:p w14:paraId="1D819327" w14:textId="77777777" w:rsidR="0043295F" w:rsidRPr="007C68A4" w:rsidRDefault="0043295F" w:rsidP="006358BF">
            <w:pPr>
              <w:widowControl/>
              <w:spacing w:line="276" w:lineRule="auto"/>
              <w:jc w:val="left"/>
              <w:rPr>
                <w:rFonts w:eastAsiaTheme="minorEastAsia"/>
                <w:color w:val="000000" w:themeColor="text1"/>
                <w:szCs w:val="21"/>
              </w:rPr>
            </w:pPr>
          </w:p>
        </w:tc>
        <w:tc>
          <w:tcPr>
            <w:tcW w:w="780" w:type="dxa"/>
            <w:vMerge/>
            <w:vAlign w:val="center"/>
          </w:tcPr>
          <w:p w14:paraId="0EF6FBB7" w14:textId="77777777" w:rsidR="0043295F" w:rsidRPr="007C68A4" w:rsidRDefault="0043295F" w:rsidP="006358BF">
            <w:pPr>
              <w:widowControl/>
              <w:spacing w:line="276" w:lineRule="auto"/>
              <w:jc w:val="left"/>
              <w:rPr>
                <w:rFonts w:eastAsiaTheme="minorEastAsia"/>
                <w:color w:val="000000" w:themeColor="text1"/>
                <w:szCs w:val="21"/>
              </w:rPr>
            </w:pPr>
          </w:p>
        </w:tc>
        <w:tc>
          <w:tcPr>
            <w:tcW w:w="1800" w:type="dxa"/>
            <w:vAlign w:val="center"/>
          </w:tcPr>
          <w:p w14:paraId="342345F7"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成交金额</w:t>
            </w:r>
          </w:p>
        </w:tc>
        <w:tc>
          <w:tcPr>
            <w:tcW w:w="1080" w:type="dxa"/>
            <w:vAlign w:val="center"/>
          </w:tcPr>
          <w:p w14:paraId="483FEE32"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占当期股票成交总额的比例</w:t>
            </w:r>
          </w:p>
        </w:tc>
        <w:tc>
          <w:tcPr>
            <w:tcW w:w="1620" w:type="dxa"/>
            <w:vAlign w:val="center"/>
          </w:tcPr>
          <w:p w14:paraId="57A1C95B" w14:textId="77777777"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佣金</w:t>
            </w:r>
          </w:p>
        </w:tc>
        <w:tc>
          <w:tcPr>
            <w:tcW w:w="1080" w:type="dxa"/>
            <w:vAlign w:val="center"/>
          </w:tcPr>
          <w:p w14:paraId="74B6960D" w14:textId="77777777"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占当期佣金总量的比例</w:t>
            </w:r>
          </w:p>
        </w:tc>
        <w:tc>
          <w:tcPr>
            <w:tcW w:w="1080" w:type="dxa"/>
            <w:vMerge/>
            <w:vAlign w:val="center"/>
          </w:tcPr>
          <w:p w14:paraId="1BA76371" w14:textId="77777777" w:rsidR="0043295F" w:rsidRPr="007C68A4" w:rsidRDefault="0043295F" w:rsidP="006358BF">
            <w:pPr>
              <w:widowControl/>
              <w:spacing w:line="276" w:lineRule="auto"/>
              <w:jc w:val="left"/>
              <w:rPr>
                <w:rFonts w:eastAsiaTheme="minorEastAsia"/>
                <w:color w:val="000000" w:themeColor="text1"/>
                <w:kern w:val="0"/>
                <w:szCs w:val="21"/>
              </w:rPr>
            </w:pPr>
          </w:p>
        </w:tc>
      </w:tr>
      <w:tr w:rsidR="00FA3CB3" w14:paraId="3C59EE95" w14:textId="77777777">
        <w:tc>
          <w:tcPr>
            <w:tcW w:w="1560" w:type="dxa"/>
            <w:vAlign w:val="center"/>
          </w:tcPr>
          <w:p w14:paraId="02FE9B83" w14:textId="77777777" w:rsidR="00FA3CB3" w:rsidRDefault="00052A0D">
            <w:pPr>
              <w:jc w:val="left"/>
            </w:pPr>
            <w:r>
              <w:rPr>
                <w:rFonts w:eastAsiaTheme="minorEastAsia"/>
                <w:color w:val="000000" w:themeColor="text1"/>
                <w:szCs w:val="21"/>
              </w:rPr>
              <w:t>申万宏源证券</w:t>
            </w:r>
          </w:p>
        </w:tc>
        <w:tc>
          <w:tcPr>
            <w:tcW w:w="780" w:type="dxa"/>
            <w:vAlign w:val="center"/>
          </w:tcPr>
          <w:p w14:paraId="7CA09DC5" w14:textId="77777777" w:rsidR="00FA3CB3" w:rsidRDefault="00052A0D">
            <w:pPr>
              <w:jc w:val="right"/>
            </w:pPr>
            <w:r>
              <w:rPr>
                <w:rFonts w:eastAsiaTheme="minorEastAsia"/>
                <w:color w:val="000000" w:themeColor="text1"/>
                <w:szCs w:val="21"/>
              </w:rPr>
              <w:t>1</w:t>
            </w:r>
          </w:p>
        </w:tc>
        <w:tc>
          <w:tcPr>
            <w:tcW w:w="1800" w:type="dxa"/>
            <w:vAlign w:val="center"/>
          </w:tcPr>
          <w:p w14:paraId="38D17CB7" w14:textId="77777777" w:rsidR="00FA3CB3" w:rsidRDefault="00052A0D">
            <w:pPr>
              <w:jc w:val="right"/>
            </w:pPr>
            <w:r>
              <w:rPr>
                <w:rFonts w:eastAsiaTheme="minorEastAsia"/>
                <w:color w:val="000000" w:themeColor="text1"/>
                <w:szCs w:val="21"/>
              </w:rPr>
              <w:t>-</w:t>
            </w:r>
          </w:p>
        </w:tc>
        <w:tc>
          <w:tcPr>
            <w:tcW w:w="1080" w:type="dxa"/>
            <w:vAlign w:val="center"/>
          </w:tcPr>
          <w:p w14:paraId="57AA437C" w14:textId="77777777" w:rsidR="00FA3CB3" w:rsidRDefault="00052A0D">
            <w:pPr>
              <w:jc w:val="right"/>
            </w:pPr>
            <w:r>
              <w:rPr>
                <w:rFonts w:eastAsiaTheme="minorEastAsia"/>
                <w:color w:val="000000" w:themeColor="text1"/>
                <w:szCs w:val="21"/>
              </w:rPr>
              <w:t>-</w:t>
            </w:r>
          </w:p>
        </w:tc>
        <w:tc>
          <w:tcPr>
            <w:tcW w:w="1620" w:type="dxa"/>
            <w:vAlign w:val="center"/>
          </w:tcPr>
          <w:p w14:paraId="39EBBF11" w14:textId="77777777" w:rsidR="00FA3CB3" w:rsidRDefault="00052A0D">
            <w:pPr>
              <w:jc w:val="right"/>
            </w:pPr>
            <w:r>
              <w:rPr>
                <w:rFonts w:eastAsiaTheme="minorEastAsia"/>
                <w:color w:val="000000" w:themeColor="text1"/>
                <w:szCs w:val="21"/>
              </w:rPr>
              <w:t>-</w:t>
            </w:r>
          </w:p>
        </w:tc>
        <w:tc>
          <w:tcPr>
            <w:tcW w:w="1080" w:type="dxa"/>
            <w:vAlign w:val="center"/>
          </w:tcPr>
          <w:p w14:paraId="240DD2E8" w14:textId="77777777" w:rsidR="00FA3CB3" w:rsidRDefault="00052A0D">
            <w:pPr>
              <w:jc w:val="right"/>
            </w:pPr>
            <w:r>
              <w:rPr>
                <w:rFonts w:eastAsiaTheme="minorEastAsia"/>
                <w:color w:val="000000" w:themeColor="text1"/>
                <w:szCs w:val="21"/>
              </w:rPr>
              <w:t>-</w:t>
            </w:r>
          </w:p>
        </w:tc>
        <w:tc>
          <w:tcPr>
            <w:tcW w:w="1080" w:type="dxa"/>
            <w:vAlign w:val="center"/>
          </w:tcPr>
          <w:p w14:paraId="4160DF0E" w14:textId="77777777" w:rsidR="00FA3CB3" w:rsidRDefault="00052A0D">
            <w:pPr>
              <w:jc w:val="left"/>
            </w:pPr>
            <w:r>
              <w:rPr>
                <w:rFonts w:eastAsiaTheme="minorEastAsia"/>
                <w:color w:val="000000" w:themeColor="text1"/>
                <w:szCs w:val="21"/>
              </w:rPr>
              <w:t>-</w:t>
            </w:r>
          </w:p>
        </w:tc>
      </w:tr>
    </w:tbl>
    <w:p w14:paraId="6122A371"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w:t>
      </w:r>
      <w:r>
        <w:rPr>
          <w:rFonts w:eastAsiaTheme="minorEastAsia"/>
          <w:color w:val="000000" w:themeColor="text1"/>
          <w:szCs w:val="21"/>
        </w:rPr>
        <w:lastRenderedPageBreak/>
        <w:t>经手费和适用期间内由券商承担的证券结算风险基金后的净额列示。</w:t>
      </w:r>
    </w:p>
    <w:p w14:paraId="08E513AD"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7307D5B"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A45FE05"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6A2F1095"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A9C0D41"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FB54A62"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28F36E4A"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DDADAD0"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0090D70" w14:textId="77777777" w:rsidR="00FA3CB3" w:rsidRDefault="00052A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6558484" w14:textId="77777777" w:rsidR="0043295F" w:rsidRPr="007C68A4" w:rsidRDefault="0043295F" w:rsidP="0043295F">
      <w:pPr>
        <w:autoSpaceDE w:val="0"/>
        <w:autoSpaceDN w:val="0"/>
        <w:adjustRightInd w:val="0"/>
        <w:spacing w:line="360" w:lineRule="auto"/>
        <w:ind w:firstLineChars="200" w:firstLine="420"/>
        <w:jc w:val="left"/>
        <w:rPr>
          <w:rFonts w:eastAsiaTheme="minorEastAsia"/>
          <w:color w:val="000000" w:themeColor="text1"/>
          <w:szCs w:val="21"/>
        </w:rPr>
      </w:pPr>
      <w:r w:rsidRPr="007C68A4">
        <w:rPr>
          <w:rFonts w:eastAsiaTheme="minorEastAsia"/>
          <w:color w:val="000000" w:themeColor="text1"/>
          <w:szCs w:val="21"/>
        </w:rPr>
        <w:t xml:space="preserve">4. </w:t>
      </w:r>
      <w:r w:rsidRPr="007C68A4">
        <w:rPr>
          <w:rFonts w:eastAsiaTheme="minorEastAsia"/>
          <w:color w:val="000000" w:themeColor="text1"/>
          <w:szCs w:val="21"/>
        </w:rPr>
        <w:t>本期无新增席位，无注销席位。</w:t>
      </w:r>
    </w:p>
    <w:p w14:paraId="39C97520" w14:textId="77777777" w:rsidR="001548F9" w:rsidRPr="007C68A4" w:rsidRDefault="0043295F" w:rsidP="0043295F">
      <w:pPr>
        <w:spacing w:line="360" w:lineRule="auto"/>
        <w:rPr>
          <w:b/>
          <w:color w:val="000000" w:themeColor="text1"/>
          <w:szCs w:val="21"/>
        </w:rPr>
      </w:pPr>
      <w:r w:rsidRPr="007C68A4">
        <w:rPr>
          <w:rFonts w:eastAsiaTheme="minorEastAsia"/>
          <w:b/>
          <w:color w:val="000000" w:themeColor="text1"/>
          <w:szCs w:val="21"/>
        </w:rPr>
        <w:t xml:space="preserve">10.7.2 </w:t>
      </w:r>
      <w:r w:rsidRPr="007C68A4">
        <w:rPr>
          <w:rFonts w:eastAsiaTheme="minorEastAsia"/>
          <w:b/>
          <w:color w:val="000000" w:themeColor="text1"/>
          <w:szCs w:val="21"/>
        </w:rPr>
        <w:t>基金租用证券公司交易单元进行其他证券投资</w:t>
      </w:r>
      <w:r w:rsidR="001548F9" w:rsidRPr="007C68A4">
        <w:rPr>
          <w:b/>
          <w:color w:val="000000" w:themeColor="text1"/>
          <w:szCs w:val="21"/>
        </w:rPr>
        <w:t>的情况</w:t>
      </w:r>
      <w:bookmarkEnd w:id="99"/>
    </w:p>
    <w:p w14:paraId="009F16CF" w14:textId="77777777" w:rsidR="001548F9" w:rsidRPr="007C68A4" w:rsidRDefault="001548F9" w:rsidP="008971E9">
      <w:pPr>
        <w:wordWrap w:val="0"/>
        <w:ind w:firstLine="420"/>
        <w:jc w:val="right"/>
        <w:rPr>
          <w:color w:val="000000" w:themeColor="text1"/>
          <w:szCs w:val="21"/>
        </w:rPr>
      </w:pPr>
      <w:bookmarkStart w:id="125" w:name="_Toc249707408"/>
      <w:r w:rsidRPr="007C68A4">
        <w:rPr>
          <w:color w:val="000000" w:themeColor="text1"/>
          <w:szCs w:val="21"/>
        </w:rPr>
        <w:t>金额单位</w:t>
      </w:r>
      <w:r w:rsidRPr="007C68A4">
        <w:rPr>
          <w:color w:val="000000" w:themeColor="text1"/>
          <w:kern w:val="0"/>
          <w:szCs w:val="21"/>
        </w:rPr>
        <w:t>：</w:t>
      </w:r>
      <w:r w:rsidRPr="007C68A4">
        <w:rPr>
          <w:color w:val="000000" w:themeColor="text1"/>
          <w:kern w:val="0"/>
          <w:szCs w:val="21"/>
          <w:lang w:val="zh-CN"/>
        </w:rPr>
        <w:t>人民币元</w:t>
      </w:r>
      <w:bookmarkEnd w:id="125"/>
    </w:p>
    <w:p w14:paraId="723AAFEE" w14:textId="77777777" w:rsidR="00E14D80" w:rsidRPr="007C68A4" w:rsidRDefault="00E14D80" w:rsidP="00E14D80">
      <w:pPr>
        <w:autoSpaceDE w:val="0"/>
        <w:autoSpaceDN w:val="0"/>
        <w:adjustRightInd w:val="0"/>
        <w:spacing w:line="360" w:lineRule="auto"/>
        <w:jc w:val="left"/>
        <w:rPr>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F04555" w:rsidRPr="00E54740" w14:paraId="03554FF0" w14:textId="77777777" w:rsidTr="002D74DF">
        <w:tc>
          <w:tcPr>
            <w:tcW w:w="709" w:type="dxa"/>
            <w:vMerge w:val="restart"/>
            <w:vAlign w:val="center"/>
          </w:tcPr>
          <w:p w14:paraId="507C2829" w14:textId="77777777" w:rsidR="00F04555" w:rsidRPr="00E54740" w:rsidRDefault="00F04555"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461D8516" w14:textId="77777777" w:rsidR="00F04555" w:rsidRPr="00E54740" w:rsidRDefault="00F04555"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75876ED0" w14:textId="77777777" w:rsidR="00F04555" w:rsidRPr="00E54740" w:rsidRDefault="00F04555"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67B308E3" w14:textId="77777777" w:rsidR="00F04555" w:rsidRPr="00E54740" w:rsidRDefault="00F04555" w:rsidP="002D74DF">
            <w:pPr>
              <w:jc w:val="center"/>
              <w:rPr>
                <w:rFonts w:eastAsiaTheme="minorEastAsia"/>
                <w:szCs w:val="21"/>
              </w:rPr>
            </w:pPr>
            <w:r w:rsidRPr="00E54740">
              <w:rPr>
                <w:rFonts w:eastAsiaTheme="minorEastAsia"/>
                <w:szCs w:val="21"/>
              </w:rPr>
              <w:t>权证交易</w:t>
            </w:r>
          </w:p>
        </w:tc>
        <w:tc>
          <w:tcPr>
            <w:tcW w:w="1962" w:type="dxa"/>
            <w:gridSpan w:val="2"/>
          </w:tcPr>
          <w:p w14:paraId="5A68D8E3" w14:textId="77777777" w:rsidR="00F04555" w:rsidRPr="00E54740" w:rsidRDefault="00F04555"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F04555" w:rsidRPr="00E54740" w14:paraId="74F5A3A9" w14:textId="77777777" w:rsidTr="002D74DF">
        <w:tc>
          <w:tcPr>
            <w:tcW w:w="709" w:type="dxa"/>
            <w:vMerge/>
            <w:vAlign w:val="center"/>
          </w:tcPr>
          <w:p w14:paraId="7AE86AFF" w14:textId="77777777" w:rsidR="00F04555" w:rsidRPr="00E54740" w:rsidRDefault="00F04555" w:rsidP="002D74DF">
            <w:pPr>
              <w:widowControl/>
              <w:jc w:val="left"/>
              <w:rPr>
                <w:rFonts w:eastAsiaTheme="minorEastAsia"/>
                <w:kern w:val="0"/>
                <w:szCs w:val="21"/>
              </w:rPr>
            </w:pPr>
          </w:p>
        </w:tc>
        <w:tc>
          <w:tcPr>
            <w:tcW w:w="1134" w:type="dxa"/>
            <w:vAlign w:val="center"/>
          </w:tcPr>
          <w:p w14:paraId="415DBD6A"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851" w:type="dxa"/>
            <w:vAlign w:val="center"/>
          </w:tcPr>
          <w:p w14:paraId="443850F7" w14:textId="77777777" w:rsidR="00F04555" w:rsidRPr="00E54740" w:rsidRDefault="00F04555"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3F86FC2E"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889" w:type="dxa"/>
            <w:vAlign w:val="center"/>
          </w:tcPr>
          <w:p w14:paraId="3885527E" w14:textId="77777777" w:rsidR="00F04555" w:rsidRPr="00E54740" w:rsidRDefault="00F04555"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6DBA872F"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927" w:type="dxa"/>
            <w:vAlign w:val="center"/>
          </w:tcPr>
          <w:p w14:paraId="27E106FE" w14:textId="77777777" w:rsidR="00F04555" w:rsidRPr="00E54740" w:rsidRDefault="00F04555"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7ED60DEB" w14:textId="77777777" w:rsidR="00F04555" w:rsidRPr="00E54740" w:rsidRDefault="00F04555" w:rsidP="002D74DF">
            <w:pPr>
              <w:jc w:val="center"/>
              <w:rPr>
                <w:rFonts w:eastAsiaTheme="minorEastAsia"/>
                <w:szCs w:val="21"/>
              </w:rPr>
            </w:pPr>
            <w:r w:rsidRPr="00E54740">
              <w:rPr>
                <w:rFonts w:eastAsiaTheme="minorEastAsia"/>
                <w:szCs w:val="21"/>
              </w:rPr>
              <w:t>成交金额</w:t>
            </w:r>
          </w:p>
        </w:tc>
        <w:tc>
          <w:tcPr>
            <w:tcW w:w="905" w:type="dxa"/>
            <w:vAlign w:val="center"/>
          </w:tcPr>
          <w:p w14:paraId="74E0F3CB" w14:textId="77777777" w:rsidR="00F04555" w:rsidRPr="00E54740" w:rsidRDefault="00F04555" w:rsidP="002D74DF">
            <w:pPr>
              <w:jc w:val="center"/>
              <w:rPr>
                <w:rFonts w:eastAsiaTheme="minorEastAsia"/>
                <w:szCs w:val="21"/>
              </w:rPr>
            </w:pPr>
            <w:r w:rsidRPr="00E54740">
              <w:rPr>
                <w:rFonts w:eastAsiaTheme="minorEastAsia"/>
                <w:szCs w:val="21"/>
              </w:rPr>
              <w:t>占当期基金成交总额的比例</w:t>
            </w:r>
          </w:p>
        </w:tc>
      </w:tr>
      <w:tr w:rsidR="00FA3CB3" w14:paraId="79059ED5" w14:textId="77777777">
        <w:tc>
          <w:tcPr>
            <w:tcW w:w="709" w:type="dxa"/>
            <w:vAlign w:val="center"/>
          </w:tcPr>
          <w:p w14:paraId="0E948069" w14:textId="77777777" w:rsidR="00FA3CB3" w:rsidRDefault="00052A0D">
            <w:pPr>
              <w:jc w:val="left"/>
            </w:pPr>
            <w:r>
              <w:rPr>
                <w:rFonts w:eastAsiaTheme="minorEastAsia"/>
                <w:szCs w:val="21"/>
              </w:rPr>
              <w:t>申万宏源证券</w:t>
            </w:r>
          </w:p>
        </w:tc>
        <w:tc>
          <w:tcPr>
            <w:tcW w:w="1134" w:type="dxa"/>
            <w:vAlign w:val="center"/>
          </w:tcPr>
          <w:p w14:paraId="720EF2EA" w14:textId="654FFB3C" w:rsidR="00FA3CB3" w:rsidRDefault="00BF7199">
            <w:pPr>
              <w:jc w:val="right"/>
            </w:pPr>
            <w:r>
              <w:rPr>
                <w:rFonts w:eastAsiaTheme="minorEastAsia"/>
                <w:szCs w:val="21"/>
              </w:rPr>
              <w:t>601</w:t>
            </w:r>
            <w:r w:rsidR="00052A0D">
              <w:rPr>
                <w:rFonts w:eastAsiaTheme="minorEastAsia"/>
                <w:szCs w:val="21"/>
              </w:rPr>
              <w:t>,658.00</w:t>
            </w:r>
          </w:p>
        </w:tc>
        <w:tc>
          <w:tcPr>
            <w:tcW w:w="851" w:type="dxa"/>
            <w:vAlign w:val="center"/>
          </w:tcPr>
          <w:p w14:paraId="4289F2BE" w14:textId="77777777" w:rsidR="00FA3CB3" w:rsidRDefault="00052A0D">
            <w:pPr>
              <w:jc w:val="right"/>
            </w:pPr>
            <w:r>
              <w:rPr>
                <w:rFonts w:eastAsiaTheme="minorEastAsia"/>
                <w:szCs w:val="21"/>
              </w:rPr>
              <w:t>100.00%</w:t>
            </w:r>
          </w:p>
        </w:tc>
        <w:tc>
          <w:tcPr>
            <w:tcW w:w="1134" w:type="dxa"/>
            <w:vAlign w:val="center"/>
          </w:tcPr>
          <w:p w14:paraId="4132470E" w14:textId="77777777" w:rsidR="00FA3CB3" w:rsidRDefault="00052A0D">
            <w:pPr>
              <w:jc w:val="right"/>
            </w:pPr>
            <w:r>
              <w:rPr>
                <w:rFonts w:eastAsiaTheme="minorEastAsia"/>
                <w:szCs w:val="21"/>
              </w:rPr>
              <w:t>6,140,000.00</w:t>
            </w:r>
          </w:p>
        </w:tc>
        <w:tc>
          <w:tcPr>
            <w:tcW w:w="889" w:type="dxa"/>
            <w:vAlign w:val="center"/>
          </w:tcPr>
          <w:p w14:paraId="40DCAA5E" w14:textId="77777777" w:rsidR="00FA3CB3" w:rsidRDefault="00052A0D">
            <w:pPr>
              <w:jc w:val="right"/>
            </w:pPr>
            <w:r>
              <w:rPr>
                <w:rFonts w:eastAsiaTheme="minorEastAsia"/>
                <w:szCs w:val="21"/>
              </w:rPr>
              <w:t>100.00%</w:t>
            </w:r>
          </w:p>
        </w:tc>
        <w:tc>
          <w:tcPr>
            <w:tcW w:w="1237" w:type="dxa"/>
            <w:vAlign w:val="center"/>
          </w:tcPr>
          <w:p w14:paraId="6C80C085" w14:textId="77777777" w:rsidR="00FA3CB3" w:rsidRDefault="00052A0D">
            <w:pPr>
              <w:jc w:val="right"/>
            </w:pPr>
            <w:r>
              <w:rPr>
                <w:rFonts w:eastAsiaTheme="minorEastAsia"/>
                <w:szCs w:val="21"/>
              </w:rPr>
              <w:t>-</w:t>
            </w:r>
          </w:p>
        </w:tc>
        <w:tc>
          <w:tcPr>
            <w:tcW w:w="927" w:type="dxa"/>
            <w:vAlign w:val="center"/>
          </w:tcPr>
          <w:p w14:paraId="2266AF7F" w14:textId="77777777" w:rsidR="00FA3CB3" w:rsidRDefault="00052A0D">
            <w:pPr>
              <w:jc w:val="right"/>
            </w:pPr>
            <w:r>
              <w:rPr>
                <w:rFonts w:eastAsiaTheme="minorEastAsia"/>
                <w:szCs w:val="21"/>
              </w:rPr>
              <w:t>-</w:t>
            </w:r>
          </w:p>
        </w:tc>
        <w:tc>
          <w:tcPr>
            <w:tcW w:w="1057" w:type="dxa"/>
            <w:vAlign w:val="center"/>
          </w:tcPr>
          <w:p w14:paraId="5867544E" w14:textId="77777777" w:rsidR="00FA3CB3" w:rsidRDefault="00052A0D">
            <w:pPr>
              <w:jc w:val="right"/>
            </w:pPr>
            <w:r>
              <w:rPr>
                <w:rFonts w:eastAsiaTheme="minorEastAsia"/>
                <w:szCs w:val="21"/>
              </w:rPr>
              <w:t>11,057,382.70</w:t>
            </w:r>
          </w:p>
        </w:tc>
        <w:tc>
          <w:tcPr>
            <w:tcW w:w="905" w:type="dxa"/>
            <w:vAlign w:val="center"/>
          </w:tcPr>
          <w:p w14:paraId="0F1A24E2" w14:textId="77777777" w:rsidR="00FA3CB3" w:rsidRDefault="00052A0D">
            <w:pPr>
              <w:jc w:val="right"/>
            </w:pPr>
            <w:r>
              <w:rPr>
                <w:rFonts w:eastAsiaTheme="minorEastAsia"/>
                <w:szCs w:val="21"/>
              </w:rPr>
              <w:t>100.00%</w:t>
            </w:r>
          </w:p>
        </w:tc>
      </w:tr>
    </w:tbl>
    <w:p w14:paraId="67AB3C13"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26" w:name="_Toc175575311"/>
      <w:r w:rsidRPr="007C68A4">
        <w:rPr>
          <w:rFonts w:ascii="Times New Roman" w:hAnsi="Times New Roman"/>
          <w:color w:val="000000" w:themeColor="text1"/>
          <w:kern w:val="0"/>
          <w:sz w:val="21"/>
          <w:szCs w:val="21"/>
        </w:rPr>
        <w:t>10.8</w:t>
      </w:r>
      <w:r w:rsidR="00E7596B"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7C68A4" w14:paraId="4480E5CC" w14:textId="77777777" w:rsidTr="0070173B">
        <w:tc>
          <w:tcPr>
            <w:tcW w:w="720" w:type="dxa"/>
            <w:vAlign w:val="center"/>
          </w:tcPr>
          <w:p w14:paraId="2F2C97EB"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序号</w:t>
            </w:r>
          </w:p>
        </w:tc>
        <w:tc>
          <w:tcPr>
            <w:tcW w:w="4320" w:type="dxa"/>
            <w:vAlign w:val="center"/>
          </w:tcPr>
          <w:p w14:paraId="5CCCE53E"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公告事项</w:t>
            </w:r>
          </w:p>
        </w:tc>
        <w:tc>
          <w:tcPr>
            <w:tcW w:w="2520" w:type="dxa"/>
            <w:vAlign w:val="center"/>
          </w:tcPr>
          <w:p w14:paraId="3B835151"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法定披露方式</w:t>
            </w:r>
          </w:p>
        </w:tc>
        <w:tc>
          <w:tcPr>
            <w:tcW w:w="1440" w:type="dxa"/>
            <w:vAlign w:val="center"/>
          </w:tcPr>
          <w:p w14:paraId="37D36971" w14:textId="77777777" w:rsidR="001548F9" w:rsidRPr="007C68A4" w:rsidRDefault="001548F9" w:rsidP="0070173B">
            <w:pPr>
              <w:spacing w:line="360" w:lineRule="auto"/>
              <w:jc w:val="center"/>
              <w:rPr>
                <w:color w:val="000000" w:themeColor="text1"/>
                <w:szCs w:val="21"/>
              </w:rPr>
            </w:pPr>
            <w:r w:rsidRPr="007C68A4">
              <w:rPr>
                <w:color w:val="000000" w:themeColor="text1"/>
                <w:szCs w:val="21"/>
              </w:rPr>
              <w:t>法定披露日期</w:t>
            </w:r>
          </w:p>
        </w:tc>
      </w:tr>
      <w:tr w:rsidR="00FA3CB3" w14:paraId="013F6731" w14:textId="77777777">
        <w:tc>
          <w:tcPr>
            <w:tcW w:w="720" w:type="dxa"/>
            <w:vAlign w:val="center"/>
          </w:tcPr>
          <w:p w14:paraId="1FFCA378" w14:textId="77777777" w:rsidR="00FA3CB3" w:rsidRDefault="00052A0D">
            <w:pPr>
              <w:jc w:val="center"/>
            </w:pPr>
            <w:r>
              <w:rPr>
                <w:color w:val="000000" w:themeColor="text1"/>
                <w:szCs w:val="21"/>
              </w:rPr>
              <w:t>1</w:t>
            </w:r>
          </w:p>
        </w:tc>
        <w:tc>
          <w:tcPr>
            <w:tcW w:w="4320" w:type="dxa"/>
            <w:vAlign w:val="center"/>
          </w:tcPr>
          <w:p w14:paraId="3A17FCB3" w14:textId="77777777" w:rsidR="00FA3CB3" w:rsidRDefault="00052A0D">
            <w:r>
              <w:rPr>
                <w:color w:val="000000" w:themeColor="text1"/>
                <w:szCs w:val="21"/>
              </w:rPr>
              <w:t>摩根基金管理（中国）有限公司关于旗下部分基金</w:t>
            </w:r>
            <w:r>
              <w:rPr>
                <w:color w:val="000000" w:themeColor="text1"/>
                <w:szCs w:val="21"/>
              </w:rPr>
              <w:t>2024</w:t>
            </w:r>
            <w:r>
              <w:rPr>
                <w:color w:val="000000" w:themeColor="text1"/>
                <w:szCs w:val="21"/>
              </w:rPr>
              <w:t>年香港交易所非交易日暂停申购、赎回等业务的公告</w:t>
            </w:r>
          </w:p>
        </w:tc>
        <w:tc>
          <w:tcPr>
            <w:tcW w:w="2520" w:type="dxa"/>
            <w:vAlign w:val="center"/>
          </w:tcPr>
          <w:p w14:paraId="45462B28" w14:textId="77777777" w:rsidR="00FA3CB3" w:rsidRDefault="00052A0D">
            <w:r>
              <w:rPr>
                <w:color w:val="000000" w:themeColor="text1"/>
                <w:szCs w:val="21"/>
              </w:rPr>
              <w:t>基金管理人公司网站及本基金选定的信息披露报纸</w:t>
            </w:r>
          </w:p>
        </w:tc>
        <w:tc>
          <w:tcPr>
            <w:tcW w:w="1440" w:type="dxa"/>
            <w:vAlign w:val="center"/>
          </w:tcPr>
          <w:p w14:paraId="2FF265FD" w14:textId="77777777" w:rsidR="00FA3CB3" w:rsidRDefault="00052A0D">
            <w:pPr>
              <w:jc w:val="center"/>
            </w:pPr>
            <w:r>
              <w:rPr>
                <w:color w:val="000000" w:themeColor="text1"/>
                <w:szCs w:val="21"/>
              </w:rPr>
              <w:t>2024-01-12</w:t>
            </w:r>
          </w:p>
        </w:tc>
      </w:tr>
      <w:tr w:rsidR="00FA3CB3" w14:paraId="5F666FD9" w14:textId="77777777">
        <w:tc>
          <w:tcPr>
            <w:tcW w:w="720" w:type="dxa"/>
            <w:vAlign w:val="center"/>
          </w:tcPr>
          <w:p w14:paraId="786672D4" w14:textId="77777777" w:rsidR="00FA3CB3" w:rsidRDefault="00052A0D">
            <w:pPr>
              <w:jc w:val="center"/>
            </w:pPr>
            <w:r>
              <w:rPr>
                <w:color w:val="000000" w:themeColor="text1"/>
                <w:szCs w:val="21"/>
              </w:rPr>
              <w:t>2</w:t>
            </w:r>
          </w:p>
        </w:tc>
        <w:tc>
          <w:tcPr>
            <w:tcW w:w="4320" w:type="dxa"/>
            <w:vAlign w:val="center"/>
          </w:tcPr>
          <w:p w14:paraId="0D50196B" w14:textId="77777777" w:rsidR="00FA3CB3" w:rsidRDefault="00052A0D">
            <w:r>
              <w:rPr>
                <w:color w:val="000000" w:themeColor="text1"/>
                <w:szCs w:val="21"/>
              </w:rPr>
              <w:t>摩根基金管理（中国）有限公司关于高级管理人员变更的公告</w:t>
            </w:r>
          </w:p>
        </w:tc>
        <w:tc>
          <w:tcPr>
            <w:tcW w:w="2520" w:type="dxa"/>
            <w:vAlign w:val="center"/>
          </w:tcPr>
          <w:p w14:paraId="54EBDA30" w14:textId="77777777" w:rsidR="00FA3CB3" w:rsidRDefault="00052A0D">
            <w:r>
              <w:rPr>
                <w:color w:val="000000" w:themeColor="text1"/>
                <w:szCs w:val="21"/>
              </w:rPr>
              <w:t>同上</w:t>
            </w:r>
          </w:p>
        </w:tc>
        <w:tc>
          <w:tcPr>
            <w:tcW w:w="1440" w:type="dxa"/>
            <w:vAlign w:val="center"/>
          </w:tcPr>
          <w:p w14:paraId="771E45BE" w14:textId="77777777" w:rsidR="00FA3CB3" w:rsidRDefault="00052A0D">
            <w:pPr>
              <w:jc w:val="center"/>
            </w:pPr>
            <w:r>
              <w:rPr>
                <w:color w:val="000000" w:themeColor="text1"/>
                <w:szCs w:val="21"/>
              </w:rPr>
              <w:t>2024-01-18</w:t>
            </w:r>
          </w:p>
        </w:tc>
      </w:tr>
    </w:tbl>
    <w:p w14:paraId="77DDD256"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27" w:name="_Toc175575312"/>
      <w:r w:rsidRPr="007C68A4">
        <w:rPr>
          <w:b/>
          <w:bCs/>
          <w:color w:val="000000" w:themeColor="text1"/>
          <w:sz w:val="21"/>
          <w:szCs w:val="21"/>
          <w:lang w:val="en-US"/>
        </w:rPr>
        <w:lastRenderedPageBreak/>
        <w:t>11</w:t>
      </w:r>
      <w:r w:rsidR="00E7596B" w:rsidRPr="007C68A4">
        <w:rPr>
          <w:b/>
          <w:bCs/>
          <w:color w:val="000000" w:themeColor="text1"/>
          <w:sz w:val="21"/>
          <w:szCs w:val="21"/>
          <w:lang w:val="en-US"/>
        </w:rPr>
        <w:t xml:space="preserve">  </w:t>
      </w:r>
      <w:r w:rsidRPr="007C68A4">
        <w:rPr>
          <w:b/>
          <w:bCs/>
          <w:color w:val="000000" w:themeColor="text1"/>
          <w:sz w:val="21"/>
          <w:szCs w:val="21"/>
          <w:lang w:val="en-US"/>
        </w:rPr>
        <w:t>影响投资者决策的其他重要信息</w:t>
      </w:r>
      <w:bookmarkEnd w:id="127"/>
    </w:p>
    <w:p w14:paraId="13DB2CC6" w14:textId="77777777" w:rsidR="007B53A5" w:rsidRPr="007C68A4" w:rsidRDefault="007B53A5" w:rsidP="007B53A5">
      <w:pPr>
        <w:autoSpaceDE w:val="0"/>
        <w:autoSpaceDN w:val="0"/>
        <w:adjustRightInd w:val="0"/>
        <w:spacing w:line="360" w:lineRule="auto"/>
        <w:jc w:val="left"/>
        <w:rPr>
          <w:rFonts w:eastAsiaTheme="minorEastAsia"/>
          <w:b/>
          <w:bCs/>
          <w:color w:val="000000" w:themeColor="text1"/>
          <w:kern w:val="0"/>
          <w:sz w:val="24"/>
        </w:rPr>
      </w:pPr>
      <w:r w:rsidRPr="007C68A4">
        <w:rPr>
          <w:rFonts w:eastAsiaTheme="minorEastAsia"/>
          <w:b/>
          <w:bCs/>
          <w:color w:val="000000" w:themeColor="text1"/>
          <w:kern w:val="0"/>
          <w:sz w:val="24"/>
        </w:rPr>
        <w:t xml:space="preserve">11.1 </w:t>
      </w:r>
      <w:r w:rsidRPr="007C68A4">
        <w:rPr>
          <w:rFonts w:eastAsiaTheme="minorEastAsia"/>
          <w:b/>
          <w:bCs/>
          <w:color w:val="000000" w:themeColor="text1"/>
          <w:kern w:val="0"/>
          <w:sz w:val="24"/>
        </w:rPr>
        <w:t>报告期内单一投资者持有基金份额比例达到或超过</w:t>
      </w:r>
      <w:r w:rsidRPr="007C68A4">
        <w:rPr>
          <w:rFonts w:eastAsiaTheme="minorEastAsia"/>
          <w:b/>
          <w:bCs/>
          <w:color w:val="000000" w:themeColor="text1"/>
          <w:kern w:val="0"/>
          <w:sz w:val="24"/>
        </w:rPr>
        <w:t>20%</w:t>
      </w:r>
      <w:r w:rsidRPr="007C68A4">
        <w:rPr>
          <w:rFonts w:eastAsiaTheme="minorEastAsia"/>
          <w:b/>
          <w:bCs/>
          <w:color w:val="000000" w:themeColor="text1"/>
          <w:kern w:val="0"/>
          <w:sz w:val="24"/>
        </w:rPr>
        <w:t>的情况</w:t>
      </w:r>
    </w:p>
    <w:tbl>
      <w:tblPr>
        <w:tblStyle w:val="aff2"/>
        <w:tblW w:w="9210" w:type="dxa"/>
        <w:tblInd w:w="-176" w:type="dxa"/>
        <w:tblLayout w:type="fixed"/>
        <w:tblLook w:val="04A0" w:firstRow="1" w:lastRow="0" w:firstColumn="1" w:lastColumn="0" w:noHBand="0" w:noVBand="1"/>
      </w:tblPr>
      <w:tblGrid>
        <w:gridCol w:w="992"/>
        <w:gridCol w:w="991"/>
        <w:gridCol w:w="1843"/>
        <w:gridCol w:w="851"/>
        <w:gridCol w:w="992"/>
        <w:gridCol w:w="850"/>
        <w:gridCol w:w="1418"/>
        <w:gridCol w:w="1273"/>
      </w:tblGrid>
      <w:tr w:rsidR="007B53A5" w:rsidRPr="007C68A4" w14:paraId="67BE54ED" w14:textId="77777777" w:rsidTr="006358BF">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516166" w14:textId="77777777" w:rsidR="007B53A5" w:rsidRPr="007C68A4" w:rsidRDefault="007B53A5" w:rsidP="006358BF">
            <w:pPr>
              <w:rPr>
                <w:color w:val="000000" w:themeColor="text1"/>
              </w:rPr>
            </w:pPr>
            <w:r w:rsidRPr="007C68A4">
              <w:rPr>
                <w:color w:val="000000" w:themeColor="text1"/>
              </w:rPr>
              <w:t>投资者类别</w:t>
            </w:r>
          </w:p>
        </w:tc>
        <w:tc>
          <w:tcPr>
            <w:tcW w:w="5528" w:type="dxa"/>
            <w:gridSpan w:val="5"/>
            <w:tcBorders>
              <w:top w:val="single" w:sz="4" w:space="0" w:color="auto"/>
              <w:left w:val="single" w:sz="4" w:space="0" w:color="auto"/>
              <w:bottom w:val="single" w:sz="4" w:space="0" w:color="auto"/>
              <w:right w:val="single" w:sz="4" w:space="0" w:color="auto"/>
            </w:tcBorders>
            <w:vAlign w:val="center"/>
            <w:hideMark/>
          </w:tcPr>
          <w:p w14:paraId="7F126C1A" w14:textId="77777777" w:rsidR="007B53A5" w:rsidRPr="007C68A4" w:rsidRDefault="007B53A5" w:rsidP="006358BF">
            <w:pPr>
              <w:rPr>
                <w:color w:val="000000" w:themeColor="text1"/>
              </w:rPr>
            </w:pPr>
            <w:r w:rsidRPr="007C68A4">
              <w:rPr>
                <w:color w:val="000000" w:themeColor="text1"/>
              </w:rPr>
              <w:t>报告期内持有基金份额变化情况</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00CA30CA" w14:textId="77777777" w:rsidR="007B53A5" w:rsidRPr="007C68A4" w:rsidRDefault="007B53A5" w:rsidP="006358BF">
            <w:pPr>
              <w:rPr>
                <w:color w:val="000000" w:themeColor="text1"/>
              </w:rPr>
            </w:pPr>
            <w:r w:rsidRPr="007C68A4">
              <w:rPr>
                <w:color w:val="000000" w:themeColor="text1"/>
              </w:rPr>
              <w:t>报告期末持有基金情况</w:t>
            </w:r>
          </w:p>
        </w:tc>
      </w:tr>
      <w:tr w:rsidR="007B53A5" w:rsidRPr="007C68A4" w14:paraId="2E0BB99D" w14:textId="77777777" w:rsidTr="006358BF">
        <w:tc>
          <w:tcPr>
            <w:tcW w:w="993" w:type="dxa"/>
            <w:vMerge/>
            <w:tcBorders>
              <w:top w:val="single" w:sz="4" w:space="0" w:color="auto"/>
              <w:left w:val="single" w:sz="4" w:space="0" w:color="auto"/>
              <w:bottom w:val="single" w:sz="4" w:space="0" w:color="auto"/>
              <w:right w:val="single" w:sz="4" w:space="0" w:color="auto"/>
            </w:tcBorders>
            <w:vAlign w:val="center"/>
            <w:hideMark/>
          </w:tcPr>
          <w:p w14:paraId="0BCCF400" w14:textId="77777777" w:rsidR="007B53A5" w:rsidRPr="007C68A4" w:rsidRDefault="007B53A5" w:rsidP="006358BF">
            <w:pPr>
              <w:widowControl/>
              <w:jc w:val="left"/>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0B95228" w14:textId="77777777" w:rsidR="007B53A5" w:rsidRPr="007C68A4" w:rsidRDefault="007B53A5" w:rsidP="006358BF">
            <w:pPr>
              <w:rPr>
                <w:color w:val="000000" w:themeColor="text1"/>
              </w:rPr>
            </w:pPr>
            <w:r w:rsidRPr="007C68A4">
              <w:rPr>
                <w:color w:val="000000" w:themeColor="text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919E2C" w14:textId="77777777" w:rsidR="007B53A5" w:rsidRPr="007C68A4" w:rsidRDefault="007B53A5" w:rsidP="006358BF">
            <w:pPr>
              <w:rPr>
                <w:color w:val="000000" w:themeColor="text1"/>
              </w:rPr>
            </w:pPr>
            <w:r w:rsidRPr="007C68A4">
              <w:rPr>
                <w:color w:val="000000" w:themeColor="text1"/>
              </w:rPr>
              <w:t>持有基金份额比例达到或者超过</w:t>
            </w:r>
            <w:r w:rsidRPr="007C68A4">
              <w:rPr>
                <w:color w:val="000000" w:themeColor="text1"/>
              </w:rPr>
              <w:t>20%</w:t>
            </w:r>
            <w:r w:rsidRPr="007C68A4">
              <w:rPr>
                <w:color w:val="000000" w:themeColor="text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6DEF6E" w14:textId="77777777" w:rsidR="007B53A5" w:rsidRPr="007C68A4" w:rsidRDefault="007B53A5" w:rsidP="006358BF">
            <w:pPr>
              <w:rPr>
                <w:color w:val="000000" w:themeColor="text1"/>
              </w:rPr>
            </w:pPr>
            <w:r w:rsidRPr="007C68A4">
              <w:rPr>
                <w:color w:val="000000" w:themeColor="text1"/>
              </w:rPr>
              <w:t>期初份额</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702BD" w14:textId="77777777" w:rsidR="007B53A5" w:rsidRPr="007C68A4" w:rsidRDefault="007B53A5" w:rsidP="006358BF">
            <w:pPr>
              <w:rPr>
                <w:color w:val="000000" w:themeColor="text1"/>
              </w:rPr>
            </w:pPr>
            <w:r w:rsidRPr="007C68A4">
              <w:rPr>
                <w:color w:val="000000" w:themeColor="text1"/>
              </w:rPr>
              <w:t>申购份额</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80D3D7" w14:textId="77777777" w:rsidR="007B53A5" w:rsidRPr="007C68A4" w:rsidRDefault="007B53A5" w:rsidP="006358BF">
            <w:pPr>
              <w:rPr>
                <w:color w:val="000000" w:themeColor="text1"/>
              </w:rPr>
            </w:pPr>
            <w:r w:rsidRPr="007C68A4">
              <w:rPr>
                <w:color w:val="000000" w:themeColor="text1"/>
              </w:rPr>
              <w:t>赎回份额</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BCE5F" w14:textId="77777777" w:rsidR="007B53A5" w:rsidRPr="007C68A4" w:rsidRDefault="007B53A5" w:rsidP="006358BF">
            <w:pPr>
              <w:rPr>
                <w:color w:val="000000" w:themeColor="text1"/>
              </w:rPr>
            </w:pPr>
            <w:r w:rsidRPr="007C68A4">
              <w:rPr>
                <w:color w:val="000000" w:themeColor="text1"/>
              </w:rPr>
              <w:t>持有份额</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339089A" w14:textId="77777777" w:rsidR="007B53A5" w:rsidRPr="007C68A4" w:rsidRDefault="007B53A5" w:rsidP="006358BF">
            <w:pPr>
              <w:rPr>
                <w:color w:val="000000" w:themeColor="text1"/>
              </w:rPr>
            </w:pPr>
            <w:r w:rsidRPr="007C68A4">
              <w:rPr>
                <w:color w:val="000000" w:themeColor="text1"/>
              </w:rPr>
              <w:t>份额占比</w:t>
            </w:r>
          </w:p>
        </w:tc>
      </w:tr>
      <w:tr w:rsidR="00FA3CB3" w14:paraId="4D63BD11" w14:textId="77777777">
        <w:tc>
          <w:tcPr>
            <w:tcW w:w="992" w:type="dxa"/>
            <w:vAlign w:val="center"/>
          </w:tcPr>
          <w:p w14:paraId="12DC8252" w14:textId="77777777" w:rsidR="00FA3CB3" w:rsidRDefault="00052A0D">
            <w:r>
              <w:rPr>
                <w:color w:val="000000" w:themeColor="text1"/>
              </w:rPr>
              <w:t>机构</w:t>
            </w:r>
          </w:p>
        </w:tc>
        <w:tc>
          <w:tcPr>
            <w:tcW w:w="991" w:type="dxa"/>
            <w:vAlign w:val="center"/>
          </w:tcPr>
          <w:p w14:paraId="308045CD" w14:textId="77777777" w:rsidR="00FA3CB3" w:rsidRDefault="00052A0D">
            <w:pPr>
              <w:jc w:val="center"/>
            </w:pPr>
            <w:r>
              <w:rPr>
                <w:color w:val="000000" w:themeColor="text1"/>
              </w:rPr>
              <w:t>1</w:t>
            </w:r>
          </w:p>
        </w:tc>
        <w:tc>
          <w:tcPr>
            <w:tcW w:w="1843" w:type="dxa"/>
            <w:vAlign w:val="center"/>
          </w:tcPr>
          <w:p w14:paraId="4402A449" w14:textId="77777777" w:rsidR="00FA3CB3" w:rsidRDefault="00052A0D">
            <w:pPr>
              <w:jc w:val="center"/>
            </w:pPr>
            <w:r>
              <w:rPr>
                <w:color w:val="000000" w:themeColor="text1"/>
              </w:rPr>
              <w:t>20240101-20240630</w:t>
            </w:r>
          </w:p>
        </w:tc>
        <w:tc>
          <w:tcPr>
            <w:tcW w:w="851" w:type="dxa"/>
            <w:vAlign w:val="center"/>
          </w:tcPr>
          <w:p w14:paraId="3465640E" w14:textId="77777777" w:rsidR="00FA3CB3" w:rsidRDefault="00052A0D">
            <w:pPr>
              <w:jc w:val="center"/>
            </w:pPr>
            <w:r>
              <w:rPr>
                <w:color w:val="000000" w:themeColor="text1"/>
              </w:rPr>
              <w:t>10,000,097.22</w:t>
            </w:r>
          </w:p>
        </w:tc>
        <w:tc>
          <w:tcPr>
            <w:tcW w:w="992" w:type="dxa"/>
            <w:vAlign w:val="center"/>
          </w:tcPr>
          <w:p w14:paraId="30BC3744" w14:textId="77777777" w:rsidR="00FA3CB3" w:rsidRDefault="00052A0D">
            <w:pPr>
              <w:jc w:val="center"/>
            </w:pPr>
            <w:r>
              <w:rPr>
                <w:color w:val="000000" w:themeColor="text1"/>
              </w:rPr>
              <w:t>0.00</w:t>
            </w:r>
          </w:p>
        </w:tc>
        <w:tc>
          <w:tcPr>
            <w:tcW w:w="850" w:type="dxa"/>
            <w:vAlign w:val="center"/>
          </w:tcPr>
          <w:p w14:paraId="3FA0FECD" w14:textId="77777777" w:rsidR="00FA3CB3" w:rsidRDefault="00052A0D">
            <w:pPr>
              <w:jc w:val="center"/>
            </w:pPr>
            <w:r>
              <w:rPr>
                <w:color w:val="000000" w:themeColor="text1"/>
              </w:rPr>
              <w:t>0.00</w:t>
            </w:r>
          </w:p>
        </w:tc>
        <w:tc>
          <w:tcPr>
            <w:tcW w:w="1418" w:type="dxa"/>
            <w:vAlign w:val="center"/>
          </w:tcPr>
          <w:p w14:paraId="1E5BC2CF" w14:textId="77777777" w:rsidR="00FA3CB3" w:rsidRDefault="00052A0D">
            <w:pPr>
              <w:jc w:val="center"/>
            </w:pPr>
            <w:r>
              <w:rPr>
                <w:color w:val="000000" w:themeColor="text1"/>
              </w:rPr>
              <w:t>10,000,097.22</w:t>
            </w:r>
          </w:p>
        </w:tc>
        <w:tc>
          <w:tcPr>
            <w:tcW w:w="1273" w:type="dxa"/>
            <w:vAlign w:val="center"/>
          </w:tcPr>
          <w:p w14:paraId="414D4BDA" w14:textId="77777777" w:rsidR="00FA3CB3" w:rsidRDefault="00052A0D">
            <w:pPr>
              <w:jc w:val="center"/>
            </w:pPr>
            <w:r>
              <w:rPr>
                <w:color w:val="000000" w:themeColor="text1"/>
              </w:rPr>
              <w:t>32.53%</w:t>
            </w:r>
          </w:p>
        </w:tc>
      </w:tr>
      <w:tr w:rsidR="007B53A5" w:rsidRPr="007C68A4" w14:paraId="2106A51C" w14:textId="77777777" w:rsidTr="006358BF">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06590AF9" w14:textId="77777777" w:rsidR="007B53A5" w:rsidRPr="007C68A4" w:rsidRDefault="007B53A5" w:rsidP="006358BF">
            <w:pPr>
              <w:autoSpaceDE w:val="0"/>
              <w:autoSpaceDN w:val="0"/>
              <w:adjustRightInd w:val="0"/>
              <w:ind w:firstLine="1126"/>
              <w:jc w:val="center"/>
              <w:rPr>
                <w:color w:val="000000" w:themeColor="text1"/>
              </w:rPr>
            </w:pPr>
            <w:r w:rsidRPr="007C68A4">
              <w:rPr>
                <w:color w:val="000000" w:themeColor="text1"/>
              </w:rPr>
              <w:t>产品特有风险</w:t>
            </w:r>
          </w:p>
        </w:tc>
      </w:tr>
      <w:tr w:rsidR="007B53A5" w:rsidRPr="007C68A4" w14:paraId="67D8BBBA" w14:textId="77777777" w:rsidTr="006358BF">
        <w:tc>
          <w:tcPr>
            <w:tcW w:w="9212" w:type="dxa"/>
            <w:gridSpan w:val="8"/>
            <w:tcBorders>
              <w:top w:val="single" w:sz="4" w:space="0" w:color="auto"/>
              <w:left w:val="single" w:sz="4" w:space="0" w:color="auto"/>
              <w:bottom w:val="single" w:sz="4" w:space="0" w:color="auto"/>
              <w:right w:val="single" w:sz="4" w:space="0" w:color="auto"/>
            </w:tcBorders>
            <w:vAlign w:val="center"/>
            <w:hideMark/>
          </w:tcPr>
          <w:p w14:paraId="16F8F4EC" w14:textId="77777777" w:rsidR="007B53A5" w:rsidRPr="007C68A4" w:rsidRDefault="007B53A5" w:rsidP="006358BF">
            <w:pPr>
              <w:autoSpaceDE w:val="0"/>
              <w:autoSpaceDN w:val="0"/>
              <w:adjustRightInd w:val="0"/>
              <w:jc w:val="left"/>
              <w:rPr>
                <w:color w:val="000000" w:themeColor="text1"/>
              </w:rPr>
            </w:pPr>
            <w:r w:rsidRPr="007C68A4">
              <w:rPr>
                <w:color w:val="000000" w:themeColor="text1"/>
              </w:rPr>
              <w:t>本基金的集中度风险主要体现在有单一投资者持有基金份额比例达到或者超过</w:t>
            </w:r>
            <w:r w:rsidRPr="007C68A4">
              <w:rPr>
                <w:color w:val="000000" w:themeColor="text1"/>
              </w:rPr>
              <w:t>20%</w:t>
            </w:r>
            <w:r w:rsidRPr="007C68A4">
              <w:rPr>
                <w:color w:val="000000" w:themeColor="text1"/>
              </w:rPr>
              <w:t>，如果投资者发生大额赎回，可能出现基金可变现资产无法满足投资者赎回需要以及因为资产变现成本过高导致投资者的利益受到损害的风险。</w:t>
            </w:r>
          </w:p>
        </w:tc>
      </w:tr>
    </w:tbl>
    <w:p w14:paraId="00A6BF0B" w14:textId="77777777" w:rsidR="007B53A5" w:rsidRPr="007C68A4" w:rsidRDefault="007B53A5" w:rsidP="007B53A5">
      <w:pPr>
        <w:autoSpaceDE w:val="0"/>
        <w:autoSpaceDN w:val="0"/>
        <w:adjustRightInd w:val="0"/>
        <w:spacing w:line="360" w:lineRule="auto"/>
        <w:jc w:val="left"/>
        <w:rPr>
          <w:rFonts w:eastAsiaTheme="minorEastAsia"/>
          <w:b/>
          <w:bCs/>
          <w:color w:val="000000" w:themeColor="text1"/>
          <w:kern w:val="0"/>
        </w:rPr>
      </w:pPr>
      <w:r w:rsidRPr="007C68A4">
        <w:rPr>
          <w:rFonts w:eastAsiaTheme="minorEastAsia"/>
          <w:b/>
          <w:bCs/>
          <w:color w:val="000000" w:themeColor="text1"/>
          <w:kern w:val="0"/>
        </w:rPr>
        <w:t xml:space="preserve">11.2 </w:t>
      </w:r>
      <w:r w:rsidRPr="007C68A4">
        <w:rPr>
          <w:rFonts w:eastAsiaTheme="minorEastAsia"/>
          <w:b/>
          <w:bCs/>
          <w:color w:val="000000" w:themeColor="text1"/>
          <w:kern w:val="0"/>
        </w:rPr>
        <w:t>影响投资者决策的其他重要信息</w:t>
      </w:r>
    </w:p>
    <w:p w14:paraId="17FBAEC3" w14:textId="77777777" w:rsidR="007B53A5" w:rsidRPr="007C68A4" w:rsidRDefault="007B53A5" w:rsidP="007B53A5">
      <w:pPr>
        <w:spacing w:line="360" w:lineRule="auto"/>
        <w:ind w:firstLineChars="200" w:firstLine="420"/>
        <w:rPr>
          <w:color w:val="000000" w:themeColor="text1"/>
          <w:szCs w:val="21"/>
        </w:rPr>
      </w:pPr>
      <w:r w:rsidRPr="007C68A4">
        <w:rPr>
          <w:rFonts w:eastAsiaTheme="minorEastAsia"/>
          <w:color w:val="000000" w:themeColor="text1"/>
        </w:rPr>
        <w:t>无。</w:t>
      </w:r>
    </w:p>
    <w:p w14:paraId="2D6C374C" w14:textId="77777777"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28" w:name="_Toc225500055"/>
      <w:bookmarkStart w:id="129" w:name="_Toc175575313"/>
      <w:r w:rsidRPr="007C68A4">
        <w:rPr>
          <w:b/>
          <w:bCs/>
          <w:color w:val="000000" w:themeColor="text1"/>
          <w:sz w:val="21"/>
          <w:szCs w:val="21"/>
          <w:lang w:val="en-US"/>
        </w:rPr>
        <w:t xml:space="preserve">12  </w:t>
      </w:r>
      <w:r w:rsidRPr="007C68A4">
        <w:rPr>
          <w:b/>
          <w:bCs/>
          <w:color w:val="000000" w:themeColor="text1"/>
          <w:sz w:val="21"/>
          <w:szCs w:val="21"/>
          <w:lang w:val="en-US"/>
        </w:rPr>
        <w:t>备查文件目录</w:t>
      </w:r>
      <w:bookmarkEnd w:id="128"/>
      <w:bookmarkEnd w:id="129"/>
    </w:p>
    <w:p w14:paraId="2B923664"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0" w:name="_Toc175575314"/>
      <w:r w:rsidRPr="007C68A4">
        <w:rPr>
          <w:rFonts w:ascii="Times New Roman" w:hAnsi="Times New Roman"/>
          <w:color w:val="000000" w:themeColor="text1"/>
          <w:kern w:val="0"/>
          <w:sz w:val="21"/>
          <w:szCs w:val="21"/>
        </w:rPr>
        <w:t xml:space="preserve">12.1 </w:t>
      </w:r>
      <w:r w:rsidRPr="007C68A4">
        <w:rPr>
          <w:rFonts w:ascii="Times New Roman" w:hAnsi="Times New Roman"/>
          <w:color w:val="000000" w:themeColor="text1"/>
          <w:kern w:val="0"/>
          <w:sz w:val="21"/>
          <w:szCs w:val="21"/>
        </w:rPr>
        <w:t>备查文件目录</w:t>
      </w:r>
      <w:bookmarkEnd w:id="130"/>
    </w:p>
    <w:p w14:paraId="233D5902" w14:textId="77777777" w:rsidR="00FA3CB3" w:rsidRDefault="00052A0D">
      <w:pPr>
        <w:ind w:firstLineChars="200" w:firstLine="420"/>
        <w:rPr>
          <w:color w:val="000000" w:themeColor="text1"/>
          <w:szCs w:val="21"/>
        </w:rPr>
      </w:pPr>
      <w:r>
        <w:rPr>
          <w:color w:val="000000" w:themeColor="text1"/>
          <w:szCs w:val="21"/>
        </w:rPr>
        <w:t>（一）中国证监会准予本基金募集注册的文件</w:t>
      </w:r>
    </w:p>
    <w:p w14:paraId="038C662D" w14:textId="77777777" w:rsidR="00FA3CB3" w:rsidRDefault="00052A0D">
      <w:pPr>
        <w:ind w:firstLineChars="200" w:firstLine="420"/>
        <w:rPr>
          <w:color w:val="000000" w:themeColor="text1"/>
          <w:szCs w:val="21"/>
        </w:rPr>
      </w:pPr>
      <w:r>
        <w:rPr>
          <w:color w:val="000000" w:themeColor="text1"/>
          <w:szCs w:val="21"/>
        </w:rPr>
        <w:t>（二）摩根恒生科技交易型开放式指数证券投资基金发起式联接基金</w:t>
      </w:r>
      <w:r>
        <w:rPr>
          <w:color w:val="000000" w:themeColor="text1"/>
          <w:szCs w:val="21"/>
        </w:rPr>
        <w:t>(QDII)</w:t>
      </w:r>
      <w:r>
        <w:rPr>
          <w:color w:val="000000" w:themeColor="text1"/>
          <w:szCs w:val="21"/>
        </w:rPr>
        <w:t>基金合同</w:t>
      </w:r>
    </w:p>
    <w:p w14:paraId="3C389045" w14:textId="77777777" w:rsidR="00FA3CB3" w:rsidRDefault="00052A0D">
      <w:pPr>
        <w:ind w:firstLineChars="200" w:firstLine="420"/>
        <w:rPr>
          <w:color w:val="000000" w:themeColor="text1"/>
          <w:szCs w:val="21"/>
        </w:rPr>
      </w:pPr>
      <w:r>
        <w:rPr>
          <w:color w:val="000000" w:themeColor="text1"/>
          <w:szCs w:val="21"/>
        </w:rPr>
        <w:t>（三）摩根恒生科技交易型开放式指数证券投资基金发起式联接基金</w:t>
      </w:r>
      <w:r>
        <w:rPr>
          <w:color w:val="000000" w:themeColor="text1"/>
          <w:szCs w:val="21"/>
        </w:rPr>
        <w:t>(QDII)</w:t>
      </w:r>
      <w:r>
        <w:rPr>
          <w:color w:val="000000" w:themeColor="text1"/>
          <w:szCs w:val="21"/>
        </w:rPr>
        <w:t>托管协议</w:t>
      </w:r>
    </w:p>
    <w:p w14:paraId="610386EF" w14:textId="77777777" w:rsidR="00FA3CB3" w:rsidRDefault="00052A0D">
      <w:pPr>
        <w:ind w:firstLineChars="200" w:firstLine="420"/>
        <w:rPr>
          <w:color w:val="000000" w:themeColor="text1"/>
          <w:szCs w:val="21"/>
        </w:rPr>
      </w:pPr>
      <w:r>
        <w:rPr>
          <w:color w:val="000000" w:themeColor="text1"/>
          <w:szCs w:val="21"/>
        </w:rPr>
        <w:t>（四）法律意见书</w:t>
      </w:r>
    </w:p>
    <w:p w14:paraId="5F5C7B81" w14:textId="77777777" w:rsidR="00FA3CB3" w:rsidRDefault="00052A0D">
      <w:pPr>
        <w:ind w:firstLineChars="200" w:firstLine="420"/>
        <w:rPr>
          <w:color w:val="000000" w:themeColor="text1"/>
          <w:szCs w:val="21"/>
        </w:rPr>
      </w:pPr>
      <w:r>
        <w:rPr>
          <w:color w:val="000000" w:themeColor="text1"/>
          <w:szCs w:val="21"/>
        </w:rPr>
        <w:t>（五）基金管理人业务资格批件、营业执照</w:t>
      </w:r>
    </w:p>
    <w:p w14:paraId="79FAE74A" w14:textId="77777777" w:rsidR="00FA3CB3" w:rsidRDefault="00052A0D">
      <w:pPr>
        <w:ind w:firstLineChars="200" w:firstLine="420"/>
        <w:rPr>
          <w:color w:val="000000" w:themeColor="text1"/>
          <w:szCs w:val="21"/>
        </w:rPr>
      </w:pPr>
      <w:r>
        <w:rPr>
          <w:color w:val="000000" w:themeColor="text1"/>
          <w:szCs w:val="21"/>
        </w:rPr>
        <w:t>（六）基金托管人业务资格批件、营业执照</w:t>
      </w:r>
    </w:p>
    <w:p w14:paraId="29880383" w14:textId="77777777" w:rsidR="00FA3CB3" w:rsidRDefault="00052A0D">
      <w:pPr>
        <w:ind w:firstLineChars="200" w:firstLine="420"/>
        <w:rPr>
          <w:color w:val="000000" w:themeColor="text1"/>
          <w:szCs w:val="21"/>
        </w:rPr>
      </w:pPr>
      <w:r>
        <w:rPr>
          <w:color w:val="000000" w:themeColor="text1"/>
          <w:szCs w:val="21"/>
        </w:rPr>
        <w:t>（七）摩根基金管理（中国）有限公司开放式基金业务规则</w:t>
      </w:r>
    </w:p>
    <w:p w14:paraId="61FB755B" w14:textId="77777777" w:rsidR="001548F9" w:rsidRPr="007C68A4" w:rsidRDefault="001548F9" w:rsidP="00BA7F0E">
      <w:pPr>
        <w:ind w:firstLineChars="200" w:firstLine="420"/>
        <w:rPr>
          <w:color w:val="000000" w:themeColor="text1"/>
          <w:szCs w:val="21"/>
        </w:rPr>
      </w:pPr>
      <w:r w:rsidRPr="007C68A4">
        <w:rPr>
          <w:color w:val="000000" w:themeColor="text1"/>
          <w:szCs w:val="21"/>
        </w:rPr>
        <w:t>（八）中国证监会要求的其他文件</w:t>
      </w:r>
    </w:p>
    <w:p w14:paraId="06D209D1" w14:textId="77777777"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1" w:name="_Toc175575315"/>
      <w:r w:rsidRPr="007C68A4">
        <w:rPr>
          <w:rFonts w:ascii="Times New Roman" w:hAnsi="Times New Roman"/>
          <w:color w:val="000000" w:themeColor="text1"/>
          <w:kern w:val="0"/>
          <w:sz w:val="21"/>
          <w:szCs w:val="21"/>
        </w:rPr>
        <w:t xml:space="preserve">12.2 </w:t>
      </w:r>
      <w:r w:rsidRPr="007C68A4">
        <w:rPr>
          <w:rFonts w:ascii="Times New Roman" w:hAnsi="Times New Roman"/>
          <w:color w:val="000000" w:themeColor="text1"/>
          <w:kern w:val="0"/>
          <w:sz w:val="21"/>
          <w:szCs w:val="21"/>
        </w:rPr>
        <w:t>存放地点</w:t>
      </w:r>
      <w:bookmarkEnd w:id="131"/>
    </w:p>
    <w:p w14:paraId="42CF3DAA" w14:textId="77777777" w:rsidR="001548F9" w:rsidRPr="007C68A4" w:rsidRDefault="001548F9" w:rsidP="00BA7F0E">
      <w:pPr>
        <w:ind w:firstLineChars="200" w:firstLine="420"/>
        <w:rPr>
          <w:color w:val="000000" w:themeColor="text1"/>
          <w:szCs w:val="21"/>
        </w:rPr>
      </w:pPr>
      <w:r w:rsidRPr="007C68A4">
        <w:rPr>
          <w:color w:val="000000" w:themeColor="text1"/>
          <w:szCs w:val="21"/>
        </w:rPr>
        <w:t>基金管理人或基金托管人处。</w:t>
      </w:r>
    </w:p>
    <w:p w14:paraId="237D7914" w14:textId="77777777" w:rsidR="001548F9" w:rsidRPr="007C68A4" w:rsidRDefault="001548F9" w:rsidP="00BA7F0E">
      <w:pPr>
        <w:pStyle w:val="20"/>
        <w:spacing w:beforeLines="100" w:before="312" w:afterLines="100" w:after="312"/>
        <w:rPr>
          <w:rFonts w:ascii="Times New Roman" w:hAnsi="Times New Roman"/>
          <w:color w:val="000000" w:themeColor="text1"/>
          <w:sz w:val="21"/>
          <w:szCs w:val="21"/>
        </w:rPr>
      </w:pPr>
      <w:bookmarkStart w:id="132" w:name="_Toc175575316"/>
      <w:r w:rsidRPr="007C68A4">
        <w:rPr>
          <w:rFonts w:ascii="Times New Roman" w:hAnsi="Times New Roman"/>
          <w:color w:val="000000" w:themeColor="text1"/>
          <w:kern w:val="0"/>
          <w:sz w:val="21"/>
          <w:szCs w:val="21"/>
        </w:rPr>
        <w:t>12</w:t>
      </w:r>
      <w:r w:rsidRPr="007C68A4">
        <w:rPr>
          <w:rFonts w:ascii="Times New Roman" w:hAnsi="Times New Roman"/>
          <w:color w:val="000000" w:themeColor="text1"/>
          <w:sz w:val="21"/>
          <w:szCs w:val="21"/>
        </w:rPr>
        <w:t xml:space="preserve">.3 </w:t>
      </w:r>
      <w:r w:rsidRPr="007C68A4">
        <w:rPr>
          <w:rFonts w:ascii="Times New Roman" w:hAnsi="Times New Roman"/>
          <w:color w:val="000000" w:themeColor="text1"/>
          <w:sz w:val="21"/>
          <w:szCs w:val="21"/>
        </w:rPr>
        <w:t>查阅方式</w:t>
      </w:r>
      <w:bookmarkEnd w:id="132"/>
    </w:p>
    <w:p w14:paraId="1F9AB156" w14:textId="77777777" w:rsidR="001548F9" w:rsidRPr="007C68A4" w:rsidRDefault="001548F9" w:rsidP="00BA7F0E">
      <w:pPr>
        <w:ind w:firstLineChars="200" w:firstLine="420"/>
        <w:rPr>
          <w:color w:val="000000" w:themeColor="text1"/>
          <w:szCs w:val="21"/>
        </w:rPr>
      </w:pPr>
      <w:r w:rsidRPr="007C68A4">
        <w:rPr>
          <w:color w:val="000000" w:themeColor="text1"/>
          <w:szCs w:val="21"/>
        </w:rPr>
        <w:t>投资者可在营业时间免费查阅，也可按工本费购买复印件。</w:t>
      </w:r>
    </w:p>
    <w:p w14:paraId="0C91E525" w14:textId="77777777" w:rsidR="001548F9" w:rsidRPr="007C68A4" w:rsidRDefault="001548F9" w:rsidP="005B2B01">
      <w:pPr>
        <w:ind w:firstLineChars="150" w:firstLine="315"/>
        <w:rPr>
          <w:bCs/>
          <w:color w:val="000000" w:themeColor="text1"/>
          <w:szCs w:val="21"/>
        </w:rPr>
      </w:pPr>
    </w:p>
    <w:p w14:paraId="5410790F" w14:textId="77777777" w:rsidR="001548F9" w:rsidRPr="007C68A4" w:rsidRDefault="001548F9" w:rsidP="005B2B01">
      <w:pPr>
        <w:ind w:firstLineChars="150" w:firstLine="315"/>
        <w:rPr>
          <w:bCs/>
          <w:color w:val="000000" w:themeColor="text1"/>
          <w:szCs w:val="21"/>
        </w:rPr>
      </w:pPr>
    </w:p>
    <w:p w14:paraId="17010C45" w14:textId="77777777" w:rsidR="001548F9" w:rsidRPr="007C68A4" w:rsidRDefault="001548F9" w:rsidP="005B2B01">
      <w:pPr>
        <w:ind w:firstLineChars="150" w:firstLine="315"/>
        <w:rPr>
          <w:bCs/>
          <w:color w:val="000000" w:themeColor="text1"/>
          <w:szCs w:val="21"/>
        </w:rPr>
      </w:pPr>
    </w:p>
    <w:p w14:paraId="1E40620D" w14:textId="77777777" w:rsidR="001548F9" w:rsidRPr="007C68A4" w:rsidRDefault="001548F9" w:rsidP="005B2B01">
      <w:pPr>
        <w:ind w:firstLineChars="150" w:firstLine="315"/>
        <w:rPr>
          <w:bCs/>
          <w:color w:val="000000" w:themeColor="text1"/>
          <w:szCs w:val="21"/>
        </w:rPr>
      </w:pPr>
    </w:p>
    <w:p w14:paraId="26FE3BEE" w14:textId="77777777" w:rsidR="001548F9" w:rsidRPr="007C68A4" w:rsidRDefault="001548F9" w:rsidP="005B2B01">
      <w:pPr>
        <w:ind w:firstLineChars="150" w:firstLine="315"/>
        <w:rPr>
          <w:bCs/>
          <w:color w:val="000000" w:themeColor="text1"/>
          <w:szCs w:val="21"/>
        </w:rPr>
      </w:pPr>
    </w:p>
    <w:p w14:paraId="024DDD93" w14:textId="77777777" w:rsidR="001548F9" w:rsidRPr="007C68A4" w:rsidRDefault="001548F9" w:rsidP="005B2B01">
      <w:pPr>
        <w:ind w:firstLineChars="150" w:firstLine="315"/>
        <w:rPr>
          <w:bCs/>
          <w:color w:val="000000" w:themeColor="text1"/>
          <w:szCs w:val="21"/>
        </w:rPr>
      </w:pPr>
    </w:p>
    <w:p w14:paraId="003A0827" w14:textId="77777777" w:rsidR="001548F9" w:rsidRPr="007C68A4" w:rsidRDefault="001548F9" w:rsidP="005B2B01">
      <w:pPr>
        <w:ind w:firstLineChars="150" w:firstLine="315"/>
        <w:rPr>
          <w:bCs/>
          <w:color w:val="000000" w:themeColor="text1"/>
          <w:szCs w:val="21"/>
        </w:rPr>
      </w:pPr>
    </w:p>
    <w:p w14:paraId="4D57790A" w14:textId="77777777" w:rsidR="001548F9" w:rsidRPr="007C68A4" w:rsidRDefault="001548F9" w:rsidP="008971E9">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摩根基金管理（中国）有限公司</w:t>
      </w:r>
    </w:p>
    <w:p w14:paraId="2FCB604D" w14:textId="77777777" w:rsidR="001548F9" w:rsidRPr="007C68A4" w:rsidRDefault="001548F9" w:rsidP="00A93D04">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二〇二四年八月三十日</w:t>
      </w:r>
    </w:p>
    <w:sectPr w:rsidR="001548F9" w:rsidRPr="007C68A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143C" w14:textId="77777777" w:rsidR="004A22B4" w:rsidRDefault="004A22B4">
      <w:r>
        <w:separator/>
      </w:r>
    </w:p>
  </w:endnote>
  <w:endnote w:type="continuationSeparator" w:id="0">
    <w:p w14:paraId="3641F3F7" w14:textId="77777777" w:rsidR="004A22B4" w:rsidRDefault="004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F64E" w14:textId="77777777" w:rsidR="000D5E8A" w:rsidRDefault="000D5E8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0E1E3E7" w14:textId="77777777" w:rsidR="000D5E8A" w:rsidRDefault="000D5E8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7D70" w14:textId="26004F7E" w:rsidR="000D5E8A" w:rsidRDefault="000D5E8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630FE">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630FE">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5EC2" w14:textId="77777777" w:rsidR="004A22B4" w:rsidRDefault="004A22B4">
      <w:r>
        <w:separator/>
      </w:r>
    </w:p>
  </w:footnote>
  <w:footnote w:type="continuationSeparator" w:id="0">
    <w:p w14:paraId="6AD0876E" w14:textId="77777777" w:rsidR="004A22B4" w:rsidRDefault="004A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6440" w14:textId="77777777" w:rsidR="000D5E8A" w:rsidRPr="00785EEA" w:rsidRDefault="000D5E8A" w:rsidP="002243A3">
    <w:pPr>
      <w:pStyle w:val="ac"/>
      <w:pBdr>
        <w:bottom w:val="single" w:sz="6" w:space="0" w:color="auto"/>
      </w:pBdr>
      <w:jc w:val="right"/>
      <w:rPr>
        <w:sz w:val="15"/>
      </w:rPr>
    </w:pPr>
    <w:r w:rsidRPr="00785EEA">
      <w:rPr>
        <w:szCs w:val="21"/>
      </w:rPr>
      <w:t>摩根恒生科技交易型开放式指数证券投资基金发起式联接基金</w:t>
    </w:r>
    <w:r w:rsidRPr="00785EEA">
      <w:rPr>
        <w:szCs w:val="21"/>
      </w:rPr>
      <w:t>(QDII)2024</w:t>
    </w:r>
    <w:r w:rsidRPr="00785EEA">
      <w:rPr>
        <w:szCs w:val="21"/>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63E"/>
    <w:rsid w:val="00000EBD"/>
    <w:rsid w:val="000019B6"/>
    <w:rsid w:val="00001B39"/>
    <w:rsid w:val="00002644"/>
    <w:rsid w:val="00002C49"/>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69D"/>
    <w:rsid w:val="00011EB5"/>
    <w:rsid w:val="0001280C"/>
    <w:rsid w:val="00012FD0"/>
    <w:rsid w:val="00013CAE"/>
    <w:rsid w:val="00013E83"/>
    <w:rsid w:val="00013F7D"/>
    <w:rsid w:val="00014712"/>
    <w:rsid w:val="00015747"/>
    <w:rsid w:val="000162AF"/>
    <w:rsid w:val="000168F6"/>
    <w:rsid w:val="000174BF"/>
    <w:rsid w:val="00017581"/>
    <w:rsid w:val="0001767C"/>
    <w:rsid w:val="00020583"/>
    <w:rsid w:val="0002154E"/>
    <w:rsid w:val="00021813"/>
    <w:rsid w:val="00021DD4"/>
    <w:rsid w:val="000221FE"/>
    <w:rsid w:val="00023BE7"/>
    <w:rsid w:val="0002438A"/>
    <w:rsid w:val="0002453B"/>
    <w:rsid w:val="000247D7"/>
    <w:rsid w:val="00024C15"/>
    <w:rsid w:val="00024C62"/>
    <w:rsid w:val="00024CA0"/>
    <w:rsid w:val="000274FE"/>
    <w:rsid w:val="000276C9"/>
    <w:rsid w:val="000309DB"/>
    <w:rsid w:val="0003228A"/>
    <w:rsid w:val="000322D5"/>
    <w:rsid w:val="0003271C"/>
    <w:rsid w:val="00032ADD"/>
    <w:rsid w:val="00032FE1"/>
    <w:rsid w:val="00033104"/>
    <w:rsid w:val="000331EA"/>
    <w:rsid w:val="000335CE"/>
    <w:rsid w:val="00033C63"/>
    <w:rsid w:val="00033E3C"/>
    <w:rsid w:val="00033EC1"/>
    <w:rsid w:val="000347AD"/>
    <w:rsid w:val="00034BA5"/>
    <w:rsid w:val="000358FE"/>
    <w:rsid w:val="00035B5A"/>
    <w:rsid w:val="00036C1D"/>
    <w:rsid w:val="00037267"/>
    <w:rsid w:val="000378BC"/>
    <w:rsid w:val="00037CF2"/>
    <w:rsid w:val="00037FCF"/>
    <w:rsid w:val="000403B3"/>
    <w:rsid w:val="000415E6"/>
    <w:rsid w:val="00041BC8"/>
    <w:rsid w:val="00041D2F"/>
    <w:rsid w:val="00041F20"/>
    <w:rsid w:val="000421B8"/>
    <w:rsid w:val="00042656"/>
    <w:rsid w:val="000429DF"/>
    <w:rsid w:val="00042AAD"/>
    <w:rsid w:val="000430CA"/>
    <w:rsid w:val="0004381B"/>
    <w:rsid w:val="00043ABF"/>
    <w:rsid w:val="00044158"/>
    <w:rsid w:val="000442C5"/>
    <w:rsid w:val="000445E4"/>
    <w:rsid w:val="000471B4"/>
    <w:rsid w:val="00047E64"/>
    <w:rsid w:val="00050260"/>
    <w:rsid w:val="00050DE0"/>
    <w:rsid w:val="000510AB"/>
    <w:rsid w:val="000514E0"/>
    <w:rsid w:val="000529F3"/>
    <w:rsid w:val="00052A0D"/>
    <w:rsid w:val="00053091"/>
    <w:rsid w:val="0005346A"/>
    <w:rsid w:val="000534CD"/>
    <w:rsid w:val="00053E3C"/>
    <w:rsid w:val="00053EED"/>
    <w:rsid w:val="0005448A"/>
    <w:rsid w:val="00055AF1"/>
    <w:rsid w:val="000573B5"/>
    <w:rsid w:val="00060597"/>
    <w:rsid w:val="00060A2C"/>
    <w:rsid w:val="00060CB4"/>
    <w:rsid w:val="00061167"/>
    <w:rsid w:val="00062997"/>
    <w:rsid w:val="00062AC1"/>
    <w:rsid w:val="0006341D"/>
    <w:rsid w:val="00063554"/>
    <w:rsid w:val="000635D9"/>
    <w:rsid w:val="00063D34"/>
    <w:rsid w:val="000646F9"/>
    <w:rsid w:val="0006475F"/>
    <w:rsid w:val="00064AE3"/>
    <w:rsid w:val="00064FC8"/>
    <w:rsid w:val="00066524"/>
    <w:rsid w:val="000671A3"/>
    <w:rsid w:val="00067C0A"/>
    <w:rsid w:val="00067CB4"/>
    <w:rsid w:val="00070CD1"/>
    <w:rsid w:val="00071022"/>
    <w:rsid w:val="0007171B"/>
    <w:rsid w:val="000717A1"/>
    <w:rsid w:val="00071E9D"/>
    <w:rsid w:val="000726DE"/>
    <w:rsid w:val="00072DE0"/>
    <w:rsid w:val="00073DB1"/>
    <w:rsid w:val="00073F87"/>
    <w:rsid w:val="000743A0"/>
    <w:rsid w:val="00076397"/>
    <w:rsid w:val="000764CB"/>
    <w:rsid w:val="00076CC5"/>
    <w:rsid w:val="000801D6"/>
    <w:rsid w:val="000801F4"/>
    <w:rsid w:val="00080423"/>
    <w:rsid w:val="0008141B"/>
    <w:rsid w:val="00081A3D"/>
    <w:rsid w:val="00081D05"/>
    <w:rsid w:val="0008226A"/>
    <w:rsid w:val="000826DC"/>
    <w:rsid w:val="00083404"/>
    <w:rsid w:val="00083BAF"/>
    <w:rsid w:val="00084ADE"/>
    <w:rsid w:val="0008506D"/>
    <w:rsid w:val="00085F3E"/>
    <w:rsid w:val="000861D6"/>
    <w:rsid w:val="0008624A"/>
    <w:rsid w:val="000863CA"/>
    <w:rsid w:val="00086622"/>
    <w:rsid w:val="00086699"/>
    <w:rsid w:val="000866EC"/>
    <w:rsid w:val="00087011"/>
    <w:rsid w:val="000874BC"/>
    <w:rsid w:val="000874F0"/>
    <w:rsid w:val="00087767"/>
    <w:rsid w:val="00087CF7"/>
    <w:rsid w:val="00087D8D"/>
    <w:rsid w:val="0009000C"/>
    <w:rsid w:val="000908ED"/>
    <w:rsid w:val="0009091B"/>
    <w:rsid w:val="00090DCA"/>
    <w:rsid w:val="0009104F"/>
    <w:rsid w:val="0009156D"/>
    <w:rsid w:val="0009165C"/>
    <w:rsid w:val="000917D5"/>
    <w:rsid w:val="0009187A"/>
    <w:rsid w:val="000919B7"/>
    <w:rsid w:val="00092705"/>
    <w:rsid w:val="000946A8"/>
    <w:rsid w:val="00094876"/>
    <w:rsid w:val="000951F7"/>
    <w:rsid w:val="000954BC"/>
    <w:rsid w:val="000957D9"/>
    <w:rsid w:val="00095912"/>
    <w:rsid w:val="00095CE0"/>
    <w:rsid w:val="00096933"/>
    <w:rsid w:val="00096995"/>
    <w:rsid w:val="00096B18"/>
    <w:rsid w:val="000971ED"/>
    <w:rsid w:val="00097230"/>
    <w:rsid w:val="00097ED0"/>
    <w:rsid w:val="000A101C"/>
    <w:rsid w:val="000A13A2"/>
    <w:rsid w:val="000A1448"/>
    <w:rsid w:val="000A14B6"/>
    <w:rsid w:val="000A1902"/>
    <w:rsid w:val="000A1BD6"/>
    <w:rsid w:val="000A1BFB"/>
    <w:rsid w:val="000A1D5F"/>
    <w:rsid w:val="000A21EA"/>
    <w:rsid w:val="000A2F63"/>
    <w:rsid w:val="000A3022"/>
    <w:rsid w:val="000A38DE"/>
    <w:rsid w:val="000A457E"/>
    <w:rsid w:val="000A4672"/>
    <w:rsid w:val="000A4FEF"/>
    <w:rsid w:val="000A53FD"/>
    <w:rsid w:val="000A549A"/>
    <w:rsid w:val="000A578A"/>
    <w:rsid w:val="000A6B8F"/>
    <w:rsid w:val="000A6ECE"/>
    <w:rsid w:val="000A7242"/>
    <w:rsid w:val="000A72F2"/>
    <w:rsid w:val="000A741E"/>
    <w:rsid w:val="000A7C00"/>
    <w:rsid w:val="000B0C56"/>
    <w:rsid w:val="000B0E46"/>
    <w:rsid w:val="000B2B57"/>
    <w:rsid w:val="000B2C8D"/>
    <w:rsid w:val="000B36CC"/>
    <w:rsid w:val="000B3E43"/>
    <w:rsid w:val="000B417C"/>
    <w:rsid w:val="000B4365"/>
    <w:rsid w:val="000B4F79"/>
    <w:rsid w:val="000B5B09"/>
    <w:rsid w:val="000B5CC0"/>
    <w:rsid w:val="000B5E99"/>
    <w:rsid w:val="000C01F9"/>
    <w:rsid w:val="000C05AB"/>
    <w:rsid w:val="000C0871"/>
    <w:rsid w:val="000C0CA5"/>
    <w:rsid w:val="000C0CB8"/>
    <w:rsid w:val="000C0F55"/>
    <w:rsid w:val="000C127D"/>
    <w:rsid w:val="000C15BE"/>
    <w:rsid w:val="000C1723"/>
    <w:rsid w:val="000C1B20"/>
    <w:rsid w:val="000C224F"/>
    <w:rsid w:val="000C2670"/>
    <w:rsid w:val="000C2898"/>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52DC"/>
    <w:rsid w:val="000D55E8"/>
    <w:rsid w:val="000D5E8A"/>
    <w:rsid w:val="000D6054"/>
    <w:rsid w:val="000D619B"/>
    <w:rsid w:val="000D788B"/>
    <w:rsid w:val="000D7BDE"/>
    <w:rsid w:val="000E1288"/>
    <w:rsid w:val="000E12F0"/>
    <w:rsid w:val="000E2603"/>
    <w:rsid w:val="000E2950"/>
    <w:rsid w:val="000E3355"/>
    <w:rsid w:val="000E34ED"/>
    <w:rsid w:val="000E4456"/>
    <w:rsid w:val="000E6184"/>
    <w:rsid w:val="000E67FE"/>
    <w:rsid w:val="000F0C0A"/>
    <w:rsid w:val="000F175F"/>
    <w:rsid w:val="000F17D1"/>
    <w:rsid w:val="000F2081"/>
    <w:rsid w:val="000F21C4"/>
    <w:rsid w:val="000F254E"/>
    <w:rsid w:val="000F2C75"/>
    <w:rsid w:val="000F32E3"/>
    <w:rsid w:val="000F3506"/>
    <w:rsid w:val="000F52B1"/>
    <w:rsid w:val="000F593E"/>
    <w:rsid w:val="000F60F3"/>
    <w:rsid w:val="000F60FF"/>
    <w:rsid w:val="000F635F"/>
    <w:rsid w:val="000F6C61"/>
    <w:rsid w:val="000F715D"/>
    <w:rsid w:val="00100C12"/>
    <w:rsid w:val="001013A8"/>
    <w:rsid w:val="00102CC8"/>
    <w:rsid w:val="00102F3B"/>
    <w:rsid w:val="00103084"/>
    <w:rsid w:val="001030B5"/>
    <w:rsid w:val="0010352B"/>
    <w:rsid w:val="00103B83"/>
    <w:rsid w:val="001049B6"/>
    <w:rsid w:val="00104DE3"/>
    <w:rsid w:val="001051C6"/>
    <w:rsid w:val="001052BF"/>
    <w:rsid w:val="0010577B"/>
    <w:rsid w:val="00105C9C"/>
    <w:rsid w:val="00106605"/>
    <w:rsid w:val="00106893"/>
    <w:rsid w:val="001069ED"/>
    <w:rsid w:val="00106C1F"/>
    <w:rsid w:val="001101D9"/>
    <w:rsid w:val="00111400"/>
    <w:rsid w:val="001116BA"/>
    <w:rsid w:val="0011177A"/>
    <w:rsid w:val="0011179E"/>
    <w:rsid w:val="00111C71"/>
    <w:rsid w:val="00112544"/>
    <w:rsid w:val="001138CA"/>
    <w:rsid w:val="001141C0"/>
    <w:rsid w:val="00114B74"/>
    <w:rsid w:val="0011597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DD3"/>
    <w:rsid w:val="00131EC2"/>
    <w:rsid w:val="00132E82"/>
    <w:rsid w:val="0013374F"/>
    <w:rsid w:val="00133C97"/>
    <w:rsid w:val="00135467"/>
    <w:rsid w:val="001364D3"/>
    <w:rsid w:val="001366C4"/>
    <w:rsid w:val="0013686A"/>
    <w:rsid w:val="0013718B"/>
    <w:rsid w:val="00137824"/>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33E"/>
    <w:rsid w:val="00146485"/>
    <w:rsid w:val="00146A28"/>
    <w:rsid w:val="00147492"/>
    <w:rsid w:val="00147D41"/>
    <w:rsid w:val="0015080E"/>
    <w:rsid w:val="00150AD6"/>
    <w:rsid w:val="0015140B"/>
    <w:rsid w:val="0015173F"/>
    <w:rsid w:val="00151B23"/>
    <w:rsid w:val="00152B88"/>
    <w:rsid w:val="001535AE"/>
    <w:rsid w:val="00153B40"/>
    <w:rsid w:val="00153BCF"/>
    <w:rsid w:val="00153EA7"/>
    <w:rsid w:val="001548F9"/>
    <w:rsid w:val="00154ADA"/>
    <w:rsid w:val="00154B08"/>
    <w:rsid w:val="00154D7B"/>
    <w:rsid w:val="0015531A"/>
    <w:rsid w:val="00157418"/>
    <w:rsid w:val="00157B5A"/>
    <w:rsid w:val="0016050B"/>
    <w:rsid w:val="00160B85"/>
    <w:rsid w:val="0016380C"/>
    <w:rsid w:val="00163816"/>
    <w:rsid w:val="00163B27"/>
    <w:rsid w:val="0016425E"/>
    <w:rsid w:val="0016485F"/>
    <w:rsid w:val="00164BF7"/>
    <w:rsid w:val="00164DAE"/>
    <w:rsid w:val="00165317"/>
    <w:rsid w:val="0016539B"/>
    <w:rsid w:val="00165650"/>
    <w:rsid w:val="001657AB"/>
    <w:rsid w:val="001674E1"/>
    <w:rsid w:val="001674E8"/>
    <w:rsid w:val="0017073D"/>
    <w:rsid w:val="00170D38"/>
    <w:rsid w:val="00170F55"/>
    <w:rsid w:val="00171184"/>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E6C"/>
    <w:rsid w:val="00182A38"/>
    <w:rsid w:val="0018325A"/>
    <w:rsid w:val="00183D7A"/>
    <w:rsid w:val="001848D4"/>
    <w:rsid w:val="00184CAE"/>
    <w:rsid w:val="00185785"/>
    <w:rsid w:val="00186199"/>
    <w:rsid w:val="001866BA"/>
    <w:rsid w:val="00186797"/>
    <w:rsid w:val="00186BD7"/>
    <w:rsid w:val="00186F7A"/>
    <w:rsid w:val="00187647"/>
    <w:rsid w:val="00190788"/>
    <w:rsid w:val="00190AE2"/>
    <w:rsid w:val="00190E27"/>
    <w:rsid w:val="00191493"/>
    <w:rsid w:val="00191589"/>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2FF"/>
    <w:rsid w:val="001A364F"/>
    <w:rsid w:val="001A39B7"/>
    <w:rsid w:val="001A42FA"/>
    <w:rsid w:val="001A472D"/>
    <w:rsid w:val="001A4AEC"/>
    <w:rsid w:val="001A4BE3"/>
    <w:rsid w:val="001A4DBE"/>
    <w:rsid w:val="001A59D8"/>
    <w:rsid w:val="001A5FA6"/>
    <w:rsid w:val="001A61AC"/>
    <w:rsid w:val="001A668F"/>
    <w:rsid w:val="001A71CC"/>
    <w:rsid w:val="001A7F30"/>
    <w:rsid w:val="001B04D6"/>
    <w:rsid w:val="001B195A"/>
    <w:rsid w:val="001B2F0C"/>
    <w:rsid w:val="001B30CA"/>
    <w:rsid w:val="001B3513"/>
    <w:rsid w:val="001B353A"/>
    <w:rsid w:val="001B36E6"/>
    <w:rsid w:val="001B3D3E"/>
    <w:rsid w:val="001B40F0"/>
    <w:rsid w:val="001B50CD"/>
    <w:rsid w:val="001B52FE"/>
    <w:rsid w:val="001B69DE"/>
    <w:rsid w:val="001B6B5E"/>
    <w:rsid w:val="001B7890"/>
    <w:rsid w:val="001B7ACC"/>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9B8"/>
    <w:rsid w:val="001C7C6D"/>
    <w:rsid w:val="001C7F70"/>
    <w:rsid w:val="001D0538"/>
    <w:rsid w:val="001D0634"/>
    <w:rsid w:val="001D0979"/>
    <w:rsid w:val="001D0F6A"/>
    <w:rsid w:val="001D21BC"/>
    <w:rsid w:val="001D295A"/>
    <w:rsid w:val="001D2E47"/>
    <w:rsid w:val="001D2FA5"/>
    <w:rsid w:val="001D3250"/>
    <w:rsid w:val="001D3263"/>
    <w:rsid w:val="001D35E0"/>
    <w:rsid w:val="001D47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250"/>
    <w:rsid w:val="001E287E"/>
    <w:rsid w:val="001E2A6A"/>
    <w:rsid w:val="001E3536"/>
    <w:rsid w:val="001E3DC2"/>
    <w:rsid w:val="001E56FF"/>
    <w:rsid w:val="001E5C6B"/>
    <w:rsid w:val="001E6EBF"/>
    <w:rsid w:val="001E7505"/>
    <w:rsid w:val="001E7C94"/>
    <w:rsid w:val="001F0307"/>
    <w:rsid w:val="001F03E1"/>
    <w:rsid w:val="001F09FB"/>
    <w:rsid w:val="001F0F10"/>
    <w:rsid w:val="001F221F"/>
    <w:rsid w:val="001F3CC6"/>
    <w:rsid w:val="001F3F50"/>
    <w:rsid w:val="001F4043"/>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41D"/>
    <w:rsid w:val="00207A46"/>
    <w:rsid w:val="002101B3"/>
    <w:rsid w:val="00211810"/>
    <w:rsid w:val="00211A26"/>
    <w:rsid w:val="00211C2D"/>
    <w:rsid w:val="00212249"/>
    <w:rsid w:val="002125F4"/>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17"/>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2F9"/>
    <w:rsid w:val="00227376"/>
    <w:rsid w:val="002279AA"/>
    <w:rsid w:val="00231610"/>
    <w:rsid w:val="002318F3"/>
    <w:rsid w:val="00231E15"/>
    <w:rsid w:val="0023323F"/>
    <w:rsid w:val="00234202"/>
    <w:rsid w:val="002359EB"/>
    <w:rsid w:val="00235BC2"/>
    <w:rsid w:val="002363AB"/>
    <w:rsid w:val="00236933"/>
    <w:rsid w:val="0023727B"/>
    <w:rsid w:val="00237579"/>
    <w:rsid w:val="00237675"/>
    <w:rsid w:val="00237C6D"/>
    <w:rsid w:val="0024096B"/>
    <w:rsid w:val="002410C4"/>
    <w:rsid w:val="00241582"/>
    <w:rsid w:val="00241B45"/>
    <w:rsid w:val="00241C3B"/>
    <w:rsid w:val="00241CCC"/>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65CE"/>
    <w:rsid w:val="00257359"/>
    <w:rsid w:val="00257578"/>
    <w:rsid w:val="00257B95"/>
    <w:rsid w:val="00260200"/>
    <w:rsid w:val="00260B06"/>
    <w:rsid w:val="002615F9"/>
    <w:rsid w:val="00261D93"/>
    <w:rsid w:val="00262029"/>
    <w:rsid w:val="002622E7"/>
    <w:rsid w:val="00262870"/>
    <w:rsid w:val="00262F94"/>
    <w:rsid w:val="00263138"/>
    <w:rsid w:val="00263BBD"/>
    <w:rsid w:val="002648D8"/>
    <w:rsid w:val="00265AFB"/>
    <w:rsid w:val="00265D58"/>
    <w:rsid w:val="00267EE3"/>
    <w:rsid w:val="00267F59"/>
    <w:rsid w:val="002700E9"/>
    <w:rsid w:val="00270CE9"/>
    <w:rsid w:val="0027235A"/>
    <w:rsid w:val="00273EB3"/>
    <w:rsid w:val="00273F86"/>
    <w:rsid w:val="00274009"/>
    <w:rsid w:val="002741BE"/>
    <w:rsid w:val="00274323"/>
    <w:rsid w:val="00274696"/>
    <w:rsid w:val="002752EA"/>
    <w:rsid w:val="00275EAD"/>
    <w:rsid w:val="00276A37"/>
    <w:rsid w:val="00276B03"/>
    <w:rsid w:val="002773FB"/>
    <w:rsid w:val="002774F0"/>
    <w:rsid w:val="00277722"/>
    <w:rsid w:val="00277FEB"/>
    <w:rsid w:val="002803A7"/>
    <w:rsid w:val="002813C5"/>
    <w:rsid w:val="002824DF"/>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A70"/>
    <w:rsid w:val="00291F6F"/>
    <w:rsid w:val="0029379A"/>
    <w:rsid w:val="00293C97"/>
    <w:rsid w:val="002942CB"/>
    <w:rsid w:val="00294D8F"/>
    <w:rsid w:val="002952A5"/>
    <w:rsid w:val="00295593"/>
    <w:rsid w:val="00295D5A"/>
    <w:rsid w:val="00295E0F"/>
    <w:rsid w:val="00295EC7"/>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4B"/>
    <w:rsid w:val="002A32E5"/>
    <w:rsid w:val="002A398F"/>
    <w:rsid w:val="002A3C52"/>
    <w:rsid w:val="002A3DFD"/>
    <w:rsid w:val="002A3F46"/>
    <w:rsid w:val="002A46A7"/>
    <w:rsid w:val="002A5C6B"/>
    <w:rsid w:val="002A5D31"/>
    <w:rsid w:val="002A630A"/>
    <w:rsid w:val="002A714F"/>
    <w:rsid w:val="002A75D7"/>
    <w:rsid w:val="002A7879"/>
    <w:rsid w:val="002A7B1F"/>
    <w:rsid w:val="002B03F8"/>
    <w:rsid w:val="002B09C0"/>
    <w:rsid w:val="002B1851"/>
    <w:rsid w:val="002B1F1A"/>
    <w:rsid w:val="002B27FF"/>
    <w:rsid w:val="002B2F4E"/>
    <w:rsid w:val="002B507F"/>
    <w:rsid w:val="002B5C8E"/>
    <w:rsid w:val="002B6793"/>
    <w:rsid w:val="002B68A5"/>
    <w:rsid w:val="002B780B"/>
    <w:rsid w:val="002C0B8F"/>
    <w:rsid w:val="002C108A"/>
    <w:rsid w:val="002C1260"/>
    <w:rsid w:val="002C1704"/>
    <w:rsid w:val="002C1726"/>
    <w:rsid w:val="002C1B31"/>
    <w:rsid w:val="002C1B94"/>
    <w:rsid w:val="002C1EEF"/>
    <w:rsid w:val="002C21A6"/>
    <w:rsid w:val="002C26D5"/>
    <w:rsid w:val="002C38A0"/>
    <w:rsid w:val="002C5777"/>
    <w:rsid w:val="002C5889"/>
    <w:rsid w:val="002C61DE"/>
    <w:rsid w:val="002C65FA"/>
    <w:rsid w:val="002C661D"/>
    <w:rsid w:val="002C77CC"/>
    <w:rsid w:val="002C7939"/>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5F0"/>
    <w:rsid w:val="002E0394"/>
    <w:rsid w:val="002E0644"/>
    <w:rsid w:val="002E0FEB"/>
    <w:rsid w:val="002E171B"/>
    <w:rsid w:val="002E286E"/>
    <w:rsid w:val="002E2E3E"/>
    <w:rsid w:val="002E319D"/>
    <w:rsid w:val="002E4AD5"/>
    <w:rsid w:val="002E4C2D"/>
    <w:rsid w:val="002E51EA"/>
    <w:rsid w:val="002E5E56"/>
    <w:rsid w:val="002F0381"/>
    <w:rsid w:val="002F0F79"/>
    <w:rsid w:val="002F1C9E"/>
    <w:rsid w:val="002F1EB2"/>
    <w:rsid w:val="002F25C3"/>
    <w:rsid w:val="002F280E"/>
    <w:rsid w:val="002F2CBB"/>
    <w:rsid w:val="002F3025"/>
    <w:rsid w:val="002F3470"/>
    <w:rsid w:val="002F3709"/>
    <w:rsid w:val="002F3A6C"/>
    <w:rsid w:val="002F4296"/>
    <w:rsid w:val="002F46EF"/>
    <w:rsid w:val="002F5777"/>
    <w:rsid w:val="002F60EA"/>
    <w:rsid w:val="002F61C6"/>
    <w:rsid w:val="002F680E"/>
    <w:rsid w:val="00300120"/>
    <w:rsid w:val="00300128"/>
    <w:rsid w:val="00300334"/>
    <w:rsid w:val="00300951"/>
    <w:rsid w:val="00300B4E"/>
    <w:rsid w:val="00300E8A"/>
    <w:rsid w:val="003011BD"/>
    <w:rsid w:val="0030203D"/>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459F"/>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64A"/>
    <w:rsid w:val="00322A86"/>
    <w:rsid w:val="00323041"/>
    <w:rsid w:val="00323AE8"/>
    <w:rsid w:val="00323B32"/>
    <w:rsid w:val="00324548"/>
    <w:rsid w:val="00324FB6"/>
    <w:rsid w:val="003250C6"/>
    <w:rsid w:val="003251F4"/>
    <w:rsid w:val="00325408"/>
    <w:rsid w:val="00325EF2"/>
    <w:rsid w:val="0032625B"/>
    <w:rsid w:val="00326927"/>
    <w:rsid w:val="003303E3"/>
    <w:rsid w:val="00330651"/>
    <w:rsid w:val="00330AA7"/>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FBE"/>
    <w:rsid w:val="00345432"/>
    <w:rsid w:val="00346759"/>
    <w:rsid w:val="003472DB"/>
    <w:rsid w:val="00350238"/>
    <w:rsid w:val="0035109C"/>
    <w:rsid w:val="00351752"/>
    <w:rsid w:val="00351F0A"/>
    <w:rsid w:val="00352648"/>
    <w:rsid w:val="00353958"/>
    <w:rsid w:val="00353AC6"/>
    <w:rsid w:val="003542B7"/>
    <w:rsid w:val="0035432B"/>
    <w:rsid w:val="00354765"/>
    <w:rsid w:val="00354E10"/>
    <w:rsid w:val="0035733F"/>
    <w:rsid w:val="0035756E"/>
    <w:rsid w:val="00357B15"/>
    <w:rsid w:val="00357BB3"/>
    <w:rsid w:val="003602EA"/>
    <w:rsid w:val="003609DD"/>
    <w:rsid w:val="00360F81"/>
    <w:rsid w:val="00361E7E"/>
    <w:rsid w:val="0036287F"/>
    <w:rsid w:val="00363D25"/>
    <w:rsid w:val="0036412A"/>
    <w:rsid w:val="003648F2"/>
    <w:rsid w:val="00364FA1"/>
    <w:rsid w:val="00366B02"/>
    <w:rsid w:val="003671F5"/>
    <w:rsid w:val="00367F25"/>
    <w:rsid w:val="00370AA4"/>
    <w:rsid w:val="003711F2"/>
    <w:rsid w:val="003717FC"/>
    <w:rsid w:val="00371F48"/>
    <w:rsid w:val="00371FF4"/>
    <w:rsid w:val="003723C0"/>
    <w:rsid w:val="003723C2"/>
    <w:rsid w:val="0037275D"/>
    <w:rsid w:val="00372797"/>
    <w:rsid w:val="00372BE1"/>
    <w:rsid w:val="003731CA"/>
    <w:rsid w:val="00373FD0"/>
    <w:rsid w:val="0037470E"/>
    <w:rsid w:val="00375510"/>
    <w:rsid w:val="00375CA8"/>
    <w:rsid w:val="00375CC4"/>
    <w:rsid w:val="00376103"/>
    <w:rsid w:val="003767B3"/>
    <w:rsid w:val="00376A73"/>
    <w:rsid w:val="00376B49"/>
    <w:rsid w:val="00376EB3"/>
    <w:rsid w:val="00376FC5"/>
    <w:rsid w:val="00377520"/>
    <w:rsid w:val="00380033"/>
    <w:rsid w:val="003801A6"/>
    <w:rsid w:val="00380D36"/>
    <w:rsid w:val="00380F49"/>
    <w:rsid w:val="003822D3"/>
    <w:rsid w:val="003824A9"/>
    <w:rsid w:val="0038480C"/>
    <w:rsid w:val="00384DC9"/>
    <w:rsid w:val="0038566E"/>
    <w:rsid w:val="00385C66"/>
    <w:rsid w:val="00386630"/>
    <w:rsid w:val="00386789"/>
    <w:rsid w:val="0038687F"/>
    <w:rsid w:val="00386A6C"/>
    <w:rsid w:val="003874B6"/>
    <w:rsid w:val="00387876"/>
    <w:rsid w:val="00387D43"/>
    <w:rsid w:val="00387EB3"/>
    <w:rsid w:val="00390379"/>
    <w:rsid w:val="00390741"/>
    <w:rsid w:val="003909FB"/>
    <w:rsid w:val="00390B25"/>
    <w:rsid w:val="00390DD9"/>
    <w:rsid w:val="00392958"/>
    <w:rsid w:val="00392AE5"/>
    <w:rsid w:val="00395CAA"/>
    <w:rsid w:val="003963C0"/>
    <w:rsid w:val="00396588"/>
    <w:rsid w:val="00396863"/>
    <w:rsid w:val="00396C75"/>
    <w:rsid w:val="003970B5"/>
    <w:rsid w:val="00397156"/>
    <w:rsid w:val="00397960"/>
    <w:rsid w:val="003A0663"/>
    <w:rsid w:val="003A1FE0"/>
    <w:rsid w:val="003A3BC4"/>
    <w:rsid w:val="003A458A"/>
    <w:rsid w:val="003A46C9"/>
    <w:rsid w:val="003A4FE2"/>
    <w:rsid w:val="003A5119"/>
    <w:rsid w:val="003A53B3"/>
    <w:rsid w:val="003A551D"/>
    <w:rsid w:val="003A7E6F"/>
    <w:rsid w:val="003B05F2"/>
    <w:rsid w:val="003B0B4A"/>
    <w:rsid w:val="003B2F13"/>
    <w:rsid w:val="003B3353"/>
    <w:rsid w:val="003B405E"/>
    <w:rsid w:val="003B4712"/>
    <w:rsid w:val="003B47EB"/>
    <w:rsid w:val="003B48BA"/>
    <w:rsid w:val="003B494C"/>
    <w:rsid w:val="003B57D3"/>
    <w:rsid w:val="003B59CA"/>
    <w:rsid w:val="003B6067"/>
    <w:rsid w:val="003B6293"/>
    <w:rsid w:val="003C0892"/>
    <w:rsid w:val="003C08E3"/>
    <w:rsid w:val="003C09B5"/>
    <w:rsid w:val="003C0ECA"/>
    <w:rsid w:val="003C0F62"/>
    <w:rsid w:val="003C1176"/>
    <w:rsid w:val="003C1272"/>
    <w:rsid w:val="003C1D87"/>
    <w:rsid w:val="003C1D9A"/>
    <w:rsid w:val="003C1F58"/>
    <w:rsid w:val="003C48B1"/>
    <w:rsid w:val="003C5073"/>
    <w:rsid w:val="003C57A7"/>
    <w:rsid w:val="003C5B0C"/>
    <w:rsid w:val="003C5C2B"/>
    <w:rsid w:val="003C6457"/>
    <w:rsid w:val="003C6943"/>
    <w:rsid w:val="003C6BD2"/>
    <w:rsid w:val="003C7294"/>
    <w:rsid w:val="003C792F"/>
    <w:rsid w:val="003C7ABD"/>
    <w:rsid w:val="003C7C3D"/>
    <w:rsid w:val="003C7E8B"/>
    <w:rsid w:val="003D08F8"/>
    <w:rsid w:val="003D124B"/>
    <w:rsid w:val="003D18F3"/>
    <w:rsid w:val="003D1B22"/>
    <w:rsid w:val="003D1C06"/>
    <w:rsid w:val="003D251D"/>
    <w:rsid w:val="003D2CC1"/>
    <w:rsid w:val="003D4FFC"/>
    <w:rsid w:val="003D51ED"/>
    <w:rsid w:val="003D569B"/>
    <w:rsid w:val="003D6BA0"/>
    <w:rsid w:val="003D78B5"/>
    <w:rsid w:val="003E03F6"/>
    <w:rsid w:val="003E099F"/>
    <w:rsid w:val="003E19FF"/>
    <w:rsid w:val="003E2008"/>
    <w:rsid w:val="003E244F"/>
    <w:rsid w:val="003E2C53"/>
    <w:rsid w:val="003E372A"/>
    <w:rsid w:val="003E37AE"/>
    <w:rsid w:val="003E3AB5"/>
    <w:rsid w:val="003E403C"/>
    <w:rsid w:val="003E501C"/>
    <w:rsid w:val="003E5165"/>
    <w:rsid w:val="003E572C"/>
    <w:rsid w:val="003E62A6"/>
    <w:rsid w:val="003E64AE"/>
    <w:rsid w:val="003E695F"/>
    <w:rsid w:val="003E6BDE"/>
    <w:rsid w:val="003E6C9B"/>
    <w:rsid w:val="003E6D39"/>
    <w:rsid w:val="003E709C"/>
    <w:rsid w:val="003E712E"/>
    <w:rsid w:val="003E726D"/>
    <w:rsid w:val="003E7844"/>
    <w:rsid w:val="003E798B"/>
    <w:rsid w:val="003E7A5A"/>
    <w:rsid w:val="003E7B89"/>
    <w:rsid w:val="003E7E15"/>
    <w:rsid w:val="003F0B30"/>
    <w:rsid w:val="003F0FA3"/>
    <w:rsid w:val="003F276B"/>
    <w:rsid w:val="003F2D37"/>
    <w:rsid w:val="003F3DA2"/>
    <w:rsid w:val="003F4241"/>
    <w:rsid w:val="003F4B8A"/>
    <w:rsid w:val="003F4C20"/>
    <w:rsid w:val="003F62BB"/>
    <w:rsid w:val="003F6FEC"/>
    <w:rsid w:val="003F748E"/>
    <w:rsid w:val="003F7C45"/>
    <w:rsid w:val="00400241"/>
    <w:rsid w:val="0040132C"/>
    <w:rsid w:val="00401EFD"/>
    <w:rsid w:val="0040231A"/>
    <w:rsid w:val="00402489"/>
    <w:rsid w:val="00402D81"/>
    <w:rsid w:val="004049BD"/>
    <w:rsid w:val="00404EB5"/>
    <w:rsid w:val="00405085"/>
    <w:rsid w:val="00405D28"/>
    <w:rsid w:val="004066FC"/>
    <w:rsid w:val="00407481"/>
    <w:rsid w:val="00407C10"/>
    <w:rsid w:val="00407E90"/>
    <w:rsid w:val="00410C57"/>
    <w:rsid w:val="004113B4"/>
    <w:rsid w:val="00411F11"/>
    <w:rsid w:val="00413323"/>
    <w:rsid w:val="00414503"/>
    <w:rsid w:val="00414827"/>
    <w:rsid w:val="004153B3"/>
    <w:rsid w:val="00415772"/>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3C31"/>
    <w:rsid w:val="00424213"/>
    <w:rsid w:val="00424EF3"/>
    <w:rsid w:val="004267DB"/>
    <w:rsid w:val="004268BB"/>
    <w:rsid w:val="0042695F"/>
    <w:rsid w:val="00426A4B"/>
    <w:rsid w:val="00430724"/>
    <w:rsid w:val="00431047"/>
    <w:rsid w:val="00431B86"/>
    <w:rsid w:val="0043295F"/>
    <w:rsid w:val="00432B7F"/>
    <w:rsid w:val="00433CC0"/>
    <w:rsid w:val="00433EED"/>
    <w:rsid w:val="00437C96"/>
    <w:rsid w:val="0044072E"/>
    <w:rsid w:val="004408EC"/>
    <w:rsid w:val="004416A4"/>
    <w:rsid w:val="00441E6A"/>
    <w:rsid w:val="00442AEE"/>
    <w:rsid w:val="00442CDC"/>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4269"/>
    <w:rsid w:val="00455165"/>
    <w:rsid w:val="004568BE"/>
    <w:rsid w:val="00457804"/>
    <w:rsid w:val="00460AEF"/>
    <w:rsid w:val="00460C52"/>
    <w:rsid w:val="0046135C"/>
    <w:rsid w:val="00462279"/>
    <w:rsid w:val="004646BF"/>
    <w:rsid w:val="00464744"/>
    <w:rsid w:val="00465CC2"/>
    <w:rsid w:val="004665E3"/>
    <w:rsid w:val="00466F64"/>
    <w:rsid w:val="0046760F"/>
    <w:rsid w:val="004678C0"/>
    <w:rsid w:val="0047237D"/>
    <w:rsid w:val="00472561"/>
    <w:rsid w:val="004731F1"/>
    <w:rsid w:val="00473EB5"/>
    <w:rsid w:val="0047456B"/>
    <w:rsid w:val="00475251"/>
    <w:rsid w:val="004755BD"/>
    <w:rsid w:val="00477400"/>
    <w:rsid w:val="0048070C"/>
    <w:rsid w:val="00480BC8"/>
    <w:rsid w:val="00481265"/>
    <w:rsid w:val="004814BF"/>
    <w:rsid w:val="00482649"/>
    <w:rsid w:val="00482BDC"/>
    <w:rsid w:val="00483630"/>
    <w:rsid w:val="004836EA"/>
    <w:rsid w:val="00483F72"/>
    <w:rsid w:val="00485215"/>
    <w:rsid w:val="00485340"/>
    <w:rsid w:val="0048587E"/>
    <w:rsid w:val="0048712F"/>
    <w:rsid w:val="004875D9"/>
    <w:rsid w:val="00487C2B"/>
    <w:rsid w:val="004900FF"/>
    <w:rsid w:val="004903AA"/>
    <w:rsid w:val="0049125B"/>
    <w:rsid w:val="0049144B"/>
    <w:rsid w:val="004918F0"/>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2B4"/>
    <w:rsid w:val="004A23C2"/>
    <w:rsid w:val="004A2E81"/>
    <w:rsid w:val="004A3336"/>
    <w:rsid w:val="004A3468"/>
    <w:rsid w:val="004A3479"/>
    <w:rsid w:val="004A35E4"/>
    <w:rsid w:val="004A3E3C"/>
    <w:rsid w:val="004A4069"/>
    <w:rsid w:val="004A428D"/>
    <w:rsid w:val="004A484E"/>
    <w:rsid w:val="004A5861"/>
    <w:rsid w:val="004A6513"/>
    <w:rsid w:val="004A6D96"/>
    <w:rsid w:val="004B0E6D"/>
    <w:rsid w:val="004B16E8"/>
    <w:rsid w:val="004B2CA5"/>
    <w:rsid w:val="004B412E"/>
    <w:rsid w:val="004B5B92"/>
    <w:rsid w:val="004B6250"/>
    <w:rsid w:val="004B66F3"/>
    <w:rsid w:val="004B733D"/>
    <w:rsid w:val="004B76B1"/>
    <w:rsid w:val="004B7800"/>
    <w:rsid w:val="004B7F41"/>
    <w:rsid w:val="004C0057"/>
    <w:rsid w:val="004C0541"/>
    <w:rsid w:val="004C0661"/>
    <w:rsid w:val="004C0BBF"/>
    <w:rsid w:val="004C1748"/>
    <w:rsid w:val="004C1D08"/>
    <w:rsid w:val="004C1D55"/>
    <w:rsid w:val="004C2836"/>
    <w:rsid w:val="004C2C46"/>
    <w:rsid w:val="004C405B"/>
    <w:rsid w:val="004C4550"/>
    <w:rsid w:val="004C486A"/>
    <w:rsid w:val="004C54CA"/>
    <w:rsid w:val="004C5F6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C52"/>
    <w:rsid w:val="004E5575"/>
    <w:rsid w:val="004E5EDB"/>
    <w:rsid w:val="004E5F51"/>
    <w:rsid w:val="004E60FB"/>
    <w:rsid w:val="004E73A5"/>
    <w:rsid w:val="004E758A"/>
    <w:rsid w:val="004F1C42"/>
    <w:rsid w:val="004F23CE"/>
    <w:rsid w:val="004F2456"/>
    <w:rsid w:val="004F2835"/>
    <w:rsid w:val="004F2C5A"/>
    <w:rsid w:val="004F2C82"/>
    <w:rsid w:val="004F31EA"/>
    <w:rsid w:val="004F4601"/>
    <w:rsid w:val="004F4BB3"/>
    <w:rsid w:val="004F7572"/>
    <w:rsid w:val="004F779C"/>
    <w:rsid w:val="004F7846"/>
    <w:rsid w:val="004F7ABC"/>
    <w:rsid w:val="005000A6"/>
    <w:rsid w:val="005000D4"/>
    <w:rsid w:val="005004EE"/>
    <w:rsid w:val="00500511"/>
    <w:rsid w:val="005007AB"/>
    <w:rsid w:val="00500B1E"/>
    <w:rsid w:val="00500B24"/>
    <w:rsid w:val="00500C17"/>
    <w:rsid w:val="00500E2F"/>
    <w:rsid w:val="005012DE"/>
    <w:rsid w:val="00502416"/>
    <w:rsid w:val="005027F4"/>
    <w:rsid w:val="005036C2"/>
    <w:rsid w:val="00503E49"/>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78B"/>
    <w:rsid w:val="00514A6B"/>
    <w:rsid w:val="00514C1C"/>
    <w:rsid w:val="005151E7"/>
    <w:rsid w:val="0051524F"/>
    <w:rsid w:val="0051566A"/>
    <w:rsid w:val="00515D7B"/>
    <w:rsid w:val="00515DD8"/>
    <w:rsid w:val="005166E9"/>
    <w:rsid w:val="00517821"/>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2DDF"/>
    <w:rsid w:val="005334E4"/>
    <w:rsid w:val="00534844"/>
    <w:rsid w:val="005349B1"/>
    <w:rsid w:val="005359E4"/>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EA6"/>
    <w:rsid w:val="0054655E"/>
    <w:rsid w:val="00546601"/>
    <w:rsid w:val="00547D9C"/>
    <w:rsid w:val="00547DA1"/>
    <w:rsid w:val="00550116"/>
    <w:rsid w:val="005501BC"/>
    <w:rsid w:val="0055068D"/>
    <w:rsid w:val="00550715"/>
    <w:rsid w:val="00551B0B"/>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8B1"/>
    <w:rsid w:val="00556B00"/>
    <w:rsid w:val="005574C6"/>
    <w:rsid w:val="0055753F"/>
    <w:rsid w:val="0055754D"/>
    <w:rsid w:val="00557618"/>
    <w:rsid w:val="00557782"/>
    <w:rsid w:val="005577D2"/>
    <w:rsid w:val="00560C94"/>
    <w:rsid w:val="00560E13"/>
    <w:rsid w:val="00560FD5"/>
    <w:rsid w:val="00561C0A"/>
    <w:rsid w:val="00562765"/>
    <w:rsid w:val="0056283B"/>
    <w:rsid w:val="0056291C"/>
    <w:rsid w:val="0056293D"/>
    <w:rsid w:val="00562D7C"/>
    <w:rsid w:val="00563CA0"/>
    <w:rsid w:val="00563E82"/>
    <w:rsid w:val="00563EF6"/>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1A41"/>
    <w:rsid w:val="005721D0"/>
    <w:rsid w:val="0057275D"/>
    <w:rsid w:val="00572919"/>
    <w:rsid w:val="00572B05"/>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5FDA"/>
    <w:rsid w:val="00586819"/>
    <w:rsid w:val="00586E9A"/>
    <w:rsid w:val="005873A9"/>
    <w:rsid w:val="00587419"/>
    <w:rsid w:val="00587871"/>
    <w:rsid w:val="00587958"/>
    <w:rsid w:val="00590FE4"/>
    <w:rsid w:val="0059116E"/>
    <w:rsid w:val="00591253"/>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893"/>
    <w:rsid w:val="005A19D3"/>
    <w:rsid w:val="005A1A45"/>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177"/>
    <w:rsid w:val="005B2B01"/>
    <w:rsid w:val="005B2E84"/>
    <w:rsid w:val="005B352F"/>
    <w:rsid w:val="005B3E66"/>
    <w:rsid w:val="005B3FE8"/>
    <w:rsid w:val="005B4215"/>
    <w:rsid w:val="005B436C"/>
    <w:rsid w:val="005B4F97"/>
    <w:rsid w:val="005B52A4"/>
    <w:rsid w:val="005B5CA4"/>
    <w:rsid w:val="005B6E01"/>
    <w:rsid w:val="005B700E"/>
    <w:rsid w:val="005B7476"/>
    <w:rsid w:val="005B7688"/>
    <w:rsid w:val="005B7849"/>
    <w:rsid w:val="005B7B0E"/>
    <w:rsid w:val="005C0609"/>
    <w:rsid w:val="005C0DFA"/>
    <w:rsid w:val="005C0FF0"/>
    <w:rsid w:val="005C219B"/>
    <w:rsid w:val="005C231E"/>
    <w:rsid w:val="005C402E"/>
    <w:rsid w:val="005C480F"/>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F0A"/>
    <w:rsid w:val="005D1584"/>
    <w:rsid w:val="005D15AE"/>
    <w:rsid w:val="005D1A7B"/>
    <w:rsid w:val="005D1EDD"/>
    <w:rsid w:val="005D2F95"/>
    <w:rsid w:val="005D3EC3"/>
    <w:rsid w:val="005D456F"/>
    <w:rsid w:val="005D45B3"/>
    <w:rsid w:val="005D4AB3"/>
    <w:rsid w:val="005D4CEB"/>
    <w:rsid w:val="005D5344"/>
    <w:rsid w:val="005D5DA8"/>
    <w:rsid w:val="005D61EB"/>
    <w:rsid w:val="005D6733"/>
    <w:rsid w:val="005E0AE0"/>
    <w:rsid w:val="005E40C4"/>
    <w:rsid w:val="005E5501"/>
    <w:rsid w:val="005E6F8F"/>
    <w:rsid w:val="005F0280"/>
    <w:rsid w:val="005F04E6"/>
    <w:rsid w:val="005F17EC"/>
    <w:rsid w:val="005F1C2F"/>
    <w:rsid w:val="005F279A"/>
    <w:rsid w:val="005F39D5"/>
    <w:rsid w:val="005F3AB5"/>
    <w:rsid w:val="005F3E05"/>
    <w:rsid w:val="005F3F98"/>
    <w:rsid w:val="005F43B9"/>
    <w:rsid w:val="005F55D6"/>
    <w:rsid w:val="005F5BC3"/>
    <w:rsid w:val="005F5CA9"/>
    <w:rsid w:val="005F68CB"/>
    <w:rsid w:val="005F6BDE"/>
    <w:rsid w:val="00600242"/>
    <w:rsid w:val="00603115"/>
    <w:rsid w:val="006033E3"/>
    <w:rsid w:val="00604506"/>
    <w:rsid w:val="00605FC7"/>
    <w:rsid w:val="00606218"/>
    <w:rsid w:val="006064C5"/>
    <w:rsid w:val="00606CA3"/>
    <w:rsid w:val="00606E91"/>
    <w:rsid w:val="00607018"/>
    <w:rsid w:val="006077ED"/>
    <w:rsid w:val="00607F03"/>
    <w:rsid w:val="00610954"/>
    <w:rsid w:val="00610CBE"/>
    <w:rsid w:val="00610E1F"/>
    <w:rsid w:val="00611777"/>
    <w:rsid w:val="00611AC5"/>
    <w:rsid w:val="0061219E"/>
    <w:rsid w:val="0061321C"/>
    <w:rsid w:val="00613C5A"/>
    <w:rsid w:val="00614CA1"/>
    <w:rsid w:val="0061591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905"/>
    <w:rsid w:val="006320D8"/>
    <w:rsid w:val="00632540"/>
    <w:rsid w:val="00632E88"/>
    <w:rsid w:val="006342BB"/>
    <w:rsid w:val="0063454C"/>
    <w:rsid w:val="00634DBB"/>
    <w:rsid w:val="00635255"/>
    <w:rsid w:val="006358BF"/>
    <w:rsid w:val="00637869"/>
    <w:rsid w:val="00637C26"/>
    <w:rsid w:val="00637E37"/>
    <w:rsid w:val="00640732"/>
    <w:rsid w:val="00641B89"/>
    <w:rsid w:val="00642072"/>
    <w:rsid w:val="006431D0"/>
    <w:rsid w:val="006440ED"/>
    <w:rsid w:val="0064467C"/>
    <w:rsid w:val="00644AB5"/>
    <w:rsid w:val="00645213"/>
    <w:rsid w:val="00645293"/>
    <w:rsid w:val="006468CB"/>
    <w:rsid w:val="006475F3"/>
    <w:rsid w:val="00650F45"/>
    <w:rsid w:val="00651B78"/>
    <w:rsid w:val="00652263"/>
    <w:rsid w:val="0065238F"/>
    <w:rsid w:val="0065278C"/>
    <w:rsid w:val="00652881"/>
    <w:rsid w:val="00652985"/>
    <w:rsid w:val="006533AE"/>
    <w:rsid w:val="006551AE"/>
    <w:rsid w:val="00661974"/>
    <w:rsid w:val="006623E2"/>
    <w:rsid w:val="006624E3"/>
    <w:rsid w:val="006640F9"/>
    <w:rsid w:val="00664551"/>
    <w:rsid w:val="00664596"/>
    <w:rsid w:val="00664685"/>
    <w:rsid w:val="00664B95"/>
    <w:rsid w:val="006653D4"/>
    <w:rsid w:val="00665D5F"/>
    <w:rsid w:val="006676A0"/>
    <w:rsid w:val="006704F3"/>
    <w:rsid w:val="00670857"/>
    <w:rsid w:val="00671124"/>
    <w:rsid w:val="006727B0"/>
    <w:rsid w:val="0067302C"/>
    <w:rsid w:val="0067307E"/>
    <w:rsid w:val="006739C0"/>
    <w:rsid w:val="00673F6D"/>
    <w:rsid w:val="00674850"/>
    <w:rsid w:val="00675116"/>
    <w:rsid w:val="00675D03"/>
    <w:rsid w:val="00676016"/>
    <w:rsid w:val="00676876"/>
    <w:rsid w:val="00676EA7"/>
    <w:rsid w:val="00680969"/>
    <w:rsid w:val="00683F61"/>
    <w:rsid w:val="006850AF"/>
    <w:rsid w:val="0068634A"/>
    <w:rsid w:val="00686A36"/>
    <w:rsid w:val="00687AD5"/>
    <w:rsid w:val="00690800"/>
    <w:rsid w:val="00690DCB"/>
    <w:rsid w:val="006912CF"/>
    <w:rsid w:val="0069211A"/>
    <w:rsid w:val="00692B81"/>
    <w:rsid w:val="00692C4F"/>
    <w:rsid w:val="00693FF7"/>
    <w:rsid w:val="006942C3"/>
    <w:rsid w:val="00694850"/>
    <w:rsid w:val="006949D2"/>
    <w:rsid w:val="00694C5F"/>
    <w:rsid w:val="00695251"/>
    <w:rsid w:val="006953EF"/>
    <w:rsid w:val="00695689"/>
    <w:rsid w:val="00695ADE"/>
    <w:rsid w:val="00695C0D"/>
    <w:rsid w:val="00695CAE"/>
    <w:rsid w:val="00695F70"/>
    <w:rsid w:val="00696009"/>
    <w:rsid w:val="00696356"/>
    <w:rsid w:val="00696507"/>
    <w:rsid w:val="0069673E"/>
    <w:rsid w:val="006968EA"/>
    <w:rsid w:val="006A015D"/>
    <w:rsid w:val="006A02EC"/>
    <w:rsid w:val="006A0D9D"/>
    <w:rsid w:val="006A229A"/>
    <w:rsid w:val="006A2446"/>
    <w:rsid w:val="006A2551"/>
    <w:rsid w:val="006A261F"/>
    <w:rsid w:val="006A2B6C"/>
    <w:rsid w:val="006A2EA3"/>
    <w:rsid w:val="006A3CC1"/>
    <w:rsid w:val="006A3E73"/>
    <w:rsid w:val="006A4899"/>
    <w:rsid w:val="006A5E32"/>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3BD5"/>
    <w:rsid w:val="006B4032"/>
    <w:rsid w:val="006B45A6"/>
    <w:rsid w:val="006B4A69"/>
    <w:rsid w:val="006B62F0"/>
    <w:rsid w:val="006B6C6B"/>
    <w:rsid w:val="006B78E4"/>
    <w:rsid w:val="006C0771"/>
    <w:rsid w:val="006C09B6"/>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7B"/>
    <w:rsid w:val="006D4A94"/>
    <w:rsid w:val="006D53AA"/>
    <w:rsid w:val="006D6166"/>
    <w:rsid w:val="006D672F"/>
    <w:rsid w:val="006D6993"/>
    <w:rsid w:val="006E0D09"/>
    <w:rsid w:val="006E1DF2"/>
    <w:rsid w:val="006E241F"/>
    <w:rsid w:val="006E24EE"/>
    <w:rsid w:val="006E25BD"/>
    <w:rsid w:val="006E3379"/>
    <w:rsid w:val="006E34B7"/>
    <w:rsid w:val="006E34F8"/>
    <w:rsid w:val="006E36B8"/>
    <w:rsid w:val="006E3874"/>
    <w:rsid w:val="006E5585"/>
    <w:rsid w:val="006E5E32"/>
    <w:rsid w:val="006E61D9"/>
    <w:rsid w:val="006E633A"/>
    <w:rsid w:val="006E6A14"/>
    <w:rsid w:val="006E6B16"/>
    <w:rsid w:val="006E6CB0"/>
    <w:rsid w:val="006E6DE8"/>
    <w:rsid w:val="006E780C"/>
    <w:rsid w:val="006F0BA7"/>
    <w:rsid w:val="006F0F01"/>
    <w:rsid w:val="006F174D"/>
    <w:rsid w:val="006F1F41"/>
    <w:rsid w:val="006F24B6"/>
    <w:rsid w:val="006F32EF"/>
    <w:rsid w:val="006F3615"/>
    <w:rsid w:val="006F3C54"/>
    <w:rsid w:val="006F41B7"/>
    <w:rsid w:val="006F4CD8"/>
    <w:rsid w:val="006F5125"/>
    <w:rsid w:val="006F53D9"/>
    <w:rsid w:val="006F5812"/>
    <w:rsid w:val="006F5CC1"/>
    <w:rsid w:val="006F609A"/>
    <w:rsid w:val="006F680E"/>
    <w:rsid w:val="006F685F"/>
    <w:rsid w:val="007004DC"/>
    <w:rsid w:val="00701093"/>
    <w:rsid w:val="007015F1"/>
    <w:rsid w:val="0070173B"/>
    <w:rsid w:val="007020B8"/>
    <w:rsid w:val="007022C4"/>
    <w:rsid w:val="007026E9"/>
    <w:rsid w:val="00703C8B"/>
    <w:rsid w:val="00703E8A"/>
    <w:rsid w:val="00704672"/>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BD"/>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4CEF"/>
    <w:rsid w:val="007253CC"/>
    <w:rsid w:val="00726F5A"/>
    <w:rsid w:val="0072708F"/>
    <w:rsid w:val="00730E81"/>
    <w:rsid w:val="00731000"/>
    <w:rsid w:val="00731204"/>
    <w:rsid w:val="007319BC"/>
    <w:rsid w:val="00731C7E"/>
    <w:rsid w:val="00731EF6"/>
    <w:rsid w:val="0073222B"/>
    <w:rsid w:val="00732582"/>
    <w:rsid w:val="00732D1D"/>
    <w:rsid w:val="007332C4"/>
    <w:rsid w:val="00733480"/>
    <w:rsid w:val="00734321"/>
    <w:rsid w:val="00734381"/>
    <w:rsid w:val="00736034"/>
    <w:rsid w:val="0073681C"/>
    <w:rsid w:val="00736A13"/>
    <w:rsid w:val="0073725B"/>
    <w:rsid w:val="007377E6"/>
    <w:rsid w:val="0074033C"/>
    <w:rsid w:val="0074050E"/>
    <w:rsid w:val="00740615"/>
    <w:rsid w:val="00740B66"/>
    <w:rsid w:val="00740C8F"/>
    <w:rsid w:val="00741AF8"/>
    <w:rsid w:val="00741EBE"/>
    <w:rsid w:val="00742181"/>
    <w:rsid w:val="0074238D"/>
    <w:rsid w:val="007424EC"/>
    <w:rsid w:val="00742EDA"/>
    <w:rsid w:val="007440FA"/>
    <w:rsid w:val="00744201"/>
    <w:rsid w:val="00744B78"/>
    <w:rsid w:val="00745FCE"/>
    <w:rsid w:val="00746130"/>
    <w:rsid w:val="00746A40"/>
    <w:rsid w:val="00746E6A"/>
    <w:rsid w:val="007471E6"/>
    <w:rsid w:val="00747598"/>
    <w:rsid w:val="00750358"/>
    <w:rsid w:val="007508AC"/>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6D8"/>
    <w:rsid w:val="00760895"/>
    <w:rsid w:val="00761726"/>
    <w:rsid w:val="00762130"/>
    <w:rsid w:val="00762ABF"/>
    <w:rsid w:val="007632A5"/>
    <w:rsid w:val="00763746"/>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AA7"/>
    <w:rsid w:val="00773122"/>
    <w:rsid w:val="0077369F"/>
    <w:rsid w:val="0077463A"/>
    <w:rsid w:val="00774AB3"/>
    <w:rsid w:val="00774D0F"/>
    <w:rsid w:val="00774D7B"/>
    <w:rsid w:val="0077544C"/>
    <w:rsid w:val="0077564D"/>
    <w:rsid w:val="007756ED"/>
    <w:rsid w:val="0077589D"/>
    <w:rsid w:val="0077617F"/>
    <w:rsid w:val="00776A3D"/>
    <w:rsid w:val="0077707A"/>
    <w:rsid w:val="007776BF"/>
    <w:rsid w:val="00777AF7"/>
    <w:rsid w:val="00777C63"/>
    <w:rsid w:val="00780435"/>
    <w:rsid w:val="007819A1"/>
    <w:rsid w:val="00781F35"/>
    <w:rsid w:val="00783BA5"/>
    <w:rsid w:val="00784F9E"/>
    <w:rsid w:val="0078533C"/>
    <w:rsid w:val="007856FD"/>
    <w:rsid w:val="007857FB"/>
    <w:rsid w:val="00785EEA"/>
    <w:rsid w:val="00786D99"/>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EA6"/>
    <w:rsid w:val="007A3680"/>
    <w:rsid w:val="007A3BCD"/>
    <w:rsid w:val="007A425A"/>
    <w:rsid w:val="007A4354"/>
    <w:rsid w:val="007A44C2"/>
    <w:rsid w:val="007A4C1C"/>
    <w:rsid w:val="007A5214"/>
    <w:rsid w:val="007A59B8"/>
    <w:rsid w:val="007A65AF"/>
    <w:rsid w:val="007A68D8"/>
    <w:rsid w:val="007A709D"/>
    <w:rsid w:val="007A7682"/>
    <w:rsid w:val="007A7F42"/>
    <w:rsid w:val="007B1496"/>
    <w:rsid w:val="007B2862"/>
    <w:rsid w:val="007B2FD8"/>
    <w:rsid w:val="007B3968"/>
    <w:rsid w:val="007B45AF"/>
    <w:rsid w:val="007B4DD0"/>
    <w:rsid w:val="007B53A5"/>
    <w:rsid w:val="007B5657"/>
    <w:rsid w:val="007B611E"/>
    <w:rsid w:val="007B662A"/>
    <w:rsid w:val="007B6693"/>
    <w:rsid w:val="007B71DC"/>
    <w:rsid w:val="007B7743"/>
    <w:rsid w:val="007C04F4"/>
    <w:rsid w:val="007C2139"/>
    <w:rsid w:val="007C27DE"/>
    <w:rsid w:val="007C299E"/>
    <w:rsid w:val="007C525F"/>
    <w:rsid w:val="007C5321"/>
    <w:rsid w:val="007C5482"/>
    <w:rsid w:val="007C5881"/>
    <w:rsid w:val="007C5CD1"/>
    <w:rsid w:val="007C5E8A"/>
    <w:rsid w:val="007C5F4B"/>
    <w:rsid w:val="007C68A4"/>
    <w:rsid w:val="007C6AAB"/>
    <w:rsid w:val="007C7394"/>
    <w:rsid w:val="007C7B84"/>
    <w:rsid w:val="007D02E5"/>
    <w:rsid w:val="007D0C4D"/>
    <w:rsid w:val="007D1FE9"/>
    <w:rsid w:val="007D26C5"/>
    <w:rsid w:val="007D28C9"/>
    <w:rsid w:val="007D2EEC"/>
    <w:rsid w:val="007D326B"/>
    <w:rsid w:val="007D33E1"/>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2E76"/>
    <w:rsid w:val="007E304B"/>
    <w:rsid w:val="007E31DC"/>
    <w:rsid w:val="007E3B9A"/>
    <w:rsid w:val="007E3EEF"/>
    <w:rsid w:val="007E43E3"/>
    <w:rsid w:val="007E46E8"/>
    <w:rsid w:val="007E470F"/>
    <w:rsid w:val="007E4C1F"/>
    <w:rsid w:val="007E4EEB"/>
    <w:rsid w:val="007E57C9"/>
    <w:rsid w:val="007E5A6D"/>
    <w:rsid w:val="007F01DE"/>
    <w:rsid w:val="007F02E5"/>
    <w:rsid w:val="007F0759"/>
    <w:rsid w:val="007F082E"/>
    <w:rsid w:val="007F0BCC"/>
    <w:rsid w:val="007F156E"/>
    <w:rsid w:val="007F1CF3"/>
    <w:rsid w:val="007F23D2"/>
    <w:rsid w:val="007F25C0"/>
    <w:rsid w:val="007F30BB"/>
    <w:rsid w:val="007F5F52"/>
    <w:rsid w:val="007F672A"/>
    <w:rsid w:val="007F6A1D"/>
    <w:rsid w:val="007F77C6"/>
    <w:rsid w:val="007F79D4"/>
    <w:rsid w:val="008003A1"/>
    <w:rsid w:val="008006B7"/>
    <w:rsid w:val="00800FDB"/>
    <w:rsid w:val="00802081"/>
    <w:rsid w:val="008020F6"/>
    <w:rsid w:val="0080298E"/>
    <w:rsid w:val="00803059"/>
    <w:rsid w:val="0080335D"/>
    <w:rsid w:val="00803833"/>
    <w:rsid w:val="00804316"/>
    <w:rsid w:val="008044F8"/>
    <w:rsid w:val="00805983"/>
    <w:rsid w:val="00805C54"/>
    <w:rsid w:val="00806461"/>
    <w:rsid w:val="008064C1"/>
    <w:rsid w:val="00806C8E"/>
    <w:rsid w:val="00806E43"/>
    <w:rsid w:val="008077DA"/>
    <w:rsid w:val="0081096D"/>
    <w:rsid w:val="00810EAD"/>
    <w:rsid w:val="00811833"/>
    <w:rsid w:val="0081234B"/>
    <w:rsid w:val="00813F84"/>
    <w:rsid w:val="00814BDE"/>
    <w:rsid w:val="00814CE7"/>
    <w:rsid w:val="00814DBC"/>
    <w:rsid w:val="008153CE"/>
    <w:rsid w:val="00815A5C"/>
    <w:rsid w:val="008174D4"/>
    <w:rsid w:val="0082002E"/>
    <w:rsid w:val="0082083C"/>
    <w:rsid w:val="00820C54"/>
    <w:rsid w:val="00820F37"/>
    <w:rsid w:val="00820FE6"/>
    <w:rsid w:val="008215EA"/>
    <w:rsid w:val="00821A66"/>
    <w:rsid w:val="00822476"/>
    <w:rsid w:val="00822882"/>
    <w:rsid w:val="00822A1E"/>
    <w:rsid w:val="008238C7"/>
    <w:rsid w:val="00825268"/>
    <w:rsid w:val="00825590"/>
    <w:rsid w:val="0082571C"/>
    <w:rsid w:val="00825B94"/>
    <w:rsid w:val="00825BB4"/>
    <w:rsid w:val="00825F68"/>
    <w:rsid w:val="00826FDF"/>
    <w:rsid w:val="008273D2"/>
    <w:rsid w:val="00830E92"/>
    <w:rsid w:val="0083209E"/>
    <w:rsid w:val="008320ED"/>
    <w:rsid w:val="00832A0F"/>
    <w:rsid w:val="00835179"/>
    <w:rsid w:val="008353D5"/>
    <w:rsid w:val="00835408"/>
    <w:rsid w:val="008358A2"/>
    <w:rsid w:val="008359DA"/>
    <w:rsid w:val="008367AF"/>
    <w:rsid w:val="00837CEF"/>
    <w:rsid w:val="00837E2F"/>
    <w:rsid w:val="00840035"/>
    <w:rsid w:val="008404FF"/>
    <w:rsid w:val="00840C45"/>
    <w:rsid w:val="008413C5"/>
    <w:rsid w:val="00841D84"/>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3FD8"/>
    <w:rsid w:val="0085474D"/>
    <w:rsid w:val="00856481"/>
    <w:rsid w:val="008567A2"/>
    <w:rsid w:val="00856E6C"/>
    <w:rsid w:val="00857DE1"/>
    <w:rsid w:val="00860211"/>
    <w:rsid w:val="00860793"/>
    <w:rsid w:val="00861747"/>
    <w:rsid w:val="00863011"/>
    <w:rsid w:val="008630FE"/>
    <w:rsid w:val="00863364"/>
    <w:rsid w:val="00863C5B"/>
    <w:rsid w:val="00863D2E"/>
    <w:rsid w:val="008644EB"/>
    <w:rsid w:val="0086468B"/>
    <w:rsid w:val="00864E32"/>
    <w:rsid w:val="00865075"/>
    <w:rsid w:val="0086615F"/>
    <w:rsid w:val="00867454"/>
    <w:rsid w:val="0086748F"/>
    <w:rsid w:val="00867FD8"/>
    <w:rsid w:val="008711B5"/>
    <w:rsid w:val="0087274F"/>
    <w:rsid w:val="00872757"/>
    <w:rsid w:val="00872CE4"/>
    <w:rsid w:val="00873AA4"/>
    <w:rsid w:val="00873CA8"/>
    <w:rsid w:val="00873F5D"/>
    <w:rsid w:val="0087570C"/>
    <w:rsid w:val="008767B7"/>
    <w:rsid w:val="008773BA"/>
    <w:rsid w:val="00877B62"/>
    <w:rsid w:val="00877EBE"/>
    <w:rsid w:val="00881015"/>
    <w:rsid w:val="008810B0"/>
    <w:rsid w:val="00881665"/>
    <w:rsid w:val="008819B6"/>
    <w:rsid w:val="00881AAC"/>
    <w:rsid w:val="00881CFB"/>
    <w:rsid w:val="00882A97"/>
    <w:rsid w:val="0088316F"/>
    <w:rsid w:val="008836B7"/>
    <w:rsid w:val="00883F7C"/>
    <w:rsid w:val="008841D3"/>
    <w:rsid w:val="00884223"/>
    <w:rsid w:val="00884987"/>
    <w:rsid w:val="008849B3"/>
    <w:rsid w:val="00884BE0"/>
    <w:rsid w:val="00887BF9"/>
    <w:rsid w:val="00887DE6"/>
    <w:rsid w:val="00890F6D"/>
    <w:rsid w:val="0089214A"/>
    <w:rsid w:val="00892226"/>
    <w:rsid w:val="008922FA"/>
    <w:rsid w:val="008929C5"/>
    <w:rsid w:val="00892D3E"/>
    <w:rsid w:val="008936DC"/>
    <w:rsid w:val="00893740"/>
    <w:rsid w:val="00893E53"/>
    <w:rsid w:val="00894457"/>
    <w:rsid w:val="008945EB"/>
    <w:rsid w:val="00894A59"/>
    <w:rsid w:val="00894AC1"/>
    <w:rsid w:val="00894C2A"/>
    <w:rsid w:val="00895389"/>
    <w:rsid w:val="00896323"/>
    <w:rsid w:val="0089690B"/>
    <w:rsid w:val="00896A5F"/>
    <w:rsid w:val="008971E9"/>
    <w:rsid w:val="0089728F"/>
    <w:rsid w:val="008976C0"/>
    <w:rsid w:val="00897708"/>
    <w:rsid w:val="00897D88"/>
    <w:rsid w:val="008A165E"/>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270"/>
    <w:rsid w:val="009004FE"/>
    <w:rsid w:val="009010F0"/>
    <w:rsid w:val="00901162"/>
    <w:rsid w:val="00901614"/>
    <w:rsid w:val="00901B53"/>
    <w:rsid w:val="0090223A"/>
    <w:rsid w:val="009028E2"/>
    <w:rsid w:val="0090367C"/>
    <w:rsid w:val="009039FE"/>
    <w:rsid w:val="00903E9A"/>
    <w:rsid w:val="00904403"/>
    <w:rsid w:val="009048A5"/>
    <w:rsid w:val="00905404"/>
    <w:rsid w:val="00905551"/>
    <w:rsid w:val="00905735"/>
    <w:rsid w:val="00905ED0"/>
    <w:rsid w:val="0090646F"/>
    <w:rsid w:val="00906478"/>
    <w:rsid w:val="00906753"/>
    <w:rsid w:val="00906B28"/>
    <w:rsid w:val="00907264"/>
    <w:rsid w:val="00907378"/>
    <w:rsid w:val="0090765F"/>
    <w:rsid w:val="00910608"/>
    <w:rsid w:val="00910C53"/>
    <w:rsid w:val="00911305"/>
    <w:rsid w:val="00912590"/>
    <w:rsid w:val="00913200"/>
    <w:rsid w:val="0091449F"/>
    <w:rsid w:val="00914EAB"/>
    <w:rsid w:val="00915174"/>
    <w:rsid w:val="009152D8"/>
    <w:rsid w:val="00915A1D"/>
    <w:rsid w:val="00921F8C"/>
    <w:rsid w:val="00922567"/>
    <w:rsid w:val="009228DB"/>
    <w:rsid w:val="00922D49"/>
    <w:rsid w:val="009236B9"/>
    <w:rsid w:val="00925E37"/>
    <w:rsid w:val="00925EDD"/>
    <w:rsid w:val="00925F20"/>
    <w:rsid w:val="00927899"/>
    <w:rsid w:val="0092796D"/>
    <w:rsid w:val="00927D0E"/>
    <w:rsid w:val="00930873"/>
    <w:rsid w:val="009309DA"/>
    <w:rsid w:val="00931040"/>
    <w:rsid w:val="00931663"/>
    <w:rsid w:val="00931D22"/>
    <w:rsid w:val="00931EA6"/>
    <w:rsid w:val="00932CC7"/>
    <w:rsid w:val="00933CC8"/>
    <w:rsid w:val="009343E4"/>
    <w:rsid w:val="00934C92"/>
    <w:rsid w:val="00935306"/>
    <w:rsid w:val="00936688"/>
    <w:rsid w:val="00937212"/>
    <w:rsid w:val="00937683"/>
    <w:rsid w:val="00937AC9"/>
    <w:rsid w:val="00937CFA"/>
    <w:rsid w:val="00940035"/>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919"/>
    <w:rsid w:val="00953B2B"/>
    <w:rsid w:val="00954567"/>
    <w:rsid w:val="009547B3"/>
    <w:rsid w:val="00954A89"/>
    <w:rsid w:val="00955FCB"/>
    <w:rsid w:val="0095657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B1"/>
    <w:rsid w:val="00962EDC"/>
    <w:rsid w:val="009640E8"/>
    <w:rsid w:val="00964B90"/>
    <w:rsid w:val="00964E3D"/>
    <w:rsid w:val="0096548C"/>
    <w:rsid w:val="009664D5"/>
    <w:rsid w:val="00966AE1"/>
    <w:rsid w:val="00966B5E"/>
    <w:rsid w:val="009670C1"/>
    <w:rsid w:val="00967657"/>
    <w:rsid w:val="00970C69"/>
    <w:rsid w:val="00971B97"/>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6FA5"/>
    <w:rsid w:val="00977134"/>
    <w:rsid w:val="00977499"/>
    <w:rsid w:val="00980013"/>
    <w:rsid w:val="00980E65"/>
    <w:rsid w:val="0098122D"/>
    <w:rsid w:val="00981927"/>
    <w:rsid w:val="00981963"/>
    <w:rsid w:val="009821F9"/>
    <w:rsid w:val="009831B9"/>
    <w:rsid w:val="00983C82"/>
    <w:rsid w:val="009844D6"/>
    <w:rsid w:val="00984520"/>
    <w:rsid w:val="0098472A"/>
    <w:rsid w:val="0098545C"/>
    <w:rsid w:val="009862F1"/>
    <w:rsid w:val="009871EA"/>
    <w:rsid w:val="00987FA6"/>
    <w:rsid w:val="0099056D"/>
    <w:rsid w:val="00991074"/>
    <w:rsid w:val="009910DC"/>
    <w:rsid w:val="00991675"/>
    <w:rsid w:val="00992BA2"/>
    <w:rsid w:val="00992F83"/>
    <w:rsid w:val="00993260"/>
    <w:rsid w:val="0099344F"/>
    <w:rsid w:val="009936D2"/>
    <w:rsid w:val="00993A3C"/>
    <w:rsid w:val="0099508A"/>
    <w:rsid w:val="00996E26"/>
    <w:rsid w:val="009971EE"/>
    <w:rsid w:val="009974EB"/>
    <w:rsid w:val="00997A12"/>
    <w:rsid w:val="009A0A04"/>
    <w:rsid w:val="009A1126"/>
    <w:rsid w:val="009A1B37"/>
    <w:rsid w:val="009A36B8"/>
    <w:rsid w:val="009A4D95"/>
    <w:rsid w:val="009A5564"/>
    <w:rsid w:val="009A6063"/>
    <w:rsid w:val="009A7469"/>
    <w:rsid w:val="009A794D"/>
    <w:rsid w:val="009A7D60"/>
    <w:rsid w:val="009B07EE"/>
    <w:rsid w:val="009B1584"/>
    <w:rsid w:val="009B1B32"/>
    <w:rsid w:val="009B21CA"/>
    <w:rsid w:val="009B2648"/>
    <w:rsid w:val="009B2F00"/>
    <w:rsid w:val="009B424E"/>
    <w:rsid w:val="009B4317"/>
    <w:rsid w:val="009B4EBB"/>
    <w:rsid w:val="009B529C"/>
    <w:rsid w:val="009B56FC"/>
    <w:rsid w:val="009B5ADC"/>
    <w:rsid w:val="009B65A2"/>
    <w:rsid w:val="009B6739"/>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E9A"/>
    <w:rsid w:val="009C5A08"/>
    <w:rsid w:val="009C5A9D"/>
    <w:rsid w:val="009C5F6C"/>
    <w:rsid w:val="009C5FDB"/>
    <w:rsid w:val="009C693E"/>
    <w:rsid w:val="009C6B0A"/>
    <w:rsid w:val="009C6B2C"/>
    <w:rsid w:val="009C6DEC"/>
    <w:rsid w:val="009C6ED6"/>
    <w:rsid w:val="009C70CB"/>
    <w:rsid w:val="009C7621"/>
    <w:rsid w:val="009C7623"/>
    <w:rsid w:val="009D14EB"/>
    <w:rsid w:val="009D1B18"/>
    <w:rsid w:val="009D1E70"/>
    <w:rsid w:val="009D1EA4"/>
    <w:rsid w:val="009D27AA"/>
    <w:rsid w:val="009D2BFD"/>
    <w:rsid w:val="009D2FF8"/>
    <w:rsid w:val="009D3F20"/>
    <w:rsid w:val="009D428F"/>
    <w:rsid w:val="009D4991"/>
    <w:rsid w:val="009D561C"/>
    <w:rsid w:val="009D597B"/>
    <w:rsid w:val="009D5BB5"/>
    <w:rsid w:val="009D5EB2"/>
    <w:rsid w:val="009D696D"/>
    <w:rsid w:val="009D6993"/>
    <w:rsid w:val="009D6ED2"/>
    <w:rsid w:val="009E08B3"/>
    <w:rsid w:val="009E0BCD"/>
    <w:rsid w:val="009E0F1A"/>
    <w:rsid w:val="009E140D"/>
    <w:rsid w:val="009E2013"/>
    <w:rsid w:val="009E266D"/>
    <w:rsid w:val="009E2C83"/>
    <w:rsid w:val="009E3A69"/>
    <w:rsid w:val="009E43DD"/>
    <w:rsid w:val="009E4465"/>
    <w:rsid w:val="009E5318"/>
    <w:rsid w:val="009E5343"/>
    <w:rsid w:val="009E6401"/>
    <w:rsid w:val="009E6C54"/>
    <w:rsid w:val="009F04C8"/>
    <w:rsid w:val="009F0812"/>
    <w:rsid w:val="009F0E02"/>
    <w:rsid w:val="009F2392"/>
    <w:rsid w:val="009F248B"/>
    <w:rsid w:val="009F2A25"/>
    <w:rsid w:val="009F3A1A"/>
    <w:rsid w:val="009F4C7D"/>
    <w:rsid w:val="009F4F9A"/>
    <w:rsid w:val="009F5235"/>
    <w:rsid w:val="009F531A"/>
    <w:rsid w:val="009F5495"/>
    <w:rsid w:val="009F56D8"/>
    <w:rsid w:val="009F5B55"/>
    <w:rsid w:val="009F6344"/>
    <w:rsid w:val="009F6550"/>
    <w:rsid w:val="009F6A12"/>
    <w:rsid w:val="009F6B65"/>
    <w:rsid w:val="009F786E"/>
    <w:rsid w:val="00A00902"/>
    <w:rsid w:val="00A0098B"/>
    <w:rsid w:val="00A02929"/>
    <w:rsid w:val="00A0294E"/>
    <w:rsid w:val="00A0368A"/>
    <w:rsid w:val="00A039FF"/>
    <w:rsid w:val="00A03B36"/>
    <w:rsid w:val="00A04524"/>
    <w:rsid w:val="00A04AFE"/>
    <w:rsid w:val="00A04BA6"/>
    <w:rsid w:val="00A05ACE"/>
    <w:rsid w:val="00A062B7"/>
    <w:rsid w:val="00A0740C"/>
    <w:rsid w:val="00A1065F"/>
    <w:rsid w:val="00A114B9"/>
    <w:rsid w:val="00A1308A"/>
    <w:rsid w:val="00A131DE"/>
    <w:rsid w:val="00A13A65"/>
    <w:rsid w:val="00A14589"/>
    <w:rsid w:val="00A14AE3"/>
    <w:rsid w:val="00A16181"/>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7D8"/>
    <w:rsid w:val="00A27804"/>
    <w:rsid w:val="00A27CC3"/>
    <w:rsid w:val="00A3276D"/>
    <w:rsid w:val="00A32FE3"/>
    <w:rsid w:val="00A331F3"/>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6ED"/>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186"/>
    <w:rsid w:val="00A60640"/>
    <w:rsid w:val="00A606B4"/>
    <w:rsid w:val="00A6087A"/>
    <w:rsid w:val="00A60E2F"/>
    <w:rsid w:val="00A61DEA"/>
    <w:rsid w:val="00A626F9"/>
    <w:rsid w:val="00A627AD"/>
    <w:rsid w:val="00A62FCD"/>
    <w:rsid w:val="00A63246"/>
    <w:rsid w:val="00A63284"/>
    <w:rsid w:val="00A63458"/>
    <w:rsid w:val="00A6372D"/>
    <w:rsid w:val="00A63A13"/>
    <w:rsid w:val="00A64CB8"/>
    <w:rsid w:val="00A65E2A"/>
    <w:rsid w:val="00A66065"/>
    <w:rsid w:val="00A66C59"/>
    <w:rsid w:val="00A67018"/>
    <w:rsid w:val="00A671D2"/>
    <w:rsid w:val="00A67289"/>
    <w:rsid w:val="00A672F3"/>
    <w:rsid w:val="00A673DC"/>
    <w:rsid w:val="00A67CDE"/>
    <w:rsid w:val="00A7076E"/>
    <w:rsid w:val="00A709BE"/>
    <w:rsid w:val="00A70D85"/>
    <w:rsid w:val="00A7162E"/>
    <w:rsid w:val="00A72D71"/>
    <w:rsid w:val="00A73112"/>
    <w:rsid w:val="00A73617"/>
    <w:rsid w:val="00A747D2"/>
    <w:rsid w:val="00A74985"/>
    <w:rsid w:val="00A75123"/>
    <w:rsid w:val="00A75667"/>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5F4"/>
    <w:rsid w:val="00A936F9"/>
    <w:rsid w:val="00A93D04"/>
    <w:rsid w:val="00A9431A"/>
    <w:rsid w:val="00A947AA"/>
    <w:rsid w:val="00A94888"/>
    <w:rsid w:val="00A95EFB"/>
    <w:rsid w:val="00A96570"/>
    <w:rsid w:val="00A9681C"/>
    <w:rsid w:val="00A96867"/>
    <w:rsid w:val="00A96A94"/>
    <w:rsid w:val="00A96B3D"/>
    <w:rsid w:val="00AA0C2D"/>
    <w:rsid w:val="00AA1976"/>
    <w:rsid w:val="00AA1B53"/>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B9F"/>
    <w:rsid w:val="00AB41BC"/>
    <w:rsid w:val="00AB473F"/>
    <w:rsid w:val="00AB4999"/>
    <w:rsid w:val="00AB4A9C"/>
    <w:rsid w:val="00AB4C91"/>
    <w:rsid w:val="00AB4E3B"/>
    <w:rsid w:val="00AB5381"/>
    <w:rsid w:val="00AB688F"/>
    <w:rsid w:val="00AB75EA"/>
    <w:rsid w:val="00AB7654"/>
    <w:rsid w:val="00AB7AA2"/>
    <w:rsid w:val="00AB7DF3"/>
    <w:rsid w:val="00AC0116"/>
    <w:rsid w:val="00AC0A22"/>
    <w:rsid w:val="00AC0A3B"/>
    <w:rsid w:val="00AC1515"/>
    <w:rsid w:val="00AC1941"/>
    <w:rsid w:val="00AC2234"/>
    <w:rsid w:val="00AC35CA"/>
    <w:rsid w:val="00AC3CDA"/>
    <w:rsid w:val="00AC3FF3"/>
    <w:rsid w:val="00AC4BC1"/>
    <w:rsid w:val="00AC54B2"/>
    <w:rsid w:val="00AC5715"/>
    <w:rsid w:val="00AC5DF0"/>
    <w:rsid w:val="00AC6D32"/>
    <w:rsid w:val="00AC7E06"/>
    <w:rsid w:val="00AD04BD"/>
    <w:rsid w:val="00AD0765"/>
    <w:rsid w:val="00AD0F00"/>
    <w:rsid w:val="00AD1469"/>
    <w:rsid w:val="00AD55A8"/>
    <w:rsid w:val="00AD5CA4"/>
    <w:rsid w:val="00AD640D"/>
    <w:rsid w:val="00AD6A91"/>
    <w:rsid w:val="00AD7214"/>
    <w:rsid w:val="00AD7567"/>
    <w:rsid w:val="00AE04DB"/>
    <w:rsid w:val="00AE0652"/>
    <w:rsid w:val="00AE1066"/>
    <w:rsid w:val="00AE13C9"/>
    <w:rsid w:val="00AE14DD"/>
    <w:rsid w:val="00AE21F3"/>
    <w:rsid w:val="00AE2692"/>
    <w:rsid w:val="00AE2FA5"/>
    <w:rsid w:val="00AE3A4F"/>
    <w:rsid w:val="00AE4518"/>
    <w:rsid w:val="00AE5D7F"/>
    <w:rsid w:val="00AE69A8"/>
    <w:rsid w:val="00AE79F0"/>
    <w:rsid w:val="00AE7E1A"/>
    <w:rsid w:val="00AF07B0"/>
    <w:rsid w:val="00AF0BD9"/>
    <w:rsid w:val="00AF109C"/>
    <w:rsid w:val="00AF1752"/>
    <w:rsid w:val="00AF2989"/>
    <w:rsid w:val="00AF42FC"/>
    <w:rsid w:val="00AF459D"/>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208D"/>
    <w:rsid w:val="00B036E2"/>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5BF5"/>
    <w:rsid w:val="00B17B14"/>
    <w:rsid w:val="00B203C4"/>
    <w:rsid w:val="00B20863"/>
    <w:rsid w:val="00B20BEC"/>
    <w:rsid w:val="00B20CDD"/>
    <w:rsid w:val="00B22683"/>
    <w:rsid w:val="00B22BC9"/>
    <w:rsid w:val="00B22E81"/>
    <w:rsid w:val="00B2314A"/>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6814"/>
    <w:rsid w:val="00B271F2"/>
    <w:rsid w:val="00B278E6"/>
    <w:rsid w:val="00B30B6A"/>
    <w:rsid w:val="00B30F20"/>
    <w:rsid w:val="00B31884"/>
    <w:rsid w:val="00B31D19"/>
    <w:rsid w:val="00B32AB3"/>
    <w:rsid w:val="00B32DAE"/>
    <w:rsid w:val="00B33825"/>
    <w:rsid w:val="00B33E8F"/>
    <w:rsid w:val="00B342CC"/>
    <w:rsid w:val="00B34BB2"/>
    <w:rsid w:val="00B34E7C"/>
    <w:rsid w:val="00B35AF6"/>
    <w:rsid w:val="00B36228"/>
    <w:rsid w:val="00B366A3"/>
    <w:rsid w:val="00B368EA"/>
    <w:rsid w:val="00B36B36"/>
    <w:rsid w:val="00B37EEF"/>
    <w:rsid w:val="00B418AD"/>
    <w:rsid w:val="00B42F1A"/>
    <w:rsid w:val="00B43731"/>
    <w:rsid w:val="00B43790"/>
    <w:rsid w:val="00B443D9"/>
    <w:rsid w:val="00B44531"/>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CF4"/>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4505"/>
    <w:rsid w:val="00B656F8"/>
    <w:rsid w:val="00B65747"/>
    <w:rsid w:val="00B65D6F"/>
    <w:rsid w:val="00B65FAD"/>
    <w:rsid w:val="00B66174"/>
    <w:rsid w:val="00B663DB"/>
    <w:rsid w:val="00B67683"/>
    <w:rsid w:val="00B679FE"/>
    <w:rsid w:val="00B67B37"/>
    <w:rsid w:val="00B67C23"/>
    <w:rsid w:val="00B67F95"/>
    <w:rsid w:val="00B7079B"/>
    <w:rsid w:val="00B70DC7"/>
    <w:rsid w:val="00B70EFC"/>
    <w:rsid w:val="00B71346"/>
    <w:rsid w:val="00B721A4"/>
    <w:rsid w:val="00B72B5B"/>
    <w:rsid w:val="00B72EFF"/>
    <w:rsid w:val="00B73ABD"/>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F6E"/>
    <w:rsid w:val="00BA1E7C"/>
    <w:rsid w:val="00BA22A8"/>
    <w:rsid w:val="00BA309F"/>
    <w:rsid w:val="00BA32A0"/>
    <w:rsid w:val="00BA3ADE"/>
    <w:rsid w:val="00BA3E48"/>
    <w:rsid w:val="00BA475C"/>
    <w:rsid w:val="00BA4905"/>
    <w:rsid w:val="00BA4BD3"/>
    <w:rsid w:val="00BA5D82"/>
    <w:rsid w:val="00BA6E49"/>
    <w:rsid w:val="00BA73D2"/>
    <w:rsid w:val="00BA7F0E"/>
    <w:rsid w:val="00BB0187"/>
    <w:rsid w:val="00BB0E56"/>
    <w:rsid w:val="00BB1A8D"/>
    <w:rsid w:val="00BB1EB3"/>
    <w:rsid w:val="00BB236B"/>
    <w:rsid w:val="00BB2678"/>
    <w:rsid w:val="00BB3077"/>
    <w:rsid w:val="00BB313F"/>
    <w:rsid w:val="00BB33A8"/>
    <w:rsid w:val="00BB3927"/>
    <w:rsid w:val="00BB3D8C"/>
    <w:rsid w:val="00BB489F"/>
    <w:rsid w:val="00BB48CF"/>
    <w:rsid w:val="00BB4B12"/>
    <w:rsid w:val="00BB4B39"/>
    <w:rsid w:val="00BB53AF"/>
    <w:rsid w:val="00BB5437"/>
    <w:rsid w:val="00BB5825"/>
    <w:rsid w:val="00BB58BB"/>
    <w:rsid w:val="00BB594B"/>
    <w:rsid w:val="00BB5C26"/>
    <w:rsid w:val="00BB67C7"/>
    <w:rsid w:val="00BB6A40"/>
    <w:rsid w:val="00BB7D4B"/>
    <w:rsid w:val="00BC013A"/>
    <w:rsid w:val="00BC03D1"/>
    <w:rsid w:val="00BC162A"/>
    <w:rsid w:val="00BC173A"/>
    <w:rsid w:val="00BC2343"/>
    <w:rsid w:val="00BC2AEE"/>
    <w:rsid w:val="00BC3FDD"/>
    <w:rsid w:val="00BC4808"/>
    <w:rsid w:val="00BC50A1"/>
    <w:rsid w:val="00BC5824"/>
    <w:rsid w:val="00BC60BE"/>
    <w:rsid w:val="00BC62BA"/>
    <w:rsid w:val="00BC6A10"/>
    <w:rsid w:val="00BC702F"/>
    <w:rsid w:val="00BC7409"/>
    <w:rsid w:val="00BC7719"/>
    <w:rsid w:val="00BD0032"/>
    <w:rsid w:val="00BD0520"/>
    <w:rsid w:val="00BD0ECF"/>
    <w:rsid w:val="00BD30C8"/>
    <w:rsid w:val="00BD3790"/>
    <w:rsid w:val="00BD38F4"/>
    <w:rsid w:val="00BD3EB4"/>
    <w:rsid w:val="00BD4C5B"/>
    <w:rsid w:val="00BD5359"/>
    <w:rsid w:val="00BD55AB"/>
    <w:rsid w:val="00BD5C65"/>
    <w:rsid w:val="00BD6710"/>
    <w:rsid w:val="00BD7BCC"/>
    <w:rsid w:val="00BD7DCB"/>
    <w:rsid w:val="00BE0717"/>
    <w:rsid w:val="00BE10D8"/>
    <w:rsid w:val="00BE16E9"/>
    <w:rsid w:val="00BE213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939"/>
    <w:rsid w:val="00BF3B4E"/>
    <w:rsid w:val="00BF4086"/>
    <w:rsid w:val="00BF426C"/>
    <w:rsid w:val="00BF4594"/>
    <w:rsid w:val="00BF58D0"/>
    <w:rsid w:val="00BF6027"/>
    <w:rsid w:val="00BF6702"/>
    <w:rsid w:val="00BF6A3F"/>
    <w:rsid w:val="00BF7199"/>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2488"/>
    <w:rsid w:val="00C130BE"/>
    <w:rsid w:val="00C13C2A"/>
    <w:rsid w:val="00C142AD"/>
    <w:rsid w:val="00C142C1"/>
    <w:rsid w:val="00C143EF"/>
    <w:rsid w:val="00C14A30"/>
    <w:rsid w:val="00C14FA0"/>
    <w:rsid w:val="00C152FE"/>
    <w:rsid w:val="00C15333"/>
    <w:rsid w:val="00C15B83"/>
    <w:rsid w:val="00C15D1B"/>
    <w:rsid w:val="00C16415"/>
    <w:rsid w:val="00C16739"/>
    <w:rsid w:val="00C168DD"/>
    <w:rsid w:val="00C170D6"/>
    <w:rsid w:val="00C176CC"/>
    <w:rsid w:val="00C1773D"/>
    <w:rsid w:val="00C21031"/>
    <w:rsid w:val="00C2139D"/>
    <w:rsid w:val="00C2151D"/>
    <w:rsid w:val="00C2156D"/>
    <w:rsid w:val="00C221B9"/>
    <w:rsid w:val="00C225EA"/>
    <w:rsid w:val="00C22CCE"/>
    <w:rsid w:val="00C232BC"/>
    <w:rsid w:val="00C239D3"/>
    <w:rsid w:val="00C23BA2"/>
    <w:rsid w:val="00C23F9B"/>
    <w:rsid w:val="00C241B5"/>
    <w:rsid w:val="00C24311"/>
    <w:rsid w:val="00C2485F"/>
    <w:rsid w:val="00C248B1"/>
    <w:rsid w:val="00C24B63"/>
    <w:rsid w:val="00C262A0"/>
    <w:rsid w:val="00C26A4E"/>
    <w:rsid w:val="00C3041A"/>
    <w:rsid w:val="00C30433"/>
    <w:rsid w:val="00C30F42"/>
    <w:rsid w:val="00C31195"/>
    <w:rsid w:val="00C3129F"/>
    <w:rsid w:val="00C31774"/>
    <w:rsid w:val="00C3180E"/>
    <w:rsid w:val="00C32AF2"/>
    <w:rsid w:val="00C33051"/>
    <w:rsid w:val="00C33204"/>
    <w:rsid w:val="00C338EB"/>
    <w:rsid w:val="00C33E26"/>
    <w:rsid w:val="00C34389"/>
    <w:rsid w:val="00C3465D"/>
    <w:rsid w:val="00C347D5"/>
    <w:rsid w:val="00C3588C"/>
    <w:rsid w:val="00C36018"/>
    <w:rsid w:val="00C379E9"/>
    <w:rsid w:val="00C403CD"/>
    <w:rsid w:val="00C40455"/>
    <w:rsid w:val="00C40F92"/>
    <w:rsid w:val="00C415DC"/>
    <w:rsid w:val="00C41C80"/>
    <w:rsid w:val="00C42041"/>
    <w:rsid w:val="00C43934"/>
    <w:rsid w:val="00C439FB"/>
    <w:rsid w:val="00C43AA8"/>
    <w:rsid w:val="00C43F23"/>
    <w:rsid w:val="00C441A4"/>
    <w:rsid w:val="00C45B26"/>
    <w:rsid w:val="00C463C9"/>
    <w:rsid w:val="00C47648"/>
    <w:rsid w:val="00C47852"/>
    <w:rsid w:val="00C50011"/>
    <w:rsid w:val="00C50F61"/>
    <w:rsid w:val="00C5243F"/>
    <w:rsid w:val="00C5254B"/>
    <w:rsid w:val="00C53429"/>
    <w:rsid w:val="00C5398C"/>
    <w:rsid w:val="00C55D39"/>
    <w:rsid w:val="00C55FBF"/>
    <w:rsid w:val="00C5658D"/>
    <w:rsid w:val="00C57E68"/>
    <w:rsid w:val="00C601C9"/>
    <w:rsid w:val="00C623C6"/>
    <w:rsid w:val="00C630F4"/>
    <w:rsid w:val="00C631D3"/>
    <w:rsid w:val="00C63F7D"/>
    <w:rsid w:val="00C645E6"/>
    <w:rsid w:val="00C64813"/>
    <w:rsid w:val="00C64BB0"/>
    <w:rsid w:val="00C64D82"/>
    <w:rsid w:val="00C64FBC"/>
    <w:rsid w:val="00C65A83"/>
    <w:rsid w:val="00C66025"/>
    <w:rsid w:val="00C66876"/>
    <w:rsid w:val="00C66A00"/>
    <w:rsid w:val="00C66CBE"/>
    <w:rsid w:val="00C67118"/>
    <w:rsid w:val="00C67276"/>
    <w:rsid w:val="00C67DDD"/>
    <w:rsid w:val="00C67E91"/>
    <w:rsid w:val="00C70139"/>
    <w:rsid w:val="00C702EA"/>
    <w:rsid w:val="00C712F7"/>
    <w:rsid w:val="00C7191D"/>
    <w:rsid w:val="00C72C6F"/>
    <w:rsid w:val="00C74453"/>
    <w:rsid w:val="00C745DA"/>
    <w:rsid w:val="00C7473A"/>
    <w:rsid w:val="00C74A25"/>
    <w:rsid w:val="00C75AB0"/>
    <w:rsid w:val="00C76166"/>
    <w:rsid w:val="00C76405"/>
    <w:rsid w:val="00C768F1"/>
    <w:rsid w:val="00C76AC7"/>
    <w:rsid w:val="00C76B7B"/>
    <w:rsid w:val="00C76BBD"/>
    <w:rsid w:val="00C76D92"/>
    <w:rsid w:val="00C76DE2"/>
    <w:rsid w:val="00C772BA"/>
    <w:rsid w:val="00C774EE"/>
    <w:rsid w:val="00C802D1"/>
    <w:rsid w:val="00C8036C"/>
    <w:rsid w:val="00C80CD8"/>
    <w:rsid w:val="00C80F23"/>
    <w:rsid w:val="00C81151"/>
    <w:rsid w:val="00C82CC6"/>
    <w:rsid w:val="00C82D1B"/>
    <w:rsid w:val="00C836D2"/>
    <w:rsid w:val="00C839AB"/>
    <w:rsid w:val="00C839CB"/>
    <w:rsid w:val="00C84593"/>
    <w:rsid w:val="00C850A3"/>
    <w:rsid w:val="00C858E0"/>
    <w:rsid w:val="00C85C32"/>
    <w:rsid w:val="00C85F45"/>
    <w:rsid w:val="00C86293"/>
    <w:rsid w:val="00C86C8C"/>
    <w:rsid w:val="00C87568"/>
    <w:rsid w:val="00C87FD0"/>
    <w:rsid w:val="00C90DB6"/>
    <w:rsid w:val="00C9106A"/>
    <w:rsid w:val="00C91475"/>
    <w:rsid w:val="00C92603"/>
    <w:rsid w:val="00C92652"/>
    <w:rsid w:val="00C9394F"/>
    <w:rsid w:val="00C93B1A"/>
    <w:rsid w:val="00C9444E"/>
    <w:rsid w:val="00C9534E"/>
    <w:rsid w:val="00C96118"/>
    <w:rsid w:val="00C96436"/>
    <w:rsid w:val="00C96F5F"/>
    <w:rsid w:val="00C97055"/>
    <w:rsid w:val="00C977C6"/>
    <w:rsid w:val="00C979CF"/>
    <w:rsid w:val="00CA02E8"/>
    <w:rsid w:val="00CA194C"/>
    <w:rsid w:val="00CA1DDD"/>
    <w:rsid w:val="00CA2B4F"/>
    <w:rsid w:val="00CA30C3"/>
    <w:rsid w:val="00CA357E"/>
    <w:rsid w:val="00CA5927"/>
    <w:rsid w:val="00CA635E"/>
    <w:rsid w:val="00CA68F3"/>
    <w:rsid w:val="00CA6BB0"/>
    <w:rsid w:val="00CA70CE"/>
    <w:rsid w:val="00CA79EC"/>
    <w:rsid w:val="00CB002C"/>
    <w:rsid w:val="00CB1C35"/>
    <w:rsid w:val="00CB1E4B"/>
    <w:rsid w:val="00CB259F"/>
    <w:rsid w:val="00CB39C2"/>
    <w:rsid w:val="00CB3E85"/>
    <w:rsid w:val="00CB4C8C"/>
    <w:rsid w:val="00CB4E27"/>
    <w:rsid w:val="00CB4E90"/>
    <w:rsid w:val="00CB5463"/>
    <w:rsid w:val="00CB5850"/>
    <w:rsid w:val="00CB5C99"/>
    <w:rsid w:val="00CB633B"/>
    <w:rsid w:val="00CB6782"/>
    <w:rsid w:val="00CB6E3E"/>
    <w:rsid w:val="00CB7057"/>
    <w:rsid w:val="00CC080A"/>
    <w:rsid w:val="00CC0D0F"/>
    <w:rsid w:val="00CC1275"/>
    <w:rsid w:val="00CC12EE"/>
    <w:rsid w:val="00CC1BF8"/>
    <w:rsid w:val="00CC265A"/>
    <w:rsid w:val="00CC4B98"/>
    <w:rsid w:val="00CC5110"/>
    <w:rsid w:val="00CC5767"/>
    <w:rsid w:val="00CC5BBE"/>
    <w:rsid w:val="00CC5D2F"/>
    <w:rsid w:val="00CC68CC"/>
    <w:rsid w:val="00CC69B9"/>
    <w:rsid w:val="00CC6DD4"/>
    <w:rsid w:val="00CC701E"/>
    <w:rsid w:val="00CC7735"/>
    <w:rsid w:val="00CD0310"/>
    <w:rsid w:val="00CD0831"/>
    <w:rsid w:val="00CD0B9E"/>
    <w:rsid w:val="00CD2E48"/>
    <w:rsid w:val="00CD4826"/>
    <w:rsid w:val="00CD4E19"/>
    <w:rsid w:val="00CD6219"/>
    <w:rsid w:val="00CD6249"/>
    <w:rsid w:val="00CD700F"/>
    <w:rsid w:val="00CD7319"/>
    <w:rsid w:val="00CE148E"/>
    <w:rsid w:val="00CE208D"/>
    <w:rsid w:val="00CE2453"/>
    <w:rsid w:val="00CE2C10"/>
    <w:rsid w:val="00CE3047"/>
    <w:rsid w:val="00CE356D"/>
    <w:rsid w:val="00CE3FA4"/>
    <w:rsid w:val="00CE44F8"/>
    <w:rsid w:val="00CE4A90"/>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5047"/>
    <w:rsid w:val="00CF5575"/>
    <w:rsid w:val="00CF59B0"/>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6A9"/>
    <w:rsid w:val="00D07754"/>
    <w:rsid w:val="00D078D1"/>
    <w:rsid w:val="00D07E5F"/>
    <w:rsid w:val="00D105ED"/>
    <w:rsid w:val="00D11A5A"/>
    <w:rsid w:val="00D12689"/>
    <w:rsid w:val="00D1293B"/>
    <w:rsid w:val="00D129A8"/>
    <w:rsid w:val="00D12FB9"/>
    <w:rsid w:val="00D135F2"/>
    <w:rsid w:val="00D13B97"/>
    <w:rsid w:val="00D13D00"/>
    <w:rsid w:val="00D141F2"/>
    <w:rsid w:val="00D145CF"/>
    <w:rsid w:val="00D147C0"/>
    <w:rsid w:val="00D15696"/>
    <w:rsid w:val="00D15C51"/>
    <w:rsid w:val="00D1603B"/>
    <w:rsid w:val="00D163E6"/>
    <w:rsid w:val="00D16C68"/>
    <w:rsid w:val="00D16F37"/>
    <w:rsid w:val="00D200BD"/>
    <w:rsid w:val="00D201AA"/>
    <w:rsid w:val="00D204A7"/>
    <w:rsid w:val="00D20A83"/>
    <w:rsid w:val="00D20AA5"/>
    <w:rsid w:val="00D220C2"/>
    <w:rsid w:val="00D22399"/>
    <w:rsid w:val="00D23062"/>
    <w:rsid w:val="00D2361B"/>
    <w:rsid w:val="00D23E86"/>
    <w:rsid w:val="00D24C0C"/>
    <w:rsid w:val="00D2662C"/>
    <w:rsid w:val="00D26CB1"/>
    <w:rsid w:val="00D272EB"/>
    <w:rsid w:val="00D27FA3"/>
    <w:rsid w:val="00D31101"/>
    <w:rsid w:val="00D3176C"/>
    <w:rsid w:val="00D31B3F"/>
    <w:rsid w:val="00D33751"/>
    <w:rsid w:val="00D33BAF"/>
    <w:rsid w:val="00D347D8"/>
    <w:rsid w:val="00D35D4A"/>
    <w:rsid w:val="00D36124"/>
    <w:rsid w:val="00D36F6E"/>
    <w:rsid w:val="00D372B0"/>
    <w:rsid w:val="00D37343"/>
    <w:rsid w:val="00D40D05"/>
    <w:rsid w:val="00D4205E"/>
    <w:rsid w:val="00D42F05"/>
    <w:rsid w:val="00D43056"/>
    <w:rsid w:val="00D44D36"/>
    <w:rsid w:val="00D451A6"/>
    <w:rsid w:val="00D453F2"/>
    <w:rsid w:val="00D465B2"/>
    <w:rsid w:val="00D47399"/>
    <w:rsid w:val="00D47BB2"/>
    <w:rsid w:val="00D47D04"/>
    <w:rsid w:val="00D47FB9"/>
    <w:rsid w:val="00D5056A"/>
    <w:rsid w:val="00D510A0"/>
    <w:rsid w:val="00D519DD"/>
    <w:rsid w:val="00D5239E"/>
    <w:rsid w:val="00D527EE"/>
    <w:rsid w:val="00D529C4"/>
    <w:rsid w:val="00D53929"/>
    <w:rsid w:val="00D539D0"/>
    <w:rsid w:val="00D540DC"/>
    <w:rsid w:val="00D55616"/>
    <w:rsid w:val="00D5574C"/>
    <w:rsid w:val="00D55DAC"/>
    <w:rsid w:val="00D55E5A"/>
    <w:rsid w:val="00D6153F"/>
    <w:rsid w:val="00D61982"/>
    <w:rsid w:val="00D61EA9"/>
    <w:rsid w:val="00D61EFF"/>
    <w:rsid w:val="00D62655"/>
    <w:rsid w:val="00D6267A"/>
    <w:rsid w:val="00D62998"/>
    <w:rsid w:val="00D63DBA"/>
    <w:rsid w:val="00D647DE"/>
    <w:rsid w:val="00D64A9C"/>
    <w:rsid w:val="00D6501F"/>
    <w:rsid w:val="00D65248"/>
    <w:rsid w:val="00D65347"/>
    <w:rsid w:val="00D664EB"/>
    <w:rsid w:val="00D67D12"/>
    <w:rsid w:val="00D705FF"/>
    <w:rsid w:val="00D70B0C"/>
    <w:rsid w:val="00D7145C"/>
    <w:rsid w:val="00D73B64"/>
    <w:rsid w:val="00D744BC"/>
    <w:rsid w:val="00D7468A"/>
    <w:rsid w:val="00D74830"/>
    <w:rsid w:val="00D75526"/>
    <w:rsid w:val="00D7585A"/>
    <w:rsid w:val="00D75DA4"/>
    <w:rsid w:val="00D7773F"/>
    <w:rsid w:val="00D77C53"/>
    <w:rsid w:val="00D77E96"/>
    <w:rsid w:val="00D80618"/>
    <w:rsid w:val="00D807DF"/>
    <w:rsid w:val="00D813B3"/>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172B"/>
    <w:rsid w:val="00D92168"/>
    <w:rsid w:val="00D9231C"/>
    <w:rsid w:val="00D92A5E"/>
    <w:rsid w:val="00D935BD"/>
    <w:rsid w:val="00D940B5"/>
    <w:rsid w:val="00D94744"/>
    <w:rsid w:val="00D9582D"/>
    <w:rsid w:val="00D95CB0"/>
    <w:rsid w:val="00D9654F"/>
    <w:rsid w:val="00D966FE"/>
    <w:rsid w:val="00D977C0"/>
    <w:rsid w:val="00D97A4E"/>
    <w:rsid w:val="00D97E14"/>
    <w:rsid w:val="00D97E5C"/>
    <w:rsid w:val="00DA00A3"/>
    <w:rsid w:val="00DA04C1"/>
    <w:rsid w:val="00DA13F3"/>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272"/>
    <w:rsid w:val="00DB631E"/>
    <w:rsid w:val="00DB683F"/>
    <w:rsid w:val="00DB6D5E"/>
    <w:rsid w:val="00DB6D7B"/>
    <w:rsid w:val="00DB7B69"/>
    <w:rsid w:val="00DC015C"/>
    <w:rsid w:val="00DC0A2F"/>
    <w:rsid w:val="00DC0DBE"/>
    <w:rsid w:val="00DC1AF6"/>
    <w:rsid w:val="00DC234A"/>
    <w:rsid w:val="00DC2D6D"/>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44AF"/>
    <w:rsid w:val="00DF4761"/>
    <w:rsid w:val="00DF51B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10"/>
    <w:rsid w:val="00E12818"/>
    <w:rsid w:val="00E12AE2"/>
    <w:rsid w:val="00E12D39"/>
    <w:rsid w:val="00E1310B"/>
    <w:rsid w:val="00E13182"/>
    <w:rsid w:val="00E143BA"/>
    <w:rsid w:val="00E14523"/>
    <w:rsid w:val="00E14972"/>
    <w:rsid w:val="00E14CB9"/>
    <w:rsid w:val="00E14D80"/>
    <w:rsid w:val="00E151F2"/>
    <w:rsid w:val="00E15383"/>
    <w:rsid w:val="00E15532"/>
    <w:rsid w:val="00E15C82"/>
    <w:rsid w:val="00E1738C"/>
    <w:rsid w:val="00E201C0"/>
    <w:rsid w:val="00E21ABD"/>
    <w:rsid w:val="00E22775"/>
    <w:rsid w:val="00E227A3"/>
    <w:rsid w:val="00E22D28"/>
    <w:rsid w:val="00E22F81"/>
    <w:rsid w:val="00E22F87"/>
    <w:rsid w:val="00E230E3"/>
    <w:rsid w:val="00E2338A"/>
    <w:rsid w:val="00E23C97"/>
    <w:rsid w:val="00E23CAF"/>
    <w:rsid w:val="00E24727"/>
    <w:rsid w:val="00E265A7"/>
    <w:rsid w:val="00E26705"/>
    <w:rsid w:val="00E278F5"/>
    <w:rsid w:val="00E27B80"/>
    <w:rsid w:val="00E27E98"/>
    <w:rsid w:val="00E30EDF"/>
    <w:rsid w:val="00E315A9"/>
    <w:rsid w:val="00E31B43"/>
    <w:rsid w:val="00E31DF2"/>
    <w:rsid w:val="00E31FBA"/>
    <w:rsid w:val="00E33513"/>
    <w:rsid w:val="00E33A4F"/>
    <w:rsid w:val="00E33F3E"/>
    <w:rsid w:val="00E341E5"/>
    <w:rsid w:val="00E34315"/>
    <w:rsid w:val="00E35FBC"/>
    <w:rsid w:val="00E36AAE"/>
    <w:rsid w:val="00E37198"/>
    <w:rsid w:val="00E3765A"/>
    <w:rsid w:val="00E3774C"/>
    <w:rsid w:val="00E4041D"/>
    <w:rsid w:val="00E41313"/>
    <w:rsid w:val="00E41773"/>
    <w:rsid w:val="00E41ACD"/>
    <w:rsid w:val="00E41CE1"/>
    <w:rsid w:val="00E42FE6"/>
    <w:rsid w:val="00E4326C"/>
    <w:rsid w:val="00E43888"/>
    <w:rsid w:val="00E44E78"/>
    <w:rsid w:val="00E46038"/>
    <w:rsid w:val="00E460B6"/>
    <w:rsid w:val="00E460B9"/>
    <w:rsid w:val="00E46BD2"/>
    <w:rsid w:val="00E46F86"/>
    <w:rsid w:val="00E4704F"/>
    <w:rsid w:val="00E473D4"/>
    <w:rsid w:val="00E474CF"/>
    <w:rsid w:val="00E47503"/>
    <w:rsid w:val="00E513F6"/>
    <w:rsid w:val="00E51661"/>
    <w:rsid w:val="00E51EC6"/>
    <w:rsid w:val="00E51F51"/>
    <w:rsid w:val="00E5221F"/>
    <w:rsid w:val="00E52302"/>
    <w:rsid w:val="00E52F3B"/>
    <w:rsid w:val="00E52F80"/>
    <w:rsid w:val="00E53D94"/>
    <w:rsid w:val="00E53DEA"/>
    <w:rsid w:val="00E540D8"/>
    <w:rsid w:val="00E5424B"/>
    <w:rsid w:val="00E544BA"/>
    <w:rsid w:val="00E5511D"/>
    <w:rsid w:val="00E55B64"/>
    <w:rsid w:val="00E616DB"/>
    <w:rsid w:val="00E61BF1"/>
    <w:rsid w:val="00E62442"/>
    <w:rsid w:val="00E627A4"/>
    <w:rsid w:val="00E62CAE"/>
    <w:rsid w:val="00E630ED"/>
    <w:rsid w:val="00E6437C"/>
    <w:rsid w:val="00E64C68"/>
    <w:rsid w:val="00E65237"/>
    <w:rsid w:val="00E67862"/>
    <w:rsid w:val="00E70975"/>
    <w:rsid w:val="00E70ACF"/>
    <w:rsid w:val="00E70D46"/>
    <w:rsid w:val="00E712A9"/>
    <w:rsid w:val="00E713BC"/>
    <w:rsid w:val="00E71774"/>
    <w:rsid w:val="00E72444"/>
    <w:rsid w:val="00E738BA"/>
    <w:rsid w:val="00E7410F"/>
    <w:rsid w:val="00E74EC5"/>
    <w:rsid w:val="00E757F5"/>
    <w:rsid w:val="00E7596B"/>
    <w:rsid w:val="00E76491"/>
    <w:rsid w:val="00E76B86"/>
    <w:rsid w:val="00E77359"/>
    <w:rsid w:val="00E801D0"/>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58AE"/>
    <w:rsid w:val="00E96B52"/>
    <w:rsid w:val="00EA0018"/>
    <w:rsid w:val="00EA08BE"/>
    <w:rsid w:val="00EA0A85"/>
    <w:rsid w:val="00EA14B0"/>
    <w:rsid w:val="00EA18DE"/>
    <w:rsid w:val="00EA2244"/>
    <w:rsid w:val="00EA36DB"/>
    <w:rsid w:val="00EA4DDC"/>
    <w:rsid w:val="00EA5EB9"/>
    <w:rsid w:val="00EA641E"/>
    <w:rsid w:val="00EA6FA7"/>
    <w:rsid w:val="00EA6FFC"/>
    <w:rsid w:val="00EB039A"/>
    <w:rsid w:val="00EB067F"/>
    <w:rsid w:val="00EB1348"/>
    <w:rsid w:val="00EB1410"/>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1F2C"/>
    <w:rsid w:val="00EC2776"/>
    <w:rsid w:val="00EC2DB7"/>
    <w:rsid w:val="00EC337D"/>
    <w:rsid w:val="00EC42D0"/>
    <w:rsid w:val="00EC5395"/>
    <w:rsid w:val="00EC638F"/>
    <w:rsid w:val="00EC7927"/>
    <w:rsid w:val="00ED00D6"/>
    <w:rsid w:val="00ED047A"/>
    <w:rsid w:val="00ED095E"/>
    <w:rsid w:val="00ED1A0B"/>
    <w:rsid w:val="00ED27DD"/>
    <w:rsid w:val="00ED5038"/>
    <w:rsid w:val="00ED5162"/>
    <w:rsid w:val="00ED5669"/>
    <w:rsid w:val="00ED592C"/>
    <w:rsid w:val="00ED697C"/>
    <w:rsid w:val="00EE06CA"/>
    <w:rsid w:val="00EE099A"/>
    <w:rsid w:val="00EE1697"/>
    <w:rsid w:val="00EE2117"/>
    <w:rsid w:val="00EE2819"/>
    <w:rsid w:val="00EE2AE3"/>
    <w:rsid w:val="00EE3C1C"/>
    <w:rsid w:val="00EE43AD"/>
    <w:rsid w:val="00EE4420"/>
    <w:rsid w:val="00EE4874"/>
    <w:rsid w:val="00EE48D6"/>
    <w:rsid w:val="00EE4A6E"/>
    <w:rsid w:val="00EE4BAB"/>
    <w:rsid w:val="00EE4BEC"/>
    <w:rsid w:val="00EE6A6B"/>
    <w:rsid w:val="00EE73DE"/>
    <w:rsid w:val="00EE7922"/>
    <w:rsid w:val="00EE79A6"/>
    <w:rsid w:val="00EF06A6"/>
    <w:rsid w:val="00EF0D2F"/>
    <w:rsid w:val="00EF11DF"/>
    <w:rsid w:val="00EF130D"/>
    <w:rsid w:val="00EF203D"/>
    <w:rsid w:val="00EF2081"/>
    <w:rsid w:val="00EF30E0"/>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555"/>
    <w:rsid w:val="00F04BBE"/>
    <w:rsid w:val="00F05471"/>
    <w:rsid w:val="00F05A60"/>
    <w:rsid w:val="00F06616"/>
    <w:rsid w:val="00F07485"/>
    <w:rsid w:val="00F10BC6"/>
    <w:rsid w:val="00F10EED"/>
    <w:rsid w:val="00F11352"/>
    <w:rsid w:val="00F11AD0"/>
    <w:rsid w:val="00F12313"/>
    <w:rsid w:val="00F12D22"/>
    <w:rsid w:val="00F13D34"/>
    <w:rsid w:val="00F142EB"/>
    <w:rsid w:val="00F14602"/>
    <w:rsid w:val="00F1498D"/>
    <w:rsid w:val="00F14DDF"/>
    <w:rsid w:val="00F152AD"/>
    <w:rsid w:val="00F15BA3"/>
    <w:rsid w:val="00F15BB3"/>
    <w:rsid w:val="00F15C53"/>
    <w:rsid w:val="00F165B7"/>
    <w:rsid w:val="00F17A8E"/>
    <w:rsid w:val="00F208CA"/>
    <w:rsid w:val="00F20B24"/>
    <w:rsid w:val="00F20C9C"/>
    <w:rsid w:val="00F21548"/>
    <w:rsid w:val="00F21827"/>
    <w:rsid w:val="00F21A00"/>
    <w:rsid w:val="00F2285F"/>
    <w:rsid w:val="00F22FDD"/>
    <w:rsid w:val="00F23155"/>
    <w:rsid w:val="00F23EE4"/>
    <w:rsid w:val="00F24236"/>
    <w:rsid w:val="00F24E0E"/>
    <w:rsid w:val="00F25707"/>
    <w:rsid w:val="00F26693"/>
    <w:rsid w:val="00F26A13"/>
    <w:rsid w:val="00F26A78"/>
    <w:rsid w:val="00F27D3B"/>
    <w:rsid w:val="00F30AEF"/>
    <w:rsid w:val="00F31261"/>
    <w:rsid w:val="00F31BB3"/>
    <w:rsid w:val="00F31BCF"/>
    <w:rsid w:val="00F31BDA"/>
    <w:rsid w:val="00F31C67"/>
    <w:rsid w:val="00F32159"/>
    <w:rsid w:val="00F323C3"/>
    <w:rsid w:val="00F32A15"/>
    <w:rsid w:val="00F32EE6"/>
    <w:rsid w:val="00F32EF1"/>
    <w:rsid w:val="00F32F3C"/>
    <w:rsid w:val="00F337B6"/>
    <w:rsid w:val="00F339EC"/>
    <w:rsid w:val="00F33F3B"/>
    <w:rsid w:val="00F3443B"/>
    <w:rsid w:val="00F345DF"/>
    <w:rsid w:val="00F34FDD"/>
    <w:rsid w:val="00F35279"/>
    <w:rsid w:val="00F359F7"/>
    <w:rsid w:val="00F35F1A"/>
    <w:rsid w:val="00F36130"/>
    <w:rsid w:val="00F3639B"/>
    <w:rsid w:val="00F3644F"/>
    <w:rsid w:val="00F36B71"/>
    <w:rsid w:val="00F373AE"/>
    <w:rsid w:val="00F37412"/>
    <w:rsid w:val="00F4032F"/>
    <w:rsid w:val="00F40360"/>
    <w:rsid w:val="00F40444"/>
    <w:rsid w:val="00F407EE"/>
    <w:rsid w:val="00F40CE6"/>
    <w:rsid w:val="00F415B2"/>
    <w:rsid w:val="00F41B59"/>
    <w:rsid w:val="00F42099"/>
    <w:rsid w:val="00F423BD"/>
    <w:rsid w:val="00F4240A"/>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F7F"/>
    <w:rsid w:val="00F52330"/>
    <w:rsid w:val="00F52787"/>
    <w:rsid w:val="00F54603"/>
    <w:rsid w:val="00F54772"/>
    <w:rsid w:val="00F5477B"/>
    <w:rsid w:val="00F54869"/>
    <w:rsid w:val="00F54C30"/>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987"/>
    <w:rsid w:val="00F710BE"/>
    <w:rsid w:val="00F71D7B"/>
    <w:rsid w:val="00F72016"/>
    <w:rsid w:val="00F72DAD"/>
    <w:rsid w:val="00F730DD"/>
    <w:rsid w:val="00F73515"/>
    <w:rsid w:val="00F736D2"/>
    <w:rsid w:val="00F73D0C"/>
    <w:rsid w:val="00F7564C"/>
    <w:rsid w:val="00F76220"/>
    <w:rsid w:val="00F769BE"/>
    <w:rsid w:val="00F7735C"/>
    <w:rsid w:val="00F777A3"/>
    <w:rsid w:val="00F77BD5"/>
    <w:rsid w:val="00F810B5"/>
    <w:rsid w:val="00F81B4B"/>
    <w:rsid w:val="00F8240A"/>
    <w:rsid w:val="00F82E6B"/>
    <w:rsid w:val="00F83662"/>
    <w:rsid w:val="00F838C0"/>
    <w:rsid w:val="00F85F83"/>
    <w:rsid w:val="00F86ADD"/>
    <w:rsid w:val="00F8784C"/>
    <w:rsid w:val="00F87CBE"/>
    <w:rsid w:val="00F90263"/>
    <w:rsid w:val="00F9031D"/>
    <w:rsid w:val="00F90BEA"/>
    <w:rsid w:val="00F912FD"/>
    <w:rsid w:val="00F91D43"/>
    <w:rsid w:val="00F9367F"/>
    <w:rsid w:val="00F94FD7"/>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CB3"/>
    <w:rsid w:val="00FA3E3E"/>
    <w:rsid w:val="00FA406A"/>
    <w:rsid w:val="00FA4A55"/>
    <w:rsid w:val="00FA4A89"/>
    <w:rsid w:val="00FA4D4F"/>
    <w:rsid w:val="00FA5369"/>
    <w:rsid w:val="00FA54E8"/>
    <w:rsid w:val="00FA5FE8"/>
    <w:rsid w:val="00FA668B"/>
    <w:rsid w:val="00FA67CF"/>
    <w:rsid w:val="00FB07F0"/>
    <w:rsid w:val="00FB2D17"/>
    <w:rsid w:val="00FB2F69"/>
    <w:rsid w:val="00FB3125"/>
    <w:rsid w:val="00FB368B"/>
    <w:rsid w:val="00FB3A3A"/>
    <w:rsid w:val="00FB4217"/>
    <w:rsid w:val="00FB427F"/>
    <w:rsid w:val="00FB4379"/>
    <w:rsid w:val="00FB45FF"/>
    <w:rsid w:val="00FB4B02"/>
    <w:rsid w:val="00FB5D97"/>
    <w:rsid w:val="00FB5FEE"/>
    <w:rsid w:val="00FB61EA"/>
    <w:rsid w:val="00FB6C7A"/>
    <w:rsid w:val="00FB732E"/>
    <w:rsid w:val="00FB79F7"/>
    <w:rsid w:val="00FC0551"/>
    <w:rsid w:val="00FC055F"/>
    <w:rsid w:val="00FC09E7"/>
    <w:rsid w:val="00FC0FF1"/>
    <w:rsid w:val="00FC16FC"/>
    <w:rsid w:val="00FC1CA5"/>
    <w:rsid w:val="00FC1D8E"/>
    <w:rsid w:val="00FC2733"/>
    <w:rsid w:val="00FC2979"/>
    <w:rsid w:val="00FC35C3"/>
    <w:rsid w:val="00FC521B"/>
    <w:rsid w:val="00FC6990"/>
    <w:rsid w:val="00FC6D6C"/>
    <w:rsid w:val="00FD0118"/>
    <w:rsid w:val="00FD1C3C"/>
    <w:rsid w:val="00FD1CE1"/>
    <w:rsid w:val="00FD24F6"/>
    <w:rsid w:val="00FD2B27"/>
    <w:rsid w:val="00FD2DB1"/>
    <w:rsid w:val="00FD38A8"/>
    <w:rsid w:val="00FD4116"/>
    <w:rsid w:val="00FD4AAC"/>
    <w:rsid w:val="00FD61E4"/>
    <w:rsid w:val="00FD6954"/>
    <w:rsid w:val="00FD6AC8"/>
    <w:rsid w:val="00FD7B1C"/>
    <w:rsid w:val="00FD7C04"/>
    <w:rsid w:val="00FE0A6C"/>
    <w:rsid w:val="00FE0A8E"/>
    <w:rsid w:val="00FE0FFC"/>
    <w:rsid w:val="00FE1727"/>
    <w:rsid w:val="00FE1741"/>
    <w:rsid w:val="00FE3442"/>
    <w:rsid w:val="00FE3638"/>
    <w:rsid w:val="00FE3A67"/>
    <w:rsid w:val="00FE3D69"/>
    <w:rsid w:val="00FE3EA1"/>
    <w:rsid w:val="00FE4474"/>
    <w:rsid w:val="00FE4818"/>
    <w:rsid w:val="00FE4CA4"/>
    <w:rsid w:val="00FE4EAB"/>
    <w:rsid w:val="00FE5AE4"/>
    <w:rsid w:val="00FE5D80"/>
    <w:rsid w:val="00FE637F"/>
    <w:rsid w:val="00FE64EE"/>
    <w:rsid w:val="00FE73F7"/>
    <w:rsid w:val="00FE745E"/>
    <w:rsid w:val="00FE7865"/>
    <w:rsid w:val="00FF0B05"/>
    <w:rsid w:val="00FF0BB0"/>
    <w:rsid w:val="00FF0EF3"/>
    <w:rsid w:val="00FF1342"/>
    <w:rsid w:val="00FF1513"/>
    <w:rsid w:val="00FF1577"/>
    <w:rsid w:val="00FF180B"/>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8433"/>
    <o:shapelayout v:ext="edit">
      <o:idmap v:ext="edit" data="1"/>
    </o:shapelayout>
  </w:shapeDefaults>
  <w:decimalSymbol w:val="."/>
  <w:listSeparator w:val=","/>
  <w14:docId w14:val="424F3BA7"/>
  <w15:docId w15:val="{DA2C26C8-6D6A-4613-B793-C7F13BE5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qFormat/>
    <w:rsid w:val="00FB732E"/>
    <w:rPr>
      <w:sz w:val="24"/>
      <w:szCs w:val="20"/>
    </w:rPr>
  </w:style>
  <w:style w:type="character" w:customStyle="1" w:styleId="af3">
    <w:name w:val="日期 字符"/>
    <w:link w:val="af2"/>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94441875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F326-41DB-4C59-8570-2AB50031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5750</Words>
  <Characters>32780</Characters>
  <Application>Microsoft Office Word</Application>
  <DocSecurity>0</DocSecurity>
  <Lines>273</Lines>
  <Paragraphs>76</Paragraphs>
  <ScaleCrop>false</ScaleCrop>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cp:revision>
  <cp:lastPrinted>2007-07-19T00:46:00Z</cp:lastPrinted>
  <dcterms:created xsi:type="dcterms:W3CDTF">2024-08-16T08:30:00Z</dcterms:created>
  <dcterms:modified xsi:type="dcterms:W3CDTF">2024-08-29T05:37:00Z</dcterms:modified>
</cp:coreProperties>
</file>