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7FAAE" w14:textId="77777777"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p>
    <w:p w14:paraId="7DB8B289"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31A61CFE"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4CB3136A" w14:textId="77777777"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14:paraId="0CFCACDE"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摩根恒生科技交易型开放式指数证券投资基金发起式联接基金</w:t>
      </w:r>
      <w:r w:rsidRPr="00A3398F">
        <w:rPr>
          <w:rFonts w:eastAsiaTheme="minorEastAsia"/>
          <w:b/>
          <w:color w:val="000000" w:themeColor="text1"/>
          <w:sz w:val="36"/>
          <w:szCs w:val="36"/>
        </w:rPr>
        <w:t>(QDII)</w:t>
      </w:r>
    </w:p>
    <w:p w14:paraId="54806E94"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3</w:t>
      </w:r>
      <w:r w:rsidRPr="00A3398F">
        <w:rPr>
          <w:rFonts w:eastAsiaTheme="minorEastAsia"/>
          <w:b/>
          <w:color w:val="000000" w:themeColor="text1"/>
          <w:sz w:val="36"/>
          <w:szCs w:val="36"/>
        </w:rPr>
        <w:t>季度报告</w:t>
      </w:r>
    </w:p>
    <w:p w14:paraId="5E1F0ADE" w14:textId="77777777"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9</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14:paraId="67F0BE16" w14:textId="77777777" w:rsidR="00397616" w:rsidRPr="00A3398F" w:rsidRDefault="00397616" w:rsidP="00397616">
      <w:pPr>
        <w:spacing w:line="360" w:lineRule="auto"/>
        <w:jc w:val="center"/>
        <w:rPr>
          <w:rFonts w:eastAsiaTheme="minorEastAsia"/>
          <w:b/>
          <w:color w:val="000000" w:themeColor="text1"/>
          <w:sz w:val="24"/>
        </w:rPr>
      </w:pPr>
    </w:p>
    <w:p w14:paraId="19B95139" w14:textId="77777777" w:rsidR="00397616" w:rsidRPr="00A3398F" w:rsidRDefault="00397616" w:rsidP="00397616">
      <w:pPr>
        <w:spacing w:line="360" w:lineRule="auto"/>
        <w:jc w:val="center"/>
        <w:rPr>
          <w:rFonts w:eastAsiaTheme="minorEastAsia"/>
          <w:b/>
          <w:color w:val="000000" w:themeColor="text1"/>
          <w:sz w:val="24"/>
        </w:rPr>
      </w:pPr>
    </w:p>
    <w:p w14:paraId="756DBB84" w14:textId="77777777" w:rsidR="00397616" w:rsidRPr="00A3398F" w:rsidRDefault="00397616" w:rsidP="00397616">
      <w:pPr>
        <w:spacing w:line="360" w:lineRule="auto"/>
        <w:jc w:val="center"/>
        <w:rPr>
          <w:rFonts w:eastAsiaTheme="minorEastAsia"/>
          <w:b/>
          <w:color w:val="000000" w:themeColor="text1"/>
          <w:sz w:val="24"/>
        </w:rPr>
      </w:pPr>
    </w:p>
    <w:p w14:paraId="0DBF9F8E" w14:textId="77777777" w:rsidR="00397616" w:rsidRPr="00A3398F" w:rsidRDefault="00397616" w:rsidP="00397616">
      <w:pPr>
        <w:spacing w:line="360" w:lineRule="auto"/>
        <w:jc w:val="center"/>
        <w:rPr>
          <w:rFonts w:eastAsiaTheme="minorEastAsia"/>
          <w:b/>
          <w:color w:val="000000" w:themeColor="text1"/>
          <w:sz w:val="24"/>
        </w:rPr>
      </w:pPr>
    </w:p>
    <w:p w14:paraId="0B58D3F2" w14:textId="77777777" w:rsidR="00397616" w:rsidRPr="00A3398F" w:rsidRDefault="00397616" w:rsidP="00397616">
      <w:pPr>
        <w:spacing w:line="360" w:lineRule="auto"/>
        <w:jc w:val="center"/>
        <w:rPr>
          <w:rFonts w:eastAsiaTheme="minorEastAsia"/>
          <w:b/>
          <w:color w:val="000000" w:themeColor="text1"/>
          <w:sz w:val="24"/>
        </w:rPr>
      </w:pPr>
    </w:p>
    <w:p w14:paraId="69C797B8" w14:textId="77777777" w:rsidR="00397616" w:rsidRPr="00A3398F" w:rsidRDefault="00397616" w:rsidP="00397616">
      <w:pPr>
        <w:spacing w:line="360" w:lineRule="auto"/>
        <w:jc w:val="center"/>
        <w:rPr>
          <w:rFonts w:eastAsiaTheme="minorEastAsia"/>
          <w:b/>
          <w:color w:val="000000" w:themeColor="text1"/>
          <w:sz w:val="24"/>
        </w:rPr>
      </w:pPr>
    </w:p>
    <w:p w14:paraId="29145F83" w14:textId="77777777" w:rsidR="00397616" w:rsidRPr="00A3398F" w:rsidRDefault="00397616" w:rsidP="00397616">
      <w:pPr>
        <w:spacing w:line="360" w:lineRule="auto"/>
        <w:jc w:val="center"/>
        <w:rPr>
          <w:rFonts w:eastAsiaTheme="minorEastAsia"/>
          <w:b/>
          <w:color w:val="000000" w:themeColor="text1"/>
          <w:sz w:val="24"/>
        </w:rPr>
      </w:pPr>
    </w:p>
    <w:p w14:paraId="0DA0ED20" w14:textId="77777777" w:rsidR="00397616" w:rsidRPr="00A3398F" w:rsidRDefault="00397616" w:rsidP="00397616">
      <w:pPr>
        <w:spacing w:line="360" w:lineRule="auto"/>
        <w:jc w:val="center"/>
        <w:rPr>
          <w:rFonts w:eastAsiaTheme="minorEastAsia"/>
          <w:b/>
          <w:color w:val="000000" w:themeColor="text1"/>
          <w:sz w:val="24"/>
        </w:rPr>
      </w:pPr>
    </w:p>
    <w:p w14:paraId="71B59181" w14:textId="77777777" w:rsidR="00397616" w:rsidRPr="00A3398F" w:rsidRDefault="00397616" w:rsidP="00397616">
      <w:pPr>
        <w:spacing w:line="360" w:lineRule="auto"/>
        <w:jc w:val="center"/>
        <w:rPr>
          <w:rFonts w:eastAsiaTheme="minorEastAsia"/>
          <w:b/>
          <w:color w:val="000000" w:themeColor="text1"/>
          <w:sz w:val="24"/>
        </w:rPr>
      </w:pPr>
    </w:p>
    <w:p w14:paraId="5D9BFA7F" w14:textId="77777777" w:rsidR="00397616" w:rsidRPr="00A3398F" w:rsidRDefault="00397616" w:rsidP="00397616">
      <w:pPr>
        <w:spacing w:line="360" w:lineRule="auto"/>
        <w:jc w:val="center"/>
        <w:rPr>
          <w:rFonts w:eastAsiaTheme="minorEastAsia"/>
          <w:b/>
          <w:color w:val="000000" w:themeColor="text1"/>
          <w:sz w:val="24"/>
        </w:rPr>
      </w:pPr>
    </w:p>
    <w:p w14:paraId="43E5C50F" w14:textId="77777777" w:rsidR="00397616" w:rsidRPr="00A3398F" w:rsidRDefault="00397616" w:rsidP="00397616">
      <w:pPr>
        <w:spacing w:line="360" w:lineRule="auto"/>
        <w:jc w:val="center"/>
        <w:rPr>
          <w:rFonts w:eastAsiaTheme="minorEastAsia"/>
          <w:b/>
          <w:color w:val="000000" w:themeColor="text1"/>
          <w:sz w:val="24"/>
        </w:rPr>
      </w:pPr>
    </w:p>
    <w:p w14:paraId="60C5B201" w14:textId="77777777" w:rsidR="00397616" w:rsidRPr="00A3398F" w:rsidRDefault="00397616" w:rsidP="00397616">
      <w:pPr>
        <w:spacing w:line="360" w:lineRule="auto"/>
        <w:jc w:val="center"/>
        <w:rPr>
          <w:rFonts w:eastAsiaTheme="minorEastAsia"/>
          <w:b/>
          <w:color w:val="000000" w:themeColor="text1"/>
          <w:sz w:val="24"/>
        </w:rPr>
      </w:pPr>
    </w:p>
    <w:p w14:paraId="1B4ABD3D" w14:textId="77777777" w:rsidR="00397616" w:rsidRPr="00A3398F" w:rsidRDefault="00397616" w:rsidP="00397616">
      <w:pPr>
        <w:spacing w:line="360" w:lineRule="auto"/>
        <w:jc w:val="center"/>
        <w:rPr>
          <w:rFonts w:eastAsiaTheme="minorEastAsia"/>
          <w:b/>
          <w:color w:val="000000" w:themeColor="text1"/>
          <w:sz w:val="24"/>
        </w:rPr>
      </w:pPr>
    </w:p>
    <w:p w14:paraId="1D4A7DB7" w14:textId="77777777" w:rsidR="00397616" w:rsidRPr="00A3398F" w:rsidRDefault="00397616" w:rsidP="00826B12">
      <w:pPr>
        <w:spacing w:line="288" w:lineRule="auto"/>
        <w:ind w:firstLineChars="900" w:firstLine="2168"/>
        <w:rPr>
          <w:rFonts w:eastAsiaTheme="minorEastAsia"/>
          <w:b/>
          <w:color w:val="000000" w:themeColor="text1"/>
          <w:sz w:val="24"/>
        </w:rPr>
      </w:pPr>
    </w:p>
    <w:p w14:paraId="4DC5A3EE"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14:paraId="322EC21F"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基金托管人：中国工商银行股份有限公司</w:t>
      </w:r>
    </w:p>
    <w:p w14:paraId="46D9DEE0" w14:textId="77777777"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8"/>
          <w:footerReference w:type="default" r:id="rId9"/>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二〇二四年十月二十五日</w:t>
      </w:r>
    </w:p>
    <w:p w14:paraId="2F481962" w14:textId="77777777"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14:paraId="7C028E8D"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0923C225"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BDBAFED"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5F8F08F"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6A319981"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0BDAD7F0" w14:textId="77777777"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14:paraId="659ABF24" w14:textId="77777777" w:rsidR="007651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p w14:paraId="7CA3C7AD" w14:textId="77777777" w:rsidR="000364FB" w:rsidRPr="000364FB" w:rsidRDefault="000364FB" w:rsidP="000364FB">
      <w:pPr>
        <w:pStyle w:val="2"/>
        <w:keepNext w:val="0"/>
        <w:keepLines w:val="0"/>
        <w:spacing w:before="0" w:after="0"/>
        <w:rPr>
          <w:rFonts w:asciiTheme="minorEastAsia" w:eastAsiaTheme="minorEastAsia" w:hAnsiTheme="minorEastAsia"/>
          <w:color w:val="000000" w:themeColor="text1"/>
          <w:szCs w:val="24"/>
        </w:rPr>
      </w:pPr>
      <w:bookmarkStart w:id="0" w:name="_Toc245193810"/>
      <w:r w:rsidRPr="0077262D">
        <w:rPr>
          <w:rFonts w:asciiTheme="minorEastAsia" w:eastAsiaTheme="minorEastAsia" w:hAnsiTheme="minorEastAsia" w:hint="eastAsia"/>
          <w:color w:val="000000" w:themeColor="text1"/>
          <w:szCs w:val="24"/>
        </w:rPr>
        <w:t>2.1基金产品概况</w:t>
      </w:r>
      <w:bookmarkEnd w:id="0"/>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14:paraId="12D3A321" w14:textId="77777777" w:rsidTr="003376D5">
        <w:tc>
          <w:tcPr>
            <w:tcW w:w="2980" w:type="dxa"/>
            <w:vAlign w:val="center"/>
          </w:tcPr>
          <w:p w14:paraId="323044DD"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14:paraId="00CEA66F"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摩根恒生科技</w:t>
            </w:r>
            <w:r w:rsidRPr="00A3398F">
              <w:rPr>
                <w:rFonts w:eastAsiaTheme="minorEastAsia"/>
                <w:color w:val="000000" w:themeColor="text1"/>
                <w:kern w:val="0"/>
                <w:szCs w:val="21"/>
              </w:rPr>
              <w:t>ETF</w:t>
            </w:r>
            <w:r w:rsidRPr="00A3398F">
              <w:rPr>
                <w:rFonts w:eastAsiaTheme="minorEastAsia"/>
                <w:color w:val="000000" w:themeColor="text1"/>
                <w:kern w:val="0"/>
                <w:szCs w:val="21"/>
              </w:rPr>
              <w:t>发起式联接</w:t>
            </w:r>
            <w:r w:rsidRPr="00A3398F">
              <w:rPr>
                <w:rFonts w:eastAsiaTheme="minorEastAsia"/>
                <w:color w:val="000000" w:themeColor="text1"/>
                <w:kern w:val="0"/>
                <w:szCs w:val="21"/>
              </w:rPr>
              <w:t>(QDII)</w:t>
            </w:r>
          </w:p>
        </w:tc>
      </w:tr>
      <w:tr w:rsidR="008277FF" w:rsidRPr="00A3398F" w14:paraId="0E4900E5" w14:textId="77777777" w:rsidTr="003376D5">
        <w:tc>
          <w:tcPr>
            <w:tcW w:w="2980" w:type="dxa"/>
            <w:vAlign w:val="center"/>
          </w:tcPr>
          <w:p w14:paraId="5C25E24F"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14:paraId="3467D451"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018577</w:t>
            </w:r>
          </w:p>
        </w:tc>
      </w:tr>
      <w:tr w:rsidR="008277FF" w:rsidRPr="00A3398F" w14:paraId="5125D0EA" w14:textId="77777777" w:rsidTr="003376D5">
        <w:tc>
          <w:tcPr>
            <w:tcW w:w="2980" w:type="dxa"/>
            <w:vAlign w:val="center"/>
          </w:tcPr>
          <w:p w14:paraId="21B40006"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14:paraId="1171ADD0"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018577</w:t>
            </w:r>
          </w:p>
        </w:tc>
      </w:tr>
      <w:tr w:rsidR="008277FF" w:rsidRPr="00A3398F" w14:paraId="52E7A71D" w14:textId="77777777" w:rsidTr="003376D5">
        <w:tc>
          <w:tcPr>
            <w:tcW w:w="2980" w:type="dxa"/>
            <w:vAlign w:val="center"/>
          </w:tcPr>
          <w:p w14:paraId="32CC7E5F"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14:paraId="6A18C26C"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14:paraId="72255480" w14:textId="77777777" w:rsidTr="003376D5">
        <w:tc>
          <w:tcPr>
            <w:tcW w:w="2980" w:type="dxa"/>
            <w:vAlign w:val="center"/>
          </w:tcPr>
          <w:p w14:paraId="1C02E35F"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14:paraId="35D97334"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2023</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18</w:t>
            </w:r>
            <w:r w:rsidRPr="00A3398F">
              <w:rPr>
                <w:rFonts w:eastAsiaTheme="minorEastAsia"/>
                <w:color w:val="000000" w:themeColor="text1"/>
                <w:kern w:val="0"/>
                <w:szCs w:val="21"/>
              </w:rPr>
              <w:t>日</w:t>
            </w:r>
          </w:p>
        </w:tc>
      </w:tr>
      <w:tr w:rsidR="008277FF" w:rsidRPr="00A3398F" w14:paraId="5DCA4F65" w14:textId="77777777" w:rsidTr="003376D5">
        <w:tc>
          <w:tcPr>
            <w:tcW w:w="2980" w:type="dxa"/>
            <w:vAlign w:val="center"/>
          </w:tcPr>
          <w:p w14:paraId="1D279EB3"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14:paraId="13FFF79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67,139,197.08</w:t>
            </w:r>
            <w:r w:rsidRPr="00A3398F">
              <w:rPr>
                <w:rFonts w:eastAsiaTheme="minorEastAsia"/>
                <w:color w:val="000000" w:themeColor="text1"/>
                <w:kern w:val="0"/>
                <w:szCs w:val="21"/>
              </w:rPr>
              <w:t>份</w:t>
            </w:r>
          </w:p>
        </w:tc>
      </w:tr>
      <w:tr w:rsidR="008277FF" w:rsidRPr="00A3398F" w14:paraId="2A08CDA1" w14:textId="77777777" w:rsidTr="003376D5">
        <w:tc>
          <w:tcPr>
            <w:tcW w:w="2980" w:type="dxa"/>
            <w:vAlign w:val="center"/>
          </w:tcPr>
          <w:p w14:paraId="3554B2FA"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14:paraId="0D630022"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通过对目标</w:t>
            </w:r>
            <w:r w:rsidRPr="00A3398F">
              <w:rPr>
                <w:rFonts w:eastAsiaTheme="minorEastAsia"/>
                <w:color w:val="000000" w:themeColor="text1"/>
                <w:kern w:val="0"/>
                <w:szCs w:val="21"/>
              </w:rPr>
              <w:t>ETF</w:t>
            </w:r>
            <w:r w:rsidRPr="00A3398F">
              <w:rPr>
                <w:rFonts w:eastAsiaTheme="minorEastAsia"/>
                <w:color w:val="000000" w:themeColor="text1"/>
                <w:kern w:val="0"/>
                <w:szCs w:val="21"/>
              </w:rPr>
              <w:t>基金份额的投资，追求跟踪标的指数，获得与指数收益相似的回报。</w:t>
            </w:r>
          </w:p>
        </w:tc>
      </w:tr>
      <w:tr w:rsidR="008277FF" w:rsidRPr="00A3398F" w14:paraId="1AF75FE7" w14:textId="77777777" w:rsidTr="003376D5">
        <w:tc>
          <w:tcPr>
            <w:tcW w:w="2980" w:type="dxa"/>
            <w:vAlign w:val="center"/>
          </w:tcPr>
          <w:p w14:paraId="2EC55296"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14:paraId="62FE07B3" w14:textId="77777777" w:rsidR="00E906F1" w:rsidRDefault="00CA036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的联接基金，通过将基金资产主要投资于目标</w:t>
            </w:r>
            <w:r>
              <w:rPr>
                <w:rFonts w:eastAsiaTheme="minorEastAsia"/>
                <w:color w:val="000000" w:themeColor="text1"/>
                <w:kern w:val="0"/>
                <w:szCs w:val="21"/>
              </w:rPr>
              <w:t>ETF</w:t>
            </w:r>
            <w:r>
              <w:rPr>
                <w:rFonts w:eastAsiaTheme="minorEastAsia"/>
                <w:color w:val="000000" w:themeColor="text1"/>
                <w:kern w:val="0"/>
                <w:szCs w:val="21"/>
              </w:rPr>
              <w:t>基金份额，以实现对标的指数的跟踪。本基金力争日均跟踪偏离度的绝对值不超过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lastRenderedPageBreak/>
              <w:t>如因标的指数编制规则调整或其他因素导致跟踪误差超过上述范围，基金管理人应采取合理措施避免跟踪误差进一步扩大。</w:t>
            </w:r>
          </w:p>
          <w:p w14:paraId="467A5B9B" w14:textId="77777777" w:rsidR="00E906F1" w:rsidRDefault="00CA036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基金也可以通过买入标的指数成份股来跟踪标的指数。为了提高投资效率，基金还可以根据风险管理原则，少量投资于股指期货、股票期权和其他经中国证监会允许的衍生工具等。</w:t>
            </w:r>
          </w:p>
          <w:p w14:paraId="5F1933A1" w14:textId="77777777" w:rsidR="00E906F1" w:rsidRDefault="00CA036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w:t>
            </w:r>
            <w:r>
              <w:rPr>
                <w:rFonts w:eastAsiaTheme="minorEastAsia"/>
                <w:color w:val="000000" w:themeColor="text1"/>
                <w:kern w:val="0"/>
                <w:szCs w:val="21"/>
              </w:rPr>
              <w:t>ETF</w:t>
            </w:r>
            <w:r>
              <w:rPr>
                <w:rFonts w:eastAsiaTheme="minorEastAsia"/>
                <w:color w:val="000000" w:themeColor="text1"/>
                <w:kern w:val="0"/>
                <w:szCs w:val="21"/>
              </w:rPr>
              <w:t>投资策略</w:t>
            </w:r>
          </w:p>
          <w:p w14:paraId="64DE9E06" w14:textId="77777777" w:rsidR="00E906F1" w:rsidRDefault="00CA036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为了实现追踪误差最小化，本基金投资于目标</w:t>
            </w:r>
            <w:r>
              <w:rPr>
                <w:rFonts w:eastAsiaTheme="minorEastAsia"/>
                <w:color w:val="000000" w:themeColor="text1"/>
                <w:kern w:val="0"/>
                <w:szCs w:val="21"/>
              </w:rPr>
              <w:t>ETF</w:t>
            </w:r>
            <w:r>
              <w:rPr>
                <w:rFonts w:eastAsiaTheme="minorEastAsia"/>
                <w:color w:val="000000" w:themeColor="text1"/>
                <w:kern w:val="0"/>
                <w:szCs w:val="21"/>
              </w:rPr>
              <w:t>基金份额的比例不低于基金资产净值的</w:t>
            </w:r>
            <w:r>
              <w:rPr>
                <w:rFonts w:eastAsiaTheme="minorEastAsia"/>
                <w:color w:val="000000" w:themeColor="text1"/>
                <w:kern w:val="0"/>
                <w:szCs w:val="21"/>
              </w:rPr>
              <w:t>90%</w:t>
            </w:r>
            <w:r>
              <w:rPr>
                <w:rFonts w:eastAsiaTheme="minorEastAsia"/>
                <w:color w:val="000000" w:themeColor="text1"/>
                <w:kern w:val="0"/>
                <w:szCs w:val="21"/>
              </w:rPr>
              <w:t>。本基金主要通过申购、赎回或二级市场买卖的方式投资于目标</w:t>
            </w:r>
            <w:r>
              <w:rPr>
                <w:rFonts w:eastAsiaTheme="minorEastAsia"/>
                <w:color w:val="000000" w:themeColor="text1"/>
                <w:kern w:val="0"/>
                <w:szCs w:val="21"/>
              </w:rPr>
              <w:t>ETF</w:t>
            </w:r>
            <w:r>
              <w:rPr>
                <w:rFonts w:eastAsiaTheme="minorEastAsia"/>
                <w:color w:val="000000" w:themeColor="text1"/>
                <w:kern w:val="0"/>
                <w:szCs w:val="21"/>
              </w:rPr>
              <w:t>。当目标</w:t>
            </w:r>
            <w:r>
              <w:rPr>
                <w:rFonts w:eastAsiaTheme="minorEastAsia"/>
                <w:color w:val="000000" w:themeColor="text1"/>
                <w:kern w:val="0"/>
                <w:szCs w:val="21"/>
              </w:rPr>
              <w:t>ETF</w:t>
            </w:r>
            <w:r>
              <w:rPr>
                <w:rFonts w:eastAsiaTheme="minorEastAsia"/>
                <w:color w:val="000000" w:themeColor="text1"/>
                <w:kern w:val="0"/>
                <w:szCs w:val="21"/>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rFonts w:eastAsiaTheme="minorEastAsia"/>
                <w:color w:val="000000" w:themeColor="text1"/>
                <w:kern w:val="0"/>
                <w:szCs w:val="21"/>
              </w:rPr>
              <w:t>ETF</w:t>
            </w:r>
            <w:r>
              <w:rPr>
                <w:rFonts w:eastAsiaTheme="minorEastAsia"/>
                <w:color w:val="000000" w:themeColor="text1"/>
                <w:kern w:val="0"/>
                <w:szCs w:val="21"/>
              </w:rPr>
              <w:t>的买卖。本基金还可适度参与目标</w:t>
            </w:r>
            <w:r>
              <w:rPr>
                <w:rFonts w:eastAsiaTheme="minorEastAsia"/>
                <w:color w:val="000000" w:themeColor="text1"/>
                <w:kern w:val="0"/>
                <w:szCs w:val="21"/>
              </w:rPr>
              <w:t>ETF</w:t>
            </w:r>
            <w:r>
              <w:rPr>
                <w:rFonts w:eastAsiaTheme="minorEastAsia"/>
                <w:color w:val="000000" w:themeColor="text1"/>
                <w:kern w:val="0"/>
                <w:szCs w:val="21"/>
              </w:rPr>
              <w:t>基金份额交易和申购、赎回之间的套利，以增强基金收益。</w:t>
            </w:r>
          </w:p>
          <w:p w14:paraId="4B6133A8" w14:textId="77777777" w:rsidR="00E906F1" w:rsidRDefault="00CA036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本基金可以基金资产特殊申购目标</w:t>
            </w:r>
            <w:r>
              <w:rPr>
                <w:rFonts w:eastAsiaTheme="minorEastAsia"/>
                <w:color w:val="000000" w:themeColor="text1"/>
                <w:kern w:val="0"/>
                <w:szCs w:val="21"/>
              </w:rPr>
              <w:t>ETF</w:t>
            </w:r>
            <w:r>
              <w:rPr>
                <w:rFonts w:eastAsiaTheme="minorEastAsia"/>
                <w:color w:val="000000" w:themeColor="text1"/>
                <w:kern w:val="0"/>
                <w:szCs w:val="21"/>
              </w:rPr>
              <w:t>份额，以进行基金建仓。</w:t>
            </w:r>
          </w:p>
          <w:p w14:paraId="6B0787F3"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其他投资策略包括股票投资策略、港股通标的股票投资策略、金融衍生品投资策略、债券投资策略、可转换债券和可交换债券投资策略、资产支持证券投资策略、存托凭证投资策略、证券公司短期公司债券投资策略、融资及转融通证券出借策略。</w:t>
            </w:r>
          </w:p>
        </w:tc>
      </w:tr>
      <w:tr w:rsidR="008277FF" w:rsidRPr="00A3398F" w14:paraId="0197CE80" w14:textId="77777777" w:rsidTr="003376D5">
        <w:tc>
          <w:tcPr>
            <w:tcW w:w="2980" w:type="dxa"/>
            <w:vAlign w:val="center"/>
          </w:tcPr>
          <w:p w14:paraId="1F26E6AE"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14:paraId="326C58CF"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经估值汇率调整的恒生科技指数收益率</w:t>
            </w:r>
            <w:r w:rsidRPr="00A3398F">
              <w:rPr>
                <w:rFonts w:eastAsiaTheme="minorEastAsia"/>
                <w:color w:val="000000" w:themeColor="text1"/>
                <w:kern w:val="0"/>
                <w:szCs w:val="21"/>
              </w:rPr>
              <w:t>×95%</w:t>
            </w:r>
            <w:r w:rsidRPr="00A3398F">
              <w:rPr>
                <w:rFonts w:eastAsiaTheme="minorEastAsia"/>
                <w:color w:val="000000" w:themeColor="text1"/>
                <w:kern w:val="0"/>
                <w:szCs w:val="21"/>
              </w:rPr>
              <w:t>＋活期存款利率（税后）</w:t>
            </w:r>
            <w:r w:rsidRPr="00A3398F">
              <w:rPr>
                <w:rFonts w:eastAsiaTheme="minorEastAsia"/>
                <w:color w:val="000000" w:themeColor="text1"/>
                <w:kern w:val="0"/>
                <w:szCs w:val="21"/>
              </w:rPr>
              <w:t>×5%</w:t>
            </w:r>
          </w:p>
        </w:tc>
      </w:tr>
      <w:tr w:rsidR="008277FF" w:rsidRPr="00A3398F" w14:paraId="6927C802" w14:textId="77777777" w:rsidTr="003376D5">
        <w:tc>
          <w:tcPr>
            <w:tcW w:w="2980" w:type="dxa"/>
            <w:vAlign w:val="center"/>
          </w:tcPr>
          <w:p w14:paraId="37D9BB0C"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14:paraId="36E99E31" w14:textId="77777777" w:rsidR="00E906F1" w:rsidRDefault="00CA036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w:t>
            </w:r>
            <w:r>
              <w:rPr>
                <w:rFonts w:eastAsiaTheme="minorEastAsia"/>
                <w:color w:val="000000" w:themeColor="text1"/>
                <w:kern w:val="0"/>
                <w:szCs w:val="21"/>
              </w:rPr>
              <w:t>ETF</w:t>
            </w:r>
            <w:r>
              <w:rPr>
                <w:rFonts w:eastAsiaTheme="minorEastAsia"/>
                <w:color w:val="000000" w:themeColor="text1"/>
                <w:kern w:val="0"/>
                <w:szCs w:val="21"/>
              </w:rPr>
              <w:t>联接基金，具有与目标</w:t>
            </w:r>
            <w:r>
              <w:rPr>
                <w:rFonts w:eastAsiaTheme="minorEastAsia"/>
                <w:color w:val="000000" w:themeColor="text1"/>
                <w:kern w:val="0"/>
                <w:szCs w:val="21"/>
              </w:rPr>
              <w:t>ETF</w:t>
            </w:r>
            <w:r>
              <w:rPr>
                <w:rFonts w:eastAsiaTheme="minorEastAsia"/>
                <w:color w:val="000000" w:themeColor="text1"/>
                <w:kern w:val="0"/>
                <w:szCs w:val="21"/>
              </w:rPr>
              <w:t>相似的风险收益特征。目标</w:t>
            </w:r>
            <w:r>
              <w:rPr>
                <w:rFonts w:eastAsiaTheme="minorEastAsia"/>
                <w:color w:val="000000" w:themeColor="text1"/>
                <w:kern w:val="0"/>
                <w:szCs w:val="21"/>
              </w:rPr>
              <w:t>ETF</w:t>
            </w:r>
            <w:r>
              <w:rPr>
                <w:rFonts w:eastAsiaTheme="minorEastAsia"/>
                <w:color w:val="000000" w:themeColor="text1"/>
                <w:kern w:val="0"/>
                <w:szCs w:val="21"/>
              </w:rPr>
              <w:t>为股票型指数基金，因此本基金的预期风险和预期收益高于货币市场基金、债券型基金和混合型</w:t>
            </w:r>
            <w:r>
              <w:rPr>
                <w:rFonts w:eastAsiaTheme="minorEastAsia"/>
                <w:color w:val="000000" w:themeColor="text1"/>
                <w:kern w:val="0"/>
                <w:szCs w:val="21"/>
              </w:rPr>
              <w:lastRenderedPageBreak/>
              <w:t>基金，且具有与标的指数以及标的指数所代表的股票市场相似的风险收益特征。</w:t>
            </w:r>
          </w:p>
          <w:p w14:paraId="3B669325"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本基金可投资于境外证券，除了需要承担与境内证券投资基金类似的市场波动风险等一般投资风险之外，本基金还面临汇率风险等境外证券市场投资所面临的特别投资风险。</w:t>
            </w:r>
          </w:p>
        </w:tc>
      </w:tr>
      <w:tr w:rsidR="008277FF" w:rsidRPr="00A3398F" w14:paraId="7EE69D72" w14:textId="77777777" w:rsidTr="003376D5">
        <w:tc>
          <w:tcPr>
            <w:tcW w:w="2980" w:type="dxa"/>
            <w:vAlign w:val="center"/>
          </w:tcPr>
          <w:p w14:paraId="3630DF33"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基金管理人</w:t>
            </w:r>
          </w:p>
        </w:tc>
        <w:tc>
          <w:tcPr>
            <w:tcW w:w="5443" w:type="dxa"/>
            <w:gridSpan w:val="2"/>
            <w:vAlign w:val="center"/>
          </w:tcPr>
          <w:p w14:paraId="0BEF85A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14:paraId="607F724A" w14:textId="77777777" w:rsidTr="003376D5">
        <w:tc>
          <w:tcPr>
            <w:tcW w:w="2980" w:type="dxa"/>
            <w:vAlign w:val="center"/>
          </w:tcPr>
          <w:p w14:paraId="70331972"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14:paraId="73640E2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中国工商银行股份有限公司</w:t>
            </w:r>
          </w:p>
        </w:tc>
      </w:tr>
      <w:tr w:rsidR="00070DD6" w:rsidRPr="00A3398F" w14:paraId="67E94866" w14:textId="77777777" w:rsidTr="00845292">
        <w:tblPrEx>
          <w:tblLook w:val="0000" w:firstRow="0" w:lastRow="0" w:firstColumn="0" w:lastColumn="0" w:noHBand="0" w:noVBand="0"/>
        </w:tblPrEx>
        <w:trPr>
          <w:trHeight w:val="866"/>
        </w:trPr>
        <w:tc>
          <w:tcPr>
            <w:tcW w:w="2980" w:type="dxa"/>
          </w:tcPr>
          <w:p w14:paraId="14505A6D" w14:textId="77777777"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14:paraId="69A9BD65"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p>
        </w:tc>
        <w:tc>
          <w:tcPr>
            <w:tcW w:w="2663" w:type="dxa"/>
            <w:vAlign w:val="center"/>
          </w:tcPr>
          <w:p w14:paraId="2FD3B591"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p>
        </w:tc>
      </w:tr>
      <w:tr w:rsidR="00070DD6" w:rsidRPr="00A3398F" w14:paraId="21CDC1A2" w14:textId="77777777" w:rsidTr="00845292">
        <w:tblPrEx>
          <w:tblLook w:val="0000" w:firstRow="0" w:lastRow="0" w:firstColumn="0" w:lastColumn="0" w:noHBand="0" w:noVBand="0"/>
        </w:tblPrEx>
        <w:trPr>
          <w:trHeight w:val="628"/>
        </w:trPr>
        <w:tc>
          <w:tcPr>
            <w:tcW w:w="2980" w:type="dxa"/>
          </w:tcPr>
          <w:p w14:paraId="7B8B7141" w14:textId="77777777"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14:paraId="2F84C2A6"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018577</w:t>
            </w:r>
          </w:p>
        </w:tc>
        <w:tc>
          <w:tcPr>
            <w:tcW w:w="2663" w:type="dxa"/>
            <w:vAlign w:val="center"/>
          </w:tcPr>
          <w:p w14:paraId="132C33D9"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018578</w:t>
            </w:r>
          </w:p>
        </w:tc>
      </w:tr>
      <w:tr w:rsidR="00322A5E" w:rsidRPr="00A3398F" w14:paraId="48205BA2" w14:textId="77777777" w:rsidTr="0031104D">
        <w:tblPrEx>
          <w:tblLook w:val="0000" w:firstRow="0" w:lastRow="0" w:firstColumn="0" w:lastColumn="0" w:noHBand="0" w:noVBand="0"/>
        </w:tblPrEx>
        <w:trPr>
          <w:trHeight w:val="555"/>
        </w:trPr>
        <w:tc>
          <w:tcPr>
            <w:tcW w:w="2980" w:type="dxa"/>
            <w:vAlign w:val="center"/>
          </w:tcPr>
          <w:p w14:paraId="6D8A275C" w14:textId="77777777"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14:paraId="6814E782"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11,025,083.01</w:t>
            </w:r>
            <w:r w:rsidRPr="00A3398F">
              <w:rPr>
                <w:rFonts w:eastAsiaTheme="minorEastAsia"/>
                <w:color w:val="000000" w:themeColor="text1"/>
                <w:kern w:val="0"/>
                <w:szCs w:val="21"/>
              </w:rPr>
              <w:t>份</w:t>
            </w:r>
          </w:p>
        </w:tc>
        <w:tc>
          <w:tcPr>
            <w:tcW w:w="2663" w:type="dxa"/>
            <w:vAlign w:val="center"/>
          </w:tcPr>
          <w:p w14:paraId="0502666F"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56,114,114.07</w:t>
            </w:r>
            <w:r w:rsidRPr="00A3398F">
              <w:rPr>
                <w:rFonts w:eastAsiaTheme="minorEastAsia"/>
                <w:color w:val="000000" w:themeColor="text1"/>
                <w:kern w:val="0"/>
                <w:szCs w:val="21"/>
              </w:rPr>
              <w:t>份</w:t>
            </w:r>
          </w:p>
        </w:tc>
      </w:tr>
    </w:tbl>
    <w:p w14:paraId="1C682F3E" w14:textId="77777777" w:rsidR="000364FB" w:rsidRDefault="000364FB" w:rsidP="000364FB">
      <w:pPr>
        <w:pStyle w:val="2"/>
        <w:keepNext w:val="0"/>
        <w:keepLines w:val="0"/>
        <w:spacing w:before="0" w:after="0"/>
        <w:rPr>
          <w:rFonts w:asciiTheme="minorEastAsia" w:eastAsiaTheme="minorEastAsia" w:hAnsiTheme="minorEastAsia"/>
          <w:color w:val="000000" w:themeColor="text1"/>
          <w:szCs w:val="24"/>
        </w:rPr>
      </w:pPr>
      <w:r w:rsidRPr="0077262D">
        <w:rPr>
          <w:rFonts w:asciiTheme="minorEastAsia" w:eastAsiaTheme="minorEastAsia" w:hAnsiTheme="minorEastAsia" w:hint="eastAsia"/>
          <w:color w:val="000000" w:themeColor="text1"/>
          <w:szCs w:val="24"/>
        </w:rPr>
        <w:t>2.1.1目标基金基本情况</w:t>
      </w:r>
    </w:p>
    <w:tbl>
      <w:tblPr>
        <w:tblW w:w="8460" w:type="dxa"/>
        <w:tblInd w:w="108" w:type="dxa"/>
        <w:tblLayout w:type="fixed"/>
        <w:tblLook w:val="0000" w:firstRow="0" w:lastRow="0" w:firstColumn="0" w:lastColumn="0" w:noHBand="0" w:noVBand="0"/>
      </w:tblPr>
      <w:tblGrid>
        <w:gridCol w:w="2724"/>
        <w:gridCol w:w="5736"/>
      </w:tblGrid>
      <w:tr w:rsidR="000364FB" w:rsidRPr="00DE3C5A" w14:paraId="509190D7" w14:textId="77777777" w:rsidTr="00982AC4">
        <w:tc>
          <w:tcPr>
            <w:tcW w:w="2724" w:type="dxa"/>
            <w:tcBorders>
              <w:top w:val="single" w:sz="8" w:space="0" w:color="000000"/>
              <w:left w:val="single" w:sz="8" w:space="0" w:color="000000"/>
              <w:bottom w:val="single" w:sz="8" w:space="0" w:color="000000"/>
              <w:right w:val="single" w:sz="8" w:space="0" w:color="000000"/>
            </w:tcBorders>
            <w:vAlign w:val="center"/>
          </w:tcPr>
          <w:p w14:paraId="63E92BBF"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14:paraId="03403082" w14:textId="77777777" w:rsidR="000364FB" w:rsidRPr="00DE3C5A" w:rsidRDefault="000364FB" w:rsidP="00982AC4">
            <w:pPr>
              <w:jc w:val="left"/>
              <w:rPr>
                <w:rFonts w:asciiTheme="minorEastAsia" w:eastAsiaTheme="minorEastAsia" w:hAnsiTheme="minorEastAsia"/>
                <w:color w:val="000000" w:themeColor="text1"/>
                <w:szCs w:val="21"/>
              </w:rPr>
            </w:pPr>
            <w:r w:rsidRPr="00DE3C5A">
              <w:rPr>
                <w:rFonts w:asciiTheme="minorEastAsia" w:eastAsiaTheme="minorEastAsia" w:hAnsiTheme="minorEastAsia" w:hint="eastAsia"/>
                <w:color w:val="000000" w:themeColor="text1"/>
                <w:szCs w:val="21"/>
              </w:rPr>
              <w:t>摩根恒生科技交易型开放式指数证券投资基金(QDII)</w:t>
            </w:r>
          </w:p>
        </w:tc>
      </w:tr>
      <w:tr w:rsidR="000364FB" w:rsidRPr="00DE3C5A" w14:paraId="0CAA77FB" w14:textId="77777777" w:rsidTr="00982AC4">
        <w:tc>
          <w:tcPr>
            <w:tcW w:w="2724" w:type="dxa"/>
            <w:tcBorders>
              <w:top w:val="single" w:sz="8" w:space="0" w:color="000000"/>
              <w:left w:val="single" w:sz="8" w:space="0" w:color="000000"/>
              <w:bottom w:val="single" w:sz="8" w:space="0" w:color="000000"/>
              <w:right w:val="single" w:sz="8" w:space="0" w:color="000000"/>
            </w:tcBorders>
            <w:vAlign w:val="center"/>
          </w:tcPr>
          <w:p w14:paraId="7B6E68FD"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14:paraId="55BE9D6E"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513890</w:t>
            </w:r>
          </w:p>
        </w:tc>
      </w:tr>
      <w:tr w:rsidR="000364FB" w:rsidRPr="00DE3C5A" w14:paraId="42B181BC" w14:textId="77777777" w:rsidTr="00982AC4">
        <w:tc>
          <w:tcPr>
            <w:tcW w:w="2724" w:type="dxa"/>
            <w:tcBorders>
              <w:top w:val="single" w:sz="8" w:space="0" w:color="000000"/>
              <w:left w:val="single" w:sz="8" w:space="0" w:color="000000"/>
              <w:bottom w:val="single" w:sz="8" w:space="0" w:color="000000"/>
              <w:right w:val="single" w:sz="8" w:space="0" w:color="000000"/>
            </w:tcBorders>
            <w:vAlign w:val="center"/>
          </w:tcPr>
          <w:p w14:paraId="02C984B2"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14:paraId="07F45019"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交易型开放式</w:t>
            </w:r>
          </w:p>
        </w:tc>
      </w:tr>
      <w:tr w:rsidR="000364FB" w:rsidRPr="00DE3C5A" w14:paraId="2DE12969" w14:textId="77777777" w:rsidTr="00982AC4">
        <w:tc>
          <w:tcPr>
            <w:tcW w:w="2724" w:type="dxa"/>
            <w:tcBorders>
              <w:top w:val="single" w:sz="8" w:space="0" w:color="000000"/>
              <w:left w:val="single" w:sz="8" w:space="0" w:color="000000"/>
              <w:bottom w:val="single" w:sz="8" w:space="0" w:color="000000"/>
              <w:right w:val="single" w:sz="8" w:space="0" w:color="000000"/>
            </w:tcBorders>
            <w:vAlign w:val="center"/>
          </w:tcPr>
          <w:p w14:paraId="2ECAF20A"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14:paraId="3AB431A4"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2021年12月17日</w:t>
            </w:r>
          </w:p>
        </w:tc>
      </w:tr>
      <w:tr w:rsidR="000364FB" w:rsidRPr="00DE3C5A" w14:paraId="6EBCD9A9" w14:textId="77777777" w:rsidTr="00982AC4">
        <w:tc>
          <w:tcPr>
            <w:tcW w:w="2724" w:type="dxa"/>
            <w:tcBorders>
              <w:top w:val="single" w:sz="8" w:space="0" w:color="000000"/>
              <w:left w:val="single" w:sz="8" w:space="0" w:color="000000"/>
              <w:bottom w:val="single" w:sz="8" w:space="0" w:color="000000"/>
              <w:right w:val="single" w:sz="8" w:space="0" w:color="000000"/>
            </w:tcBorders>
            <w:vAlign w:val="center"/>
          </w:tcPr>
          <w:p w14:paraId="31FE69E7"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14:paraId="083184B5"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上海证券交易所</w:t>
            </w:r>
          </w:p>
        </w:tc>
      </w:tr>
      <w:tr w:rsidR="000364FB" w:rsidRPr="00DE3C5A" w14:paraId="207949A3" w14:textId="77777777" w:rsidTr="00982AC4">
        <w:tc>
          <w:tcPr>
            <w:tcW w:w="2724" w:type="dxa"/>
            <w:tcBorders>
              <w:top w:val="single" w:sz="8" w:space="0" w:color="000000"/>
              <w:left w:val="single" w:sz="8" w:space="0" w:color="000000"/>
              <w:bottom w:val="single" w:sz="8" w:space="0" w:color="000000"/>
              <w:right w:val="single" w:sz="8" w:space="0" w:color="000000"/>
            </w:tcBorders>
            <w:vAlign w:val="center"/>
          </w:tcPr>
          <w:p w14:paraId="5DF7144A"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14:paraId="6AD24A4D"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2022年1月21日</w:t>
            </w:r>
          </w:p>
        </w:tc>
      </w:tr>
      <w:tr w:rsidR="000364FB" w:rsidRPr="00DE3C5A" w14:paraId="0646E6CA" w14:textId="77777777" w:rsidTr="00982AC4">
        <w:tc>
          <w:tcPr>
            <w:tcW w:w="2724" w:type="dxa"/>
            <w:tcBorders>
              <w:top w:val="single" w:sz="8" w:space="0" w:color="000000"/>
              <w:left w:val="single" w:sz="8" w:space="0" w:color="000000"/>
              <w:bottom w:val="single" w:sz="8" w:space="0" w:color="000000"/>
              <w:right w:val="single" w:sz="8" w:space="0" w:color="000000"/>
            </w:tcBorders>
            <w:vAlign w:val="center"/>
          </w:tcPr>
          <w:p w14:paraId="680AA7C9"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14:paraId="7BD3C559"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摩根基金管理（中国）有限公司</w:t>
            </w:r>
          </w:p>
        </w:tc>
      </w:tr>
      <w:tr w:rsidR="000364FB" w:rsidRPr="00DE3C5A" w14:paraId="69A91123" w14:textId="77777777" w:rsidTr="00982AC4">
        <w:tc>
          <w:tcPr>
            <w:tcW w:w="2724" w:type="dxa"/>
            <w:tcBorders>
              <w:top w:val="single" w:sz="8" w:space="0" w:color="000000"/>
              <w:left w:val="single" w:sz="8" w:space="0" w:color="000000"/>
              <w:bottom w:val="single" w:sz="8" w:space="0" w:color="000000"/>
              <w:right w:val="single" w:sz="8" w:space="0" w:color="000000"/>
            </w:tcBorders>
            <w:vAlign w:val="center"/>
          </w:tcPr>
          <w:p w14:paraId="691085CF"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14:paraId="39EA3968"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中国工商银行股份有限公司</w:t>
            </w:r>
          </w:p>
        </w:tc>
      </w:tr>
    </w:tbl>
    <w:p w14:paraId="16035B10" w14:textId="77777777" w:rsidR="000364FB" w:rsidRPr="006A0AFD" w:rsidRDefault="000364FB" w:rsidP="000364FB">
      <w:pPr>
        <w:pStyle w:val="a0"/>
        <w:ind w:firstLineChars="0" w:firstLine="0"/>
      </w:pPr>
    </w:p>
    <w:p w14:paraId="19C92525" w14:textId="77777777" w:rsidR="000364FB" w:rsidRDefault="000364FB" w:rsidP="000364FB">
      <w:pPr>
        <w:pStyle w:val="2"/>
        <w:keepNext w:val="0"/>
        <w:keepLines w:val="0"/>
        <w:spacing w:before="0" w:after="0"/>
        <w:rPr>
          <w:color w:val="000000" w:themeColor="text1"/>
        </w:rPr>
      </w:pPr>
      <w:r w:rsidRPr="0077262D">
        <w:rPr>
          <w:rFonts w:asciiTheme="minorEastAsia" w:eastAsiaTheme="minorEastAsia" w:hAnsiTheme="minorEastAsia" w:hint="eastAsia"/>
          <w:color w:val="000000" w:themeColor="text1"/>
          <w:szCs w:val="24"/>
        </w:rPr>
        <w:t>2.1.2</w:t>
      </w:r>
      <w:r w:rsidRPr="0077262D">
        <w:rPr>
          <w:color w:val="000000" w:themeColor="text1"/>
        </w:rPr>
        <w:t>目标基金产品</w:t>
      </w:r>
      <w:r w:rsidR="00C027C8" w:rsidRPr="00C027C8">
        <w:rPr>
          <w:rFonts w:hint="eastAsia"/>
          <w:color w:val="000000" w:themeColor="text1"/>
        </w:rPr>
        <w:t>说明</w:t>
      </w:r>
    </w:p>
    <w:tbl>
      <w:tblPr>
        <w:tblW w:w="8460" w:type="dxa"/>
        <w:tblInd w:w="108" w:type="dxa"/>
        <w:tblLook w:val="0000" w:firstRow="0" w:lastRow="0" w:firstColumn="0" w:lastColumn="0" w:noHBand="0" w:noVBand="0"/>
      </w:tblPr>
      <w:tblGrid>
        <w:gridCol w:w="2820"/>
        <w:gridCol w:w="5640"/>
      </w:tblGrid>
      <w:tr w:rsidR="000364FB" w:rsidRPr="00DE3C5A" w14:paraId="210DAC88" w14:textId="77777777" w:rsidTr="00982AC4">
        <w:tc>
          <w:tcPr>
            <w:tcW w:w="2820" w:type="dxa"/>
            <w:tcBorders>
              <w:top w:val="single" w:sz="8" w:space="0" w:color="000000"/>
              <w:left w:val="single" w:sz="8" w:space="0" w:color="000000"/>
              <w:bottom w:val="single" w:sz="8" w:space="0" w:color="000000"/>
              <w:right w:val="single" w:sz="8" w:space="0" w:color="000000"/>
            </w:tcBorders>
            <w:vAlign w:val="center"/>
          </w:tcPr>
          <w:p w14:paraId="54A2B5FC"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14:paraId="012C7192"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本基金采用被动指数化投资，紧密跟踪标的指数，追求跟踪偏离度和跟踪误差最小化。</w:t>
            </w:r>
          </w:p>
        </w:tc>
      </w:tr>
      <w:tr w:rsidR="000364FB" w:rsidRPr="00DE3C5A" w14:paraId="57F7CD22" w14:textId="77777777" w:rsidTr="00982AC4">
        <w:tc>
          <w:tcPr>
            <w:tcW w:w="2820" w:type="dxa"/>
            <w:tcBorders>
              <w:top w:val="single" w:sz="8" w:space="0" w:color="000000"/>
              <w:left w:val="single" w:sz="8" w:space="0" w:color="000000"/>
              <w:bottom w:val="single" w:sz="8" w:space="0" w:color="000000"/>
              <w:right w:val="single" w:sz="8" w:space="0" w:color="000000"/>
            </w:tcBorders>
            <w:vAlign w:val="center"/>
          </w:tcPr>
          <w:p w14:paraId="24A0A39E"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14:paraId="41B1AAF2"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本基金采用完全复制法，按照成份股在标的指数中的基准权重构建股票资产组合，并配合使用其他合理的投资方法作为完全复制法的补充，构建本基金实际的投资组合，以追求尽</w:t>
            </w:r>
            <w:r w:rsidRPr="00DE3C5A">
              <w:rPr>
                <w:rFonts w:asciiTheme="minorEastAsia" w:eastAsiaTheme="minorEastAsia" w:hAnsiTheme="minorEastAsia" w:hint="eastAsia"/>
                <w:color w:val="000000" w:themeColor="text1"/>
                <w:szCs w:val="21"/>
              </w:rPr>
              <w:lastRenderedPageBreak/>
              <w:t>可能贴近标的指数的表现，有效控制跟踪误差。</w:t>
            </w:r>
          </w:p>
        </w:tc>
      </w:tr>
      <w:tr w:rsidR="000364FB" w:rsidRPr="00DE3C5A" w14:paraId="7075BCED" w14:textId="77777777" w:rsidTr="00982AC4">
        <w:tc>
          <w:tcPr>
            <w:tcW w:w="2820" w:type="dxa"/>
            <w:tcBorders>
              <w:top w:val="single" w:sz="8" w:space="0" w:color="000000"/>
              <w:left w:val="single" w:sz="8" w:space="0" w:color="000000"/>
              <w:bottom w:val="single" w:sz="8" w:space="0" w:color="000000"/>
              <w:right w:val="single" w:sz="8" w:space="0" w:color="000000"/>
            </w:tcBorders>
            <w:vAlign w:val="center"/>
          </w:tcPr>
          <w:p w14:paraId="588570F5"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lastRenderedPageBreak/>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14:paraId="124B5E85"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本基金的业绩比较基准为经估值汇率调整的恒生科技指数（HSTECH）收益率。本基金标的指数变更的，相应更换基金名称和业绩比较基准，并在履行适当程序后及时公告。</w:t>
            </w:r>
          </w:p>
        </w:tc>
      </w:tr>
      <w:tr w:rsidR="000364FB" w:rsidRPr="00DE3C5A" w14:paraId="5EAB2D1C" w14:textId="77777777" w:rsidTr="00982AC4">
        <w:tc>
          <w:tcPr>
            <w:tcW w:w="2820" w:type="dxa"/>
            <w:tcBorders>
              <w:top w:val="single" w:sz="8" w:space="0" w:color="000000"/>
              <w:left w:val="single" w:sz="8" w:space="0" w:color="000000"/>
              <w:bottom w:val="single" w:sz="8" w:space="0" w:color="000000"/>
              <w:right w:val="single" w:sz="8" w:space="0" w:color="000000"/>
            </w:tcBorders>
            <w:vAlign w:val="center"/>
          </w:tcPr>
          <w:p w14:paraId="6FDDBB2B"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14:paraId="28625031"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本基金属于股票基金，预期风险和收益水平高于混合基金、债券基金和货币市场基金。同时，本基金为指数基金，主要采用完全复制法跟踪标的指数表现，具有与标的指数相似的风险收益特征。 本基金可投资于境外证券，除了需要承担与境内证券投资基金类似的市场波动风险等一般投资风险之外，本基金还面临汇率风险等境外证券市场投资所面临的特别投资风险。</w:t>
            </w:r>
          </w:p>
        </w:tc>
      </w:tr>
    </w:tbl>
    <w:p w14:paraId="67EE65AF" w14:textId="77777777" w:rsidR="000364FB" w:rsidRPr="000364FB" w:rsidRDefault="000364FB" w:rsidP="002236BC">
      <w:pPr>
        <w:autoSpaceDE w:val="0"/>
        <w:autoSpaceDN w:val="0"/>
        <w:adjustRightInd w:val="0"/>
        <w:spacing w:line="360" w:lineRule="auto"/>
        <w:jc w:val="left"/>
        <w:rPr>
          <w:rFonts w:eastAsiaTheme="minorEastAsia"/>
          <w:color w:val="000000" w:themeColor="text1"/>
          <w:szCs w:val="21"/>
        </w:rPr>
      </w:pPr>
    </w:p>
    <w:p w14:paraId="3FBFD499"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14:paraId="3D4BCC3F" w14:textId="77777777"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14:paraId="1FE75E7C"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14:paraId="11B777F7" w14:textId="77777777" w:rsidTr="00845292">
        <w:tc>
          <w:tcPr>
            <w:tcW w:w="3402" w:type="dxa"/>
            <w:vMerge w:val="restart"/>
            <w:vAlign w:val="center"/>
          </w:tcPr>
          <w:p w14:paraId="0A208D79"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14:paraId="1DE006F1"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14:paraId="367716EE"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14:paraId="01FE91A5" w14:textId="77777777" w:rsidTr="00845292">
        <w:tc>
          <w:tcPr>
            <w:tcW w:w="3402" w:type="dxa"/>
            <w:vMerge/>
            <w:vAlign w:val="center"/>
          </w:tcPr>
          <w:p w14:paraId="4681E77E"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14:paraId="009A9F6C"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p>
        </w:tc>
        <w:tc>
          <w:tcPr>
            <w:tcW w:w="2481" w:type="dxa"/>
            <w:vAlign w:val="center"/>
          </w:tcPr>
          <w:p w14:paraId="46E2B31F"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p>
        </w:tc>
      </w:tr>
      <w:tr w:rsidR="00225051" w:rsidRPr="00A3398F" w14:paraId="62243611" w14:textId="77777777" w:rsidTr="00845292">
        <w:tc>
          <w:tcPr>
            <w:tcW w:w="3402" w:type="dxa"/>
            <w:vAlign w:val="center"/>
          </w:tcPr>
          <w:p w14:paraId="1E261CAB"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14:paraId="372688AB"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-110,126.01</w:t>
            </w:r>
          </w:p>
        </w:tc>
        <w:tc>
          <w:tcPr>
            <w:tcW w:w="2481" w:type="dxa"/>
            <w:vAlign w:val="center"/>
          </w:tcPr>
          <w:p w14:paraId="5C55C99B"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-343,145.26</w:t>
            </w:r>
          </w:p>
        </w:tc>
      </w:tr>
      <w:tr w:rsidR="00225051" w:rsidRPr="00A3398F" w14:paraId="0C2FDD28" w14:textId="77777777" w:rsidTr="00845292">
        <w:tc>
          <w:tcPr>
            <w:tcW w:w="3402" w:type="dxa"/>
            <w:vAlign w:val="center"/>
          </w:tcPr>
          <w:p w14:paraId="223B268F"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14:paraId="52430381"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2,170,899.68</w:t>
            </w:r>
          </w:p>
        </w:tc>
        <w:tc>
          <w:tcPr>
            <w:tcW w:w="2481" w:type="dxa"/>
            <w:vAlign w:val="center"/>
          </w:tcPr>
          <w:p w14:paraId="6FEA579C"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11,376,424.46</w:t>
            </w:r>
          </w:p>
        </w:tc>
      </w:tr>
      <w:tr w:rsidR="00225051" w:rsidRPr="00A3398F" w14:paraId="338B737D" w14:textId="77777777" w:rsidTr="00845292">
        <w:tc>
          <w:tcPr>
            <w:tcW w:w="3402" w:type="dxa"/>
            <w:vAlign w:val="center"/>
          </w:tcPr>
          <w:p w14:paraId="23440726"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14:paraId="03D2F874"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0.2377</w:t>
            </w:r>
          </w:p>
        </w:tc>
        <w:tc>
          <w:tcPr>
            <w:tcW w:w="2481" w:type="dxa"/>
            <w:vAlign w:val="center"/>
          </w:tcPr>
          <w:p w14:paraId="4F921DBB"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0.3429</w:t>
            </w:r>
          </w:p>
        </w:tc>
      </w:tr>
      <w:tr w:rsidR="00225051" w:rsidRPr="00A3398F" w14:paraId="0BE4D01E" w14:textId="77777777" w:rsidTr="00845292">
        <w:tc>
          <w:tcPr>
            <w:tcW w:w="3402" w:type="dxa"/>
            <w:vAlign w:val="center"/>
          </w:tcPr>
          <w:p w14:paraId="07DA531D"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14:paraId="5DB324B3"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12,066,664.54</w:t>
            </w:r>
          </w:p>
        </w:tc>
        <w:tc>
          <w:tcPr>
            <w:tcW w:w="2481" w:type="dxa"/>
            <w:vAlign w:val="center"/>
          </w:tcPr>
          <w:p w14:paraId="3C93C477"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61,291,388.78</w:t>
            </w:r>
          </w:p>
        </w:tc>
      </w:tr>
      <w:tr w:rsidR="00225051" w:rsidRPr="00A3398F" w14:paraId="7BD9161C" w14:textId="77777777" w:rsidTr="00845292">
        <w:trPr>
          <w:trHeight w:val="158"/>
        </w:trPr>
        <w:tc>
          <w:tcPr>
            <w:tcW w:w="3402" w:type="dxa"/>
            <w:vAlign w:val="center"/>
          </w:tcPr>
          <w:p w14:paraId="6410BBEE"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14:paraId="710679AB"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1.0945</w:t>
            </w:r>
          </w:p>
        </w:tc>
        <w:tc>
          <w:tcPr>
            <w:tcW w:w="2481" w:type="dxa"/>
            <w:vAlign w:val="center"/>
          </w:tcPr>
          <w:p w14:paraId="207677A7"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1.0923</w:t>
            </w:r>
          </w:p>
        </w:tc>
      </w:tr>
    </w:tbl>
    <w:p w14:paraId="52322536" w14:textId="77777777" w:rsidR="00E906F1" w:rsidRDefault="00CA036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14:paraId="68CA57F7" w14:textId="77777777"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59D8648"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7735530B"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14:paraId="53BFB37F"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14:paraId="7C55FB8E" w14:textId="77777777"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lastRenderedPageBreak/>
        <w:t>1</w:t>
      </w:r>
      <w:r w:rsidRPr="00A3398F">
        <w:rPr>
          <w:rFonts w:eastAsiaTheme="minorEastAsia"/>
          <w:b/>
          <w:color w:val="000000" w:themeColor="text1"/>
          <w:szCs w:val="21"/>
        </w:rPr>
        <w:t>、</w:t>
      </w:r>
      <w:r w:rsidRPr="00A3398F">
        <w:rPr>
          <w:rFonts w:eastAsiaTheme="minorEastAsia"/>
          <w:b/>
          <w:color w:val="000000" w:themeColor="text1"/>
          <w:kern w:val="0"/>
          <w:szCs w:val="21"/>
        </w:rPr>
        <w:t>摩根恒生科技</w:t>
      </w:r>
      <w:r w:rsidRPr="00A3398F">
        <w:rPr>
          <w:rFonts w:eastAsiaTheme="minorEastAsia"/>
          <w:b/>
          <w:color w:val="000000" w:themeColor="text1"/>
          <w:kern w:val="0"/>
          <w:szCs w:val="21"/>
        </w:rPr>
        <w:t>ETF</w:t>
      </w:r>
      <w:r w:rsidRPr="00A3398F">
        <w:rPr>
          <w:rFonts w:eastAsiaTheme="minorEastAsia"/>
          <w:b/>
          <w:color w:val="000000" w:themeColor="text1"/>
          <w:kern w:val="0"/>
          <w:szCs w:val="21"/>
        </w:rPr>
        <w:t>发起式联接</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7EF9068E" w14:textId="77777777" w:rsidTr="00845292">
        <w:tc>
          <w:tcPr>
            <w:tcW w:w="1290" w:type="dxa"/>
            <w:vAlign w:val="center"/>
          </w:tcPr>
          <w:p w14:paraId="09A0706C"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6B05A032"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51DF8A82"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07D1903F"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0D976D66"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054C917D"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65761B0F"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E906F1" w14:paraId="6D117198" w14:textId="77777777">
        <w:tc>
          <w:tcPr>
            <w:tcW w:w="1290" w:type="dxa"/>
            <w:vAlign w:val="center"/>
          </w:tcPr>
          <w:p w14:paraId="327D7C4F" w14:textId="77777777" w:rsidR="00E906F1" w:rsidRDefault="00CA0364">
            <w:pPr>
              <w:jc w:val="left"/>
            </w:pPr>
            <w:r>
              <w:rPr>
                <w:rFonts w:eastAsiaTheme="minorEastAsia"/>
                <w:color w:val="000000" w:themeColor="text1"/>
                <w:szCs w:val="21"/>
              </w:rPr>
              <w:t>过去三个月</w:t>
            </w:r>
          </w:p>
        </w:tc>
        <w:tc>
          <w:tcPr>
            <w:tcW w:w="1291" w:type="dxa"/>
            <w:vAlign w:val="center"/>
          </w:tcPr>
          <w:p w14:paraId="1316ACF5" w14:textId="77777777" w:rsidR="00E906F1" w:rsidRDefault="00CA0364">
            <w:pPr>
              <w:jc w:val="right"/>
            </w:pPr>
            <w:r>
              <w:rPr>
                <w:rFonts w:eastAsiaTheme="minorEastAsia"/>
                <w:color w:val="000000" w:themeColor="text1"/>
                <w:szCs w:val="21"/>
              </w:rPr>
              <w:t>26.71%</w:t>
            </w:r>
          </w:p>
        </w:tc>
        <w:tc>
          <w:tcPr>
            <w:tcW w:w="1291" w:type="dxa"/>
            <w:vAlign w:val="center"/>
          </w:tcPr>
          <w:p w14:paraId="67F5E6B4" w14:textId="77777777" w:rsidR="00E906F1" w:rsidRDefault="00CA0364">
            <w:pPr>
              <w:jc w:val="right"/>
            </w:pPr>
            <w:r>
              <w:rPr>
                <w:rFonts w:eastAsiaTheme="minorEastAsia"/>
                <w:color w:val="000000" w:themeColor="text1"/>
                <w:szCs w:val="21"/>
              </w:rPr>
              <w:t>1.91%</w:t>
            </w:r>
          </w:p>
        </w:tc>
        <w:tc>
          <w:tcPr>
            <w:tcW w:w="1291" w:type="dxa"/>
            <w:vAlign w:val="center"/>
          </w:tcPr>
          <w:p w14:paraId="5FA06DF7" w14:textId="77777777" w:rsidR="00E906F1" w:rsidRDefault="00CA0364">
            <w:pPr>
              <w:jc w:val="right"/>
            </w:pPr>
            <w:r>
              <w:rPr>
                <w:rFonts w:eastAsiaTheme="minorEastAsia"/>
                <w:color w:val="000000" w:themeColor="text1"/>
                <w:szCs w:val="21"/>
              </w:rPr>
              <w:t>30.49%</w:t>
            </w:r>
          </w:p>
        </w:tc>
        <w:tc>
          <w:tcPr>
            <w:tcW w:w="1291" w:type="dxa"/>
            <w:vAlign w:val="center"/>
          </w:tcPr>
          <w:p w14:paraId="28A7901F" w14:textId="77777777" w:rsidR="00E906F1" w:rsidRDefault="00CA0364">
            <w:pPr>
              <w:jc w:val="right"/>
            </w:pPr>
            <w:r>
              <w:rPr>
                <w:rFonts w:eastAsiaTheme="minorEastAsia"/>
                <w:color w:val="000000" w:themeColor="text1"/>
                <w:szCs w:val="21"/>
              </w:rPr>
              <w:t>2.07%</w:t>
            </w:r>
          </w:p>
        </w:tc>
        <w:tc>
          <w:tcPr>
            <w:tcW w:w="1291" w:type="dxa"/>
            <w:vAlign w:val="center"/>
          </w:tcPr>
          <w:p w14:paraId="3F50C49C" w14:textId="77777777" w:rsidR="00E906F1" w:rsidRDefault="00CA0364">
            <w:pPr>
              <w:jc w:val="right"/>
            </w:pPr>
            <w:r>
              <w:rPr>
                <w:rFonts w:eastAsiaTheme="minorEastAsia"/>
                <w:color w:val="000000" w:themeColor="text1"/>
                <w:szCs w:val="21"/>
              </w:rPr>
              <w:t>-3.78%</w:t>
            </w:r>
          </w:p>
        </w:tc>
        <w:tc>
          <w:tcPr>
            <w:tcW w:w="1291" w:type="dxa"/>
            <w:vAlign w:val="center"/>
          </w:tcPr>
          <w:p w14:paraId="18937C3A" w14:textId="77777777" w:rsidR="00E906F1" w:rsidRDefault="00CA0364">
            <w:pPr>
              <w:jc w:val="right"/>
            </w:pPr>
            <w:r>
              <w:rPr>
                <w:rFonts w:eastAsiaTheme="minorEastAsia"/>
                <w:color w:val="000000" w:themeColor="text1"/>
                <w:szCs w:val="21"/>
              </w:rPr>
              <w:t>-0.16%</w:t>
            </w:r>
          </w:p>
        </w:tc>
      </w:tr>
      <w:tr w:rsidR="00E906F1" w14:paraId="26B93DA5" w14:textId="77777777">
        <w:tc>
          <w:tcPr>
            <w:tcW w:w="1290" w:type="dxa"/>
            <w:vAlign w:val="center"/>
          </w:tcPr>
          <w:p w14:paraId="513FBAB8" w14:textId="77777777" w:rsidR="00E906F1" w:rsidRDefault="00CA0364">
            <w:pPr>
              <w:jc w:val="left"/>
            </w:pPr>
            <w:r>
              <w:rPr>
                <w:rFonts w:eastAsiaTheme="minorEastAsia"/>
                <w:color w:val="000000" w:themeColor="text1"/>
                <w:szCs w:val="21"/>
              </w:rPr>
              <w:t>过去六个月</w:t>
            </w:r>
          </w:p>
        </w:tc>
        <w:tc>
          <w:tcPr>
            <w:tcW w:w="1291" w:type="dxa"/>
            <w:vAlign w:val="center"/>
          </w:tcPr>
          <w:p w14:paraId="14EB1145" w14:textId="77777777" w:rsidR="00E906F1" w:rsidRDefault="00CA0364">
            <w:pPr>
              <w:jc w:val="right"/>
            </w:pPr>
            <w:r>
              <w:rPr>
                <w:rFonts w:eastAsiaTheme="minorEastAsia"/>
                <w:color w:val="000000" w:themeColor="text1"/>
                <w:szCs w:val="21"/>
              </w:rPr>
              <w:t>30.42%</w:t>
            </w:r>
          </w:p>
        </w:tc>
        <w:tc>
          <w:tcPr>
            <w:tcW w:w="1291" w:type="dxa"/>
            <w:vAlign w:val="center"/>
          </w:tcPr>
          <w:p w14:paraId="1902312D" w14:textId="77777777" w:rsidR="00E906F1" w:rsidRDefault="00CA0364">
            <w:pPr>
              <w:jc w:val="right"/>
            </w:pPr>
            <w:r>
              <w:rPr>
                <w:rFonts w:eastAsiaTheme="minorEastAsia"/>
                <w:color w:val="000000" w:themeColor="text1"/>
                <w:szCs w:val="21"/>
              </w:rPr>
              <w:t>1.93%</w:t>
            </w:r>
          </w:p>
        </w:tc>
        <w:tc>
          <w:tcPr>
            <w:tcW w:w="1291" w:type="dxa"/>
            <w:vAlign w:val="center"/>
          </w:tcPr>
          <w:p w14:paraId="04254C2A" w14:textId="77777777" w:rsidR="00E906F1" w:rsidRDefault="00CA0364">
            <w:pPr>
              <w:jc w:val="right"/>
            </w:pPr>
            <w:r>
              <w:rPr>
                <w:rFonts w:eastAsiaTheme="minorEastAsia"/>
                <w:color w:val="000000" w:themeColor="text1"/>
                <w:szCs w:val="21"/>
              </w:rPr>
              <w:t>34.14%</w:t>
            </w:r>
          </w:p>
        </w:tc>
        <w:tc>
          <w:tcPr>
            <w:tcW w:w="1291" w:type="dxa"/>
            <w:vAlign w:val="center"/>
          </w:tcPr>
          <w:p w14:paraId="25E79F4E" w14:textId="77777777" w:rsidR="00E906F1" w:rsidRDefault="00CA0364">
            <w:pPr>
              <w:jc w:val="right"/>
            </w:pPr>
            <w:r>
              <w:rPr>
                <w:rFonts w:eastAsiaTheme="minorEastAsia"/>
                <w:color w:val="000000" w:themeColor="text1"/>
                <w:szCs w:val="21"/>
              </w:rPr>
              <w:t>2.03%</w:t>
            </w:r>
          </w:p>
        </w:tc>
        <w:tc>
          <w:tcPr>
            <w:tcW w:w="1291" w:type="dxa"/>
            <w:vAlign w:val="center"/>
          </w:tcPr>
          <w:p w14:paraId="41D74814" w14:textId="77777777" w:rsidR="00E906F1" w:rsidRDefault="00CA0364">
            <w:pPr>
              <w:jc w:val="right"/>
            </w:pPr>
            <w:r>
              <w:rPr>
                <w:rFonts w:eastAsiaTheme="minorEastAsia"/>
                <w:color w:val="000000" w:themeColor="text1"/>
                <w:szCs w:val="21"/>
              </w:rPr>
              <w:t>-3.72%</w:t>
            </w:r>
          </w:p>
        </w:tc>
        <w:tc>
          <w:tcPr>
            <w:tcW w:w="1291" w:type="dxa"/>
            <w:vAlign w:val="center"/>
          </w:tcPr>
          <w:p w14:paraId="7AF511CF" w14:textId="77777777" w:rsidR="00E906F1" w:rsidRDefault="00CA0364">
            <w:pPr>
              <w:jc w:val="right"/>
            </w:pPr>
            <w:r>
              <w:rPr>
                <w:rFonts w:eastAsiaTheme="minorEastAsia"/>
                <w:color w:val="000000" w:themeColor="text1"/>
                <w:szCs w:val="21"/>
              </w:rPr>
              <w:t>-0.10%</w:t>
            </w:r>
          </w:p>
        </w:tc>
      </w:tr>
      <w:tr w:rsidR="00E906F1" w14:paraId="59C8AE3B" w14:textId="77777777">
        <w:tc>
          <w:tcPr>
            <w:tcW w:w="1290" w:type="dxa"/>
            <w:vAlign w:val="center"/>
          </w:tcPr>
          <w:p w14:paraId="2B7E97C4" w14:textId="77777777" w:rsidR="00E906F1" w:rsidRDefault="00CA0364">
            <w:pPr>
              <w:jc w:val="left"/>
            </w:pPr>
            <w:r>
              <w:rPr>
                <w:rFonts w:eastAsiaTheme="minorEastAsia"/>
                <w:color w:val="000000" w:themeColor="text1"/>
                <w:szCs w:val="21"/>
              </w:rPr>
              <w:t>过去一年</w:t>
            </w:r>
          </w:p>
        </w:tc>
        <w:tc>
          <w:tcPr>
            <w:tcW w:w="1291" w:type="dxa"/>
            <w:vAlign w:val="center"/>
          </w:tcPr>
          <w:p w14:paraId="32911637" w14:textId="77777777" w:rsidR="00E906F1" w:rsidRDefault="00CA0364">
            <w:pPr>
              <w:jc w:val="right"/>
            </w:pPr>
            <w:r>
              <w:rPr>
                <w:rFonts w:eastAsiaTheme="minorEastAsia"/>
                <w:color w:val="000000" w:themeColor="text1"/>
                <w:szCs w:val="21"/>
              </w:rPr>
              <w:t>17.05%</w:t>
            </w:r>
          </w:p>
        </w:tc>
        <w:tc>
          <w:tcPr>
            <w:tcW w:w="1291" w:type="dxa"/>
            <w:vAlign w:val="center"/>
          </w:tcPr>
          <w:p w14:paraId="030E17EC" w14:textId="77777777" w:rsidR="00E906F1" w:rsidRDefault="00CA0364">
            <w:pPr>
              <w:jc w:val="right"/>
            </w:pPr>
            <w:r>
              <w:rPr>
                <w:rFonts w:eastAsiaTheme="minorEastAsia"/>
                <w:color w:val="000000" w:themeColor="text1"/>
                <w:szCs w:val="21"/>
              </w:rPr>
              <w:t>1.95%</w:t>
            </w:r>
          </w:p>
        </w:tc>
        <w:tc>
          <w:tcPr>
            <w:tcW w:w="1291" w:type="dxa"/>
            <w:vAlign w:val="center"/>
          </w:tcPr>
          <w:p w14:paraId="4EB86757" w14:textId="77777777" w:rsidR="00E906F1" w:rsidRDefault="00CA0364">
            <w:pPr>
              <w:jc w:val="right"/>
            </w:pPr>
            <w:r>
              <w:rPr>
                <w:rFonts w:eastAsiaTheme="minorEastAsia"/>
                <w:color w:val="000000" w:themeColor="text1"/>
                <w:szCs w:val="21"/>
              </w:rPr>
              <w:t>18.18%</w:t>
            </w:r>
          </w:p>
        </w:tc>
        <w:tc>
          <w:tcPr>
            <w:tcW w:w="1291" w:type="dxa"/>
            <w:vAlign w:val="center"/>
          </w:tcPr>
          <w:p w14:paraId="13614DB3" w14:textId="77777777" w:rsidR="00E906F1" w:rsidRDefault="00CA0364">
            <w:pPr>
              <w:jc w:val="right"/>
            </w:pPr>
            <w:r>
              <w:rPr>
                <w:rFonts w:eastAsiaTheme="minorEastAsia"/>
                <w:color w:val="000000" w:themeColor="text1"/>
                <w:szCs w:val="21"/>
              </w:rPr>
              <w:t>2.05%</w:t>
            </w:r>
          </w:p>
        </w:tc>
        <w:tc>
          <w:tcPr>
            <w:tcW w:w="1291" w:type="dxa"/>
            <w:vAlign w:val="center"/>
          </w:tcPr>
          <w:p w14:paraId="16EE9563" w14:textId="77777777" w:rsidR="00E906F1" w:rsidRDefault="00CA0364">
            <w:pPr>
              <w:jc w:val="right"/>
            </w:pPr>
            <w:r>
              <w:rPr>
                <w:rFonts w:eastAsiaTheme="minorEastAsia"/>
                <w:color w:val="000000" w:themeColor="text1"/>
                <w:szCs w:val="21"/>
              </w:rPr>
              <w:t>-1.13%</w:t>
            </w:r>
          </w:p>
        </w:tc>
        <w:tc>
          <w:tcPr>
            <w:tcW w:w="1291" w:type="dxa"/>
            <w:vAlign w:val="center"/>
          </w:tcPr>
          <w:p w14:paraId="59E5A3C5" w14:textId="77777777" w:rsidR="00E906F1" w:rsidRDefault="00CA0364">
            <w:pPr>
              <w:jc w:val="right"/>
            </w:pPr>
            <w:r>
              <w:rPr>
                <w:rFonts w:eastAsiaTheme="minorEastAsia"/>
                <w:color w:val="000000" w:themeColor="text1"/>
                <w:szCs w:val="21"/>
              </w:rPr>
              <w:t>-0.10%</w:t>
            </w:r>
          </w:p>
        </w:tc>
      </w:tr>
      <w:tr w:rsidR="00E906F1" w14:paraId="3C88D5D2" w14:textId="77777777">
        <w:tc>
          <w:tcPr>
            <w:tcW w:w="1290" w:type="dxa"/>
            <w:vAlign w:val="center"/>
          </w:tcPr>
          <w:p w14:paraId="02D0FC55" w14:textId="77777777" w:rsidR="00E906F1" w:rsidRDefault="00CA0364">
            <w:pPr>
              <w:jc w:val="left"/>
            </w:pPr>
            <w:r>
              <w:rPr>
                <w:rFonts w:eastAsiaTheme="minorEastAsia"/>
                <w:color w:val="000000" w:themeColor="text1"/>
                <w:szCs w:val="21"/>
              </w:rPr>
              <w:t>过去三年</w:t>
            </w:r>
          </w:p>
        </w:tc>
        <w:tc>
          <w:tcPr>
            <w:tcW w:w="1291" w:type="dxa"/>
            <w:vAlign w:val="center"/>
          </w:tcPr>
          <w:p w14:paraId="266CF5C3" w14:textId="77777777" w:rsidR="00E906F1" w:rsidRDefault="00CA0364">
            <w:pPr>
              <w:jc w:val="right"/>
            </w:pPr>
            <w:r>
              <w:rPr>
                <w:rFonts w:eastAsiaTheme="minorEastAsia"/>
                <w:color w:val="000000" w:themeColor="text1"/>
                <w:szCs w:val="21"/>
              </w:rPr>
              <w:t>-</w:t>
            </w:r>
          </w:p>
        </w:tc>
        <w:tc>
          <w:tcPr>
            <w:tcW w:w="1291" w:type="dxa"/>
            <w:vAlign w:val="center"/>
          </w:tcPr>
          <w:p w14:paraId="3D1D0C1D" w14:textId="77777777" w:rsidR="00E906F1" w:rsidRDefault="00CA0364">
            <w:pPr>
              <w:jc w:val="right"/>
            </w:pPr>
            <w:r>
              <w:rPr>
                <w:rFonts w:eastAsiaTheme="minorEastAsia"/>
                <w:color w:val="000000" w:themeColor="text1"/>
                <w:szCs w:val="21"/>
              </w:rPr>
              <w:t>-</w:t>
            </w:r>
          </w:p>
        </w:tc>
        <w:tc>
          <w:tcPr>
            <w:tcW w:w="1291" w:type="dxa"/>
            <w:vAlign w:val="center"/>
          </w:tcPr>
          <w:p w14:paraId="1E668FF3" w14:textId="77777777" w:rsidR="00E906F1" w:rsidRDefault="00CA0364">
            <w:pPr>
              <w:jc w:val="right"/>
            </w:pPr>
            <w:r>
              <w:rPr>
                <w:rFonts w:eastAsiaTheme="minorEastAsia"/>
                <w:color w:val="000000" w:themeColor="text1"/>
                <w:szCs w:val="21"/>
              </w:rPr>
              <w:t>-</w:t>
            </w:r>
          </w:p>
        </w:tc>
        <w:tc>
          <w:tcPr>
            <w:tcW w:w="1291" w:type="dxa"/>
            <w:vAlign w:val="center"/>
          </w:tcPr>
          <w:p w14:paraId="5FAD27D4" w14:textId="77777777" w:rsidR="00E906F1" w:rsidRDefault="00CA0364">
            <w:pPr>
              <w:jc w:val="right"/>
            </w:pPr>
            <w:r>
              <w:rPr>
                <w:rFonts w:eastAsiaTheme="minorEastAsia"/>
                <w:color w:val="000000" w:themeColor="text1"/>
                <w:szCs w:val="21"/>
              </w:rPr>
              <w:t>-</w:t>
            </w:r>
          </w:p>
        </w:tc>
        <w:tc>
          <w:tcPr>
            <w:tcW w:w="1291" w:type="dxa"/>
            <w:vAlign w:val="center"/>
          </w:tcPr>
          <w:p w14:paraId="10DDE5F5" w14:textId="77777777" w:rsidR="00E906F1" w:rsidRDefault="00CA0364">
            <w:pPr>
              <w:jc w:val="right"/>
            </w:pPr>
            <w:r>
              <w:rPr>
                <w:rFonts w:eastAsiaTheme="minorEastAsia"/>
                <w:color w:val="000000" w:themeColor="text1"/>
                <w:szCs w:val="21"/>
              </w:rPr>
              <w:t>-</w:t>
            </w:r>
          </w:p>
        </w:tc>
        <w:tc>
          <w:tcPr>
            <w:tcW w:w="1291" w:type="dxa"/>
            <w:vAlign w:val="center"/>
          </w:tcPr>
          <w:p w14:paraId="2BCB97BC" w14:textId="77777777" w:rsidR="00E906F1" w:rsidRDefault="00CA0364">
            <w:pPr>
              <w:jc w:val="right"/>
            </w:pPr>
            <w:r>
              <w:rPr>
                <w:rFonts w:eastAsiaTheme="minorEastAsia"/>
                <w:color w:val="000000" w:themeColor="text1"/>
                <w:szCs w:val="21"/>
              </w:rPr>
              <w:t>-</w:t>
            </w:r>
          </w:p>
        </w:tc>
      </w:tr>
      <w:tr w:rsidR="00E906F1" w14:paraId="217557F7" w14:textId="77777777">
        <w:tc>
          <w:tcPr>
            <w:tcW w:w="1290" w:type="dxa"/>
            <w:vAlign w:val="center"/>
          </w:tcPr>
          <w:p w14:paraId="687FC0EA" w14:textId="77777777" w:rsidR="00E906F1" w:rsidRDefault="00CA0364">
            <w:pPr>
              <w:jc w:val="left"/>
            </w:pPr>
            <w:r>
              <w:rPr>
                <w:rFonts w:eastAsiaTheme="minorEastAsia"/>
                <w:color w:val="000000" w:themeColor="text1"/>
                <w:szCs w:val="21"/>
              </w:rPr>
              <w:t>过去五年</w:t>
            </w:r>
          </w:p>
        </w:tc>
        <w:tc>
          <w:tcPr>
            <w:tcW w:w="1291" w:type="dxa"/>
            <w:vAlign w:val="center"/>
          </w:tcPr>
          <w:p w14:paraId="0818B2DE" w14:textId="77777777" w:rsidR="00E906F1" w:rsidRDefault="00CA0364">
            <w:pPr>
              <w:jc w:val="right"/>
            </w:pPr>
            <w:r>
              <w:rPr>
                <w:rFonts w:eastAsiaTheme="minorEastAsia"/>
                <w:color w:val="000000" w:themeColor="text1"/>
                <w:szCs w:val="21"/>
              </w:rPr>
              <w:t>-</w:t>
            </w:r>
          </w:p>
        </w:tc>
        <w:tc>
          <w:tcPr>
            <w:tcW w:w="1291" w:type="dxa"/>
            <w:vAlign w:val="center"/>
          </w:tcPr>
          <w:p w14:paraId="3692AAAB" w14:textId="77777777" w:rsidR="00E906F1" w:rsidRDefault="00CA0364">
            <w:pPr>
              <w:jc w:val="right"/>
            </w:pPr>
            <w:r>
              <w:rPr>
                <w:rFonts w:eastAsiaTheme="minorEastAsia"/>
                <w:color w:val="000000" w:themeColor="text1"/>
                <w:szCs w:val="21"/>
              </w:rPr>
              <w:t>-</w:t>
            </w:r>
          </w:p>
        </w:tc>
        <w:tc>
          <w:tcPr>
            <w:tcW w:w="1291" w:type="dxa"/>
            <w:vAlign w:val="center"/>
          </w:tcPr>
          <w:p w14:paraId="33AA288E" w14:textId="77777777" w:rsidR="00E906F1" w:rsidRDefault="00CA0364">
            <w:pPr>
              <w:jc w:val="right"/>
            </w:pPr>
            <w:r>
              <w:rPr>
                <w:rFonts w:eastAsiaTheme="minorEastAsia"/>
                <w:color w:val="000000" w:themeColor="text1"/>
                <w:szCs w:val="21"/>
              </w:rPr>
              <w:t>-</w:t>
            </w:r>
          </w:p>
        </w:tc>
        <w:tc>
          <w:tcPr>
            <w:tcW w:w="1291" w:type="dxa"/>
            <w:vAlign w:val="center"/>
          </w:tcPr>
          <w:p w14:paraId="21E29F89" w14:textId="77777777" w:rsidR="00E906F1" w:rsidRDefault="00CA0364">
            <w:pPr>
              <w:jc w:val="right"/>
            </w:pPr>
            <w:r>
              <w:rPr>
                <w:rFonts w:eastAsiaTheme="minorEastAsia"/>
                <w:color w:val="000000" w:themeColor="text1"/>
                <w:szCs w:val="21"/>
              </w:rPr>
              <w:t>-</w:t>
            </w:r>
          </w:p>
        </w:tc>
        <w:tc>
          <w:tcPr>
            <w:tcW w:w="1291" w:type="dxa"/>
            <w:vAlign w:val="center"/>
          </w:tcPr>
          <w:p w14:paraId="0E0F1D58" w14:textId="77777777" w:rsidR="00E906F1" w:rsidRDefault="00CA0364">
            <w:pPr>
              <w:jc w:val="right"/>
            </w:pPr>
            <w:r>
              <w:rPr>
                <w:rFonts w:eastAsiaTheme="minorEastAsia"/>
                <w:color w:val="000000" w:themeColor="text1"/>
                <w:szCs w:val="21"/>
              </w:rPr>
              <w:t>-</w:t>
            </w:r>
          </w:p>
        </w:tc>
        <w:tc>
          <w:tcPr>
            <w:tcW w:w="1291" w:type="dxa"/>
            <w:vAlign w:val="center"/>
          </w:tcPr>
          <w:p w14:paraId="74E572E3" w14:textId="77777777" w:rsidR="00E906F1" w:rsidRDefault="00CA0364">
            <w:pPr>
              <w:jc w:val="right"/>
            </w:pPr>
            <w:r>
              <w:rPr>
                <w:rFonts w:eastAsiaTheme="minorEastAsia"/>
                <w:color w:val="000000" w:themeColor="text1"/>
                <w:szCs w:val="21"/>
              </w:rPr>
              <w:t>-</w:t>
            </w:r>
          </w:p>
        </w:tc>
      </w:tr>
      <w:tr w:rsidR="00E906F1" w14:paraId="66C4A94C" w14:textId="77777777">
        <w:tc>
          <w:tcPr>
            <w:tcW w:w="1290" w:type="dxa"/>
            <w:vAlign w:val="center"/>
          </w:tcPr>
          <w:p w14:paraId="2DBC6EFB" w14:textId="77777777" w:rsidR="00E906F1" w:rsidRDefault="00CA0364">
            <w:pPr>
              <w:jc w:val="left"/>
            </w:pPr>
            <w:r>
              <w:rPr>
                <w:rFonts w:eastAsiaTheme="minorEastAsia"/>
                <w:color w:val="000000" w:themeColor="text1"/>
                <w:szCs w:val="21"/>
              </w:rPr>
              <w:t>自基金合同生效起至今</w:t>
            </w:r>
          </w:p>
        </w:tc>
        <w:tc>
          <w:tcPr>
            <w:tcW w:w="1291" w:type="dxa"/>
            <w:vAlign w:val="center"/>
          </w:tcPr>
          <w:p w14:paraId="30FA5B44" w14:textId="77777777" w:rsidR="00E906F1" w:rsidRDefault="00CA0364">
            <w:pPr>
              <w:jc w:val="right"/>
            </w:pPr>
            <w:r>
              <w:rPr>
                <w:rFonts w:eastAsiaTheme="minorEastAsia"/>
                <w:color w:val="000000" w:themeColor="text1"/>
                <w:szCs w:val="21"/>
              </w:rPr>
              <w:t>9.45%</w:t>
            </w:r>
          </w:p>
        </w:tc>
        <w:tc>
          <w:tcPr>
            <w:tcW w:w="1291" w:type="dxa"/>
            <w:vAlign w:val="center"/>
          </w:tcPr>
          <w:p w14:paraId="0F8C0F81" w14:textId="77777777" w:rsidR="00E906F1" w:rsidRDefault="00CA0364">
            <w:pPr>
              <w:jc w:val="right"/>
            </w:pPr>
            <w:r>
              <w:rPr>
                <w:rFonts w:eastAsiaTheme="minorEastAsia"/>
                <w:color w:val="000000" w:themeColor="text1"/>
                <w:szCs w:val="21"/>
              </w:rPr>
              <w:t>1.90%</w:t>
            </w:r>
          </w:p>
        </w:tc>
        <w:tc>
          <w:tcPr>
            <w:tcW w:w="1291" w:type="dxa"/>
            <w:vAlign w:val="center"/>
          </w:tcPr>
          <w:p w14:paraId="0B3B8C80" w14:textId="77777777" w:rsidR="00E906F1" w:rsidRDefault="00CA0364">
            <w:pPr>
              <w:jc w:val="right"/>
            </w:pPr>
            <w:r>
              <w:rPr>
                <w:rFonts w:eastAsiaTheme="minorEastAsia"/>
                <w:color w:val="000000" w:themeColor="text1"/>
                <w:szCs w:val="21"/>
              </w:rPr>
              <w:t>10.50%</w:t>
            </w:r>
          </w:p>
        </w:tc>
        <w:tc>
          <w:tcPr>
            <w:tcW w:w="1291" w:type="dxa"/>
            <w:vAlign w:val="center"/>
          </w:tcPr>
          <w:p w14:paraId="0689CCAA" w14:textId="77777777" w:rsidR="00E906F1" w:rsidRDefault="00CA0364">
            <w:pPr>
              <w:jc w:val="right"/>
            </w:pPr>
            <w:r>
              <w:rPr>
                <w:rFonts w:eastAsiaTheme="minorEastAsia"/>
                <w:color w:val="000000" w:themeColor="text1"/>
                <w:szCs w:val="21"/>
              </w:rPr>
              <w:t>2.03%</w:t>
            </w:r>
          </w:p>
        </w:tc>
        <w:tc>
          <w:tcPr>
            <w:tcW w:w="1291" w:type="dxa"/>
            <w:vAlign w:val="center"/>
          </w:tcPr>
          <w:p w14:paraId="6F7D5824" w14:textId="77777777" w:rsidR="00E906F1" w:rsidRDefault="00CA0364">
            <w:pPr>
              <w:jc w:val="right"/>
            </w:pPr>
            <w:r>
              <w:rPr>
                <w:rFonts w:eastAsiaTheme="minorEastAsia"/>
                <w:color w:val="000000" w:themeColor="text1"/>
                <w:szCs w:val="21"/>
              </w:rPr>
              <w:t>-1.05%</w:t>
            </w:r>
          </w:p>
        </w:tc>
        <w:tc>
          <w:tcPr>
            <w:tcW w:w="1291" w:type="dxa"/>
            <w:vAlign w:val="center"/>
          </w:tcPr>
          <w:p w14:paraId="36AB5ABC" w14:textId="77777777" w:rsidR="00E906F1" w:rsidRDefault="00CA0364">
            <w:pPr>
              <w:jc w:val="right"/>
            </w:pPr>
            <w:r>
              <w:rPr>
                <w:rFonts w:eastAsiaTheme="minorEastAsia"/>
                <w:color w:val="000000" w:themeColor="text1"/>
                <w:szCs w:val="21"/>
              </w:rPr>
              <w:t>-0.13%</w:t>
            </w:r>
          </w:p>
        </w:tc>
      </w:tr>
    </w:tbl>
    <w:p w14:paraId="219FC1FF" w14:textId="77777777"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摩根恒生科技</w:t>
      </w:r>
      <w:r w:rsidRPr="00A3398F">
        <w:rPr>
          <w:rFonts w:eastAsiaTheme="minorEastAsia"/>
          <w:b/>
          <w:color w:val="000000" w:themeColor="text1"/>
          <w:kern w:val="0"/>
          <w:szCs w:val="21"/>
        </w:rPr>
        <w:t>ETF</w:t>
      </w:r>
      <w:r w:rsidRPr="00A3398F">
        <w:rPr>
          <w:rFonts w:eastAsiaTheme="minorEastAsia"/>
          <w:b/>
          <w:color w:val="000000" w:themeColor="text1"/>
          <w:kern w:val="0"/>
          <w:szCs w:val="21"/>
        </w:rPr>
        <w:t>发起式联接</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3C41DFA3" w14:textId="77777777" w:rsidTr="00845292">
        <w:tc>
          <w:tcPr>
            <w:tcW w:w="1290" w:type="dxa"/>
            <w:vAlign w:val="center"/>
          </w:tcPr>
          <w:p w14:paraId="08E21102"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63B32422"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6A7E2535"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046661F0"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66C7D514"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1B465681"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74715E77"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E906F1" w14:paraId="0BA5863E" w14:textId="77777777">
        <w:tc>
          <w:tcPr>
            <w:tcW w:w="1290" w:type="dxa"/>
            <w:vAlign w:val="center"/>
          </w:tcPr>
          <w:p w14:paraId="462D32FA" w14:textId="77777777" w:rsidR="00E906F1" w:rsidRDefault="00CA0364">
            <w:pPr>
              <w:jc w:val="left"/>
            </w:pPr>
            <w:r>
              <w:rPr>
                <w:rFonts w:eastAsiaTheme="minorEastAsia"/>
                <w:color w:val="000000" w:themeColor="text1"/>
                <w:szCs w:val="21"/>
              </w:rPr>
              <w:t>过去三个月</w:t>
            </w:r>
          </w:p>
        </w:tc>
        <w:tc>
          <w:tcPr>
            <w:tcW w:w="1291" w:type="dxa"/>
            <w:vAlign w:val="center"/>
          </w:tcPr>
          <w:p w14:paraId="4F097497" w14:textId="77777777" w:rsidR="00E906F1" w:rsidRDefault="00CA0364">
            <w:pPr>
              <w:jc w:val="right"/>
            </w:pPr>
            <w:r>
              <w:rPr>
                <w:rFonts w:eastAsiaTheme="minorEastAsia"/>
                <w:color w:val="000000" w:themeColor="text1"/>
                <w:szCs w:val="21"/>
              </w:rPr>
              <w:t>26.67%</w:t>
            </w:r>
          </w:p>
        </w:tc>
        <w:tc>
          <w:tcPr>
            <w:tcW w:w="1291" w:type="dxa"/>
            <w:vAlign w:val="center"/>
          </w:tcPr>
          <w:p w14:paraId="38CAA18B" w14:textId="77777777" w:rsidR="00E906F1" w:rsidRDefault="00CA0364">
            <w:pPr>
              <w:jc w:val="right"/>
            </w:pPr>
            <w:r>
              <w:rPr>
                <w:rFonts w:eastAsiaTheme="minorEastAsia"/>
                <w:color w:val="000000" w:themeColor="text1"/>
                <w:szCs w:val="21"/>
              </w:rPr>
              <w:t>1.91%</w:t>
            </w:r>
          </w:p>
        </w:tc>
        <w:tc>
          <w:tcPr>
            <w:tcW w:w="1291" w:type="dxa"/>
            <w:vAlign w:val="center"/>
          </w:tcPr>
          <w:p w14:paraId="50A41F6C" w14:textId="77777777" w:rsidR="00E906F1" w:rsidRDefault="00CA0364">
            <w:pPr>
              <w:jc w:val="right"/>
            </w:pPr>
            <w:r>
              <w:rPr>
                <w:rFonts w:eastAsiaTheme="minorEastAsia"/>
                <w:color w:val="000000" w:themeColor="text1"/>
                <w:szCs w:val="21"/>
              </w:rPr>
              <w:t>30.49%</w:t>
            </w:r>
          </w:p>
        </w:tc>
        <w:tc>
          <w:tcPr>
            <w:tcW w:w="1291" w:type="dxa"/>
            <w:vAlign w:val="center"/>
          </w:tcPr>
          <w:p w14:paraId="4356487A" w14:textId="77777777" w:rsidR="00E906F1" w:rsidRDefault="00CA0364">
            <w:pPr>
              <w:jc w:val="right"/>
            </w:pPr>
            <w:r>
              <w:rPr>
                <w:rFonts w:eastAsiaTheme="minorEastAsia"/>
                <w:color w:val="000000" w:themeColor="text1"/>
                <w:szCs w:val="21"/>
              </w:rPr>
              <w:t>2.07%</w:t>
            </w:r>
          </w:p>
        </w:tc>
        <w:tc>
          <w:tcPr>
            <w:tcW w:w="1291" w:type="dxa"/>
            <w:vAlign w:val="center"/>
          </w:tcPr>
          <w:p w14:paraId="60274CC8" w14:textId="77777777" w:rsidR="00E906F1" w:rsidRDefault="00CA0364">
            <w:pPr>
              <w:jc w:val="right"/>
            </w:pPr>
            <w:r>
              <w:rPr>
                <w:rFonts w:eastAsiaTheme="minorEastAsia"/>
                <w:color w:val="000000" w:themeColor="text1"/>
                <w:szCs w:val="21"/>
              </w:rPr>
              <w:t>-3.82%</w:t>
            </w:r>
          </w:p>
        </w:tc>
        <w:tc>
          <w:tcPr>
            <w:tcW w:w="1291" w:type="dxa"/>
            <w:vAlign w:val="center"/>
          </w:tcPr>
          <w:p w14:paraId="5EB9740A" w14:textId="77777777" w:rsidR="00E906F1" w:rsidRDefault="00CA0364">
            <w:pPr>
              <w:jc w:val="right"/>
            </w:pPr>
            <w:r>
              <w:rPr>
                <w:rFonts w:eastAsiaTheme="minorEastAsia"/>
                <w:color w:val="000000" w:themeColor="text1"/>
                <w:szCs w:val="21"/>
              </w:rPr>
              <w:t>-0.16%</w:t>
            </w:r>
          </w:p>
        </w:tc>
      </w:tr>
      <w:tr w:rsidR="00E906F1" w14:paraId="4EF5442A" w14:textId="77777777">
        <w:tc>
          <w:tcPr>
            <w:tcW w:w="1290" w:type="dxa"/>
            <w:vAlign w:val="center"/>
          </w:tcPr>
          <w:p w14:paraId="681BAD7F" w14:textId="77777777" w:rsidR="00E906F1" w:rsidRDefault="00CA0364">
            <w:pPr>
              <w:jc w:val="left"/>
            </w:pPr>
            <w:r>
              <w:rPr>
                <w:rFonts w:eastAsiaTheme="minorEastAsia"/>
                <w:color w:val="000000" w:themeColor="text1"/>
                <w:szCs w:val="21"/>
              </w:rPr>
              <w:t>过去六个月</w:t>
            </w:r>
          </w:p>
        </w:tc>
        <w:tc>
          <w:tcPr>
            <w:tcW w:w="1291" w:type="dxa"/>
            <w:vAlign w:val="center"/>
          </w:tcPr>
          <w:p w14:paraId="08DBCB17" w14:textId="77777777" w:rsidR="00E906F1" w:rsidRDefault="00CA0364">
            <w:pPr>
              <w:jc w:val="right"/>
            </w:pPr>
            <w:r>
              <w:rPr>
                <w:rFonts w:eastAsiaTheme="minorEastAsia"/>
                <w:color w:val="000000" w:themeColor="text1"/>
                <w:szCs w:val="21"/>
              </w:rPr>
              <w:t>30.31%</w:t>
            </w:r>
          </w:p>
        </w:tc>
        <w:tc>
          <w:tcPr>
            <w:tcW w:w="1291" w:type="dxa"/>
            <w:vAlign w:val="center"/>
          </w:tcPr>
          <w:p w14:paraId="730ADEAF" w14:textId="77777777" w:rsidR="00E906F1" w:rsidRDefault="00CA0364">
            <w:pPr>
              <w:jc w:val="right"/>
            </w:pPr>
            <w:r>
              <w:rPr>
                <w:rFonts w:eastAsiaTheme="minorEastAsia"/>
                <w:color w:val="000000" w:themeColor="text1"/>
                <w:szCs w:val="21"/>
              </w:rPr>
              <w:t>1.94%</w:t>
            </w:r>
          </w:p>
        </w:tc>
        <w:tc>
          <w:tcPr>
            <w:tcW w:w="1291" w:type="dxa"/>
            <w:vAlign w:val="center"/>
          </w:tcPr>
          <w:p w14:paraId="030DDBA9" w14:textId="77777777" w:rsidR="00E906F1" w:rsidRDefault="00CA0364">
            <w:pPr>
              <w:jc w:val="right"/>
            </w:pPr>
            <w:r>
              <w:rPr>
                <w:rFonts w:eastAsiaTheme="minorEastAsia"/>
                <w:color w:val="000000" w:themeColor="text1"/>
                <w:szCs w:val="21"/>
              </w:rPr>
              <w:t>34.14%</w:t>
            </w:r>
          </w:p>
        </w:tc>
        <w:tc>
          <w:tcPr>
            <w:tcW w:w="1291" w:type="dxa"/>
            <w:vAlign w:val="center"/>
          </w:tcPr>
          <w:p w14:paraId="45B08E14" w14:textId="77777777" w:rsidR="00E906F1" w:rsidRDefault="00CA0364">
            <w:pPr>
              <w:jc w:val="right"/>
            </w:pPr>
            <w:r>
              <w:rPr>
                <w:rFonts w:eastAsiaTheme="minorEastAsia"/>
                <w:color w:val="000000" w:themeColor="text1"/>
                <w:szCs w:val="21"/>
              </w:rPr>
              <w:t>2.03%</w:t>
            </w:r>
          </w:p>
        </w:tc>
        <w:tc>
          <w:tcPr>
            <w:tcW w:w="1291" w:type="dxa"/>
            <w:vAlign w:val="center"/>
          </w:tcPr>
          <w:p w14:paraId="21476B23" w14:textId="77777777" w:rsidR="00E906F1" w:rsidRDefault="00CA0364">
            <w:pPr>
              <w:jc w:val="right"/>
            </w:pPr>
            <w:r>
              <w:rPr>
                <w:rFonts w:eastAsiaTheme="minorEastAsia"/>
                <w:color w:val="000000" w:themeColor="text1"/>
                <w:szCs w:val="21"/>
              </w:rPr>
              <w:t>-3.83%</w:t>
            </w:r>
          </w:p>
        </w:tc>
        <w:tc>
          <w:tcPr>
            <w:tcW w:w="1291" w:type="dxa"/>
            <w:vAlign w:val="center"/>
          </w:tcPr>
          <w:p w14:paraId="4BE5EE56" w14:textId="77777777" w:rsidR="00E906F1" w:rsidRDefault="00CA0364">
            <w:pPr>
              <w:jc w:val="right"/>
            </w:pPr>
            <w:r>
              <w:rPr>
                <w:rFonts w:eastAsiaTheme="minorEastAsia"/>
                <w:color w:val="000000" w:themeColor="text1"/>
                <w:szCs w:val="21"/>
              </w:rPr>
              <w:t>-0.09%</w:t>
            </w:r>
          </w:p>
        </w:tc>
      </w:tr>
      <w:tr w:rsidR="00E906F1" w14:paraId="7CAF96D0" w14:textId="77777777">
        <w:tc>
          <w:tcPr>
            <w:tcW w:w="1290" w:type="dxa"/>
            <w:vAlign w:val="center"/>
          </w:tcPr>
          <w:p w14:paraId="3244E0D1" w14:textId="77777777" w:rsidR="00E906F1" w:rsidRDefault="00CA0364">
            <w:pPr>
              <w:jc w:val="left"/>
            </w:pPr>
            <w:r>
              <w:rPr>
                <w:rFonts w:eastAsiaTheme="minorEastAsia"/>
                <w:color w:val="000000" w:themeColor="text1"/>
                <w:szCs w:val="21"/>
              </w:rPr>
              <w:t>过去一年</w:t>
            </w:r>
          </w:p>
        </w:tc>
        <w:tc>
          <w:tcPr>
            <w:tcW w:w="1291" w:type="dxa"/>
            <w:vAlign w:val="center"/>
          </w:tcPr>
          <w:p w14:paraId="17717870" w14:textId="77777777" w:rsidR="00E906F1" w:rsidRDefault="00CA0364">
            <w:pPr>
              <w:jc w:val="right"/>
            </w:pPr>
            <w:r>
              <w:rPr>
                <w:rFonts w:eastAsiaTheme="minorEastAsia"/>
                <w:color w:val="000000" w:themeColor="text1"/>
                <w:szCs w:val="21"/>
              </w:rPr>
              <w:t>16.89%</w:t>
            </w:r>
          </w:p>
        </w:tc>
        <w:tc>
          <w:tcPr>
            <w:tcW w:w="1291" w:type="dxa"/>
            <w:vAlign w:val="center"/>
          </w:tcPr>
          <w:p w14:paraId="7726113D" w14:textId="77777777" w:rsidR="00E906F1" w:rsidRDefault="00CA0364">
            <w:pPr>
              <w:jc w:val="right"/>
            </w:pPr>
            <w:r>
              <w:rPr>
                <w:rFonts w:eastAsiaTheme="minorEastAsia"/>
                <w:color w:val="000000" w:themeColor="text1"/>
                <w:szCs w:val="21"/>
              </w:rPr>
              <w:t>1.95%</w:t>
            </w:r>
          </w:p>
        </w:tc>
        <w:tc>
          <w:tcPr>
            <w:tcW w:w="1291" w:type="dxa"/>
            <w:vAlign w:val="center"/>
          </w:tcPr>
          <w:p w14:paraId="0A7045FA" w14:textId="77777777" w:rsidR="00E906F1" w:rsidRDefault="00CA0364">
            <w:pPr>
              <w:jc w:val="right"/>
            </w:pPr>
            <w:r>
              <w:rPr>
                <w:rFonts w:eastAsiaTheme="minorEastAsia"/>
                <w:color w:val="000000" w:themeColor="text1"/>
                <w:szCs w:val="21"/>
              </w:rPr>
              <w:t>18.18%</w:t>
            </w:r>
          </w:p>
        </w:tc>
        <w:tc>
          <w:tcPr>
            <w:tcW w:w="1291" w:type="dxa"/>
            <w:vAlign w:val="center"/>
          </w:tcPr>
          <w:p w14:paraId="10394231" w14:textId="77777777" w:rsidR="00E906F1" w:rsidRDefault="00CA0364">
            <w:pPr>
              <w:jc w:val="right"/>
            </w:pPr>
            <w:r>
              <w:rPr>
                <w:rFonts w:eastAsiaTheme="minorEastAsia"/>
                <w:color w:val="000000" w:themeColor="text1"/>
                <w:szCs w:val="21"/>
              </w:rPr>
              <w:t>2.05%</w:t>
            </w:r>
          </w:p>
        </w:tc>
        <w:tc>
          <w:tcPr>
            <w:tcW w:w="1291" w:type="dxa"/>
            <w:vAlign w:val="center"/>
          </w:tcPr>
          <w:p w14:paraId="7FAD1861" w14:textId="77777777" w:rsidR="00E906F1" w:rsidRDefault="00CA0364">
            <w:pPr>
              <w:jc w:val="right"/>
            </w:pPr>
            <w:r>
              <w:rPr>
                <w:rFonts w:eastAsiaTheme="minorEastAsia"/>
                <w:color w:val="000000" w:themeColor="text1"/>
                <w:szCs w:val="21"/>
              </w:rPr>
              <w:t>-1.29%</w:t>
            </w:r>
          </w:p>
        </w:tc>
        <w:tc>
          <w:tcPr>
            <w:tcW w:w="1291" w:type="dxa"/>
            <w:vAlign w:val="center"/>
          </w:tcPr>
          <w:p w14:paraId="2E8D457D" w14:textId="77777777" w:rsidR="00E906F1" w:rsidRDefault="00CA0364">
            <w:pPr>
              <w:jc w:val="right"/>
            </w:pPr>
            <w:r>
              <w:rPr>
                <w:rFonts w:eastAsiaTheme="minorEastAsia"/>
                <w:color w:val="000000" w:themeColor="text1"/>
                <w:szCs w:val="21"/>
              </w:rPr>
              <w:t>-0.10%</w:t>
            </w:r>
          </w:p>
        </w:tc>
      </w:tr>
      <w:tr w:rsidR="00E906F1" w14:paraId="4D4E8299" w14:textId="77777777">
        <w:tc>
          <w:tcPr>
            <w:tcW w:w="1290" w:type="dxa"/>
            <w:vAlign w:val="center"/>
          </w:tcPr>
          <w:p w14:paraId="7739918F" w14:textId="77777777" w:rsidR="00E906F1" w:rsidRDefault="00CA0364">
            <w:pPr>
              <w:jc w:val="left"/>
            </w:pPr>
            <w:r>
              <w:rPr>
                <w:rFonts w:eastAsiaTheme="minorEastAsia"/>
                <w:color w:val="000000" w:themeColor="text1"/>
                <w:szCs w:val="21"/>
              </w:rPr>
              <w:t>过去三年</w:t>
            </w:r>
          </w:p>
        </w:tc>
        <w:tc>
          <w:tcPr>
            <w:tcW w:w="1291" w:type="dxa"/>
            <w:vAlign w:val="center"/>
          </w:tcPr>
          <w:p w14:paraId="76921FA5" w14:textId="77777777" w:rsidR="00E906F1" w:rsidRDefault="00CA0364">
            <w:pPr>
              <w:jc w:val="right"/>
            </w:pPr>
            <w:r>
              <w:rPr>
                <w:rFonts w:eastAsiaTheme="minorEastAsia"/>
                <w:color w:val="000000" w:themeColor="text1"/>
                <w:szCs w:val="21"/>
              </w:rPr>
              <w:t>-</w:t>
            </w:r>
          </w:p>
        </w:tc>
        <w:tc>
          <w:tcPr>
            <w:tcW w:w="1291" w:type="dxa"/>
            <w:vAlign w:val="center"/>
          </w:tcPr>
          <w:p w14:paraId="5ED4F127" w14:textId="77777777" w:rsidR="00E906F1" w:rsidRDefault="00CA0364">
            <w:pPr>
              <w:jc w:val="right"/>
            </w:pPr>
            <w:r>
              <w:rPr>
                <w:rFonts w:eastAsiaTheme="minorEastAsia"/>
                <w:color w:val="000000" w:themeColor="text1"/>
                <w:szCs w:val="21"/>
              </w:rPr>
              <w:t>-</w:t>
            </w:r>
          </w:p>
        </w:tc>
        <w:tc>
          <w:tcPr>
            <w:tcW w:w="1291" w:type="dxa"/>
            <w:vAlign w:val="center"/>
          </w:tcPr>
          <w:p w14:paraId="2A345AE2" w14:textId="77777777" w:rsidR="00E906F1" w:rsidRDefault="00CA0364">
            <w:pPr>
              <w:jc w:val="right"/>
            </w:pPr>
            <w:r>
              <w:rPr>
                <w:rFonts w:eastAsiaTheme="minorEastAsia"/>
                <w:color w:val="000000" w:themeColor="text1"/>
                <w:szCs w:val="21"/>
              </w:rPr>
              <w:t>-</w:t>
            </w:r>
          </w:p>
        </w:tc>
        <w:tc>
          <w:tcPr>
            <w:tcW w:w="1291" w:type="dxa"/>
            <w:vAlign w:val="center"/>
          </w:tcPr>
          <w:p w14:paraId="358F514A" w14:textId="77777777" w:rsidR="00E906F1" w:rsidRDefault="00CA0364">
            <w:pPr>
              <w:jc w:val="right"/>
            </w:pPr>
            <w:r>
              <w:rPr>
                <w:rFonts w:eastAsiaTheme="minorEastAsia"/>
                <w:color w:val="000000" w:themeColor="text1"/>
                <w:szCs w:val="21"/>
              </w:rPr>
              <w:t>-</w:t>
            </w:r>
          </w:p>
        </w:tc>
        <w:tc>
          <w:tcPr>
            <w:tcW w:w="1291" w:type="dxa"/>
            <w:vAlign w:val="center"/>
          </w:tcPr>
          <w:p w14:paraId="562E5EC5" w14:textId="77777777" w:rsidR="00E906F1" w:rsidRDefault="00CA0364">
            <w:pPr>
              <w:jc w:val="right"/>
            </w:pPr>
            <w:r>
              <w:rPr>
                <w:rFonts w:eastAsiaTheme="minorEastAsia"/>
                <w:color w:val="000000" w:themeColor="text1"/>
                <w:szCs w:val="21"/>
              </w:rPr>
              <w:t>-</w:t>
            </w:r>
          </w:p>
        </w:tc>
        <w:tc>
          <w:tcPr>
            <w:tcW w:w="1291" w:type="dxa"/>
            <w:vAlign w:val="center"/>
          </w:tcPr>
          <w:p w14:paraId="4BF69211" w14:textId="77777777" w:rsidR="00E906F1" w:rsidRDefault="00CA0364">
            <w:pPr>
              <w:jc w:val="right"/>
            </w:pPr>
            <w:r>
              <w:rPr>
                <w:rFonts w:eastAsiaTheme="minorEastAsia"/>
                <w:color w:val="000000" w:themeColor="text1"/>
                <w:szCs w:val="21"/>
              </w:rPr>
              <w:t>-</w:t>
            </w:r>
          </w:p>
        </w:tc>
      </w:tr>
      <w:tr w:rsidR="00E906F1" w14:paraId="424534CD" w14:textId="77777777">
        <w:tc>
          <w:tcPr>
            <w:tcW w:w="1290" w:type="dxa"/>
            <w:vAlign w:val="center"/>
          </w:tcPr>
          <w:p w14:paraId="57F4FB0D" w14:textId="77777777" w:rsidR="00E906F1" w:rsidRDefault="00CA0364">
            <w:pPr>
              <w:jc w:val="left"/>
            </w:pPr>
            <w:r>
              <w:rPr>
                <w:rFonts w:eastAsiaTheme="minorEastAsia"/>
                <w:color w:val="000000" w:themeColor="text1"/>
                <w:szCs w:val="21"/>
              </w:rPr>
              <w:t>过去五年</w:t>
            </w:r>
          </w:p>
        </w:tc>
        <w:tc>
          <w:tcPr>
            <w:tcW w:w="1291" w:type="dxa"/>
            <w:vAlign w:val="center"/>
          </w:tcPr>
          <w:p w14:paraId="6C5008E6" w14:textId="77777777" w:rsidR="00E906F1" w:rsidRDefault="00CA0364">
            <w:pPr>
              <w:jc w:val="right"/>
            </w:pPr>
            <w:r>
              <w:rPr>
                <w:rFonts w:eastAsiaTheme="minorEastAsia"/>
                <w:color w:val="000000" w:themeColor="text1"/>
                <w:szCs w:val="21"/>
              </w:rPr>
              <w:t>-</w:t>
            </w:r>
          </w:p>
        </w:tc>
        <w:tc>
          <w:tcPr>
            <w:tcW w:w="1291" w:type="dxa"/>
            <w:vAlign w:val="center"/>
          </w:tcPr>
          <w:p w14:paraId="55723DF7" w14:textId="77777777" w:rsidR="00E906F1" w:rsidRDefault="00CA0364">
            <w:pPr>
              <w:jc w:val="right"/>
            </w:pPr>
            <w:r>
              <w:rPr>
                <w:rFonts w:eastAsiaTheme="minorEastAsia"/>
                <w:color w:val="000000" w:themeColor="text1"/>
                <w:szCs w:val="21"/>
              </w:rPr>
              <w:t>-</w:t>
            </w:r>
          </w:p>
        </w:tc>
        <w:tc>
          <w:tcPr>
            <w:tcW w:w="1291" w:type="dxa"/>
            <w:vAlign w:val="center"/>
          </w:tcPr>
          <w:p w14:paraId="1AC0017A" w14:textId="77777777" w:rsidR="00E906F1" w:rsidRDefault="00CA0364">
            <w:pPr>
              <w:jc w:val="right"/>
            </w:pPr>
            <w:r>
              <w:rPr>
                <w:rFonts w:eastAsiaTheme="minorEastAsia"/>
                <w:color w:val="000000" w:themeColor="text1"/>
                <w:szCs w:val="21"/>
              </w:rPr>
              <w:t>-</w:t>
            </w:r>
          </w:p>
        </w:tc>
        <w:tc>
          <w:tcPr>
            <w:tcW w:w="1291" w:type="dxa"/>
            <w:vAlign w:val="center"/>
          </w:tcPr>
          <w:p w14:paraId="53056981" w14:textId="77777777" w:rsidR="00E906F1" w:rsidRDefault="00CA0364">
            <w:pPr>
              <w:jc w:val="right"/>
            </w:pPr>
            <w:r>
              <w:rPr>
                <w:rFonts w:eastAsiaTheme="minorEastAsia"/>
                <w:color w:val="000000" w:themeColor="text1"/>
                <w:szCs w:val="21"/>
              </w:rPr>
              <w:t>-</w:t>
            </w:r>
          </w:p>
        </w:tc>
        <w:tc>
          <w:tcPr>
            <w:tcW w:w="1291" w:type="dxa"/>
            <w:vAlign w:val="center"/>
          </w:tcPr>
          <w:p w14:paraId="11AD5EF2" w14:textId="77777777" w:rsidR="00E906F1" w:rsidRDefault="00CA0364">
            <w:pPr>
              <w:jc w:val="right"/>
            </w:pPr>
            <w:r>
              <w:rPr>
                <w:rFonts w:eastAsiaTheme="minorEastAsia"/>
                <w:color w:val="000000" w:themeColor="text1"/>
                <w:szCs w:val="21"/>
              </w:rPr>
              <w:t>-</w:t>
            </w:r>
          </w:p>
        </w:tc>
        <w:tc>
          <w:tcPr>
            <w:tcW w:w="1291" w:type="dxa"/>
            <w:vAlign w:val="center"/>
          </w:tcPr>
          <w:p w14:paraId="43201EAA" w14:textId="77777777" w:rsidR="00E906F1" w:rsidRDefault="00CA0364">
            <w:pPr>
              <w:jc w:val="right"/>
            </w:pPr>
            <w:r>
              <w:rPr>
                <w:rFonts w:eastAsiaTheme="minorEastAsia"/>
                <w:color w:val="000000" w:themeColor="text1"/>
                <w:szCs w:val="21"/>
              </w:rPr>
              <w:t>-</w:t>
            </w:r>
          </w:p>
        </w:tc>
      </w:tr>
      <w:tr w:rsidR="00E906F1" w14:paraId="428AE591" w14:textId="77777777">
        <w:tc>
          <w:tcPr>
            <w:tcW w:w="1290" w:type="dxa"/>
            <w:vAlign w:val="center"/>
          </w:tcPr>
          <w:p w14:paraId="74077C87" w14:textId="77777777" w:rsidR="00E906F1" w:rsidRDefault="00CA0364">
            <w:pPr>
              <w:jc w:val="left"/>
            </w:pPr>
            <w:r>
              <w:rPr>
                <w:rFonts w:eastAsiaTheme="minorEastAsia"/>
                <w:color w:val="000000" w:themeColor="text1"/>
                <w:szCs w:val="21"/>
              </w:rPr>
              <w:t>自基金合同生效起至今</w:t>
            </w:r>
          </w:p>
        </w:tc>
        <w:tc>
          <w:tcPr>
            <w:tcW w:w="1291" w:type="dxa"/>
            <w:vAlign w:val="center"/>
          </w:tcPr>
          <w:p w14:paraId="5E414200" w14:textId="77777777" w:rsidR="00E906F1" w:rsidRDefault="00CA0364">
            <w:pPr>
              <w:jc w:val="right"/>
            </w:pPr>
            <w:r>
              <w:rPr>
                <w:rFonts w:eastAsiaTheme="minorEastAsia"/>
                <w:color w:val="000000" w:themeColor="text1"/>
                <w:szCs w:val="21"/>
              </w:rPr>
              <w:t>9.23%</w:t>
            </w:r>
          </w:p>
        </w:tc>
        <w:tc>
          <w:tcPr>
            <w:tcW w:w="1291" w:type="dxa"/>
            <w:vAlign w:val="center"/>
          </w:tcPr>
          <w:p w14:paraId="088DD6B1" w14:textId="77777777" w:rsidR="00E906F1" w:rsidRDefault="00CA0364">
            <w:pPr>
              <w:jc w:val="right"/>
            </w:pPr>
            <w:r>
              <w:rPr>
                <w:rFonts w:eastAsiaTheme="minorEastAsia"/>
                <w:color w:val="000000" w:themeColor="text1"/>
                <w:szCs w:val="21"/>
              </w:rPr>
              <w:t>1.90%</w:t>
            </w:r>
          </w:p>
        </w:tc>
        <w:tc>
          <w:tcPr>
            <w:tcW w:w="1291" w:type="dxa"/>
            <w:vAlign w:val="center"/>
          </w:tcPr>
          <w:p w14:paraId="4471EBDD" w14:textId="77777777" w:rsidR="00E906F1" w:rsidRDefault="00CA0364">
            <w:pPr>
              <w:jc w:val="right"/>
            </w:pPr>
            <w:r>
              <w:rPr>
                <w:rFonts w:eastAsiaTheme="minorEastAsia"/>
                <w:color w:val="000000" w:themeColor="text1"/>
                <w:szCs w:val="21"/>
              </w:rPr>
              <w:t>10.50%</w:t>
            </w:r>
          </w:p>
        </w:tc>
        <w:tc>
          <w:tcPr>
            <w:tcW w:w="1291" w:type="dxa"/>
            <w:vAlign w:val="center"/>
          </w:tcPr>
          <w:p w14:paraId="61725387" w14:textId="77777777" w:rsidR="00E906F1" w:rsidRDefault="00CA0364">
            <w:pPr>
              <w:jc w:val="right"/>
            </w:pPr>
            <w:r>
              <w:rPr>
                <w:rFonts w:eastAsiaTheme="minorEastAsia"/>
                <w:color w:val="000000" w:themeColor="text1"/>
                <w:szCs w:val="21"/>
              </w:rPr>
              <w:t>2.03%</w:t>
            </w:r>
          </w:p>
        </w:tc>
        <w:tc>
          <w:tcPr>
            <w:tcW w:w="1291" w:type="dxa"/>
            <w:vAlign w:val="center"/>
          </w:tcPr>
          <w:p w14:paraId="79FB3E80" w14:textId="77777777" w:rsidR="00E906F1" w:rsidRDefault="00CA0364">
            <w:pPr>
              <w:jc w:val="right"/>
            </w:pPr>
            <w:r>
              <w:rPr>
                <w:rFonts w:eastAsiaTheme="minorEastAsia"/>
                <w:color w:val="000000" w:themeColor="text1"/>
                <w:szCs w:val="21"/>
              </w:rPr>
              <w:t>-1.27%</w:t>
            </w:r>
          </w:p>
        </w:tc>
        <w:tc>
          <w:tcPr>
            <w:tcW w:w="1291" w:type="dxa"/>
            <w:vAlign w:val="center"/>
          </w:tcPr>
          <w:p w14:paraId="3699BA3F" w14:textId="77777777" w:rsidR="00E906F1" w:rsidRDefault="00CA0364">
            <w:pPr>
              <w:jc w:val="right"/>
            </w:pPr>
            <w:r>
              <w:rPr>
                <w:rFonts w:eastAsiaTheme="minorEastAsia"/>
                <w:color w:val="000000" w:themeColor="text1"/>
                <w:szCs w:val="21"/>
              </w:rPr>
              <w:t>-0.13%</w:t>
            </w:r>
          </w:p>
        </w:tc>
      </w:tr>
    </w:tbl>
    <w:p w14:paraId="6595CDFB"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3F0BFC03"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14:paraId="49CFD329" w14:textId="77777777"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摩根恒生科技交易型开放式指数证券投资基金发起式联接基金</w:t>
      </w:r>
      <w:r w:rsidRPr="00A3398F">
        <w:rPr>
          <w:rFonts w:eastAsiaTheme="minorEastAsia"/>
          <w:color w:val="000000" w:themeColor="text1"/>
          <w:szCs w:val="21"/>
        </w:rPr>
        <w:t>(QDII)</w:t>
      </w:r>
    </w:p>
    <w:p w14:paraId="44E49E17" w14:textId="77777777"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14:paraId="1191BC2A" w14:textId="77777777"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2023</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7</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18</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9</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14:paraId="1EEC48A3" w14:textId="77777777"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r w:rsidRPr="00A3398F">
        <w:rPr>
          <w:rFonts w:eastAsiaTheme="minorEastAsia"/>
          <w:color w:val="000000" w:themeColor="text1"/>
          <w:szCs w:val="21"/>
        </w:rPr>
        <w:t>：</w:t>
      </w:r>
    </w:p>
    <w:p w14:paraId="69AB6396"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63A176B1" wp14:editId="44534B54">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6F18718B" w14:textId="77777777"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r w:rsidRPr="00A3398F">
        <w:rPr>
          <w:rFonts w:eastAsiaTheme="minorEastAsia"/>
          <w:color w:val="000000" w:themeColor="text1"/>
          <w:szCs w:val="21"/>
        </w:rPr>
        <w:t>：</w:t>
      </w:r>
    </w:p>
    <w:p w14:paraId="17C8CB99"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4A7DA5FD" wp14:editId="5155B7E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0D3767DB"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14:paraId="2197E3AC"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14:paraId="5B061047" w14:textId="77777777" w:rsidR="00845292" w:rsidRPr="00A3398F" w:rsidRDefault="00845292" w:rsidP="0065601A">
      <w:pPr>
        <w:spacing w:line="360" w:lineRule="auto"/>
        <w:ind w:firstLineChars="200" w:firstLine="420"/>
        <w:rPr>
          <w:rFonts w:eastAsiaTheme="minorEastAsia"/>
          <w:color w:val="000000" w:themeColor="text1"/>
          <w:szCs w:val="21"/>
        </w:rPr>
      </w:pPr>
    </w:p>
    <w:p w14:paraId="12AB68FC"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§4  </w:t>
      </w:r>
      <w:r w:rsidRPr="00A3398F">
        <w:rPr>
          <w:rFonts w:eastAsiaTheme="minorEastAsia"/>
          <w:color w:val="000000" w:themeColor="text1"/>
          <w:kern w:val="0"/>
          <w:sz w:val="24"/>
          <w:szCs w:val="24"/>
        </w:rPr>
        <w:t>管理人报告</w:t>
      </w:r>
    </w:p>
    <w:p w14:paraId="54E74252"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14:paraId="074EF681" w14:textId="77777777" w:rsidTr="00797DD2">
        <w:trPr>
          <w:cantSplit/>
          <w:trHeight w:val="292"/>
        </w:trPr>
        <w:tc>
          <w:tcPr>
            <w:tcW w:w="851" w:type="dxa"/>
            <w:vMerge w:val="restart"/>
            <w:vAlign w:val="center"/>
          </w:tcPr>
          <w:p w14:paraId="46E81529"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14:paraId="5080A9C6"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14:paraId="72FDEFA3"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14:paraId="12DF30D6"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14:paraId="17613585" w14:textId="77777777"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14:paraId="2D8FC77D" w14:textId="77777777" w:rsidTr="00797DD2">
        <w:trPr>
          <w:cantSplit/>
        </w:trPr>
        <w:tc>
          <w:tcPr>
            <w:tcW w:w="851" w:type="dxa"/>
            <w:vMerge/>
            <w:vAlign w:val="center"/>
          </w:tcPr>
          <w:p w14:paraId="7B535567"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14:paraId="47004681"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14:paraId="709DA6E4"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14:paraId="6B186579"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14:paraId="21F9BB7C" w14:textId="77777777"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14:paraId="049A4683" w14:textId="77777777" w:rsidR="007D1292" w:rsidRPr="00A3398F" w:rsidRDefault="007D1292" w:rsidP="00797DD2">
            <w:pPr>
              <w:widowControl/>
              <w:spacing w:line="360" w:lineRule="auto"/>
              <w:jc w:val="center"/>
              <w:rPr>
                <w:rFonts w:eastAsiaTheme="minorEastAsia"/>
                <w:color w:val="000000" w:themeColor="text1"/>
                <w:kern w:val="0"/>
                <w:szCs w:val="21"/>
              </w:rPr>
            </w:pPr>
          </w:p>
        </w:tc>
      </w:tr>
      <w:tr w:rsidR="00E906F1" w14:paraId="020A4744" w14:textId="77777777">
        <w:tc>
          <w:tcPr>
            <w:tcW w:w="851" w:type="dxa"/>
            <w:vAlign w:val="center"/>
          </w:tcPr>
          <w:p w14:paraId="7FE4CD37" w14:textId="77777777" w:rsidR="00E906F1" w:rsidRDefault="00CA0364">
            <w:pPr>
              <w:jc w:val="center"/>
            </w:pPr>
            <w:r>
              <w:rPr>
                <w:rFonts w:eastAsiaTheme="minorEastAsia"/>
                <w:color w:val="000000" w:themeColor="text1"/>
                <w:szCs w:val="21"/>
              </w:rPr>
              <w:t>毛时超</w:t>
            </w:r>
          </w:p>
        </w:tc>
        <w:tc>
          <w:tcPr>
            <w:tcW w:w="850" w:type="dxa"/>
            <w:vAlign w:val="center"/>
          </w:tcPr>
          <w:p w14:paraId="07A1A9C6" w14:textId="77777777" w:rsidR="00E906F1" w:rsidRDefault="00CA0364">
            <w:pPr>
              <w:jc w:val="center"/>
            </w:pPr>
            <w:r>
              <w:rPr>
                <w:rFonts w:eastAsiaTheme="minorEastAsia"/>
                <w:color w:val="000000" w:themeColor="text1"/>
                <w:szCs w:val="21"/>
              </w:rPr>
              <w:t>本基金基金经理</w:t>
            </w:r>
          </w:p>
        </w:tc>
        <w:tc>
          <w:tcPr>
            <w:tcW w:w="1560" w:type="dxa"/>
            <w:vAlign w:val="center"/>
          </w:tcPr>
          <w:p w14:paraId="5FFACEE5" w14:textId="77777777" w:rsidR="00E906F1" w:rsidRDefault="00CA0364">
            <w:pPr>
              <w:jc w:val="center"/>
            </w:pPr>
            <w:r>
              <w:rPr>
                <w:rFonts w:eastAsiaTheme="minorEastAsia"/>
                <w:color w:val="000000" w:themeColor="text1"/>
                <w:szCs w:val="21"/>
              </w:rPr>
              <w:t>2023-07-18</w:t>
            </w:r>
          </w:p>
        </w:tc>
        <w:tc>
          <w:tcPr>
            <w:tcW w:w="1559" w:type="dxa"/>
            <w:vAlign w:val="center"/>
          </w:tcPr>
          <w:p w14:paraId="33E00959" w14:textId="77777777" w:rsidR="00E906F1" w:rsidRDefault="00CA0364">
            <w:pPr>
              <w:jc w:val="center"/>
            </w:pPr>
            <w:r>
              <w:rPr>
                <w:rFonts w:eastAsiaTheme="minorEastAsia"/>
                <w:color w:val="000000" w:themeColor="text1"/>
                <w:szCs w:val="21"/>
              </w:rPr>
              <w:t>-</w:t>
            </w:r>
          </w:p>
        </w:tc>
        <w:tc>
          <w:tcPr>
            <w:tcW w:w="1417" w:type="dxa"/>
            <w:vAlign w:val="center"/>
          </w:tcPr>
          <w:p w14:paraId="34D37339" w14:textId="77777777" w:rsidR="00E906F1" w:rsidRDefault="00CA0364">
            <w:pPr>
              <w:jc w:val="center"/>
            </w:pPr>
            <w:r>
              <w:rPr>
                <w:rFonts w:eastAsiaTheme="minorEastAsia"/>
                <w:color w:val="000000" w:themeColor="text1"/>
                <w:szCs w:val="21"/>
              </w:rPr>
              <w:t>8</w:t>
            </w:r>
            <w:r>
              <w:rPr>
                <w:rFonts w:eastAsiaTheme="minorEastAsia"/>
                <w:color w:val="000000" w:themeColor="text1"/>
                <w:szCs w:val="21"/>
              </w:rPr>
              <w:t>年</w:t>
            </w:r>
          </w:p>
        </w:tc>
        <w:tc>
          <w:tcPr>
            <w:tcW w:w="2694" w:type="dxa"/>
            <w:vAlign w:val="center"/>
          </w:tcPr>
          <w:p w14:paraId="2EF82E05" w14:textId="77777777" w:rsidR="00E906F1" w:rsidRDefault="00CA0364">
            <w:pPr>
              <w:jc w:val="left"/>
            </w:pPr>
            <w:r>
              <w:rPr>
                <w:rFonts w:eastAsiaTheme="minorEastAsia"/>
                <w:color w:val="000000" w:themeColor="text1"/>
                <w:szCs w:val="21"/>
              </w:rPr>
              <w:t>毛时超先生曾任平安基金管理有限公司量化研究员、基金经理助理、基金经理；自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月加入摩根基金管理（中国）有限公司（原上投摩根基金管理有限公司），现任指数及量化投资部基金经理。</w:t>
            </w:r>
          </w:p>
        </w:tc>
      </w:tr>
    </w:tbl>
    <w:p w14:paraId="5F5CC030" w14:textId="77777777" w:rsidR="00E906F1" w:rsidRDefault="00CA036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0445CC08" w14:textId="77777777" w:rsidR="00E906F1" w:rsidRDefault="00CA036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毛时超先生为本基金首任基金经理，其任职日期指本基金基金合同生效之日。</w:t>
      </w:r>
      <w:r>
        <w:rPr>
          <w:rFonts w:eastAsiaTheme="minorEastAsia"/>
          <w:color w:val="000000" w:themeColor="text1"/>
          <w:szCs w:val="21"/>
        </w:rPr>
        <w:t xml:space="preserve"> </w:t>
      </w:r>
    </w:p>
    <w:p w14:paraId="04B10A2E" w14:textId="77777777"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14:paraId="16E02DD4"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314ACA73" w14:textId="77777777"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14:paraId="1D456C9B"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2</w:t>
      </w:r>
      <w:r w:rsidR="003508B0" w:rsidRPr="00A3398F">
        <w:rPr>
          <w:b/>
          <w:color w:val="000000"/>
          <w:sz w:val="24"/>
          <w:shd w:val="clear" w:color="auto" w:fill="FFFFFF"/>
        </w:rPr>
        <w:t>管理人对报告期内本基金运作遵规守信情况的说明</w:t>
      </w:r>
    </w:p>
    <w:p w14:paraId="0B642D16" w14:textId="77777777"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D225001"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4863F3E1"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14:paraId="3D8FDD73"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3.1</w:t>
      </w:r>
      <w:r w:rsidRPr="00A3398F">
        <w:rPr>
          <w:rFonts w:eastAsiaTheme="minorEastAsia"/>
          <w:color w:val="000000" w:themeColor="text1"/>
          <w:sz w:val="24"/>
        </w:rPr>
        <w:t>公平交易制度的执行情况</w:t>
      </w:r>
    </w:p>
    <w:p w14:paraId="532F4F08"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8F7BFF8"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w:t>
      </w:r>
      <w:r>
        <w:rPr>
          <w:rFonts w:eastAsiaTheme="minorEastAsia"/>
          <w:color w:val="000000" w:themeColor="text1"/>
          <w:szCs w:val="21"/>
        </w:rPr>
        <w:lastRenderedPageBreak/>
        <w:t>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38C73AC" w14:textId="77777777"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E3E5A83"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14:paraId="292322F1"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40038BD" w14:textId="77777777"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14:paraId="578D858C"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6B49325C" w14:textId="77777777"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4.4 </w:t>
      </w:r>
      <w:r w:rsidRPr="00A3398F">
        <w:rPr>
          <w:rFonts w:eastAsiaTheme="minorEastAsia"/>
          <w:b/>
          <w:color w:val="000000" w:themeColor="text1"/>
          <w:kern w:val="0"/>
          <w:sz w:val="24"/>
        </w:rPr>
        <w:t>报告期内基金的投资策略和业绩表现说明</w:t>
      </w:r>
    </w:p>
    <w:p w14:paraId="721DDFD7"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三季度以来，港股市场行情先是维持震荡，在季度末迎来大幅上涨。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日美联储完成四年来首次降息，超预期降息</w:t>
      </w:r>
      <w:r>
        <w:rPr>
          <w:rFonts w:eastAsiaTheme="minorEastAsia"/>
          <w:color w:val="000000" w:themeColor="text1"/>
          <w:szCs w:val="21"/>
        </w:rPr>
        <w:t>50</w:t>
      </w:r>
      <w:r>
        <w:rPr>
          <w:rFonts w:eastAsiaTheme="minorEastAsia"/>
          <w:color w:val="000000" w:themeColor="text1"/>
          <w:szCs w:val="21"/>
        </w:rPr>
        <w:t>个基点，为港股流动性打开空间，港股开始迎来上涨。降息进一步打开中国内地货币政策放松的空间，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日国新会宣布多项增量货币政策及创新工具，政策力度大超市场预期，加上</w:t>
      </w:r>
      <w:r>
        <w:rPr>
          <w:rFonts w:eastAsiaTheme="minorEastAsia"/>
          <w:color w:val="000000" w:themeColor="text1"/>
          <w:szCs w:val="21"/>
        </w:rPr>
        <w:t>26</w:t>
      </w:r>
      <w:r>
        <w:rPr>
          <w:rFonts w:eastAsiaTheme="minorEastAsia"/>
          <w:color w:val="000000" w:themeColor="text1"/>
          <w:szCs w:val="21"/>
        </w:rPr>
        <w:t>日政治局会议，政策预期快速回暖，市场风险偏好快速修复，港股迎来爆发式上涨。恒生科技指数在</w:t>
      </w:r>
      <w:r>
        <w:rPr>
          <w:rFonts w:eastAsiaTheme="minorEastAsia"/>
          <w:color w:val="000000" w:themeColor="text1"/>
          <w:szCs w:val="21"/>
        </w:rPr>
        <w:t>9</w:t>
      </w:r>
      <w:r>
        <w:rPr>
          <w:rFonts w:eastAsiaTheme="minorEastAsia"/>
          <w:color w:val="000000" w:themeColor="text1"/>
          <w:szCs w:val="21"/>
        </w:rPr>
        <w:t>月单月创下了</w:t>
      </w:r>
      <w:r>
        <w:rPr>
          <w:rFonts w:eastAsiaTheme="minorEastAsia"/>
          <w:color w:val="000000" w:themeColor="text1"/>
          <w:szCs w:val="21"/>
        </w:rPr>
        <w:t>33.5%</w:t>
      </w:r>
      <w:r>
        <w:rPr>
          <w:rFonts w:eastAsiaTheme="minorEastAsia"/>
          <w:color w:val="000000" w:themeColor="text1"/>
          <w:szCs w:val="21"/>
        </w:rPr>
        <w:t>的涨幅，领先全球主要市场指数。</w:t>
      </w:r>
    </w:p>
    <w:p w14:paraId="7F213503"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展望未来，我们继续看好港股科技成长板块的投资机会。一方面，新一轮美联储降息周期正式开启，全球流动性趋于改善，相对利好港股表现。国内外货币政策的宽松共振，有助于成长股进一步反弹；另一方面，</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日政策组合与</w:t>
      </w:r>
      <w:r>
        <w:rPr>
          <w:rFonts w:eastAsiaTheme="minorEastAsia"/>
          <w:color w:val="000000" w:themeColor="text1"/>
          <w:szCs w:val="21"/>
        </w:rPr>
        <w:t>9</w:t>
      </w:r>
      <w:r>
        <w:rPr>
          <w:rFonts w:eastAsiaTheme="minorEastAsia"/>
          <w:color w:val="000000" w:themeColor="text1"/>
          <w:szCs w:val="21"/>
        </w:rPr>
        <w:t>月中央政治局会议提振市场预期，后续随着政策陆续落地，港股表现有望受到提振；再者，港股业绩回暖，特别是互联网公司中报表现优异，且龙头公司持续回购，不断提升股东回报比。本基金跟踪的恒生科技指数由</w:t>
      </w:r>
      <w:r>
        <w:rPr>
          <w:rFonts w:eastAsiaTheme="minorEastAsia"/>
          <w:color w:val="000000" w:themeColor="text1"/>
          <w:szCs w:val="21"/>
        </w:rPr>
        <w:t>30</w:t>
      </w:r>
      <w:r>
        <w:rPr>
          <w:rFonts w:eastAsiaTheme="minorEastAsia"/>
          <w:color w:val="000000" w:themeColor="text1"/>
          <w:szCs w:val="21"/>
        </w:rPr>
        <w:t>家最大的与科技主题高度相关的香港上市公司组成，以反映科技板块港股上市公司的整体表现。本基金继续采用完全复制的方法跟踪标的指数，争取跟踪误差保持在合理范围内。</w:t>
      </w:r>
    </w:p>
    <w:p w14:paraId="37FBA24F"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:26.71%</w:t>
      </w:r>
      <w:r>
        <w:rPr>
          <w:rFonts w:eastAsiaTheme="minorEastAsia"/>
          <w:color w:val="000000" w:themeColor="text1"/>
          <w:szCs w:val="21"/>
        </w:rPr>
        <w:t>，同期业绩比较基准收益率为</w:t>
      </w:r>
      <w:r>
        <w:rPr>
          <w:rFonts w:eastAsiaTheme="minorEastAsia"/>
          <w:color w:val="000000" w:themeColor="text1"/>
          <w:szCs w:val="21"/>
        </w:rPr>
        <w:t>:30.49%;</w:t>
      </w:r>
    </w:p>
    <w:p w14:paraId="4B8E9208" w14:textId="77777777"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:26.67%</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:30.49%</w:t>
      </w:r>
      <w:r w:rsidRPr="00A3398F">
        <w:rPr>
          <w:rFonts w:eastAsiaTheme="minorEastAsia"/>
          <w:color w:val="000000" w:themeColor="text1"/>
          <w:szCs w:val="21"/>
        </w:rPr>
        <w:t>。</w:t>
      </w:r>
    </w:p>
    <w:p w14:paraId="378514DF" w14:textId="77777777" w:rsidR="00C736BB" w:rsidRPr="00A3398F" w:rsidRDefault="00C736BB" w:rsidP="00A70E23">
      <w:pPr>
        <w:spacing w:line="360" w:lineRule="auto"/>
        <w:ind w:firstLineChars="200" w:firstLine="480"/>
        <w:rPr>
          <w:rFonts w:eastAsiaTheme="minorEastAsia"/>
          <w:color w:val="000000" w:themeColor="text1"/>
          <w:sz w:val="24"/>
        </w:rPr>
      </w:pPr>
    </w:p>
    <w:p w14:paraId="077E924C" w14:textId="77777777"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4.5</w:t>
      </w:r>
      <w:r w:rsidRPr="00A3398F">
        <w:rPr>
          <w:rFonts w:eastAsiaTheme="minorEastAsia"/>
          <w:b/>
          <w:color w:val="000000" w:themeColor="text1"/>
          <w:kern w:val="0"/>
          <w:sz w:val="24"/>
        </w:rPr>
        <w:t>报告期内基金持有人数或基金资产净值预警说明</w:t>
      </w:r>
    </w:p>
    <w:p w14:paraId="1DBF1493" w14:textId="77777777"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14:paraId="46851043"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§5  </w:t>
      </w:r>
      <w:r w:rsidRPr="00A3398F">
        <w:rPr>
          <w:rFonts w:eastAsiaTheme="minorEastAsia"/>
          <w:color w:val="000000" w:themeColor="text1"/>
          <w:kern w:val="0"/>
          <w:sz w:val="24"/>
          <w:szCs w:val="24"/>
        </w:rPr>
        <w:t>投资组合报告</w:t>
      </w:r>
    </w:p>
    <w:p w14:paraId="79CDB167" w14:textId="77777777" w:rsidR="0076518F" w:rsidRPr="00A3398F" w:rsidRDefault="00982AC4"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14:paraId="62E63041" w14:textId="77777777" w:rsidTr="00592EFF">
        <w:tc>
          <w:tcPr>
            <w:tcW w:w="851" w:type="dxa"/>
            <w:shd w:val="clear" w:color="auto" w:fill="auto"/>
            <w:vAlign w:val="center"/>
          </w:tcPr>
          <w:p w14:paraId="631BBF2B"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14:paraId="3A81AD1D"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14:paraId="1BDAF8DF"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14:paraId="3A8A337E"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14:paraId="5F4AE446" w14:textId="77777777" w:rsidTr="00877D98">
        <w:tc>
          <w:tcPr>
            <w:tcW w:w="851" w:type="dxa"/>
            <w:shd w:val="clear" w:color="auto" w:fill="auto"/>
            <w:vAlign w:val="center"/>
          </w:tcPr>
          <w:p w14:paraId="33D61265"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14:paraId="368C6BEF"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14:paraId="44156EFD"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54FBE79"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426375BA" w14:textId="77777777" w:rsidTr="00877D98">
        <w:tc>
          <w:tcPr>
            <w:tcW w:w="851" w:type="dxa"/>
            <w:shd w:val="clear" w:color="auto" w:fill="auto"/>
            <w:vAlign w:val="center"/>
          </w:tcPr>
          <w:p w14:paraId="572433BC" w14:textId="77777777"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2E19920"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14:paraId="43BC34B2"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63E62DD"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1C18306" w14:textId="77777777" w:rsidTr="00877D98">
        <w:tc>
          <w:tcPr>
            <w:tcW w:w="851" w:type="dxa"/>
            <w:shd w:val="clear" w:color="auto" w:fill="auto"/>
            <w:vAlign w:val="center"/>
          </w:tcPr>
          <w:p w14:paraId="7CA8384F"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5C852370" w14:textId="77777777"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14:paraId="7AAD5986"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75061B6"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C15B44B" w14:textId="77777777" w:rsidTr="00877D98">
        <w:tc>
          <w:tcPr>
            <w:tcW w:w="851" w:type="dxa"/>
            <w:shd w:val="clear" w:color="auto" w:fill="auto"/>
            <w:vAlign w:val="center"/>
          </w:tcPr>
          <w:p w14:paraId="47CC32FA"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FCC8AB1"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14:paraId="64F19B64"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3E3252B"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4E8B9972" w14:textId="77777777" w:rsidTr="00877D98">
        <w:tc>
          <w:tcPr>
            <w:tcW w:w="851" w:type="dxa"/>
            <w:shd w:val="clear" w:color="auto" w:fill="auto"/>
            <w:vAlign w:val="center"/>
          </w:tcPr>
          <w:p w14:paraId="47B27AA3"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5178D71"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14:paraId="1399F3CE"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42AF1D1"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2A4B391" w14:textId="77777777" w:rsidTr="00877D98">
        <w:tc>
          <w:tcPr>
            <w:tcW w:w="851" w:type="dxa"/>
            <w:shd w:val="clear" w:color="auto" w:fill="auto"/>
            <w:vAlign w:val="center"/>
          </w:tcPr>
          <w:p w14:paraId="5C8A7EEF"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14:paraId="48346C78"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14:paraId="1E3202AD"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65,841,207.30</w:t>
            </w:r>
          </w:p>
        </w:tc>
        <w:tc>
          <w:tcPr>
            <w:tcW w:w="1559" w:type="dxa"/>
            <w:shd w:val="clear" w:color="auto" w:fill="auto"/>
            <w:vAlign w:val="center"/>
          </w:tcPr>
          <w:p w14:paraId="7F9D5A78"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77.08</w:t>
            </w:r>
          </w:p>
        </w:tc>
      </w:tr>
      <w:tr w:rsidR="008277FF" w:rsidRPr="00A3398F" w14:paraId="02DCCAAA" w14:textId="77777777" w:rsidTr="00877D98">
        <w:tc>
          <w:tcPr>
            <w:tcW w:w="851" w:type="dxa"/>
            <w:shd w:val="clear" w:color="auto" w:fill="auto"/>
            <w:vAlign w:val="center"/>
          </w:tcPr>
          <w:p w14:paraId="138992D3"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14:paraId="1FD277A1"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14:paraId="68442032"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1,525,808.24</w:t>
            </w:r>
          </w:p>
        </w:tc>
        <w:tc>
          <w:tcPr>
            <w:tcW w:w="1559" w:type="dxa"/>
            <w:shd w:val="clear" w:color="auto" w:fill="auto"/>
            <w:vAlign w:val="center"/>
          </w:tcPr>
          <w:p w14:paraId="18940DA9"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1.79</w:t>
            </w:r>
          </w:p>
        </w:tc>
      </w:tr>
      <w:tr w:rsidR="008277FF" w:rsidRPr="00A3398F" w14:paraId="2129F96B" w14:textId="77777777" w:rsidTr="00877D98">
        <w:tc>
          <w:tcPr>
            <w:tcW w:w="851" w:type="dxa"/>
            <w:shd w:val="clear" w:color="auto" w:fill="auto"/>
            <w:vAlign w:val="center"/>
          </w:tcPr>
          <w:p w14:paraId="6B578D0F"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8CB6639"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14:paraId="4E1D6728"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1,525,808.24</w:t>
            </w:r>
          </w:p>
        </w:tc>
        <w:tc>
          <w:tcPr>
            <w:tcW w:w="1559" w:type="dxa"/>
            <w:shd w:val="clear" w:color="auto" w:fill="auto"/>
            <w:vAlign w:val="center"/>
          </w:tcPr>
          <w:p w14:paraId="590B4A30"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1.79</w:t>
            </w:r>
          </w:p>
        </w:tc>
      </w:tr>
      <w:tr w:rsidR="008277FF" w:rsidRPr="00A3398F" w14:paraId="79651A93" w14:textId="77777777" w:rsidTr="00877D98">
        <w:tc>
          <w:tcPr>
            <w:tcW w:w="851" w:type="dxa"/>
            <w:shd w:val="clear" w:color="auto" w:fill="auto"/>
            <w:vAlign w:val="center"/>
          </w:tcPr>
          <w:p w14:paraId="62523983"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77546E9" w14:textId="77777777"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14:paraId="392E16D6"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382EE071"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802A528" w14:textId="77777777" w:rsidTr="00877D98">
        <w:tc>
          <w:tcPr>
            <w:tcW w:w="851" w:type="dxa"/>
            <w:shd w:val="clear" w:color="auto" w:fill="auto"/>
            <w:vAlign w:val="center"/>
          </w:tcPr>
          <w:p w14:paraId="36B97D34"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14:paraId="0504FADA"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14:paraId="2B183132"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A242740"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495EF9FA" w14:textId="77777777" w:rsidTr="00877D98">
        <w:tc>
          <w:tcPr>
            <w:tcW w:w="851" w:type="dxa"/>
            <w:shd w:val="clear" w:color="auto" w:fill="auto"/>
            <w:vAlign w:val="center"/>
          </w:tcPr>
          <w:p w14:paraId="5886C061"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448F22B4"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14:paraId="42332896"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3FA8CA20"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5CC3716" w14:textId="77777777" w:rsidTr="00877D98">
        <w:tc>
          <w:tcPr>
            <w:tcW w:w="851" w:type="dxa"/>
            <w:shd w:val="clear" w:color="auto" w:fill="auto"/>
            <w:vAlign w:val="center"/>
          </w:tcPr>
          <w:p w14:paraId="5BA8C92E"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53ACFFC" w14:textId="77777777"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14:paraId="6C49F46D"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C32D96E"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A942504" w14:textId="77777777" w:rsidTr="00877D98">
        <w:tc>
          <w:tcPr>
            <w:tcW w:w="851" w:type="dxa"/>
            <w:shd w:val="clear" w:color="auto" w:fill="auto"/>
            <w:vAlign w:val="center"/>
          </w:tcPr>
          <w:p w14:paraId="366A3703"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3CD36D9" w14:textId="77777777"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14:paraId="12BDE49F"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9F86DAC"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47D72733" w14:textId="77777777" w:rsidTr="00877D98">
        <w:tc>
          <w:tcPr>
            <w:tcW w:w="851" w:type="dxa"/>
            <w:shd w:val="clear" w:color="auto" w:fill="auto"/>
            <w:vAlign w:val="center"/>
          </w:tcPr>
          <w:p w14:paraId="505CF9DF"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9EABDAD" w14:textId="77777777"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14:paraId="5D7B4B45"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E038376"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24C55E38" w14:textId="77777777" w:rsidTr="00877D98">
        <w:tc>
          <w:tcPr>
            <w:tcW w:w="851" w:type="dxa"/>
            <w:shd w:val="clear" w:color="auto" w:fill="auto"/>
            <w:vAlign w:val="center"/>
          </w:tcPr>
          <w:p w14:paraId="2407A77F"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14:paraId="54B1700D"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14:paraId="3624966A"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34AB255E"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D7EDFB1" w14:textId="77777777" w:rsidTr="00877D98">
        <w:tc>
          <w:tcPr>
            <w:tcW w:w="851" w:type="dxa"/>
            <w:shd w:val="clear" w:color="auto" w:fill="auto"/>
            <w:vAlign w:val="center"/>
          </w:tcPr>
          <w:p w14:paraId="42BC405E"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4AFE2E90"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14:paraId="144D310B"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05F2798"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A18139F" w14:textId="77777777" w:rsidTr="00877D98">
        <w:tc>
          <w:tcPr>
            <w:tcW w:w="851" w:type="dxa"/>
            <w:shd w:val="clear" w:color="auto" w:fill="auto"/>
            <w:vAlign w:val="center"/>
          </w:tcPr>
          <w:p w14:paraId="57584B50"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14:paraId="714E16DF"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14:paraId="5BD06EE8"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63BAAE5"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0BCDE3A" w14:textId="77777777" w:rsidTr="00877D98">
        <w:tc>
          <w:tcPr>
            <w:tcW w:w="851" w:type="dxa"/>
            <w:shd w:val="clear" w:color="auto" w:fill="auto"/>
            <w:vAlign w:val="center"/>
          </w:tcPr>
          <w:p w14:paraId="28B57AFA"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14:paraId="553B95D8"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14:paraId="69F0752E"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8,829,392.01</w:t>
            </w:r>
          </w:p>
        </w:tc>
        <w:tc>
          <w:tcPr>
            <w:tcW w:w="1559" w:type="dxa"/>
            <w:shd w:val="clear" w:color="auto" w:fill="auto"/>
            <w:vAlign w:val="center"/>
          </w:tcPr>
          <w:p w14:paraId="48CC4D43"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10.34</w:t>
            </w:r>
          </w:p>
        </w:tc>
      </w:tr>
      <w:tr w:rsidR="008277FF" w:rsidRPr="00A3398F" w14:paraId="177E2949" w14:textId="77777777" w:rsidTr="00797DD2">
        <w:tc>
          <w:tcPr>
            <w:tcW w:w="851" w:type="dxa"/>
            <w:shd w:val="clear" w:color="auto" w:fill="auto"/>
            <w:vAlign w:val="center"/>
          </w:tcPr>
          <w:p w14:paraId="48A63D92"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14:paraId="2C94F676"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14:paraId="69BFE056"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9,222,209.40</w:t>
            </w:r>
          </w:p>
        </w:tc>
        <w:tc>
          <w:tcPr>
            <w:tcW w:w="1559" w:type="dxa"/>
            <w:shd w:val="clear" w:color="auto" w:fill="auto"/>
            <w:vAlign w:val="center"/>
          </w:tcPr>
          <w:p w14:paraId="010E2A6C"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10.80</w:t>
            </w:r>
          </w:p>
        </w:tc>
      </w:tr>
      <w:tr w:rsidR="008277FF" w:rsidRPr="00A3398F" w14:paraId="2D4A6D0C" w14:textId="77777777" w:rsidTr="00797DD2">
        <w:tc>
          <w:tcPr>
            <w:tcW w:w="851" w:type="dxa"/>
            <w:shd w:val="clear" w:color="auto" w:fill="auto"/>
            <w:vAlign w:val="center"/>
          </w:tcPr>
          <w:p w14:paraId="5E0283E6"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14:paraId="218B049B"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14:paraId="6D3C7BA2"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85,418,616.95</w:t>
            </w:r>
          </w:p>
        </w:tc>
        <w:tc>
          <w:tcPr>
            <w:tcW w:w="1559" w:type="dxa"/>
            <w:shd w:val="clear" w:color="auto" w:fill="auto"/>
            <w:vAlign w:val="center"/>
          </w:tcPr>
          <w:p w14:paraId="445FE113"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14:paraId="1B46225B" w14:textId="77777777" w:rsidR="002E7AB7" w:rsidRPr="006A0AFD" w:rsidRDefault="00982AC4" w:rsidP="002E7AB7">
      <w:pPr>
        <w:rPr>
          <w:rFonts w:eastAsiaTheme="minorEastAsia"/>
          <w:b/>
          <w:color w:val="000000" w:themeColor="text1"/>
          <w:kern w:val="0"/>
          <w:sz w:val="24"/>
        </w:rPr>
      </w:pPr>
      <w:r w:rsidRPr="00A3398F">
        <w:rPr>
          <w:rFonts w:eastAsiaTheme="minorEastAsia"/>
          <w:b/>
          <w:color w:val="000000" w:themeColor="text1"/>
          <w:kern w:val="0"/>
          <w:sz w:val="24"/>
        </w:rPr>
        <w:t>5.2</w:t>
      </w:r>
      <w:r w:rsidR="002E7AB7" w:rsidRPr="006A0AFD">
        <w:rPr>
          <w:rFonts w:eastAsiaTheme="minorEastAsia" w:hint="eastAsia"/>
          <w:b/>
          <w:color w:val="000000" w:themeColor="text1"/>
          <w:kern w:val="0"/>
          <w:sz w:val="24"/>
        </w:rPr>
        <w:t>期末投资目标基金明细</w:t>
      </w:r>
    </w:p>
    <w:tbl>
      <w:tblPr>
        <w:tblStyle w:val="afa"/>
        <w:tblW w:w="0" w:type="auto"/>
        <w:tblInd w:w="15" w:type="dxa"/>
        <w:tblLook w:val="04A0" w:firstRow="1" w:lastRow="0" w:firstColumn="1" w:lastColumn="0" w:noHBand="0" w:noVBand="1"/>
      </w:tblPr>
      <w:tblGrid>
        <w:gridCol w:w="776"/>
        <w:gridCol w:w="1766"/>
        <w:gridCol w:w="777"/>
        <w:gridCol w:w="909"/>
        <w:gridCol w:w="1774"/>
        <w:gridCol w:w="1424"/>
        <w:gridCol w:w="1087"/>
      </w:tblGrid>
      <w:tr w:rsidR="002E7AB7" w:rsidRPr="0077262D" w14:paraId="3FBE9E7C" w14:textId="77777777" w:rsidTr="00982AC4">
        <w:tc>
          <w:tcPr>
            <w:tcW w:w="1184" w:type="dxa"/>
            <w:vAlign w:val="center"/>
          </w:tcPr>
          <w:p w14:paraId="6CA0AAFD" w14:textId="77777777"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序号</w:t>
            </w:r>
          </w:p>
        </w:tc>
        <w:tc>
          <w:tcPr>
            <w:tcW w:w="1185" w:type="dxa"/>
            <w:vAlign w:val="center"/>
          </w:tcPr>
          <w:p w14:paraId="6ACC9302" w14:textId="77777777"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基金名称</w:t>
            </w:r>
          </w:p>
        </w:tc>
        <w:tc>
          <w:tcPr>
            <w:tcW w:w="1185" w:type="dxa"/>
            <w:vAlign w:val="center"/>
          </w:tcPr>
          <w:p w14:paraId="4530B188" w14:textId="77777777"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基金类型</w:t>
            </w:r>
          </w:p>
        </w:tc>
        <w:tc>
          <w:tcPr>
            <w:tcW w:w="1185" w:type="dxa"/>
            <w:vAlign w:val="center"/>
          </w:tcPr>
          <w:p w14:paraId="78178758" w14:textId="77777777"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运作方式</w:t>
            </w:r>
          </w:p>
        </w:tc>
        <w:tc>
          <w:tcPr>
            <w:tcW w:w="1185" w:type="dxa"/>
            <w:vAlign w:val="center"/>
          </w:tcPr>
          <w:p w14:paraId="39B02C1C" w14:textId="77777777"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管理人</w:t>
            </w:r>
          </w:p>
        </w:tc>
        <w:tc>
          <w:tcPr>
            <w:tcW w:w="1186" w:type="dxa"/>
            <w:vAlign w:val="center"/>
          </w:tcPr>
          <w:p w14:paraId="369912CD" w14:textId="77777777"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公允价值</w:t>
            </w:r>
          </w:p>
        </w:tc>
        <w:tc>
          <w:tcPr>
            <w:tcW w:w="1403" w:type="dxa"/>
            <w:vAlign w:val="center"/>
          </w:tcPr>
          <w:p w14:paraId="29731A24" w14:textId="77777777"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占基金资产净值比</w:t>
            </w:r>
            <w:r w:rsidRPr="002E7AB7">
              <w:rPr>
                <w:rFonts w:eastAsiaTheme="minorEastAsia" w:hint="eastAsia"/>
                <w:color w:val="000000" w:themeColor="text1"/>
                <w:kern w:val="0"/>
                <w:szCs w:val="21"/>
              </w:rPr>
              <w:lastRenderedPageBreak/>
              <w:t>例（</w:t>
            </w:r>
            <w:r w:rsidRPr="002E7AB7">
              <w:rPr>
                <w:rFonts w:eastAsiaTheme="minorEastAsia"/>
                <w:color w:val="000000" w:themeColor="text1"/>
                <w:kern w:val="0"/>
                <w:szCs w:val="21"/>
              </w:rPr>
              <w:t>%</w:t>
            </w:r>
            <w:r w:rsidRPr="002E7AB7">
              <w:rPr>
                <w:rFonts w:eastAsiaTheme="minorEastAsia" w:hint="eastAsia"/>
                <w:color w:val="000000" w:themeColor="text1"/>
                <w:kern w:val="0"/>
                <w:szCs w:val="21"/>
              </w:rPr>
              <w:t>）</w:t>
            </w:r>
          </w:p>
        </w:tc>
      </w:tr>
      <w:tr w:rsidR="00E906F1" w14:paraId="77AC7DF3" w14:textId="77777777">
        <w:tc>
          <w:tcPr>
            <w:tcW w:w="0" w:type="auto"/>
            <w:vAlign w:val="center"/>
          </w:tcPr>
          <w:p w14:paraId="0ED2D8DC" w14:textId="77777777" w:rsidR="00E906F1" w:rsidRDefault="00CA0364">
            <w:pPr>
              <w:jc w:val="center"/>
            </w:pPr>
            <w:r>
              <w:rPr>
                <w:rFonts w:eastAsiaTheme="minorEastAsia"/>
                <w:color w:val="000000" w:themeColor="text1"/>
                <w:szCs w:val="21"/>
              </w:rPr>
              <w:lastRenderedPageBreak/>
              <w:t>1</w:t>
            </w:r>
          </w:p>
        </w:tc>
        <w:tc>
          <w:tcPr>
            <w:tcW w:w="0" w:type="auto"/>
            <w:vAlign w:val="center"/>
          </w:tcPr>
          <w:p w14:paraId="49D63348" w14:textId="77777777" w:rsidR="00E906F1" w:rsidRDefault="00CA0364">
            <w:pPr>
              <w:jc w:val="center"/>
            </w:pPr>
            <w:r>
              <w:rPr>
                <w:rFonts w:eastAsiaTheme="minorEastAsia"/>
                <w:color w:val="000000" w:themeColor="text1"/>
                <w:szCs w:val="21"/>
              </w:rPr>
              <w:t>摩根恒生科技</w:t>
            </w:r>
            <w:r>
              <w:rPr>
                <w:rFonts w:eastAsiaTheme="minorEastAsia"/>
                <w:color w:val="000000" w:themeColor="text1"/>
                <w:szCs w:val="21"/>
              </w:rPr>
              <w:t>ETF(QDII)</w:t>
            </w:r>
          </w:p>
        </w:tc>
        <w:tc>
          <w:tcPr>
            <w:tcW w:w="0" w:type="auto"/>
            <w:vAlign w:val="center"/>
          </w:tcPr>
          <w:p w14:paraId="397A364F" w14:textId="77777777" w:rsidR="00E906F1" w:rsidRDefault="00CA0364">
            <w:pPr>
              <w:jc w:val="center"/>
            </w:pPr>
            <w:r>
              <w:rPr>
                <w:rFonts w:eastAsiaTheme="minorEastAsia"/>
                <w:color w:val="000000" w:themeColor="text1"/>
                <w:szCs w:val="21"/>
              </w:rPr>
              <w:t>股票型</w:t>
            </w:r>
          </w:p>
        </w:tc>
        <w:tc>
          <w:tcPr>
            <w:tcW w:w="0" w:type="auto"/>
            <w:vAlign w:val="center"/>
          </w:tcPr>
          <w:p w14:paraId="208256C8" w14:textId="77777777" w:rsidR="00E906F1" w:rsidRDefault="00CA0364">
            <w:pPr>
              <w:jc w:val="center"/>
            </w:pPr>
            <w:r>
              <w:rPr>
                <w:rFonts w:eastAsiaTheme="minorEastAsia"/>
                <w:color w:val="000000" w:themeColor="text1"/>
                <w:szCs w:val="21"/>
              </w:rPr>
              <w:t>交易型开放式</w:t>
            </w:r>
          </w:p>
        </w:tc>
        <w:tc>
          <w:tcPr>
            <w:tcW w:w="0" w:type="auto"/>
            <w:vAlign w:val="center"/>
          </w:tcPr>
          <w:p w14:paraId="43480794" w14:textId="77777777" w:rsidR="00E906F1" w:rsidRDefault="00CA0364">
            <w:pPr>
              <w:jc w:val="center"/>
            </w:pPr>
            <w:r>
              <w:rPr>
                <w:rFonts w:eastAsiaTheme="minorEastAsia"/>
                <w:color w:val="000000" w:themeColor="text1"/>
                <w:szCs w:val="21"/>
              </w:rPr>
              <w:t>摩根基金管理（中国）有限公司</w:t>
            </w:r>
          </w:p>
        </w:tc>
        <w:tc>
          <w:tcPr>
            <w:tcW w:w="0" w:type="auto"/>
            <w:vAlign w:val="center"/>
          </w:tcPr>
          <w:p w14:paraId="3D579933" w14:textId="77777777" w:rsidR="00E906F1" w:rsidRDefault="00CA0364">
            <w:pPr>
              <w:jc w:val="right"/>
            </w:pPr>
            <w:r>
              <w:rPr>
                <w:rFonts w:eastAsiaTheme="minorEastAsia"/>
                <w:color w:val="000000" w:themeColor="text1"/>
                <w:szCs w:val="21"/>
              </w:rPr>
              <w:t>65,841,207.30</w:t>
            </w:r>
          </w:p>
        </w:tc>
        <w:tc>
          <w:tcPr>
            <w:tcW w:w="0" w:type="auto"/>
            <w:vAlign w:val="center"/>
          </w:tcPr>
          <w:p w14:paraId="649D0A99" w14:textId="77777777" w:rsidR="00E906F1" w:rsidRDefault="00CA0364">
            <w:pPr>
              <w:jc w:val="right"/>
            </w:pPr>
            <w:r>
              <w:rPr>
                <w:rFonts w:eastAsiaTheme="minorEastAsia"/>
                <w:color w:val="000000" w:themeColor="text1"/>
                <w:szCs w:val="21"/>
              </w:rPr>
              <w:t>89.75</w:t>
            </w:r>
          </w:p>
        </w:tc>
      </w:tr>
    </w:tbl>
    <w:p w14:paraId="2F68C279" w14:textId="77777777" w:rsidR="00F512C0" w:rsidRPr="002E7AB7" w:rsidRDefault="00F512C0" w:rsidP="00363E15">
      <w:pPr>
        <w:autoSpaceDE w:val="0"/>
        <w:autoSpaceDN w:val="0"/>
        <w:adjustRightInd w:val="0"/>
        <w:spacing w:line="360" w:lineRule="auto"/>
        <w:jc w:val="left"/>
        <w:rPr>
          <w:rFonts w:eastAsiaTheme="minorEastAsia"/>
          <w:color w:val="000000" w:themeColor="text1"/>
          <w:szCs w:val="21"/>
        </w:rPr>
      </w:pPr>
    </w:p>
    <w:p w14:paraId="60F964B6"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5.3</w:t>
      </w:r>
      <w:r w:rsidR="00A82C02"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p w14:paraId="4953B933" w14:textId="5B96CE57"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本报告期末本基金未持有股票和存托凭证</w:t>
      </w:r>
    </w:p>
    <w:p w14:paraId="2BF4A941"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640DE047" w14:textId="77777777" w:rsidR="00C37E98"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5.4</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p w14:paraId="0361F071" w14:textId="77777777"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本基金本报告期末未持有股票及存托凭证。</w:t>
      </w:r>
    </w:p>
    <w:p w14:paraId="5F51E110" w14:textId="77777777" w:rsidR="000A521D" w:rsidRDefault="000A521D" w:rsidP="008B6A4A">
      <w:pPr>
        <w:autoSpaceDE w:val="0"/>
        <w:autoSpaceDN w:val="0"/>
        <w:adjustRightInd w:val="0"/>
        <w:spacing w:line="360" w:lineRule="auto"/>
        <w:jc w:val="left"/>
        <w:rPr>
          <w:rFonts w:eastAsiaTheme="minorEastAsia"/>
          <w:color w:val="000000" w:themeColor="text1"/>
          <w:sz w:val="24"/>
        </w:rPr>
      </w:pPr>
    </w:p>
    <w:p w14:paraId="6333FDA0" w14:textId="77777777" w:rsidR="0076518F" w:rsidRPr="00A3398F" w:rsidRDefault="00E963FD" w:rsidP="00EC4BA3">
      <w:pPr>
        <w:autoSpaceDE w:val="0"/>
        <w:autoSpaceDN w:val="0"/>
        <w:adjustRightInd w:val="0"/>
        <w:spacing w:line="360" w:lineRule="auto"/>
        <w:jc w:val="left"/>
        <w:rPr>
          <w:rFonts w:eastAsiaTheme="minorEastAsia"/>
          <w:b/>
          <w:kern w:val="0"/>
          <w:sz w:val="24"/>
        </w:rPr>
      </w:pPr>
      <w:r w:rsidRPr="00A3398F">
        <w:rPr>
          <w:rFonts w:eastAsiaTheme="minorEastAsia"/>
          <w:b/>
          <w:color w:val="000000" w:themeColor="text1"/>
          <w:kern w:val="0"/>
          <w:sz w:val="24"/>
        </w:rPr>
        <w:t>5.5</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p w14:paraId="5C95C2A8" w14:textId="77777777"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本基金本报告期末未持有股票及存托凭证。</w:t>
      </w:r>
    </w:p>
    <w:p w14:paraId="78599792" w14:textId="77777777"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14:paraId="2018B580"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5.6</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tbl>
      <w:tblPr>
        <w:tblStyle w:val="afa"/>
        <w:tblW w:w="0" w:type="auto"/>
        <w:tblInd w:w="15" w:type="dxa"/>
        <w:tblLook w:val="04A0" w:firstRow="1" w:lastRow="0" w:firstColumn="1" w:lastColumn="0" w:noHBand="0" w:noVBand="1"/>
      </w:tblPr>
      <w:tblGrid>
        <w:gridCol w:w="2837"/>
        <w:gridCol w:w="2838"/>
        <w:gridCol w:w="2838"/>
      </w:tblGrid>
      <w:tr w:rsidR="008277FF" w:rsidRPr="00A3398F" w14:paraId="6DC3884E" w14:textId="77777777" w:rsidTr="00797DD2">
        <w:tc>
          <w:tcPr>
            <w:tcW w:w="2837" w:type="dxa"/>
            <w:vAlign w:val="center"/>
          </w:tcPr>
          <w:p w14:paraId="6EF7B3E8" w14:textId="77777777"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债券信用等级</w:t>
            </w:r>
          </w:p>
        </w:tc>
        <w:tc>
          <w:tcPr>
            <w:tcW w:w="2838" w:type="dxa"/>
            <w:vAlign w:val="center"/>
          </w:tcPr>
          <w:p w14:paraId="2FBDC544" w14:textId="77777777"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2838" w:type="dxa"/>
            <w:vAlign w:val="center"/>
          </w:tcPr>
          <w:p w14:paraId="1E459075" w14:textId="77777777"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E906F1" w14:paraId="18A8CFEE" w14:textId="77777777">
        <w:tc>
          <w:tcPr>
            <w:tcW w:w="0" w:type="auto"/>
            <w:vAlign w:val="center"/>
          </w:tcPr>
          <w:p w14:paraId="01511432" w14:textId="77777777" w:rsidR="00E906F1" w:rsidRDefault="00CA0364">
            <w:pPr>
              <w:jc w:val="left"/>
            </w:pPr>
            <w:r>
              <w:rPr>
                <w:rFonts w:eastAsiaTheme="minorEastAsia"/>
                <w:color w:val="000000" w:themeColor="text1"/>
                <w:szCs w:val="21"/>
              </w:rPr>
              <w:t>AAA</w:t>
            </w:r>
          </w:p>
        </w:tc>
        <w:tc>
          <w:tcPr>
            <w:tcW w:w="0" w:type="auto"/>
            <w:vAlign w:val="center"/>
          </w:tcPr>
          <w:p w14:paraId="1E807F62" w14:textId="77777777" w:rsidR="00E906F1" w:rsidRDefault="00CA0364">
            <w:pPr>
              <w:jc w:val="right"/>
            </w:pPr>
            <w:r>
              <w:rPr>
                <w:rFonts w:eastAsiaTheme="minorEastAsia"/>
                <w:color w:val="000000" w:themeColor="text1"/>
                <w:szCs w:val="21"/>
              </w:rPr>
              <w:t>-</w:t>
            </w:r>
          </w:p>
        </w:tc>
        <w:tc>
          <w:tcPr>
            <w:tcW w:w="0" w:type="auto"/>
            <w:vAlign w:val="center"/>
          </w:tcPr>
          <w:p w14:paraId="42A39570" w14:textId="77777777" w:rsidR="00E906F1" w:rsidRDefault="00CA0364">
            <w:pPr>
              <w:jc w:val="right"/>
            </w:pPr>
            <w:r>
              <w:rPr>
                <w:rFonts w:eastAsiaTheme="minorEastAsia"/>
                <w:color w:val="000000" w:themeColor="text1"/>
                <w:szCs w:val="21"/>
              </w:rPr>
              <w:t>-</w:t>
            </w:r>
          </w:p>
        </w:tc>
      </w:tr>
      <w:tr w:rsidR="00E906F1" w14:paraId="0FC8A496" w14:textId="77777777">
        <w:tc>
          <w:tcPr>
            <w:tcW w:w="0" w:type="auto"/>
            <w:vAlign w:val="center"/>
          </w:tcPr>
          <w:p w14:paraId="1F3D9E5A" w14:textId="77777777" w:rsidR="00E906F1" w:rsidRDefault="00CA0364">
            <w:pPr>
              <w:jc w:val="left"/>
            </w:pPr>
            <w:r>
              <w:rPr>
                <w:rFonts w:eastAsiaTheme="minorEastAsia"/>
                <w:color w:val="000000" w:themeColor="text1"/>
                <w:szCs w:val="21"/>
              </w:rPr>
              <w:t>AA-</w:t>
            </w:r>
            <w:r>
              <w:rPr>
                <w:rFonts w:eastAsiaTheme="minorEastAsia"/>
                <w:color w:val="000000" w:themeColor="text1"/>
                <w:szCs w:val="21"/>
              </w:rPr>
              <w:t>至</w:t>
            </w:r>
            <w:r>
              <w:rPr>
                <w:rFonts w:eastAsiaTheme="minorEastAsia"/>
                <w:color w:val="000000" w:themeColor="text1"/>
                <w:szCs w:val="21"/>
              </w:rPr>
              <w:t>AA+</w:t>
            </w:r>
          </w:p>
        </w:tc>
        <w:tc>
          <w:tcPr>
            <w:tcW w:w="0" w:type="auto"/>
            <w:vAlign w:val="center"/>
          </w:tcPr>
          <w:p w14:paraId="19F0A1B6" w14:textId="77777777" w:rsidR="00E906F1" w:rsidRDefault="00CA0364">
            <w:pPr>
              <w:jc w:val="right"/>
            </w:pPr>
            <w:r>
              <w:rPr>
                <w:rFonts w:eastAsiaTheme="minorEastAsia"/>
                <w:color w:val="000000" w:themeColor="text1"/>
                <w:szCs w:val="21"/>
              </w:rPr>
              <w:t>-</w:t>
            </w:r>
          </w:p>
        </w:tc>
        <w:tc>
          <w:tcPr>
            <w:tcW w:w="0" w:type="auto"/>
            <w:vAlign w:val="center"/>
          </w:tcPr>
          <w:p w14:paraId="3F7893BE" w14:textId="77777777" w:rsidR="00E906F1" w:rsidRDefault="00CA0364">
            <w:pPr>
              <w:jc w:val="right"/>
            </w:pPr>
            <w:r>
              <w:rPr>
                <w:rFonts w:eastAsiaTheme="minorEastAsia"/>
                <w:color w:val="000000" w:themeColor="text1"/>
                <w:szCs w:val="21"/>
              </w:rPr>
              <w:t>-</w:t>
            </w:r>
          </w:p>
        </w:tc>
      </w:tr>
      <w:tr w:rsidR="00E906F1" w14:paraId="4DAD0A54" w14:textId="77777777">
        <w:tc>
          <w:tcPr>
            <w:tcW w:w="0" w:type="auto"/>
            <w:vAlign w:val="center"/>
          </w:tcPr>
          <w:p w14:paraId="1F5EC9B0" w14:textId="77777777" w:rsidR="00E906F1" w:rsidRDefault="00CA0364">
            <w:pPr>
              <w:jc w:val="left"/>
            </w:pPr>
            <w:r>
              <w:rPr>
                <w:rFonts w:eastAsiaTheme="minorEastAsia"/>
                <w:color w:val="000000" w:themeColor="text1"/>
                <w:szCs w:val="21"/>
              </w:rPr>
              <w:t>A-</w:t>
            </w:r>
            <w:r>
              <w:rPr>
                <w:rFonts w:eastAsiaTheme="minorEastAsia"/>
                <w:color w:val="000000" w:themeColor="text1"/>
                <w:szCs w:val="21"/>
              </w:rPr>
              <w:t>至</w:t>
            </w:r>
            <w:r>
              <w:rPr>
                <w:rFonts w:eastAsiaTheme="minorEastAsia"/>
                <w:color w:val="000000" w:themeColor="text1"/>
                <w:szCs w:val="21"/>
              </w:rPr>
              <w:t>A+</w:t>
            </w:r>
          </w:p>
        </w:tc>
        <w:tc>
          <w:tcPr>
            <w:tcW w:w="0" w:type="auto"/>
            <w:vAlign w:val="center"/>
          </w:tcPr>
          <w:p w14:paraId="126C2B73" w14:textId="77777777" w:rsidR="00E906F1" w:rsidRDefault="00CA0364">
            <w:pPr>
              <w:jc w:val="right"/>
            </w:pPr>
            <w:r>
              <w:rPr>
                <w:rFonts w:eastAsiaTheme="minorEastAsia"/>
                <w:color w:val="000000" w:themeColor="text1"/>
                <w:szCs w:val="21"/>
              </w:rPr>
              <w:t>1,525,808.24</w:t>
            </w:r>
          </w:p>
        </w:tc>
        <w:tc>
          <w:tcPr>
            <w:tcW w:w="0" w:type="auto"/>
            <w:vAlign w:val="center"/>
          </w:tcPr>
          <w:p w14:paraId="5ACB8B54" w14:textId="77777777" w:rsidR="00E906F1" w:rsidRDefault="00CA0364">
            <w:pPr>
              <w:jc w:val="right"/>
            </w:pPr>
            <w:r>
              <w:rPr>
                <w:rFonts w:eastAsiaTheme="minorEastAsia"/>
                <w:color w:val="000000" w:themeColor="text1"/>
                <w:szCs w:val="21"/>
              </w:rPr>
              <w:t>2.08</w:t>
            </w:r>
          </w:p>
        </w:tc>
      </w:tr>
      <w:tr w:rsidR="00E906F1" w14:paraId="11E048E9" w14:textId="77777777">
        <w:tc>
          <w:tcPr>
            <w:tcW w:w="0" w:type="auto"/>
            <w:vAlign w:val="center"/>
          </w:tcPr>
          <w:p w14:paraId="0272192D" w14:textId="77777777" w:rsidR="00E906F1" w:rsidRDefault="00CA0364">
            <w:pPr>
              <w:jc w:val="left"/>
            </w:pPr>
            <w:r>
              <w:rPr>
                <w:rFonts w:eastAsiaTheme="minorEastAsia"/>
                <w:color w:val="000000" w:themeColor="text1"/>
                <w:szCs w:val="21"/>
              </w:rPr>
              <w:t>BBB-</w:t>
            </w:r>
            <w:r>
              <w:rPr>
                <w:rFonts w:eastAsiaTheme="minorEastAsia"/>
                <w:color w:val="000000" w:themeColor="text1"/>
                <w:szCs w:val="21"/>
              </w:rPr>
              <w:t>至</w:t>
            </w:r>
            <w:r>
              <w:rPr>
                <w:rFonts w:eastAsiaTheme="minorEastAsia"/>
                <w:color w:val="000000" w:themeColor="text1"/>
                <w:szCs w:val="21"/>
              </w:rPr>
              <w:t>BBB+</w:t>
            </w:r>
          </w:p>
        </w:tc>
        <w:tc>
          <w:tcPr>
            <w:tcW w:w="0" w:type="auto"/>
            <w:vAlign w:val="center"/>
          </w:tcPr>
          <w:p w14:paraId="6E3C92F6" w14:textId="77777777" w:rsidR="00E906F1" w:rsidRDefault="00CA0364">
            <w:pPr>
              <w:jc w:val="right"/>
            </w:pPr>
            <w:r>
              <w:rPr>
                <w:rFonts w:eastAsiaTheme="minorEastAsia"/>
                <w:color w:val="000000" w:themeColor="text1"/>
                <w:szCs w:val="21"/>
              </w:rPr>
              <w:t>-</w:t>
            </w:r>
          </w:p>
        </w:tc>
        <w:tc>
          <w:tcPr>
            <w:tcW w:w="0" w:type="auto"/>
            <w:vAlign w:val="center"/>
          </w:tcPr>
          <w:p w14:paraId="24DEC961" w14:textId="77777777" w:rsidR="00E906F1" w:rsidRDefault="00CA0364">
            <w:pPr>
              <w:jc w:val="right"/>
            </w:pPr>
            <w:r>
              <w:rPr>
                <w:rFonts w:eastAsiaTheme="minorEastAsia"/>
                <w:color w:val="000000" w:themeColor="text1"/>
                <w:szCs w:val="21"/>
              </w:rPr>
              <w:t>-</w:t>
            </w:r>
          </w:p>
        </w:tc>
      </w:tr>
      <w:tr w:rsidR="00E906F1" w14:paraId="298B5987" w14:textId="77777777">
        <w:tc>
          <w:tcPr>
            <w:tcW w:w="0" w:type="auto"/>
            <w:vAlign w:val="center"/>
          </w:tcPr>
          <w:p w14:paraId="6459CEBC" w14:textId="77777777" w:rsidR="00E906F1" w:rsidRDefault="00CA0364">
            <w:pPr>
              <w:jc w:val="left"/>
            </w:pPr>
            <w:r>
              <w:rPr>
                <w:rFonts w:eastAsiaTheme="minorEastAsia"/>
                <w:color w:val="000000" w:themeColor="text1"/>
                <w:szCs w:val="21"/>
              </w:rPr>
              <w:t>BB-</w:t>
            </w:r>
            <w:r>
              <w:rPr>
                <w:rFonts w:eastAsiaTheme="minorEastAsia"/>
                <w:color w:val="000000" w:themeColor="text1"/>
                <w:szCs w:val="21"/>
              </w:rPr>
              <w:t>至</w:t>
            </w:r>
            <w:r>
              <w:rPr>
                <w:rFonts w:eastAsiaTheme="minorEastAsia"/>
                <w:color w:val="000000" w:themeColor="text1"/>
                <w:szCs w:val="21"/>
              </w:rPr>
              <w:t>BB+</w:t>
            </w:r>
          </w:p>
        </w:tc>
        <w:tc>
          <w:tcPr>
            <w:tcW w:w="0" w:type="auto"/>
            <w:vAlign w:val="center"/>
          </w:tcPr>
          <w:p w14:paraId="645CF60F" w14:textId="77777777" w:rsidR="00E906F1" w:rsidRDefault="00CA0364">
            <w:pPr>
              <w:jc w:val="right"/>
            </w:pPr>
            <w:r>
              <w:rPr>
                <w:rFonts w:eastAsiaTheme="minorEastAsia"/>
                <w:color w:val="000000" w:themeColor="text1"/>
                <w:szCs w:val="21"/>
              </w:rPr>
              <w:t>-</w:t>
            </w:r>
          </w:p>
        </w:tc>
        <w:tc>
          <w:tcPr>
            <w:tcW w:w="0" w:type="auto"/>
            <w:vAlign w:val="center"/>
          </w:tcPr>
          <w:p w14:paraId="5D588FA3" w14:textId="77777777" w:rsidR="00E906F1" w:rsidRDefault="00CA0364">
            <w:pPr>
              <w:jc w:val="right"/>
            </w:pPr>
            <w:r>
              <w:rPr>
                <w:rFonts w:eastAsiaTheme="minorEastAsia"/>
                <w:color w:val="000000" w:themeColor="text1"/>
                <w:szCs w:val="21"/>
              </w:rPr>
              <w:t>-</w:t>
            </w:r>
          </w:p>
        </w:tc>
      </w:tr>
    </w:tbl>
    <w:p w14:paraId="61F64670"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注：本基金债券投资组合主要采用标准普尔、惠誉等国际权威评级机构提供的债券信用评级信息。</w:t>
      </w:r>
    </w:p>
    <w:p w14:paraId="3FF931F2"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55FDE309"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5.7</w:t>
      </w:r>
      <w:r w:rsidR="008C71EB"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277FF" w:rsidRPr="00A3398F" w14:paraId="59676B28" w14:textId="77777777" w:rsidTr="00B918B8">
        <w:tc>
          <w:tcPr>
            <w:tcW w:w="1252" w:type="dxa"/>
            <w:shd w:val="clear" w:color="auto" w:fill="auto"/>
            <w:vAlign w:val="center"/>
          </w:tcPr>
          <w:p w14:paraId="07FBAD1C"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1310" w:type="dxa"/>
            <w:shd w:val="clear" w:color="auto" w:fill="auto"/>
            <w:vAlign w:val="center"/>
          </w:tcPr>
          <w:p w14:paraId="5D2CC0AB"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债券代码</w:t>
            </w:r>
          </w:p>
        </w:tc>
        <w:tc>
          <w:tcPr>
            <w:tcW w:w="1282" w:type="dxa"/>
            <w:shd w:val="clear" w:color="auto" w:fill="auto"/>
            <w:vAlign w:val="center"/>
          </w:tcPr>
          <w:p w14:paraId="18E8547D"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债券名称</w:t>
            </w:r>
          </w:p>
        </w:tc>
        <w:tc>
          <w:tcPr>
            <w:tcW w:w="1426" w:type="dxa"/>
            <w:shd w:val="clear" w:color="auto" w:fill="auto"/>
            <w:vAlign w:val="center"/>
          </w:tcPr>
          <w:p w14:paraId="23FDF642"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数量</w:t>
            </w:r>
            <w:r w:rsidRPr="00A3398F">
              <w:rPr>
                <w:rFonts w:eastAsiaTheme="minorEastAsia"/>
                <w:color w:val="000000" w:themeColor="text1"/>
                <w:szCs w:val="21"/>
              </w:rPr>
              <w:t>(</w:t>
            </w:r>
            <w:r w:rsidRPr="00A3398F">
              <w:rPr>
                <w:rFonts w:eastAsiaTheme="minorEastAsia"/>
                <w:color w:val="000000" w:themeColor="text1"/>
                <w:szCs w:val="21"/>
              </w:rPr>
              <w:t>张</w:t>
            </w:r>
            <w:r w:rsidRPr="00A3398F">
              <w:rPr>
                <w:rFonts w:eastAsiaTheme="minorEastAsia"/>
                <w:color w:val="000000" w:themeColor="text1"/>
                <w:szCs w:val="21"/>
              </w:rPr>
              <w:t>)</w:t>
            </w:r>
          </w:p>
        </w:tc>
        <w:tc>
          <w:tcPr>
            <w:tcW w:w="1646" w:type="dxa"/>
            <w:shd w:val="clear" w:color="auto" w:fill="auto"/>
            <w:vAlign w:val="center"/>
          </w:tcPr>
          <w:p w14:paraId="60DD1A51"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公允价值</w:t>
            </w:r>
            <w:r w:rsidRPr="00A3398F">
              <w:rPr>
                <w:rFonts w:eastAsiaTheme="minorEastAsia"/>
                <w:color w:val="000000" w:themeColor="text1"/>
                <w:szCs w:val="21"/>
              </w:rPr>
              <w:t>(</w:t>
            </w:r>
            <w:r w:rsidRPr="00A3398F">
              <w:rPr>
                <w:rFonts w:eastAsiaTheme="minorEastAsia"/>
                <w:color w:val="000000" w:themeColor="text1"/>
                <w:szCs w:val="21"/>
              </w:rPr>
              <w:t>元</w:t>
            </w:r>
            <w:r w:rsidRPr="00A3398F">
              <w:rPr>
                <w:rFonts w:eastAsiaTheme="minorEastAsia"/>
                <w:color w:val="000000" w:themeColor="text1"/>
                <w:szCs w:val="21"/>
              </w:rPr>
              <w:t>)</w:t>
            </w:r>
          </w:p>
        </w:tc>
        <w:tc>
          <w:tcPr>
            <w:tcW w:w="1612" w:type="dxa"/>
            <w:shd w:val="clear" w:color="auto" w:fill="auto"/>
            <w:vAlign w:val="center"/>
          </w:tcPr>
          <w:p w14:paraId="1D477530"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占基金资产净值比例</w:t>
            </w:r>
            <w:r w:rsidRPr="00A3398F">
              <w:rPr>
                <w:rFonts w:eastAsiaTheme="minorEastAsia"/>
                <w:color w:val="000000" w:themeColor="text1"/>
                <w:szCs w:val="21"/>
              </w:rPr>
              <w:t>(</w:t>
            </w:r>
            <w:r w:rsidRPr="00A3398F">
              <w:rPr>
                <w:rFonts w:eastAsiaTheme="minorEastAsia"/>
                <w:color w:val="000000" w:themeColor="text1"/>
                <w:szCs w:val="21"/>
              </w:rPr>
              <w:t>％</w:t>
            </w:r>
            <w:r w:rsidRPr="00A3398F">
              <w:rPr>
                <w:rFonts w:eastAsiaTheme="minorEastAsia"/>
                <w:color w:val="000000" w:themeColor="text1"/>
                <w:szCs w:val="21"/>
              </w:rPr>
              <w:t>)</w:t>
            </w:r>
          </w:p>
        </w:tc>
      </w:tr>
      <w:tr w:rsidR="00E906F1" w14:paraId="13C8DF97" w14:textId="77777777">
        <w:tc>
          <w:tcPr>
            <w:tcW w:w="1252" w:type="dxa"/>
            <w:vAlign w:val="center"/>
          </w:tcPr>
          <w:p w14:paraId="6F86CAA0" w14:textId="77777777" w:rsidR="00E906F1" w:rsidRDefault="00CA0364">
            <w:pPr>
              <w:jc w:val="center"/>
            </w:pPr>
            <w:r>
              <w:rPr>
                <w:rFonts w:eastAsiaTheme="minorEastAsia"/>
                <w:color w:val="000000" w:themeColor="text1"/>
                <w:szCs w:val="21"/>
              </w:rPr>
              <w:t>1</w:t>
            </w:r>
          </w:p>
        </w:tc>
        <w:tc>
          <w:tcPr>
            <w:tcW w:w="1310" w:type="dxa"/>
            <w:vAlign w:val="center"/>
          </w:tcPr>
          <w:p w14:paraId="211847F3" w14:textId="77777777" w:rsidR="00E906F1" w:rsidRDefault="00CA0364">
            <w:pPr>
              <w:jc w:val="center"/>
            </w:pPr>
            <w:r>
              <w:rPr>
                <w:rFonts w:eastAsiaTheme="minorEastAsia"/>
                <w:color w:val="000000" w:themeColor="text1"/>
                <w:szCs w:val="21"/>
              </w:rPr>
              <w:t>019733</w:t>
            </w:r>
          </w:p>
        </w:tc>
        <w:tc>
          <w:tcPr>
            <w:tcW w:w="1282" w:type="dxa"/>
            <w:vAlign w:val="center"/>
          </w:tcPr>
          <w:p w14:paraId="3B8CF771" w14:textId="77777777" w:rsidR="00E906F1" w:rsidRDefault="00CA0364">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02</w:t>
            </w:r>
          </w:p>
        </w:tc>
        <w:tc>
          <w:tcPr>
            <w:tcW w:w="1426" w:type="dxa"/>
            <w:vAlign w:val="center"/>
          </w:tcPr>
          <w:p w14:paraId="29FD6C70" w14:textId="77777777" w:rsidR="00E906F1" w:rsidRDefault="00CA0364">
            <w:pPr>
              <w:jc w:val="right"/>
            </w:pPr>
            <w:r>
              <w:rPr>
                <w:rFonts w:eastAsiaTheme="minorEastAsia"/>
                <w:color w:val="000000" w:themeColor="text1"/>
                <w:szCs w:val="21"/>
              </w:rPr>
              <w:t>9,000</w:t>
            </w:r>
          </w:p>
        </w:tc>
        <w:tc>
          <w:tcPr>
            <w:tcW w:w="1646" w:type="dxa"/>
            <w:vAlign w:val="center"/>
          </w:tcPr>
          <w:p w14:paraId="7A35DBFA" w14:textId="77777777" w:rsidR="00E906F1" w:rsidRDefault="00CA0364">
            <w:pPr>
              <w:jc w:val="right"/>
            </w:pPr>
            <w:r>
              <w:rPr>
                <w:rFonts w:eastAsiaTheme="minorEastAsia"/>
                <w:color w:val="000000" w:themeColor="text1"/>
                <w:szCs w:val="21"/>
              </w:rPr>
              <w:t>913,563.86</w:t>
            </w:r>
          </w:p>
        </w:tc>
        <w:tc>
          <w:tcPr>
            <w:tcW w:w="1612" w:type="dxa"/>
            <w:vAlign w:val="center"/>
          </w:tcPr>
          <w:p w14:paraId="7F44F71C" w14:textId="77777777" w:rsidR="00E906F1" w:rsidRDefault="00CA0364">
            <w:pPr>
              <w:jc w:val="right"/>
            </w:pPr>
            <w:r>
              <w:rPr>
                <w:rFonts w:eastAsiaTheme="minorEastAsia"/>
                <w:color w:val="000000" w:themeColor="text1"/>
                <w:szCs w:val="21"/>
              </w:rPr>
              <w:t>1.25</w:t>
            </w:r>
          </w:p>
        </w:tc>
      </w:tr>
      <w:tr w:rsidR="00E906F1" w14:paraId="15C90CDD" w14:textId="77777777">
        <w:tc>
          <w:tcPr>
            <w:tcW w:w="1252" w:type="dxa"/>
            <w:vAlign w:val="center"/>
          </w:tcPr>
          <w:p w14:paraId="1C36656C" w14:textId="77777777" w:rsidR="00E906F1" w:rsidRDefault="00CA0364">
            <w:pPr>
              <w:jc w:val="center"/>
            </w:pPr>
            <w:r>
              <w:rPr>
                <w:rFonts w:eastAsiaTheme="minorEastAsia"/>
                <w:color w:val="000000" w:themeColor="text1"/>
                <w:szCs w:val="21"/>
              </w:rPr>
              <w:t>2</w:t>
            </w:r>
          </w:p>
        </w:tc>
        <w:tc>
          <w:tcPr>
            <w:tcW w:w="1310" w:type="dxa"/>
            <w:vAlign w:val="center"/>
          </w:tcPr>
          <w:p w14:paraId="6DDD913C" w14:textId="77777777" w:rsidR="00E906F1" w:rsidRDefault="00CA0364">
            <w:pPr>
              <w:jc w:val="center"/>
            </w:pPr>
            <w:r>
              <w:rPr>
                <w:rFonts w:eastAsiaTheme="minorEastAsia"/>
                <w:color w:val="000000" w:themeColor="text1"/>
                <w:szCs w:val="21"/>
              </w:rPr>
              <w:t>019693</w:t>
            </w:r>
          </w:p>
        </w:tc>
        <w:tc>
          <w:tcPr>
            <w:tcW w:w="1282" w:type="dxa"/>
            <w:vAlign w:val="center"/>
          </w:tcPr>
          <w:p w14:paraId="6819A30E" w14:textId="77777777" w:rsidR="00E906F1" w:rsidRDefault="00CA0364">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28</w:t>
            </w:r>
          </w:p>
        </w:tc>
        <w:tc>
          <w:tcPr>
            <w:tcW w:w="1426" w:type="dxa"/>
            <w:vAlign w:val="center"/>
          </w:tcPr>
          <w:p w14:paraId="3A913E75" w14:textId="77777777" w:rsidR="00E906F1" w:rsidRDefault="00CA0364">
            <w:pPr>
              <w:jc w:val="right"/>
            </w:pPr>
            <w:r>
              <w:rPr>
                <w:rFonts w:eastAsiaTheme="minorEastAsia"/>
                <w:color w:val="000000" w:themeColor="text1"/>
                <w:szCs w:val="21"/>
              </w:rPr>
              <w:t>4,000</w:t>
            </w:r>
          </w:p>
        </w:tc>
        <w:tc>
          <w:tcPr>
            <w:tcW w:w="1646" w:type="dxa"/>
            <w:vAlign w:val="center"/>
          </w:tcPr>
          <w:p w14:paraId="7115D755" w14:textId="77777777" w:rsidR="00E906F1" w:rsidRDefault="00CA0364">
            <w:pPr>
              <w:jc w:val="right"/>
            </w:pPr>
            <w:r>
              <w:rPr>
                <w:rFonts w:eastAsiaTheme="minorEastAsia"/>
                <w:color w:val="000000" w:themeColor="text1"/>
                <w:szCs w:val="21"/>
              </w:rPr>
              <w:t>407,826.85</w:t>
            </w:r>
          </w:p>
        </w:tc>
        <w:tc>
          <w:tcPr>
            <w:tcW w:w="1612" w:type="dxa"/>
            <w:vAlign w:val="center"/>
          </w:tcPr>
          <w:p w14:paraId="6DF2C6FF" w14:textId="77777777" w:rsidR="00E906F1" w:rsidRDefault="00CA0364">
            <w:pPr>
              <w:jc w:val="right"/>
            </w:pPr>
            <w:r>
              <w:rPr>
                <w:rFonts w:eastAsiaTheme="minorEastAsia"/>
                <w:color w:val="000000" w:themeColor="text1"/>
                <w:szCs w:val="21"/>
              </w:rPr>
              <w:t>0.56</w:t>
            </w:r>
          </w:p>
        </w:tc>
      </w:tr>
      <w:tr w:rsidR="00E906F1" w14:paraId="37CB24CE" w14:textId="77777777">
        <w:tc>
          <w:tcPr>
            <w:tcW w:w="1252" w:type="dxa"/>
            <w:vAlign w:val="center"/>
          </w:tcPr>
          <w:p w14:paraId="5CFF473C" w14:textId="77777777" w:rsidR="00E906F1" w:rsidRDefault="00CA0364">
            <w:pPr>
              <w:jc w:val="center"/>
            </w:pPr>
            <w:r>
              <w:rPr>
                <w:rFonts w:eastAsiaTheme="minorEastAsia"/>
                <w:color w:val="000000" w:themeColor="text1"/>
                <w:szCs w:val="21"/>
              </w:rPr>
              <w:t>3</w:t>
            </w:r>
          </w:p>
        </w:tc>
        <w:tc>
          <w:tcPr>
            <w:tcW w:w="1310" w:type="dxa"/>
            <w:vAlign w:val="center"/>
          </w:tcPr>
          <w:p w14:paraId="485CB78A" w14:textId="77777777" w:rsidR="00E906F1" w:rsidRDefault="00CA0364">
            <w:pPr>
              <w:jc w:val="center"/>
            </w:pPr>
            <w:r>
              <w:rPr>
                <w:rFonts w:eastAsiaTheme="minorEastAsia"/>
                <w:color w:val="000000" w:themeColor="text1"/>
                <w:szCs w:val="21"/>
              </w:rPr>
              <w:t>019727</w:t>
            </w:r>
          </w:p>
        </w:tc>
        <w:tc>
          <w:tcPr>
            <w:tcW w:w="1282" w:type="dxa"/>
            <w:vAlign w:val="center"/>
          </w:tcPr>
          <w:p w14:paraId="27FA14CE" w14:textId="77777777" w:rsidR="00E906F1" w:rsidRDefault="00CA0364">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426" w:type="dxa"/>
            <w:vAlign w:val="center"/>
          </w:tcPr>
          <w:p w14:paraId="3FFCFD5A" w14:textId="77777777" w:rsidR="00E906F1" w:rsidRDefault="00CA0364">
            <w:pPr>
              <w:jc w:val="right"/>
            </w:pPr>
            <w:r>
              <w:rPr>
                <w:rFonts w:eastAsiaTheme="minorEastAsia"/>
                <w:color w:val="000000" w:themeColor="text1"/>
                <w:szCs w:val="21"/>
              </w:rPr>
              <w:t>2,000</w:t>
            </w:r>
          </w:p>
        </w:tc>
        <w:tc>
          <w:tcPr>
            <w:tcW w:w="1646" w:type="dxa"/>
            <w:vAlign w:val="center"/>
          </w:tcPr>
          <w:p w14:paraId="6790295A" w14:textId="77777777" w:rsidR="00E906F1" w:rsidRDefault="00CA0364">
            <w:pPr>
              <w:jc w:val="right"/>
            </w:pPr>
            <w:r>
              <w:rPr>
                <w:rFonts w:eastAsiaTheme="minorEastAsia"/>
                <w:color w:val="000000" w:themeColor="text1"/>
                <w:szCs w:val="21"/>
              </w:rPr>
              <w:t>204,417.53</w:t>
            </w:r>
          </w:p>
        </w:tc>
        <w:tc>
          <w:tcPr>
            <w:tcW w:w="1612" w:type="dxa"/>
            <w:vAlign w:val="center"/>
          </w:tcPr>
          <w:p w14:paraId="208F62B9" w14:textId="77777777" w:rsidR="00E906F1" w:rsidRDefault="00CA0364">
            <w:pPr>
              <w:jc w:val="right"/>
            </w:pPr>
            <w:r>
              <w:rPr>
                <w:rFonts w:eastAsiaTheme="minorEastAsia"/>
                <w:color w:val="000000" w:themeColor="text1"/>
                <w:szCs w:val="21"/>
              </w:rPr>
              <w:t>0.28</w:t>
            </w:r>
          </w:p>
        </w:tc>
      </w:tr>
    </w:tbl>
    <w:p w14:paraId="074FC543"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1A4F4753"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8C71EB"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w:t>
      </w:r>
      <w:r w:rsidR="0076518F" w:rsidRPr="00A3398F">
        <w:rPr>
          <w:rFonts w:eastAsiaTheme="minorEastAsia"/>
          <w:b/>
          <w:color w:val="000000" w:themeColor="text1"/>
          <w:kern w:val="0"/>
          <w:sz w:val="24"/>
        </w:rPr>
        <w:lastRenderedPageBreak/>
        <w:t>投资明细</w:t>
      </w:r>
    </w:p>
    <w:p w14:paraId="6E700687"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14:paraId="5AB75EE7" w14:textId="77777777"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47C0B97B"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14:paraId="47987D4C"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14:paraId="400BAFBD"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1B61CB6A"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5.10</w:t>
      </w:r>
      <w:r>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报告期末按公允价值占基金资产净值比例大小排序的前十名基金投资明细</w:t>
      </w:r>
    </w:p>
    <w:tbl>
      <w:tblPr>
        <w:tblStyle w:val="afa"/>
        <w:tblW w:w="0" w:type="auto"/>
        <w:tblInd w:w="15" w:type="dxa"/>
        <w:tblLook w:val="04A0" w:firstRow="1" w:lastRow="0" w:firstColumn="1" w:lastColumn="0" w:noHBand="0" w:noVBand="1"/>
      </w:tblPr>
      <w:tblGrid>
        <w:gridCol w:w="800"/>
        <w:gridCol w:w="1795"/>
        <w:gridCol w:w="800"/>
        <w:gridCol w:w="924"/>
        <w:gridCol w:w="1831"/>
        <w:gridCol w:w="1424"/>
        <w:gridCol w:w="939"/>
      </w:tblGrid>
      <w:tr w:rsidR="008277FF" w:rsidRPr="00A3398F" w14:paraId="3690D5C4" w14:textId="77777777" w:rsidTr="00797DD2">
        <w:tc>
          <w:tcPr>
            <w:tcW w:w="1215" w:type="dxa"/>
            <w:vAlign w:val="center"/>
          </w:tcPr>
          <w:p w14:paraId="11C56E9D"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序号</w:t>
            </w:r>
          </w:p>
        </w:tc>
        <w:tc>
          <w:tcPr>
            <w:tcW w:w="1216" w:type="dxa"/>
            <w:vAlign w:val="center"/>
          </w:tcPr>
          <w:p w14:paraId="5E312CFD" w14:textId="77777777"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基金名称</w:t>
            </w:r>
          </w:p>
        </w:tc>
        <w:tc>
          <w:tcPr>
            <w:tcW w:w="1216" w:type="dxa"/>
            <w:vAlign w:val="center"/>
          </w:tcPr>
          <w:p w14:paraId="1F97C958" w14:textId="77777777"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基金类型</w:t>
            </w:r>
          </w:p>
        </w:tc>
        <w:tc>
          <w:tcPr>
            <w:tcW w:w="1216" w:type="dxa"/>
            <w:vAlign w:val="center"/>
          </w:tcPr>
          <w:p w14:paraId="1D13E9DF"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运作方式</w:t>
            </w:r>
          </w:p>
        </w:tc>
        <w:tc>
          <w:tcPr>
            <w:tcW w:w="1216" w:type="dxa"/>
            <w:vAlign w:val="center"/>
          </w:tcPr>
          <w:p w14:paraId="1FFFCCA2"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管理人</w:t>
            </w:r>
          </w:p>
        </w:tc>
        <w:tc>
          <w:tcPr>
            <w:tcW w:w="1217" w:type="dxa"/>
            <w:vAlign w:val="center"/>
          </w:tcPr>
          <w:p w14:paraId="335A144E"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公允价值</w:t>
            </w:r>
          </w:p>
          <w:p w14:paraId="21C9C9AE"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（人民币元）</w:t>
            </w:r>
          </w:p>
        </w:tc>
        <w:tc>
          <w:tcPr>
            <w:tcW w:w="1217" w:type="dxa"/>
            <w:vAlign w:val="center"/>
          </w:tcPr>
          <w:p w14:paraId="554AEDC7"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占基金资产净值比例</w:t>
            </w:r>
            <w:r w:rsidRPr="00A3398F">
              <w:rPr>
                <w:rFonts w:eastAsiaTheme="minorEastAsia"/>
                <w:color w:val="000000" w:themeColor="text1"/>
                <w:szCs w:val="21"/>
              </w:rPr>
              <w:t>(%)</w:t>
            </w:r>
          </w:p>
        </w:tc>
      </w:tr>
      <w:tr w:rsidR="00E906F1" w14:paraId="7F202066" w14:textId="77777777">
        <w:tc>
          <w:tcPr>
            <w:tcW w:w="0" w:type="auto"/>
            <w:vAlign w:val="center"/>
          </w:tcPr>
          <w:p w14:paraId="6D659E50" w14:textId="77777777" w:rsidR="00E906F1" w:rsidRDefault="00CA0364">
            <w:pPr>
              <w:jc w:val="center"/>
            </w:pPr>
            <w:r>
              <w:rPr>
                <w:rFonts w:eastAsiaTheme="minorEastAsia"/>
                <w:color w:val="000000" w:themeColor="text1"/>
                <w:szCs w:val="21"/>
              </w:rPr>
              <w:t>1</w:t>
            </w:r>
          </w:p>
        </w:tc>
        <w:tc>
          <w:tcPr>
            <w:tcW w:w="0" w:type="auto"/>
            <w:vAlign w:val="center"/>
          </w:tcPr>
          <w:p w14:paraId="6E77424B" w14:textId="77777777" w:rsidR="00E906F1" w:rsidRDefault="00CA0364">
            <w:pPr>
              <w:jc w:val="center"/>
            </w:pPr>
            <w:r>
              <w:rPr>
                <w:rFonts w:eastAsiaTheme="minorEastAsia"/>
                <w:color w:val="000000" w:themeColor="text1"/>
                <w:szCs w:val="21"/>
              </w:rPr>
              <w:t>摩根恒生科技</w:t>
            </w:r>
            <w:r>
              <w:rPr>
                <w:rFonts w:eastAsiaTheme="minorEastAsia"/>
                <w:color w:val="000000" w:themeColor="text1"/>
                <w:szCs w:val="21"/>
              </w:rPr>
              <w:t>ETF(QDII)</w:t>
            </w:r>
          </w:p>
        </w:tc>
        <w:tc>
          <w:tcPr>
            <w:tcW w:w="0" w:type="auto"/>
            <w:vAlign w:val="center"/>
          </w:tcPr>
          <w:p w14:paraId="7037325A" w14:textId="77777777" w:rsidR="00E906F1" w:rsidRDefault="00CA0364">
            <w:pPr>
              <w:jc w:val="center"/>
            </w:pPr>
            <w:r>
              <w:rPr>
                <w:rFonts w:eastAsiaTheme="minorEastAsia"/>
                <w:color w:val="000000" w:themeColor="text1"/>
                <w:szCs w:val="21"/>
              </w:rPr>
              <w:t>股票型</w:t>
            </w:r>
          </w:p>
        </w:tc>
        <w:tc>
          <w:tcPr>
            <w:tcW w:w="0" w:type="auto"/>
            <w:vAlign w:val="center"/>
          </w:tcPr>
          <w:p w14:paraId="10939152" w14:textId="77777777" w:rsidR="00E906F1" w:rsidRDefault="00CA0364">
            <w:pPr>
              <w:jc w:val="center"/>
            </w:pPr>
            <w:r>
              <w:rPr>
                <w:rFonts w:eastAsiaTheme="minorEastAsia"/>
                <w:color w:val="000000" w:themeColor="text1"/>
                <w:szCs w:val="21"/>
              </w:rPr>
              <w:t>交易型开放式</w:t>
            </w:r>
          </w:p>
        </w:tc>
        <w:tc>
          <w:tcPr>
            <w:tcW w:w="0" w:type="auto"/>
            <w:vAlign w:val="center"/>
          </w:tcPr>
          <w:p w14:paraId="083ABC8D" w14:textId="77777777" w:rsidR="00E906F1" w:rsidRDefault="00CA0364">
            <w:pPr>
              <w:jc w:val="center"/>
            </w:pPr>
            <w:r>
              <w:rPr>
                <w:rFonts w:eastAsiaTheme="minorEastAsia"/>
                <w:color w:val="000000" w:themeColor="text1"/>
                <w:szCs w:val="21"/>
              </w:rPr>
              <w:t>摩根基金管理（中国）有限公司</w:t>
            </w:r>
          </w:p>
        </w:tc>
        <w:tc>
          <w:tcPr>
            <w:tcW w:w="0" w:type="auto"/>
            <w:vAlign w:val="center"/>
          </w:tcPr>
          <w:p w14:paraId="506024D2" w14:textId="77777777" w:rsidR="00E906F1" w:rsidRDefault="00CA0364">
            <w:pPr>
              <w:jc w:val="right"/>
            </w:pPr>
            <w:r>
              <w:rPr>
                <w:rFonts w:eastAsiaTheme="minorEastAsia"/>
                <w:color w:val="000000" w:themeColor="text1"/>
                <w:szCs w:val="21"/>
              </w:rPr>
              <w:t>65,841,207.30</w:t>
            </w:r>
          </w:p>
        </w:tc>
        <w:tc>
          <w:tcPr>
            <w:tcW w:w="0" w:type="auto"/>
            <w:vAlign w:val="center"/>
          </w:tcPr>
          <w:p w14:paraId="13715D97" w14:textId="77777777" w:rsidR="00E906F1" w:rsidRDefault="00CA0364">
            <w:pPr>
              <w:jc w:val="right"/>
            </w:pPr>
            <w:r>
              <w:rPr>
                <w:rFonts w:eastAsiaTheme="minorEastAsia"/>
                <w:color w:val="000000" w:themeColor="text1"/>
                <w:szCs w:val="21"/>
              </w:rPr>
              <w:t>89.75</w:t>
            </w:r>
          </w:p>
        </w:tc>
      </w:tr>
    </w:tbl>
    <w:p w14:paraId="0E87F240"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10654B35" w14:textId="77777777" w:rsidR="0076518F" w:rsidRPr="00A3398F" w:rsidRDefault="00E963FD"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5.11</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14:paraId="1902EE72" w14:textId="77777777"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5.11.1</w:t>
      </w:r>
      <w:r w:rsidRPr="00A3398F">
        <w:rPr>
          <w:rFonts w:eastAsiaTheme="minorEastAsia"/>
          <w:color w:val="000000" w:themeColor="text1"/>
          <w:sz w:val="24"/>
        </w:rPr>
        <w:t>本基金投资的前十名证券的发行主体本期未出现被监管部门立案调查，或在报告编制日前一年内受到公开谴责、处罚的情形。</w:t>
      </w:r>
    </w:p>
    <w:p w14:paraId="20825C1D" w14:textId="77777777"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5.11.2</w:t>
      </w:r>
      <w:r w:rsidRPr="00A3398F">
        <w:rPr>
          <w:rFonts w:eastAsiaTheme="minorEastAsia"/>
          <w:color w:val="000000" w:themeColor="text1"/>
          <w:sz w:val="24"/>
        </w:rPr>
        <w:t>报告期内本基金投资的前十名股票中没有在基金合同规定备选股票库之外的股票。</w:t>
      </w:r>
    </w:p>
    <w:p w14:paraId="44149010" w14:textId="77777777" w:rsidR="0076518F" w:rsidRPr="00A3398F" w:rsidRDefault="00E963FD" w:rsidP="0049659A">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14:paraId="0AE18B99" w14:textId="77777777" w:rsidTr="004C05F3">
        <w:tc>
          <w:tcPr>
            <w:tcW w:w="802" w:type="dxa"/>
            <w:vAlign w:val="center"/>
          </w:tcPr>
          <w:p w14:paraId="63E7933F"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14:paraId="4608C522"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14:paraId="597F7CBF"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14:paraId="26B3EB6A" w14:textId="77777777" w:rsidTr="009E3391">
        <w:tc>
          <w:tcPr>
            <w:tcW w:w="802" w:type="dxa"/>
            <w:vAlign w:val="center"/>
          </w:tcPr>
          <w:p w14:paraId="09B528C1"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14:paraId="05E92220"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14:paraId="5BCEC6F7"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5,131.47</w:t>
            </w:r>
          </w:p>
        </w:tc>
      </w:tr>
      <w:tr w:rsidR="008277FF" w:rsidRPr="00A3398F" w14:paraId="7C4ACAB7" w14:textId="77777777" w:rsidTr="009E3391">
        <w:tc>
          <w:tcPr>
            <w:tcW w:w="802" w:type="dxa"/>
            <w:vAlign w:val="center"/>
          </w:tcPr>
          <w:p w14:paraId="5F5B1ABF"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14:paraId="451DF80A"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14:paraId="29C16BA1"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4D22E55D" w14:textId="77777777" w:rsidTr="009E3391">
        <w:tc>
          <w:tcPr>
            <w:tcW w:w="802" w:type="dxa"/>
            <w:vAlign w:val="center"/>
          </w:tcPr>
          <w:p w14:paraId="5C4FB668"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14:paraId="79158B38"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14:paraId="4A8AE292"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7443B691" w14:textId="77777777" w:rsidTr="009E3391">
        <w:tc>
          <w:tcPr>
            <w:tcW w:w="802" w:type="dxa"/>
            <w:vAlign w:val="center"/>
          </w:tcPr>
          <w:p w14:paraId="4EC5F0F5"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14:paraId="1AB9CE7C"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14:paraId="6533189A"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622BCD3B" w14:textId="77777777" w:rsidTr="009E3391">
        <w:tc>
          <w:tcPr>
            <w:tcW w:w="802" w:type="dxa"/>
            <w:vAlign w:val="center"/>
          </w:tcPr>
          <w:p w14:paraId="64BFC4B8"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14:paraId="2BEAC45A"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14:paraId="687B6DAF"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9,217,077.93</w:t>
            </w:r>
          </w:p>
        </w:tc>
      </w:tr>
      <w:tr w:rsidR="008277FF" w:rsidRPr="00A3398F" w14:paraId="61CB32DB" w14:textId="77777777" w:rsidTr="009E3391">
        <w:tc>
          <w:tcPr>
            <w:tcW w:w="802" w:type="dxa"/>
            <w:vAlign w:val="center"/>
          </w:tcPr>
          <w:p w14:paraId="456D3789"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14:paraId="09F85A37"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14:paraId="17A9A27C"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7AC6CE89" w14:textId="77777777" w:rsidTr="009E3391">
        <w:tc>
          <w:tcPr>
            <w:tcW w:w="802" w:type="dxa"/>
            <w:vAlign w:val="center"/>
          </w:tcPr>
          <w:p w14:paraId="4B6AE428"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14:paraId="5EBFC23F"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14:paraId="7D8BE46B"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F30F4B8" w14:textId="77777777" w:rsidTr="009E3391">
        <w:tc>
          <w:tcPr>
            <w:tcW w:w="802" w:type="dxa"/>
            <w:vAlign w:val="center"/>
          </w:tcPr>
          <w:p w14:paraId="37EE4CBD"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lastRenderedPageBreak/>
              <w:t>8</w:t>
            </w:r>
          </w:p>
        </w:tc>
        <w:tc>
          <w:tcPr>
            <w:tcW w:w="2903" w:type="dxa"/>
            <w:vAlign w:val="center"/>
          </w:tcPr>
          <w:p w14:paraId="4C02C8F3"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14:paraId="21E3E766"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67FD1DAC" w14:textId="77777777" w:rsidTr="009E3391">
        <w:tc>
          <w:tcPr>
            <w:tcW w:w="802" w:type="dxa"/>
            <w:vAlign w:val="center"/>
          </w:tcPr>
          <w:p w14:paraId="54290751"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14:paraId="450A8B69"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14:paraId="409324F2"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9,222,209.40</w:t>
            </w:r>
          </w:p>
        </w:tc>
      </w:tr>
    </w:tbl>
    <w:p w14:paraId="74682D71" w14:textId="77777777"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14:paraId="5BA43FB6"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5.11.4</w:t>
      </w:r>
      <w:r w:rsidR="0076518F" w:rsidRPr="00A3398F">
        <w:rPr>
          <w:rFonts w:eastAsiaTheme="minorEastAsia"/>
          <w:b/>
          <w:color w:val="000000" w:themeColor="text1"/>
          <w:kern w:val="0"/>
          <w:sz w:val="24"/>
        </w:rPr>
        <w:t>报告期末持有的处于转股期的可转换债券明细</w:t>
      </w:r>
    </w:p>
    <w:p w14:paraId="472D061A"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14:paraId="254FFD3F" w14:textId="77777777"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14:paraId="08B31FA6"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报告期末前十名股票中存在流通受限情况的说明</w:t>
      </w:r>
    </w:p>
    <w:p w14:paraId="5AD1DAE6"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14:paraId="3FC7A137" w14:textId="77777777"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14:paraId="688097E4"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5.11.6</w:t>
      </w:r>
      <w:r w:rsidR="001C46E1" w:rsidRPr="00A3398F">
        <w:rPr>
          <w:rFonts w:eastAsiaTheme="minorEastAsia"/>
          <w:b/>
          <w:color w:val="000000" w:themeColor="text1"/>
          <w:kern w:val="0"/>
          <w:sz w:val="24"/>
        </w:rPr>
        <w:t>投资组合报告附注的其他文字描述部分</w:t>
      </w:r>
    </w:p>
    <w:p w14:paraId="284FE8A9" w14:textId="77777777"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14:paraId="1C9D6547"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14:paraId="5D430C03"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14:paraId="2AEEC25A"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7030CA45" w14:textId="77777777"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1ACCAA96"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14:paraId="38B8F729"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p>
        </w:tc>
      </w:tr>
      <w:tr w:rsidR="00225051" w:rsidRPr="00A3398F" w14:paraId="69B5549D"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4A2C419"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349BEEA"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4,669,515.30</w:t>
            </w:r>
          </w:p>
        </w:tc>
        <w:tc>
          <w:tcPr>
            <w:tcW w:w="2367" w:type="dxa"/>
            <w:tcBorders>
              <w:top w:val="single" w:sz="8" w:space="0" w:color="000000"/>
              <w:left w:val="single" w:sz="8" w:space="0" w:color="000000"/>
              <w:bottom w:val="single" w:sz="8" w:space="0" w:color="000000"/>
              <w:right w:val="single" w:sz="8" w:space="0" w:color="000000"/>
            </w:tcBorders>
            <w:vAlign w:val="center"/>
          </w:tcPr>
          <w:p w14:paraId="0F2DC398"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26,075,161.62</w:t>
            </w:r>
          </w:p>
        </w:tc>
      </w:tr>
      <w:tr w:rsidR="00225051" w:rsidRPr="00A3398F" w14:paraId="22FB6E7C"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6C7C064A"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D0A3D5D"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15,208,082.33</w:t>
            </w:r>
          </w:p>
        </w:tc>
        <w:tc>
          <w:tcPr>
            <w:tcW w:w="2367" w:type="dxa"/>
            <w:tcBorders>
              <w:top w:val="single" w:sz="8" w:space="0" w:color="000000"/>
              <w:left w:val="single" w:sz="8" w:space="0" w:color="000000"/>
              <w:bottom w:val="single" w:sz="8" w:space="0" w:color="000000"/>
              <w:right w:val="single" w:sz="8" w:space="0" w:color="000000"/>
            </w:tcBorders>
            <w:vAlign w:val="center"/>
          </w:tcPr>
          <w:p w14:paraId="3CE11BFC"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57,868,397.29</w:t>
            </w:r>
          </w:p>
        </w:tc>
      </w:tr>
      <w:tr w:rsidR="00225051" w:rsidRPr="00A3398F" w14:paraId="17AB2EDB"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2CA6005"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8D2528B"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8,852,514.62</w:t>
            </w:r>
          </w:p>
        </w:tc>
        <w:tc>
          <w:tcPr>
            <w:tcW w:w="2367" w:type="dxa"/>
            <w:tcBorders>
              <w:top w:val="single" w:sz="8" w:space="0" w:color="000000"/>
              <w:left w:val="single" w:sz="8" w:space="0" w:color="000000"/>
              <w:bottom w:val="single" w:sz="8" w:space="0" w:color="000000"/>
              <w:right w:val="single" w:sz="8" w:space="0" w:color="000000"/>
            </w:tcBorders>
            <w:vAlign w:val="center"/>
          </w:tcPr>
          <w:p w14:paraId="47B57736"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27,829,444.84</w:t>
            </w:r>
          </w:p>
        </w:tc>
      </w:tr>
      <w:tr w:rsidR="00225051" w:rsidRPr="00A3398F" w14:paraId="67319906"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1D31520A"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825123E"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11398861"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14:paraId="69810B68"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74C86653"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70A749D"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11,025,083.01</w:t>
            </w:r>
          </w:p>
        </w:tc>
        <w:tc>
          <w:tcPr>
            <w:tcW w:w="2367" w:type="dxa"/>
            <w:tcBorders>
              <w:top w:val="single" w:sz="8" w:space="0" w:color="000000"/>
              <w:left w:val="single" w:sz="8" w:space="0" w:color="000000"/>
              <w:bottom w:val="single" w:sz="8" w:space="0" w:color="000000"/>
              <w:right w:val="single" w:sz="8" w:space="0" w:color="000000"/>
            </w:tcBorders>
            <w:vAlign w:val="center"/>
          </w:tcPr>
          <w:p w14:paraId="77288B9D"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56,114,114.07</w:t>
            </w:r>
          </w:p>
        </w:tc>
      </w:tr>
    </w:tbl>
    <w:p w14:paraId="169F7AE9" w14:textId="77777777"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14:paraId="7F3B0638" w14:textId="77777777"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166AA0C9" w14:textId="77777777"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14:paraId="74786F4E" w14:textId="77777777" w:rsidTr="00982AC4">
        <w:trPr>
          <w:trHeight w:val="248"/>
        </w:trPr>
        <w:tc>
          <w:tcPr>
            <w:tcW w:w="3167" w:type="dxa"/>
            <w:vAlign w:val="center"/>
          </w:tcPr>
          <w:p w14:paraId="13A6FE0A" w14:textId="77777777" w:rsidR="00D678E4" w:rsidRPr="00FA472B" w:rsidRDefault="00D678E4" w:rsidP="00982AC4">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14:paraId="086C6FE5" w14:textId="77777777" w:rsidR="00D678E4" w:rsidRPr="00FA472B" w:rsidRDefault="00D678E4" w:rsidP="00982AC4">
            <w:pPr>
              <w:jc w:val="center"/>
              <w:rPr>
                <w:sz w:val="24"/>
              </w:rPr>
            </w:pPr>
            <w:r w:rsidRPr="00FA472B">
              <w:rPr>
                <w:sz w:val="24"/>
              </w:rPr>
              <w:t>摩根恒生科技</w:t>
            </w:r>
            <w:r w:rsidRPr="00FA472B">
              <w:rPr>
                <w:sz w:val="24"/>
              </w:rPr>
              <w:t>ETF</w:t>
            </w:r>
            <w:r w:rsidRPr="00FA472B">
              <w:rPr>
                <w:sz w:val="24"/>
              </w:rPr>
              <w:t>发起式联接</w:t>
            </w:r>
            <w:r w:rsidRPr="00FA472B">
              <w:rPr>
                <w:sz w:val="24"/>
              </w:rPr>
              <w:t>(QDII)A</w:t>
            </w:r>
          </w:p>
        </w:tc>
        <w:tc>
          <w:tcPr>
            <w:tcW w:w="2631" w:type="dxa"/>
            <w:vAlign w:val="bottom"/>
          </w:tcPr>
          <w:p w14:paraId="430D68C0" w14:textId="77777777" w:rsidR="00D678E4" w:rsidRPr="00FA472B" w:rsidRDefault="00D678E4" w:rsidP="00982AC4">
            <w:pPr>
              <w:jc w:val="center"/>
              <w:rPr>
                <w:sz w:val="24"/>
              </w:rPr>
            </w:pPr>
            <w:r w:rsidRPr="00FA472B">
              <w:rPr>
                <w:sz w:val="24"/>
              </w:rPr>
              <w:t>摩根恒生科技</w:t>
            </w:r>
            <w:r w:rsidRPr="00FA472B">
              <w:rPr>
                <w:sz w:val="24"/>
              </w:rPr>
              <w:t>ETF</w:t>
            </w:r>
            <w:r w:rsidRPr="00FA472B">
              <w:rPr>
                <w:sz w:val="24"/>
              </w:rPr>
              <w:t>发起式联接</w:t>
            </w:r>
            <w:r w:rsidRPr="00FA472B">
              <w:rPr>
                <w:sz w:val="24"/>
              </w:rPr>
              <w:t>(QDII)C</w:t>
            </w:r>
          </w:p>
        </w:tc>
      </w:tr>
      <w:tr w:rsidR="00D678E4" w:rsidRPr="00E90B39" w14:paraId="27ABB2E0" w14:textId="77777777" w:rsidTr="00982AC4">
        <w:trPr>
          <w:trHeight w:val="247"/>
        </w:trPr>
        <w:tc>
          <w:tcPr>
            <w:tcW w:w="3167" w:type="dxa"/>
            <w:vAlign w:val="center"/>
          </w:tcPr>
          <w:p w14:paraId="4B52F035" w14:textId="77777777" w:rsidR="00D678E4" w:rsidRPr="00FA472B" w:rsidRDefault="00D678E4" w:rsidP="00982AC4">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14:paraId="47D5F83F" w14:textId="77777777" w:rsidR="00D678E4" w:rsidRPr="00FA472B" w:rsidRDefault="00D678E4" w:rsidP="00982AC4">
            <w:pPr>
              <w:jc w:val="right"/>
              <w:rPr>
                <w:sz w:val="24"/>
              </w:rPr>
            </w:pPr>
            <w:r w:rsidRPr="00FA472B">
              <w:rPr>
                <w:color w:val="000000"/>
                <w:sz w:val="24"/>
              </w:rPr>
              <w:t>-</w:t>
            </w:r>
          </w:p>
        </w:tc>
        <w:tc>
          <w:tcPr>
            <w:tcW w:w="2631" w:type="dxa"/>
            <w:vAlign w:val="center"/>
          </w:tcPr>
          <w:p w14:paraId="76A15E4D" w14:textId="77777777" w:rsidR="00D678E4" w:rsidRPr="00FA472B" w:rsidRDefault="00D678E4" w:rsidP="00982AC4">
            <w:pPr>
              <w:jc w:val="right"/>
              <w:rPr>
                <w:sz w:val="24"/>
              </w:rPr>
            </w:pPr>
            <w:r w:rsidRPr="00FA472B">
              <w:rPr>
                <w:color w:val="000000"/>
                <w:sz w:val="24"/>
              </w:rPr>
              <w:t>10,000,097.22</w:t>
            </w:r>
          </w:p>
        </w:tc>
      </w:tr>
      <w:tr w:rsidR="00D678E4" w:rsidRPr="00E90B39" w14:paraId="5D6BE36C" w14:textId="77777777" w:rsidTr="00982AC4">
        <w:tc>
          <w:tcPr>
            <w:tcW w:w="3167" w:type="dxa"/>
            <w:vAlign w:val="center"/>
          </w:tcPr>
          <w:p w14:paraId="00F9FB71" w14:textId="77777777" w:rsidR="00D678E4" w:rsidRPr="00FA472B" w:rsidRDefault="00D678E4" w:rsidP="00982AC4">
            <w:pPr>
              <w:adjustRightInd w:val="0"/>
              <w:snapToGrid w:val="0"/>
              <w:spacing w:line="360" w:lineRule="exact"/>
              <w:rPr>
                <w:color w:val="000000"/>
                <w:sz w:val="24"/>
              </w:rPr>
            </w:pPr>
            <w:r w:rsidRPr="003B42FF">
              <w:rPr>
                <w:rFonts w:eastAsiaTheme="minorEastAsia"/>
                <w:color w:val="000000" w:themeColor="text1"/>
                <w:kern w:val="0"/>
                <w:sz w:val="24"/>
              </w:rPr>
              <w:lastRenderedPageBreak/>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14:paraId="112FDD25" w14:textId="77777777" w:rsidR="00D678E4" w:rsidRPr="00FA472B" w:rsidRDefault="00D678E4" w:rsidP="00982AC4">
            <w:pPr>
              <w:jc w:val="right"/>
              <w:rPr>
                <w:color w:val="000000"/>
                <w:kern w:val="0"/>
                <w:sz w:val="24"/>
              </w:rPr>
            </w:pPr>
            <w:r w:rsidRPr="00FA472B">
              <w:rPr>
                <w:color w:val="000000"/>
                <w:sz w:val="24"/>
              </w:rPr>
              <w:t>-</w:t>
            </w:r>
          </w:p>
        </w:tc>
        <w:tc>
          <w:tcPr>
            <w:tcW w:w="2631" w:type="dxa"/>
            <w:vAlign w:val="center"/>
          </w:tcPr>
          <w:p w14:paraId="744385AB" w14:textId="77777777" w:rsidR="00D678E4" w:rsidRPr="00FA472B" w:rsidRDefault="00D678E4" w:rsidP="00982AC4">
            <w:pPr>
              <w:jc w:val="right"/>
              <w:rPr>
                <w:color w:val="000000"/>
                <w:kern w:val="0"/>
                <w:sz w:val="24"/>
              </w:rPr>
            </w:pPr>
            <w:r w:rsidRPr="00FA472B">
              <w:rPr>
                <w:color w:val="000000"/>
                <w:sz w:val="24"/>
              </w:rPr>
              <w:t>-</w:t>
            </w:r>
          </w:p>
        </w:tc>
      </w:tr>
      <w:tr w:rsidR="00D678E4" w:rsidRPr="00E90B39" w14:paraId="6386D19C" w14:textId="77777777" w:rsidTr="00982AC4">
        <w:tc>
          <w:tcPr>
            <w:tcW w:w="3167" w:type="dxa"/>
            <w:vAlign w:val="center"/>
          </w:tcPr>
          <w:p w14:paraId="0F0096DB" w14:textId="77777777" w:rsidR="00D678E4" w:rsidRPr="00FA472B" w:rsidRDefault="00D678E4" w:rsidP="00982AC4">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14:paraId="24A80343" w14:textId="77777777" w:rsidR="00D678E4" w:rsidRPr="00FA472B" w:rsidRDefault="00D678E4" w:rsidP="00982AC4">
            <w:pPr>
              <w:jc w:val="right"/>
              <w:rPr>
                <w:color w:val="000000"/>
                <w:kern w:val="0"/>
                <w:sz w:val="24"/>
              </w:rPr>
            </w:pPr>
            <w:r w:rsidRPr="00FA472B">
              <w:rPr>
                <w:color w:val="000000"/>
                <w:sz w:val="24"/>
              </w:rPr>
              <w:t>-</w:t>
            </w:r>
          </w:p>
        </w:tc>
        <w:tc>
          <w:tcPr>
            <w:tcW w:w="2631" w:type="dxa"/>
            <w:vAlign w:val="center"/>
          </w:tcPr>
          <w:p w14:paraId="5C91E18D" w14:textId="77777777" w:rsidR="00D678E4" w:rsidRPr="00FA472B" w:rsidRDefault="00D678E4" w:rsidP="00982AC4">
            <w:pPr>
              <w:jc w:val="right"/>
              <w:rPr>
                <w:color w:val="000000"/>
                <w:kern w:val="0"/>
                <w:sz w:val="24"/>
              </w:rPr>
            </w:pPr>
            <w:r w:rsidRPr="00FA472B">
              <w:rPr>
                <w:color w:val="000000"/>
                <w:sz w:val="24"/>
              </w:rPr>
              <w:t>-</w:t>
            </w:r>
          </w:p>
        </w:tc>
      </w:tr>
      <w:tr w:rsidR="00D678E4" w:rsidRPr="00E90B39" w14:paraId="739DE4A9" w14:textId="77777777" w:rsidTr="00982AC4">
        <w:tc>
          <w:tcPr>
            <w:tcW w:w="3167" w:type="dxa"/>
            <w:vAlign w:val="center"/>
          </w:tcPr>
          <w:p w14:paraId="46244362" w14:textId="77777777" w:rsidR="00D678E4" w:rsidRPr="00FA472B" w:rsidRDefault="00D678E4" w:rsidP="00982AC4">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14:paraId="7839EE26" w14:textId="77777777" w:rsidR="00D678E4" w:rsidRPr="00FA472B" w:rsidRDefault="00D678E4" w:rsidP="00982AC4">
            <w:pPr>
              <w:jc w:val="right"/>
              <w:rPr>
                <w:sz w:val="24"/>
              </w:rPr>
            </w:pPr>
            <w:r w:rsidRPr="00FA472B">
              <w:rPr>
                <w:color w:val="000000"/>
                <w:sz w:val="24"/>
              </w:rPr>
              <w:t>-</w:t>
            </w:r>
          </w:p>
        </w:tc>
        <w:tc>
          <w:tcPr>
            <w:tcW w:w="2631" w:type="dxa"/>
            <w:vAlign w:val="center"/>
          </w:tcPr>
          <w:p w14:paraId="6172290E" w14:textId="77777777" w:rsidR="00D678E4" w:rsidRPr="00FA472B" w:rsidRDefault="00D678E4" w:rsidP="00982AC4">
            <w:pPr>
              <w:jc w:val="right"/>
              <w:rPr>
                <w:sz w:val="24"/>
              </w:rPr>
            </w:pPr>
            <w:r w:rsidRPr="00FA472B">
              <w:rPr>
                <w:color w:val="000000"/>
                <w:sz w:val="24"/>
              </w:rPr>
              <w:t>10,000,097.22</w:t>
            </w:r>
          </w:p>
        </w:tc>
      </w:tr>
      <w:tr w:rsidR="00D678E4" w:rsidRPr="00E90B39" w14:paraId="1900F6EB" w14:textId="77777777" w:rsidTr="00982AC4">
        <w:tc>
          <w:tcPr>
            <w:tcW w:w="3167" w:type="dxa"/>
            <w:vAlign w:val="center"/>
          </w:tcPr>
          <w:p w14:paraId="0B5A1ACA" w14:textId="77777777" w:rsidR="00D678E4" w:rsidRPr="00FA472B" w:rsidRDefault="00D678E4" w:rsidP="00982AC4">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14:paraId="1AC2605F" w14:textId="77777777" w:rsidR="00D678E4" w:rsidRPr="00FA472B" w:rsidRDefault="00D678E4" w:rsidP="00982AC4">
            <w:pPr>
              <w:jc w:val="right"/>
              <w:rPr>
                <w:color w:val="000000"/>
                <w:kern w:val="0"/>
                <w:sz w:val="24"/>
              </w:rPr>
            </w:pPr>
            <w:r w:rsidRPr="00FA472B">
              <w:rPr>
                <w:color w:val="000000"/>
                <w:sz w:val="24"/>
              </w:rPr>
              <w:t>-</w:t>
            </w:r>
          </w:p>
        </w:tc>
        <w:tc>
          <w:tcPr>
            <w:tcW w:w="2631" w:type="dxa"/>
            <w:vAlign w:val="center"/>
          </w:tcPr>
          <w:p w14:paraId="2DF7DDB3" w14:textId="77777777" w:rsidR="00D678E4" w:rsidRPr="00FA472B" w:rsidRDefault="00D678E4" w:rsidP="00982AC4">
            <w:pPr>
              <w:jc w:val="right"/>
              <w:rPr>
                <w:color w:val="000000"/>
                <w:kern w:val="0"/>
                <w:sz w:val="24"/>
              </w:rPr>
            </w:pPr>
            <w:r w:rsidRPr="00FA472B">
              <w:rPr>
                <w:color w:val="000000"/>
                <w:sz w:val="24"/>
              </w:rPr>
              <w:t>14.89</w:t>
            </w:r>
          </w:p>
        </w:tc>
      </w:tr>
    </w:tbl>
    <w:p w14:paraId="550D5582" w14:textId="77777777"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14:paraId="7B9648A5" w14:textId="77777777"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14:paraId="4F6DDBC6" w14:textId="77777777"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14:paraId="44952241" w14:textId="77777777" w:rsidR="00AB2DFA" w:rsidRPr="00A3398F" w:rsidRDefault="00AB2DFA"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bCs w:val="0"/>
          <w:color w:val="000000" w:themeColor="text1"/>
          <w:kern w:val="2"/>
          <w:sz w:val="24"/>
          <w:szCs w:val="24"/>
        </w:rPr>
        <w:t xml:space="preserve">§8  </w:t>
      </w:r>
      <w:r w:rsidR="00861D07" w:rsidRPr="00A3398F">
        <w:rPr>
          <w:rFonts w:eastAsiaTheme="minorEastAsia"/>
          <w:bCs w:val="0"/>
          <w:color w:val="000000" w:themeColor="text1"/>
          <w:kern w:val="2"/>
          <w:sz w:val="24"/>
          <w:szCs w:val="24"/>
        </w:rPr>
        <w:t>报告期末</w:t>
      </w:r>
      <w:r w:rsidRPr="00A3398F">
        <w:rPr>
          <w:rFonts w:eastAsiaTheme="minorEastAsia"/>
          <w:bCs w:val="0"/>
          <w:color w:val="000000" w:themeColor="text1"/>
          <w:kern w:val="2"/>
          <w:sz w:val="24"/>
          <w:szCs w:val="24"/>
        </w:rPr>
        <w:t>发起式基金</w:t>
      </w:r>
      <w:r w:rsidRPr="00A3398F">
        <w:rPr>
          <w:rFonts w:eastAsiaTheme="minorEastAsia"/>
          <w:color w:val="000000" w:themeColor="text1"/>
          <w:kern w:val="0"/>
          <w:sz w:val="24"/>
          <w:szCs w:val="24"/>
        </w:rPr>
        <w:t>发起资金持有份额情况</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8277FF" w:rsidRPr="00A3398F" w14:paraId="321942BA" w14:textId="77777777" w:rsidTr="00CA0364">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285003F6" w14:textId="77777777" w:rsidR="00AB2DFA" w:rsidRPr="00A3398F" w:rsidRDefault="00AB2DFA" w:rsidP="007D5584">
            <w:pPr>
              <w:widowControl/>
              <w:jc w:val="center"/>
              <w:rPr>
                <w:rFonts w:eastAsiaTheme="minorEastAsia"/>
                <w:color w:val="000000" w:themeColor="text1"/>
                <w:szCs w:val="21"/>
              </w:rPr>
            </w:pPr>
            <w:r w:rsidRPr="00A3398F">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0B4C0DF" w14:textId="77777777"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157EFF2" w14:textId="77777777"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14:paraId="359CF4F3" w14:textId="77777777"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16DE68B" w14:textId="77777777"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14:paraId="50323B49" w14:textId="77777777" w:rsidR="00AB2DFA" w:rsidRPr="00A3398F" w:rsidRDefault="00AB2DFA" w:rsidP="007D5584">
            <w:pPr>
              <w:widowControl/>
              <w:jc w:val="center"/>
              <w:rPr>
                <w:rFonts w:eastAsiaTheme="minorEastAsia"/>
                <w:color w:val="000000" w:themeColor="text1"/>
                <w:szCs w:val="21"/>
              </w:rPr>
            </w:pPr>
            <w:r w:rsidRPr="00A3398F">
              <w:rPr>
                <w:rFonts w:eastAsiaTheme="minorEastAsia"/>
                <w:color w:val="000000" w:themeColor="text1"/>
                <w:szCs w:val="21"/>
              </w:rPr>
              <w:t>发起份额承诺持有期限</w:t>
            </w:r>
          </w:p>
        </w:tc>
      </w:tr>
      <w:tr w:rsidR="00CA0364" w:rsidRPr="00A3398F" w14:paraId="4F5CB57D" w14:textId="77777777" w:rsidTr="00CA036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0E219FEE" w14:textId="77777777" w:rsidR="00CA0364" w:rsidRPr="00A3398F" w:rsidRDefault="00CA0364" w:rsidP="00CA036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B013671" w14:textId="7BB6811A"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89263BE" w14:textId="0D84F206"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14.89%</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3094FEE" w14:textId="44D8C137"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774C4A7B" w14:textId="24542BD6"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14.89%</w:t>
            </w:r>
          </w:p>
        </w:tc>
        <w:tc>
          <w:tcPr>
            <w:tcW w:w="1495" w:type="dxa"/>
            <w:tcBorders>
              <w:top w:val="single" w:sz="4" w:space="0" w:color="auto"/>
              <w:left w:val="single" w:sz="4" w:space="0" w:color="auto"/>
              <w:bottom w:val="single" w:sz="4" w:space="0" w:color="auto"/>
              <w:right w:val="single" w:sz="4" w:space="0" w:color="auto"/>
            </w:tcBorders>
            <w:vAlign w:val="center"/>
            <w:hideMark/>
          </w:tcPr>
          <w:p w14:paraId="44D2358A" w14:textId="77777777"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年</w:t>
            </w:r>
          </w:p>
        </w:tc>
      </w:tr>
      <w:tr w:rsidR="00CA0364" w:rsidRPr="00A3398F" w14:paraId="202BA092" w14:textId="77777777" w:rsidTr="00CA0364">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32AB6BC1" w14:textId="77777777" w:rsidR="00CA0364" w:rsidRPr="00A3398F" w:rsidRDefault="00CA0364" w:rsidP="00CA036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551A1CD" w14:textId="6308F4DC"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7B93BBE" w14:textId="36D1B408"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835D50A" w14:textId="2D094766"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43AEBDA" w14:textId="4BDA4D65"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2376D08E" w14:textId="77777777"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CA0364" w:rsidRPr="00A3398F" w14:paraId="2F4BB2DA" w14:textId="77777777" w:rsidTr="00CA036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44BBB15E" w14:textId="77777777" w:rsidR="00CA0364" w:rsidRPr="00A3398F" w:rsidRDefault="00CA0364" w:rsidP="00CA036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F90430E" w14:textId="48B3CB6A"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C695D1C" w14:textId="7E4844D7"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4125B9BD" w14:textId="6ACDA6CA"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F5354D6" w14:textId="6E135F57"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1AEA7308" w14:textId="77777777"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CA0364" w:rsidRPr="00A3398F" w14:paraId="601EF3D4" w14:textId="77777777" w:rsidTr="00CA036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061930D6" w14:textId="77777777" w:rsidR="00CA0364" w:rsidRPr="00A3398F" w:rsidRDefault="00CA0364" w:rsidP="00CA036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F733AD7" w14:textId="6889DE66"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2A50D51" w14:textId="221FB947"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20FCB3A5" w14:textId="2926ABA7"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98484E7" w14:textId="02D8A84A"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0BEB6218" w14:textId="77777777"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CA0364" w:rsidRPr="00A3398F" w14:paraId="3DA76D83" w14:textId="77777777" w:rsidTr="00CA036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1E7D064D" w14:textId="77777777" w:rsidR="00CA0364" w:rsidRPr="00A3398F" w:rsidRDefault="00CA0364" w:rsidP="00CA036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D677C3C" w14:textId="01DC30BD"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615CF7B" w14:textId="66A77D72"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4DC578AD" w14:textId="6D316524"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BB35A44" w14:textId="37FB727A"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1A9ABF3E" w14:textId="77777777"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CA0364" w:rsidRPr="00A3398F" w14:paraId="06D3F091" w14:textId="77777777" w:rsidTr="00CA036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5B211913" w14:textId="77777777" w:rsidR="00CA0364" w:rsidRPr="00A3398F" w:rsidRDefault="00CA0364" w:rsidP="00CA036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FCBC99E" w14:textId="379ACE5F"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8027276" w14:textId="1E52A4CF"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14.89%</w:t>
            </w:r>
          </w:p>
        </w:tc>
        <w:tc>
          <w:tcPr>
            <w:tcW w:w="1065" w:type="dxa"/>
            <w:tcBorders>
              <w:top w:val="single" w:sz="4" w:space="0" w:color="auto"/>
              <w:left w:val="single" w:sz="4" w:space="0" w:color="auto"/>
              <w:bottom w:val="single" w:sz="4" w:space="0" w:color="auto"/>
              <w:right w:val="single" w:sz="4" w:space="0" w:color="auto"/>
            </w:tcBorders>
            <w:vAlign w:val="center"/>
            <w:hideMark/>
          </w:tcPr>
          <w:p w14:paraId="40EDFE52" w14:textId="276EA214"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05426762" w14:textId="49B1194D"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14.89%</w:t>
            </w:r>
          </w:p>
        </w:tc>
        <w:tc>
          <w:tcPr>
            <w:tcW w:w="1495" w:type="dxa"/>
            <w:tcBorders>
              <w:top w:val="single" w:sz="4" w:space="0" w:color="auto"/>
              <w:left w:val="single" w:sz="4" w:space="0" w:color="auto"/>
              <w:bottom w:val="single" w:sz="4" w:space="0" w:color="auto"/>
              <w:right w:val="single" w:sz="4" w:space="0" w:color="auto"/>
            </w:tcBorders>
            <w:vAlign w:val="center"/>
            <w:hideMark/>
          </w:tcPr>
          <w:p w14:paraId="5F84DB0A" w14:textId="77777777" w:rsidR="00CA0364" w:rsidRPr="00A3398F" w:rsidRDefault="00CA0364" w:rsidP="00CA036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年</w:t>
            </w:r>
          </w:p>
        </w:tc>
      </w:tr>
    </w:tbl>
    <w:p w14:paraId="0BC0ADAA"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B111B9" w:rsidRPr="00A3398F">
        <w:rPr>
          <w:rFonts w:eastAsiaTheme="minorEastAsia"/>
          <w:color w:val="000000" w:themeColor="text1"/>
          <w:kern w:val="0"/>
          <w:sz w:val="24"/>
          <w:szCs w:val="24"/>
        </w:rPr>
        <w:t xml:space="preserve">9 </w:t>
      </w:r>
      <w:r w:rsidRPr="00A3398F">
        <w:rPr>
          <w:rFonts w:eastAsiaTheme="minorEastAsia"/>
          <w:color w:val="000000" w:themeColor="text1"/>
          <w:kern w:val="0"/>
          <w:sz w:val="24"/>
          <w:szCs w:val="24"/>
        </w:rPr>
        <w:t>影响投资者决策的其他重要信息</w:t>
      </w:r>
    </w:p>
    <w:p w14:paraId="79D31511" w14:textId="77777777" w:rsidR="00FA3195" w:rsidRPr="00A3398F" w:rsidRDefault="00FA3195" w:rsidP="00FA3195">
      <w:pPr>
        <w:autoSpaceDE w:val="0"/>
        <w:autoSpaceDN w:val="0"/>
        <w:adjustRightInd w:val="0"/>
        <w:spacing w:line="360" w:lineRule="auto"/>
        <w:jc w:val="left"/>
        <w:rPr>
          <w:b/>
          <w:bCs/>
          <w:color w:val="000000"/>
          <w:kern w:val="0"/>
          <w:sz w:val="24"/>
        </w:rPr>
      </w:pPr>
      <w:r w:rsidRPr="00A3398F">
        <w:rPr>
          <w:b/>
          <w:bCs/>
          <w:color w:val="000000"/>
          <w:kern w:val="0"/>
          <w:sz w:val="24"/>
        </w:rPr>
        <w:t xml:space="preserve">9.1 </w:t>
      </w:r>
      <w:r w:rsidRPr="00A3398F">
        <w:rPr>
          <w:b/>
          <w:bCs/>
          <w:color w:val="000000"/>
          <w:kern w:val="0"/>
          <w:sz w:val="24"/>
        </w:rPr>
        <w:t>报告期内单一投资者持有基金份额比例达到或超过</w:t>
      </w:r>
      <w:r w:rsidRPr="00A3398F">
        <w:rPr>
          <w:b/>
          <w:bCs/>
          <w:color w:val="000000"/>
          <w:kern w:val="0"/>
          <w:sz w:val="24"/>
        </w:rPr>
        <w:t>20%</w:t>
      </w:r>
      <w:r w:rsidRPr="00A3398F">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A3195" w:rsidRPr="00A3398F" w14:paraId="23051CBF" w14:textId="77777777" w:rsidTr="00EF4716">
        <w:tc>
          <w:tcPr>
            <w:tcW w:w="993" w:type="dxa"/>
            <w:vMerge w:val="restart"/>
            <w:vAlign w:val="center"/>
          </w:tcPr>
          <w:p w14:paraId="31DC23DD"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投资者类别</w:t>
            </w:r>
            <w:r w:rsidRPr="00A3398F">
              <w:rPr>
                <w:color w:val="000000"/>
                <w:kern w:val="0"/>
                <w:szCs w:val="21"/>
              </w:rPr>
              <w:t xml:space="preserve">  </w:t>
            </w:r>
          </w:p>
        </w:tc>
        <w:tc>
          <w:tcPr>
            <w:tcW w:w="5670" w:type="dxa"/>
            <w:gridSpan w:val="5"/>
            <w:vAlign w:val="center"/>
          </w:tcPr>
          <w:p w14:paraId="6558A455"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报告期内持有基金份额变化情况</w:t>
            </w:r>
          </w:p>
        </w:tc>
        <w:tc>
          <w:tcPr>
            <w:tcW w:w="2549" w:type="dxa"/>
            <w:gridSpan w:val="2"/>
            <w:vAlign w:val="center"/>
          </w:tcPr>
          <w:p w14:paraId="14A542EC"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报告期末持有基金情况</w:t>
            </w:r>
          </w:p>
        </w:tc>
      </w:tr>
      <w:tr w:rsidR="00FA3195" w:rsidRPr="00A3398F" w14:paraId="653E2F2E" w14:textId="77777777" w:rsidTr="00EF4716">
        <w:tc>
          <w:tcPr>
            <w:tcW w:w="993" w:type="dxa"/>
            <w:vMerge/>
            <w:vAlign w:val="center"/>
          </w:tcPr>
          <w:p w14:paraId="162C8A08" w14:textId="77777777" w:rsidR="00FA3195" w:rsidRPr="00A3398F" w:rsidRDefault="00FA3195" w:rsidP="00EF4716">
            <w:pPr>
              <w:autoSpaceDE w:val="0"/>
              <w:autoSpaceDN w:val="0"/>
              <w:adjustRightInd w:val="0"/>
              <w:jc w:val="center"/>
              <w:rPr>
                <w:b/>
                <w:bCs/>
                <w:color w:val="000000"/>
                <w:kern w:val="0"/>
                <w:szCs w:val="21"/>
              </w:rPr>
            </w:pPr>
          </w:p>
        </w:tc>
        <w:tc>
          <w:tcPr>
            <w:tcW w:w="992" w:type="dxa"/>
            <w:vAlign w:val="center"/>
          </w:tcPr>
          <w:p w14:paraId="45B802B0"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序号</w:t>
            </w:r>
          </w:p>
        </w:tc>
        <w:tc>
          <w:tcPr>
            <w:tcW w:w="1843" w:type="dxa"/>
            <w:vAlign w:val="center"/>
          </w:tcPr>
          <w:p w14:paraId="3F4BF31A"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持有基金份额比例达到或者超过</w:t>
            </w:r>
            <w:r w:rsidRPr="00A3398F">
              <w:rPr>
                <w:color w:val="000000"/>
                <w:kern w:val="0"/>
                <w:szCs w:val="21"/>
              </w:rPr>
              <w:t>20%</w:t>
            </w:r>
            <w:r w:rsidRPr="00A3398F">
              <w:rPr>
                <w:color w:val="000000"/>
                <w:kern w:val="0"/>
                <w:szCs w:val="21"/>
              </w:rPr>
              <w:t>的时间区间</w:t>
            </w:r>
          </w:p>
        </w:tc>
        <w:tc>
          <w:tcPr>
            <w:tcW w:w="851" w:type="dxa"/>
            <w:vAlign w:val="center"/>
          </w:tcPr>
          <w:p w14:paraId="5FBA0C21" w14:textId="77777777" w:rsidR="00FA3195" w:rsidRPr="00A3398F" w:rsidRDefault="00FA3195" w:rsidP="00EF4716">
            <w:pPr>
              <w:widowControl/>
              <w:jc w:val="center"/>
              <w:rPr>
                <w:b/>
                <w:bCs/>
                <w:color w:val="000000"/>
                <w:kern w:val="0"/>
                <w:szCs w:val="21"/>
              </w:rPr>
            </w:pPr>
            <w:r w:rsidRPr="00A3398F">
              <w:rPr>
                <w:color w:val="000000"/>
                <w:kern w:val="0"/>
                <w:szCs w:val="21"/>
              </w:rPr>
              <w:t>期初份额</w:t>
            </w:r>
          </w:p>
        </w:tc>
        <w:tc>
          <w:tcPr>
            <w:tcW w:w="850" w:type="dxa"/>
            <w:vAlign w:val="center"/>
          </w:tcPr>
          <w:p w14:paraId="7F70261A" w14:textId="77777777" w:rsidR="00FA3195" w:rsidRPr="00A3398F" w:rsidRDefault="00FA3195" w:rsidP="00EF4716">
            <w:pPr>
              <w:widowControl/>
              <w:jc w:val="center"/>
              <w:rPr>
                <w:b/>
                <w:bCs/>
                <w:color w:val="000000"/>
                <w:kern w:val="0"/>
                <w:szCs w:val="21"/>
              </w:rPr>
            </w:pPr>
            <w:r w:rsidRPr="00A3398F">
              <w:rPr>
                <w:color w:val="000000"/>
                <w:kern w:val="0"/>
                <w:szCs w:val="21"/>
              </w:rPr>
              <w:t>申购份额</w:t>
            </w:r>
          </w:p>
        </w:tc>
        <w:tc>
          <w:tcPr>
            <w:tcW w:w="1134" w:type="dxa"/>
            <w:vAlign w:val="center"/>
          </w:tcPr>
          <w:p w14:paraId="0C72A4AA" w14:textId="77777777" w:rsidR="00FA3195" w:rsidRPr="00A3398F" w:rsidRDefault="00FA3195" w:rsidP="00EF4716">
            <w:pPr>
              <w:widowControl/>
              <w:jc w:val="center"/>
              <w:rPr>
                <w:b/>
                <w:bCs/>
                <w:color w:val="000000"/>
                <w:kern w:val="0"/>
                <w:szCs w:val="21"/>
              </w:rPr>
            </w:pPr>
            <w:r w:rsidRPr="00A3398F">
              <w:rPr>
                <w:color w:val="000000"/>
                <w:kern w:val="0"/>
                <w:szCs w:val="21"/>
              </w:rPr>
              <w:t>赎回份额</w:t>
            </w:r>
          </w:p>
        </w:tc>
        <w:tc>
          <w:tcPr>
            <w:tcW w:w="1419" w:type="dxa"/>
            <w:vAlign w:val="center"/>
          </w:tcPr>
          <w:p w14:paraId="2523D2EB"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持有份额</w:t>
            </w:r>
          </w:p>
        </w:tc>
        <w:tc>
          <w:tcPr>
            <w:tcW w:w="1130" w:type="dxa"/>
            <w:vAlign w:val="center"/>
          </w:tcPr>
          <w:p w14:paraId="6A5F4DF2"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份额占比</w:t>
            </w:r>
          </w:p>
        </w:tc>
      </w:tr>
      <w:tr w:rsidR="00E906F1" w14:paraId="28E36BE6" w14:textId="77777777">
        <w:tc>
          <w:tcPr>
            <w:tcW w:w="993" w:type="dxa"/>
            <w:vMerge w:val="restart"/>
            <w:vAlign w:val="center"/>
          </w:tcPr>
          <w:p w14:paraId="1DA4D1A1" w14:textId="77777777" w:rsidR="00E906F1" w:rsidRDefault="00CA0364">
            <w:r>
              <w:rPr>
                <w:bCs/>
                <w:color w:val="000000"/>
                <w:kern w:val="0"/>
                <w:szCs w:val="21"/>
              </w:rPr>
              <w:t>机构</w:t>
            </w:r>
          </w:p>
        </w:tc>
        <w:tc>
          <w:tcPr>
            <w:tcW w:w="992" w:type="dxa"/>
            <w:vAlign w:val="center"/>
          </w:tcPr>
          <w:p w14:paraId="570ABFC4" w14:textId="77777777" w:rsidR="00E906F1" w:rsidRDefault="00CA0364">
            <w:pPr>
              <w:jc w:val="center"/>
            </w:pPr>
            <w:r>
              <w:rPr>
                <w:color w:val="000000"/>
                <w:kern w:val="0"/>
                <w:szCs w:val="21"/>
              </w:rPr>
              <w:t>1</w:t>
            </w:r>
          </w:p>
        </w:tc>
        <w:tc>
          <w:tcPr>
            <w:tcW w:w="1843" w:type="dxa"/>
            <w:vAlign w:val="center"/>
          </w:tcPr>
          <w:p w14:paraId="526B9779" w14:textId="77777777" w:rsidR="00E906F1" w:rsidRDefault="00CA0364">
            <w:pPr>
              <w:jc w:val="center"/>
            </w:pPr>
            <w:r>
              <w:rPr>
                <w:color w:val="000000"/>
                <w:kern w:val="0"/>
                <w:szCs w:val="21"/>
              </w:rPr>
              <w:t>20240902-20240923</w:t>
            </w:r>
          </w:p>
        </w:tc>
        <w:tc>
          <w:tcPr>
            <w:tcW w:w="851" w:type="dxa"/>
            <w:vAlign w:val="center"/>
          </w:tcPr>
          <w:p w14:paraId="049ECB90" w14:textId="77777777" w:rsidR="00E906F1" w:rsidRDefault="00CA0364">
            <w:pPr>
              <w:jc w:val="center"/>
            </w:pPr>
            <w:r>
              <w:rPr>
                <w:color w:val="000000"/>
                <w:kern w:val="0"/>
                <w:szCs w:val="21"/>
              </w:rPr>
              <w:t>10,000,097.22</w:t>
            </w:r>
          </w:p>
        </w:tc>
        <w:tc>
          <w:tcPr>
            <w:tcW w:w="850" w:type="dxa"/>
            <w:vAlign w:val="center"/>
          </w:tcPr>
          <w:p w14:paraId="5AF3F52E" w14:textId="77777777" w:rsidR="00E906F1" w:rsidRDefault="00CA0364">
            <w:pPr>
              <w:jc w:val="center"/>
            </w:pPr>
            <w:r>
              <w:rPr>
                <w:color w:val="000000"/>
                <w:kern w:val="0"/>
                <w:szCs w:val="21"/>
              </w:rPr>
              <w:t>0.00</w:t>
            </w:r>
          </w:p>
        </w:tc>
        <w:tc>
          <w:tcPr>
            <w:tcW w:w="1134" w:type="dxa"/>
            <w:vAlign w:val="center"/>
          </w:tcPr>
          <w:p w14:paraId="5C11C372" w14:textId="77777777" w:rsidR="00E906F1" w:rsidRDefault="00CA0364">
            <w:pPr>
              <w:jc w:val="center"/>
            </w:pPr>
            <w:r>
              <w:rPr>
                <w:color w:val="000000"/>
                <w:kern w:val="0"/>
                <w:szCs w:val="21"/>
              </w:rPr>
              <w:t>0.00</w:t>
            </w:r>
          </w:p>
        </w:tc>
        <w:tc>
          <w:tcPr>
            <w:tcW w:w="1419" w:type="dxa"/>
            <w:vAlign w:val="center"/>
          </w:tcPr>
          <w:p w14:paraId="3083CF2C" w14:textId="77777777" w:rsidR="00E906F1" w:rsidRDefault="00CA0364">
            <w:pPr>
              <w:jc w:val="center"/>
            </w:pPr>
            <w:r>
              <w:rPr>
                <w:color w:val="000000"/>
                <w:kern w:val="0"/>
                <w:szCs w:val="21"/>
              </w:rPr>
              <w:t>10,000,097.22</w:t>
            </w:r>
          </w:p>
        </w:tc>
        <w:tc>
          <w:tcPr>
            <w:tcW w:w="1130" w:type="dxa"/>
            <w:vAlign w:val="center"/>
          </w:tcPr>
          <w:p w14:paraId="4BAF8DE5" w14:textId="77777777" w:rsidR="00E906F1" w:rsidRDefault="00CA0364">
            <w:pPr>
              <w:jc w:val="center"/>
            </w:pPr>
            <w:r>
              <w:rPr>
                <w:color w:val="000000"/>
                <w:kern w:val="0"/>
                <w:szCs w:val="21"/>
              </w:rPr>
              <w:t>14.89%</w:t>
            </w:r>
          </w:p>
        </w:tc>
      </w:tr>
      <w:tr w:rsidR="00E906F1" w14:paraId="699C84BE" w14:textId="77777777">
        <w:tc>
          <w:tcPr>
            <w:tcW w:w="993" w:type="dxa"/>
            <w:vMerge/>
          </w:tcPr>
          <w:p w14:paraId="37AF2B00" w14:textId="77777777" w:rsidR="00E906F1" w:rsidRDefault="00E906F1"/>
        </w:tc>
        <w:tc>
          <w:tcPr>
            <w:tcW w:w="992" w:type="dxa"/>
            <w:vAlign w:val="center"/>
          </w:tcPr>
          <w:p w14:paraId="56116DAC" w14:textId="77777777" w:rsidR="00E906F1" w:rsidRDefault="00CA0364">
            <w:pPr>
              <w:jc w:val="center"/>
            </w:pPr>
            <w:r>
              <w:rPr>
                <w:color w:val="000000"/>
                <w:kern w:val="0"/>
                <w:szCs w:val="21"/>
              </w:rPr>
              <w:t>2</w:t>
            </w:r>
          </w:p>
        </w:tc>
        <w:tc>
          <w:tcPr>
            <w:tcW w:w="1843" w:type="dxa"/>
            <w:vAlign w:val="center"/>
          </w:tcPr>
          <w:p w14:paraId="75A9550B" w14:textId="77777777" w:rsidR="00E906F1" w:rsidRDefault="00CA0364">
            <w:pPr>
              <w:jc w:val="center"/>
            </w:pPr>
            <w:r>
              <w:rPr>
                <w:color w:val="000000"/>
                <w:kern w:val="0"/>
                <w:szCs w:val="21"/>
              </w:rPr>
              <w:t>20240701-202408</w:t>
            </w:r>
            <w:r>
              <w:rPr>
                <w:color w:val="000000"/>
                <w:kern w:val="0"/>
                <w:szCs w:val="21"/>
              </w:rPr>
              <w:lastRenderedPageBreak/>
              <w:t>28</w:t>
            </w:r>
          </w:p>
        </w:tc>
        <w:tc>
          <w:tcPr>
            <w:tcW w:w="851" w:type="dxa"/>
            <w:vAlign w:val="center"/>
          </w:tcPr>
          <w:p w14:paraId="7C3086F8" w14:textId="77777777" w:rsidR="00E906F1" w:rsidRDefault="00CA0364">
            <w:pPr>
              <w:jc w:val="center"/>
            </w:pPr>
            <w:r>
              <w:rPr>
                <w:color w:val="000000"/>
                <w:kern w:val="0"/>
                <w:szCs w:val="21"/>
              </w:rPr>
              <w:lastRenderedPageBreak/>
              <w:t>10,000,</w:t>
            </w:r>
            <w:r>
              <w:rPr>
                <w:color w:val="000000"/>
                <w:kern w:val="0"/>
                <w:szCs w:val="21"/>
              </w:rPr>
              <w:lastRenderedPageBreak/>
              <w:t>097.22</w:t>
            </w:r>
          </w:p>
        </w:tc>
        <w:tc>
          <w:tcPr>
            <w:tcW w:w="850" w:type="dxa"/>
            <w:vAlign w:val="center"/>
          </w:tcPr>
          <w:p w14:paraId="6CB6E196" w14:textId="77777777" w:rsidR="00E906F1" w:rsidRDefault="00CA0364">
            <w:pPr>
              <w:jc w:val="center"/>
            </w:pPr>
            <w:r>
              <w:rPr>
                <w:color w:val="000000"/>
                <w:kern w:val="0"/>
                <w:szCs w:val="21"/>
              </w:rPr>
              <w:lastRenderedPageBreak/>
              <w:t>0.00</w:t>
            </w:r>
          </w:p>
        </w:tc>
        <w:tc>
          <w:tcPr>
            <w:tcW w:w="1134" w:type="dxa"/>
            <w:vAlign w:val="center"/>
          </w:tcPr>
          <w:p w14:paraId="3EF91D52" w14:textId="77777777" w:rsidR="00E906F1" w:rsidRDefault="00CA0364">
            <w:pPr>
              <w:jc w:val="center"/>
            </w:pPr>
            <w:r>
              <w:rPr>
                <w:color w:val="000000"/>
                <w:kern w:val="0"/>
                <w:szCs w:val="21"/>
              </w:rPr>
              <w:t>0.00</w:t>
            </w:r>
          </w:p>
        </w:tc>
        <w:tc>
          <w:tcPr>
            <w:tcW w:w="1419" w:type="dxa"/>
            <w:vAlign w:val="center"/>
          </w:tcPr>
          <w:p w14:paraId="75E6A6EE" w14:textId="77777777" w:rsidR="00E906F1" w:rsidRDefault="00CA0364">
            <w:pPr>
              <w:jc w:val="center"/>
            </w:pPr>
            <w:r>
              <w:rPr>
                <w:color w:val="000000"/>
                <w:kern w:val="0"/>
                <w:szCs w:val="21"/>
              </w:rPr>
              <w:t>10,000,097.2</w:t>
            </w:r>
            <w:r>
              <w:rPr>
                <w:color w:val="000000"/>
                <w:kern w:val="0"/>
                <w:szCs w:val="21"/>
              </w:rPr>
              <w:lastRenderedPageBreak/>
              <w:t>2</w:t>
            </w:r>
          </w:p>
        </w:tc>
        <w:tc>
          <w:tcPr>
            <w:tcW w:w="1130" w:type="dxa"/>
            <w:vAlign w:val="center"/>
          </w:tcPr>
          <w:p w14:paraId="2C9EF7FE" w14:textId="77777777" w:rsidR="00E906F1" w:rsidRDefault="00CA0364">
            <w:pPr>
              <w:jc w:val="center"/>
            </w:pPr>
            <w:r>
              <w:rPr>
                <w:color w:val="000000"/>
                <w:kern w:val="0"/>
                <w:szCs w:val="21"/>
              </w:rPr>
              <w:lastRenderedPageBreak/>
              <w:t>14.89%</w:t>
            </w:r>
          </w:p>
        </w:tc>
      </w:tr>
      <w:tr w:rsidR="00FA3195" w:rsidRPr="00A3398F" w14:paraId="1288E8E1" w14:textId="77777777" w:rsidTr="00EF4716">
        <w:tc>
          <w:tcPr>
            <w:tcW w:w="9212" w:type="dxa"/>
            <w:gridSpan w:val="8"/>
            <w:vAlign w:val="center"/>
          </w:tcPr>
          <w:p w14:paraId="349D5314" w14:textId="77777777" w:rsidR="00FA3195" w:rsidRPr="00A3398F" w:rsidRDefault="00FA3195" w:rsidP="00EF4716">
            <w:pPr>
              <w:autoSpaceDE w:val="0"/>
              <w:autoSpaceDN w:val="0"/>
              <w:adjustRightInd w:val="0"/>
              <w:jc w:val="center"/>
              <w:rPr>
                <w:kern w:val="0"/>
                <w:szCs w:val="21"/>
              </w:rPr>
            </w:pPr>
            <w:r w:rsidRPr="00A3398F">
              <w:rPr>
                <w:color w:val="000000"/>
                <w:kern w:val="0"/>
                <w:szCs w:val="21"/>
              </w:rPr>
              <w:t>产品特有风险</w:t>
            </w:r>
          </w:p>
        </w:tc>
      </w:tr>
      <w:tr w:rsidR="00FA3195" w:rsidRPr="00A3398F" w14:paraId="1A5A56F8" w14:textId="77777777" w:rsidTr="00EF4716">
        <w:tc>
          <w:tcPr>
            <w:tcW w:w="9212" w:type="dxa"/>
            <w:gridSpan w:val="8"/>
            <w:vAlign w:val="center"/>
          </w:tcPr>
          <w:p w14:paraId="295AC593" w14:textId="77777777" w:rsidR="00FA3195" w:rsidRPr="00A3398F" w:rsidRDefault="00FA3195" w:rsidP="00EF4716">
            <w:pPr>
              <w:autoSpaceDE w:val="0"/>
              <w:autoSpaceDN w:val="0"/>
              <w:adjustRightInd w:val="0"/>
              <w:jc w:val="left"/>
              <w:rPr>
                <w:kern w:val="0"/>
                <w:szCs w:val="21"/>
              </w:rPr>
            </w:pPr>
            <w:r w:rsidRPr="00A3398F">
              <w:rPr>
                <w:kern w:val="0"/>
                <w:szCs w:val="21"/>
              </w:rPr>
              <w:t>本基金的集中度风险主要体现在有单一投资者持有基金份额比例达到或者超过</w:t>
            </w:r>
            <w:r w:rsidRPr="00A3398F">
              <w:rPr>
                <w:kern w:val="0"/>
                <w:szCs w:val="21"/>
              </w:rPr>
              <w:t>20%</w:t>
            </w:r>
            <w:r w:rsidRPr="00A3398F">
              <w:rPr>
                <w:kern w:val="0"/>
                <w:szCs w:val="21"/>
              </w:rPr>
              <w:t>，如果投资者发生大额赎回，可能出现基金可变现资产无法满足投资者赎回需要以及因为资产变现成本过高导致投资者的利益受到损害的风险。</w:t>
            </w:r>
          </w:p>
        </w:tc>
      </w:tr>
    </w:tbl>
    <w:p w14:paraId="16C73546" w14:textId="77777777" w:rsidR="00FA3195" w:rsidRPr="00A3398F" w:rsidRDefault="00FA3195" w:rsidP="00FA3195">
      <w:pPr>
        <w:autoSpaceDE w:val="0"/>
        <w:autoSpaceDN w:val="0"/>
        <w:adjustRightInd w:val="0"/>
        <w:spacing w:line="360" w:lineRule="auto"/>
        <w:jc w:val="left"/>
        <w:rPr>
          <w:b/>
          <w:bCs/>
          <w:color w:val="000000"/>
          <w:kern w:val="0"/>
          <w:sz w:val="24"/>
        </w:rPr>
      </w:pPr>
      <w:r w:rsidRPr="00A3398F">
        <w:rPr>
          <w:b/>
          <w:bCs/>
          <w:color w:val="000000"/>
          <w:kern w:val="0"/>
          <w:sz w:val="24"/>
        </w:rPr>
        <w:t xml:space="preserve">9.2 </w:t>
      </w:r>
      <w:r w:rsidRPr="00A3398F">
        <w:rPr>
          <w:b/>
          <w:bCs/>
          <w:color w:val="000000"/>
          <w:kern w:val="0"/>
          <w:sz w:val="24"/>
        </w:rPr>
        <w:t>影响投资者决策的其他重要信息</w:t>
      </w:r>
    </w:p>
    <w:p w14:paraId="73537559" w14:textId="77777777" w:rsidR="00FA3195" w:rsidRPr="00A3398F" w:rsidRDefault="00FA3195" w:rsidP="00FA3195">
      <w:pPr>
        <w:spacing w:line="360" w:lineRule="auto"/>
        <w:ind w:firstLineChars="200" w:firstLine="420"/>
        <w:rPr>
          <w:color w:val="000000"/>
          <w:szCs w:val="21"/>
        </w:rPr>
      </w:pPr>
      <w:r w:rsidRPr="00A3398F">
        <w:rPr>
          <w:color w:val="000000"/>
          <w:szCs w:val="21"/>
        </w:rPr>
        <w:t>无。</w:t>
      </w:r>
    </w:p>
    <w:p w14:paraId="63C9DD01"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10</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14:paraId="52304B00"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10</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14:paraId="21BA1E76"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14:paraId="7C2F5813"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摩根恒生科技交易型开放式指数证券投资基金发起式联接基金</w:t>
      </w:r>
      <w:r>
        <w:rPr>
          <w:rFonts w:eastAsiaTheme="minorEastAsia"/>
          <w:color w:val="000000" w:themeColor="text1"/>
          <w:szCs w:val="21"/>
        </w:rPr>
        <w:t>(QDII)</w:t>
      </w:r>
      <w:r>
        <w:rPr>
          <w:rFonts w:eastAsiaTheme="minorEastAsia"/>
          <w:color w:val="000000" w:themeColor="text1"/>
          <w:szCs w:val="21"/>
        </w:rPr>
        <w:t>基金合同</w:t>
      </w:r>
    </w:p>
    <w:p w14:paraId="3F52CE7C"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摩根恒生科技交易型开放式指数证券投资基金发起式联接基金</w:t>
      </w:r>
      <w:r>
        <w:rPr>
          <w:rFonts w:eastAsiaTheme="minorEastAsia"/>
          <w:color w:val="000000" w:themeColor="text1"/>
          <w:szCs w:val="21"/>
        </w:rPr>
        <w:t>(QDII)</w:t>
      </w:r>
      <w:r>
        <w:rPr>
          <w:rFonts w:eastAsiaTheme="minorEastAsia"/>
          <w:color w:val="000000" w:themeColor="text1"/>
          <w:szCs w:val="21"/>
        </w:rPr>
        <w:t>托管协议</w:t>
      </w:r>
    </w:p>
    <w:p w14:paraId="66C82F01"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28C02FE7"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6FFA7207"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75F570D3" w14:textId="77777777" w:rsidR="00E906F1" w:rsidRDefault="00CA0364">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63F63946"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（八）中国证监会要求的其他文件</w:t>
      </w:r>
    </w:p>
    <w:p w14:paraId="78001E8C" w14:textId="77777777" w:rsidR="008A2EC6" w:rsidRPr="00A3398F" w:rsidRDefault="008A2EC6" w:rsidP="000C7596">
      <w:pPr>
        <w:spacing w:line="360" w:lineRule="auto"/>
        <w:ind w:firstLineChars="200" w:firstLine="480"/>
        <w:rPr>
          <w:rFonts w:eastAsiaTheme="minorEastAsia"/>
          <w:color w:val="000000" w:themeColor="text1"/>
          <w:sz w:val="24"/>
        </w:rPr>
      </w:pPr>
    </w:p>
    <w:p w14:paraId="37A0E52F"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10</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14:paraId="32850D86"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基金管理人或基金托管人处。</w:t>
      </w:r>
    </w:p>
    <w:p w14:paraId="3564922A" w14:textId="77777777" w:rsidR="008A2EC6" w:rsidRPr="00A3398F" w:rsidRDefault="008A2EC6" w:rsidP="000C7596">
      <w:pPr>
        <w:spacing w:line="360" w:lineRule="auto"/>
        <w:ind w:firstLineChars="200" w:firstLine="480"/>
        <w:rPr>
          <w:rFonts w:eastAsiaTheme="minorEastAsia"/>
          <w:color w:val="000000" w:themeColor="text1"/>
          <w:sz w:val="24"/>
        </w:rPr>
      </w:pPr>
    </w:p>
    <w:p w14:paraId="6E482FD8"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10</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14:paraId="62606275"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14:paraId="26AE1F69" w14:textId="77777777" w:rsidR="0076518F" w:rsidRPr="00A3398F" w:rsidRDefault="0076518F" w:rsidP="008B6A4A">
      <w:pPr>
        <w:spacing w:line="360" w:lineRule="auto"/>
        <w:ind w:firstLineChars="200" w:firstLine="480"/>
        <w:rPr>
          <w:rFonts w:eastAsiaTheme="minorEastAsia"/>
          <w:color w:val="000000" w:themeColor="text1"/>
          <w:sz w:val="24"/>
        </w:rPr>
      </w:pPr>
    </w:p>
    <w:p w14:paraId="00F7D11F" w14:textId="77777777" w:rsidR="008A2EC6" w:rsidRPr="00A3398F" w:rsidRDefault="008A2EC6" w:rsidP="008B6A4A">
      <w:pPr>
        <w:spacing w:line="360" w:lineRule="auto"/>
        <w:ind w:firstLineChars="200" w:firstLine="480"/>
        <w:rPr>
          <w:rFonts w:eastAsiaTheme="minorEastAsia"/>
          <w:color w:val="000000" w:themeColor="text1"/>
          <w:sz w:val="24"/>
        </w:rPr>
      </w:pPr>
    </w:p>
    <w:p w14:paraId="7394BE65" w14:textId="77777777" w:rsidR="0076518F" w:rsidRPr="00A3398F" w:rsidRDefault="0076518F" w:rsidP="008B6A4A">
      <w:pPr>
        <w:spacing w:line="360" w:lineRule="auto"/>
        <w:ind w:firstLineChars="200" w:firstLine="480"/>
        <w:rPr>
          <w:rFonts w:eastAsiaTheme="minorEastAsia"/>
          <w:color w:val="000000" w:themeColor="text1"/>
          <w:sz w:val="24"/>
        </w:rPr>
      </w:pPr>
      <w:bookmarkStart w:id="1" w:name="_GoBack"/>
      <w:bookmarkEnd w:id="1"/>
    </w:p>
    <w:p w14:paraId="2C5917A9" w14:textId="77777777"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14:paraId="70ED88AE" w14:textId="77777777"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二〇二四年十月二十五日</w:t>
      </w:r>
    </w:p>
    <w:sectPr w:rsidR="0076518F" w:rsidRPr="00A3398F" w:rsidSect="00DB4450">
      <w:headerReference w:type="even" r:id="rId12"/>
      <w:footerReference w:type="even" r:id="rId13"/>
      <w:footerReference w:type="default" r:id="rId14"/>
      <w:headerReference w:type="first" r:id="rId15"/>
      <w:footerReference w:type="firs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844D4" w14:textId="77777777" w:rsidR="00E21D48" w:rsidRDefault="00E21D48">
      <w:r>
        <w:separator/>
      </w:r>
    </w:p>
  </w:endnote>
  <w:endnote w:type="continuationSeparator" w:id="0">
    <w:p w14:paraId="69519FED" w14:textId="77777777" w:rsidR="00E21D48" w:rsidRDefault="00E2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60A6D" w14:textId="630E9A18" w:rsidR="00982AC4" w:rsidRPr="001D0DB0" w:rsidRDefault="00982AC4"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11F9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11F95">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1B73F" w14:textId="77777777" w:rsidR="00982AC4" w:rsidRDefault="00982A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98FDD41" w14:textId="77777777" w:rsidR="00982AC4" w:rsidRDefault="00982AC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7DF74" w14:textId="0D4258C0" w:rsidR="00982AC4" w:rsidRDefault="00982A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11F95">
      <w:rPr>
        <w:rStyle w:val="a8"/>
        <w:noProof/>
      </w:rPr>
      <w:t>15</w:t>
    </w:r>
    <w:r>
      <w:rPr>
        <w:rStyle w:val="a8"/>
      </w:rPr>
      <w:fldChar w:fldCharType="end"/>
    </w:r>
  </w:p>
  <w:p w14:paraId="42A431CB" w14:textId="77777777" w:rsidR="00982AC4" w:rsidRDefault="00982AC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EA5AB" w14:textId="77777777" w:rsidR="00982AC4" w:rsidRDefault="00982A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CB5FD" w14:textId="77777777" w:rsidR="00E21D48" w:rsidRDefault="00E21D48">
      <w:r>
        <w:separator/>
      </w:r>
    </w:p>
  </w:footnote>
  <w:footnote w:type="continuationSeparator" w:id="0">
    <w:p w14:paraId="66D4EBDD" w14:textId="77777777" w:rsidR="00E21D48" w:rsidRDefault="00E21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2265" w14:textId="77777777" w:rsidR="00982AC4" w:rsidRPr="006669C9" w:rsidRDefault="00982AC4" w:rsidP="001D1356">
    <w:pPr>
      <w:pStyle w:val="aa"/>
      <w:pBdr>
        <w:bottom w:val="single" w:sz="6" w:space="0" w:color="auto"/>
      </w:pBdr>
      <w:jc w:val="right"/>
    </w:pPr>
    <w:r w:rsidRPr="006669C9">
      <w:t>摩根恒生科技交易型开放式指数证券投资基金发起式联接基金</w:t>
    </w:r>
    <w:r w:rsidRPr="006669C9">
      <w:t>(QDII)2024</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0C484" w14:textId="77777777" w:rsidR="00982AC4" w:rsidRDefault="00982AC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58230" w14:textId="77777777" w:rsidR="00982AC4" w:rsidRDefault="00982AC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1F95"/>
    <w:rsid w:val="00017581"/>
    <w:rsid w:val="00017739"/>
    <w:rsid w:val="00020583"/>
    <w:rsid w:val="000217CC"/>
    <w:rsid w:val="00021DD4"/>
    <w:rsid w:val="00023BE7"/>
    <w:rsid w:val="00026BFF"/>
    <w:rsid w:val="000306F0"/>
    <w:rsid w:val="0003091A"/>
    <w:rsid w:val="000364FB"/>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E7AB7"/>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78B"/>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2C43"/>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0A34"/>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4E90"/>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3C5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8F6"/>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2AC4"/>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7C8"/>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0364"/>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054E"/>
    <w:rsid w:val="00DD2809"/>
    <w:rsid w:val="00DD7EA2"/>
    <w:rsid w:val="00DE00F2"/>
    <w:rsid w:val="00DE07B4"/>
    <w:rsid w:val="00DE117F"/>
    <w:rsid w:val="00DE279B"/>
    <w:rsid w:val="00DE2B64"/>
    <w:rsid w:val="00DE3C5A"/>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1D48"/>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6F1"/>
    <w:rsid w:val="00E9095B"/>
    <w:rsid w:val="00E90CF1"/>
    <w:rsid w:val="00E9399B"/>
    <w:rsid w:val="00E94008"/>
    <w:rsid w:val="00E94762"/>
    <w:rsid w:val="00E963FD"/>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D21"/>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4:docId w14:val="536EDF83"/>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 w:type="character" w:customStyle="1" w:styleId="t1">
    <w:name w:val="t1"/>
    <w:rsid w:val="002E7AB7"/>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035E7-C55E-43B1-8702-A88FF571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qdii</Template>
  <TotalTime>136</TotalTime>
  <Pages>15</Pages>
  <Words>1276</Words>
  <Characters>7279</Characters>
  <Application>Microsoft Office Word</Application>
  <DocSecurity>0</DocSecurity>
  <Lines>60</Lines>
  <Paragraphs>17</Paragraphs>
  <ScaleCrop>false</ScaleCrop>
  <Company>TRT. Ltd. Co.</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47</cp:revision>
  <cp:lastPrinted>2007-07-19T00:46:00Z</cp:lastPrinted>
  <dcterms:created xsi:type="dcterms:W3CDTF">2014-12-16T02:40:00Z</dcterms:created>
  <dcterms:modified xsi:type="dcterms:W3CDTF">2024-10-24T03:31:00Z</dcterms:modified>
</cp:coreProperties>
</file>