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摩根恒生科技交易型开放式指数证券投资基金发起式联接基金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4</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12</w:t>
      </w:r>
      <w:r w:rsidRPr="00A3398F">
        <w:rPr>
          <w:rFonts w:eastAsiaTheme="minorEastAsia"/>
          <w:b/>
          <w:color w:val="000000" w:themeColor="text1"/>
          <w:sz w:val="24"/>
        </w:rPr>
        <w:t>月</w:t>
      </w:r>
      <w:r w:rsidRPr="00A3398F">
        <w:rPr>
          <w:rFonts w:eastAsiaTheme="minorEastAsia"/>
          <w:b/>
          <w:color w:val="000000" w:themeColor="text1"/>
          <w:sz w:val="24"/>
        </w:rPr>
        <w:t>31</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基金托管人：中国工商银行股份有限公司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二〇二五年一月二十二日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w:t>
      </w:r>
      <w:r>
        <w:rPr>
          <w:rFonts w:eastAsiaTheme="minorEastAsia"/>
          <w:color w:val="000000" w:themeColor="text1"/>
          <w:szCs w:val="21"/>
        </w:rPr>
        <w:t xml:space="preserve"> </w:t>
      </w: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日止。</w:t>
      </w:r>
    </w:p>
    <w:p w:rsidR="007651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p w:rsidR="000364FB" w:rsidRPr="000364FB" w:rsidRDefault="000364FB" w:rsidP="000364FB">
      <w:pPr>
        <w:pStyle w:val="2"/>
        <w:keepNext w:val="0"/>
        <w:keepLines w:val="0"/>
        <w:spacing w:before="0" w:after="0"/>
        <w:rPr>
          <w:rFonts w:asciiTheme="minorEastAsia" w:eastAsiaTheme="minorEastAsia" w:hAnsiTheme="minorEastAsia"/>
          <w:color w:val="000000" w:themeColor="text1"/>
          <w:szCs w:val="24"/>
        </w:rPr>
      </w:pPr>
      <w:bookmarkStart w:id="1" w:name="_Toc245193810"/>
      <w:r w:rsidRPr="0077262D">
        <w:rPr>
          <w:rFonts w:asciiTheme="minorEastAsia" w:eastAsiaTheme="minorEastAsia" w:hAnsiTheme="minorEastAsia" w:hint="eastAsia"/>
          <w:color w:val="000000" w:themeColor="text1"/>
          <w:szCs w:val="24"/>
        </w:rPr>
        <w:t>2.1基金产品概况</w:t>
      </w:r>
      <w:bookmarkEnd w:id="1"/>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摩根恒生科技</w:t>
            </w:r>
            <w:r w:rsidRPr="00A3398F">
              <w:rPr>
                <w:rFonts w:eastAsiaTheme="minorEastAsia"/>
                <w:color w:val="000000" w:themeColor="text1"/>
                <w:kern w:val="0"/>
                <w:szCs w:val="21"/>
              </w:rPr>
              <w:t>ETF</w:t>
            </w:r>
            <w:r w:rsidRPr="00A3398F">
              <w:rPr>
                <w:rFonts w:eastAsiaTheme="minorEastAsia"/>
                <w:color w:val="000000" w:themeColor="text1"/>
                <w:kern w:val="0"/>
                <w:szCs w:val="21"/>
              </w:rPr>
              <w:t>发起式联接</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018577</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018577</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2023</w:t>
            </w:r>
            <w:r w:rsidRPr="00A3398F">
              <w:rPr>
                <w:rFonts w:eastAsiaTheme="minorEastAsia"/>
                <w:color w:val="000000" w:themeColor="text1"/>
                <w:kern w:val="0"/>
                <w:szCs w:val="21"/>
              </w:rPr>
              <w:t>年</w:t>
            </w:r>
            <w:r w:rsidRPr="00A3398F">
              <w:rPr>
                <w:rFonts w:eastAsiaTheme="minorEastAsia"/>
                <w:color w:val="000000" w:themeColor="text1"/>
                <w:kern w:val="0"/>
                <w:szCs w:val="21"/>
              </w:rPr>
              <w:t>7</w:t>
            </w:r>
            <w:r w:rsidRPr="00A3398F">
              <w:rPr>
                <w:rFonts w:eastAsiaTheme="minorEastAsia"/>
                <w:color w:val="000000" w:themeColor="text1"/>
                <w:kern w:val="0"/>
                <w:szCs w:val="21"/>
              </w:rPr>
              <w:t>月</w:t>
            </w:r>
            <w:r w:rsidRPr="00A3398F">
              <w:rPr>
                <w:rFonts w:eastAsiaTheme="minorEastAsia"/>
                <w:color w:val="000000" w:themeColor="text1"/>
                <w:kern w:val="0"/>
                <w:szCs w:val="21"/>
              </w:rPr>
              <w:t>18</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144,103,860.37</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通过对目标</w:t>
            </w:r>
            <w:r w:rsidRPr="00A3398F">
              <w:rPr>
                <w:rFonts w:eastAsiaTheme="minorEastAsia"/>
                <w:color w:val="000000" w:themeColor="text1"/>
                <w:kern w:val="0"/>
                <w:szCs w:val="21"/>
              </w:rPr>
              <w:t>ETF</w:t>
            </w:r>
            <w:r w:rsidRPr="00A3398F">
              <w:rPr>
                <w:rFonts w:eastAsiaTheme="minorEastAsia"/>
                <w:color w:val="000000" w:themeColor="text1"/>
                <w:kern w:val="0"/>
                <w:szCs w:val="21"/>
              </w:rPr>
              <w:t>基金份额的投资，追求跟踪标的指数，获得与指数收益相似的回报。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3C062B" w:rsidRDefault="00986D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的联接基金，通过将基金资产主要投资于目标</w:t>
            </w:r>
            <w:r>
              <w:rPr>
                <w:rFonts w:eastAsiaTheme="minorEastAsia"/>
                <w:color w:val="000000" w:themeColor="text1"/>
                <w:kern w:val="0"/>
                <w:szCs w:val="21"/>
              </w:rPr>
              <w:t>ETF</w:t>
            </w:r>
            <w:r>
              <w:rPr>
                <w:rFonts w:eastAsiaTheme="minorEastAsia"/>
                <w:color w:val="000000" w:themeColor="text1"/>
                <w:kern w:val="0"/>
                <w:szCs w:val="21"/>
              </w:rPr>
              <w:t>基金份额，以实现对标的指数的跟踪。本基金力争日均跟踪偏离度的绝对值不超过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lastRenderedPageBreak/>
              <w:t>如因标的指数编制规则调整或其他因素导致跟踪误差超过上述范围，基金管理人应采取合理措施避免跟踪误差进一步扩大。</w:t>
            </w:r>
          </w:p>
          <w:p w:rsidR="003C062B" w:rsidRDefault="00986D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基金也可以通过买入标的指数成份股来跟踪标的指数。为了提高投资效率，基金还可以根据风险管理原则，少量投</w:t>
            </w:r>
            <w:r>
              <w:rPr>
                <w:rFonts w:eastAsiaTheme="minorEastAsia"/>
                <w:color w:val="000000" w:themeColor="text1"/>
                <w:kern w:val="0"/>
                <w:szCs w:val="21"/>
              </w:rPr>
              <w:t>资于股指期货、股票期权和其他经中国证监会允许的衍生工具等。</w:t>
            </w:r>
          </w:p>
          <w:p w:rsidR="003C062B" w:rsidRDefault="00986D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w:t>
            </w:r>
            <w:r>
              <w:rPr>
                <w:rFonts w:eastAsiaTheme="minorEastAsia"/>
                <w:color w:val="000000" w:themeColor="text1"/>
                <w:kern w:val="0"/>
                <w:szCs w:val="21"/>
              </w:rPr>
              <w:t>ETF</w:t>
            </w:r>
            <w:r>
              <w:rPr>
                <w:rFonts w:eastAsiaTheme="minorEastAsia"/>
                <w:color w:val="000000" w:themeColor="text1"/>
                <w:kern w:val="0"/>
                <w:szCs w:val="21"/>
              </w:rPr>
              <w:t>投资策略</w:t>
            </w:r>
          </w:p>
          <w:p w:rsidR="003C062B" w:rsidRDefault="00986D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为了实现追踪误差最小化，本基金投资于目标</w:t>
            </w:r>
            <w:r>
              <w:rPr>
                <w:rFonts w:eastAsiaTheme="minorEastAsia"/>
                <w:color w:val="000000" w:themeColor="text1"/>
                <w:kern w:val="0"/>
                <w:szCs w:val="21"/>
              </w:rPr>
              <w:t>ETF</w:t>
            </w:r>
            <w:r>
              <w:rPr>
                <w:rFonts w:eastAsiaTheme="minorEastAsia"/>
                <w:color w:val="000000" w:themeColor="text1"/>
                <w:kern w:val="0"/>
                <w:szCs w:val="21"/>
              </w:rPr>
              <w:t>基金份额的比例不低于基金资产净值的</w:t>
            </w:r>
            <w:r>
              <w:rPr>
                <w:rFonts w:eastAsiaTheme="minorEastAsia"/>
                <w:color w:val="000000" w:themeColor="text1"/>
                <w:kern w:val="0"/>
                <w:szCs w:val="21"/>
              </w:rPr>
              <w:t>90%</w:t>
            </w:r>
            <w:r>
              <w:rPr>
                <w:rFonts w:eastAsiaTheme="minorEastAsia"/>
                <w:color w:val="000000" w:themeColor="text1"/>
                <w:kern w:val="0"/>
                <w:szCs w:val="21"/>
              </w:rPr>
              <w:t>。本基金主要通过申购、赎回或二级市场买卖的方式投资于目标</w:t>
            </w:r>
            <w:r>
              <w:rPr>
                <w:rFonts w:eastAsiaTheme="minorEastAsia"/>
                <w:color w:val="000000" w:themeColor="text1"/>
                <w:kern w:val="0"/>
                <w:szCs w:val="21"/>
              </w:rPr>
              <w:t>ETF</w:t>
            </w:r>
            <w:r>
              <w:rPr>
                <w:rFonts w:eastAsiaTheme="minorEastAsia"/>
                <w:color w:val="000000" w:themeColor="text1"/>
                <w:kern w:val="0"/>
                <w:szCs w:val="21"/>
              </w:rPr>
              <w:t>。当目标</w:t>
            </w:r>
            <w:r>
              <w:rPr>
                <w:rFonts w:eastAsiaTheme="minorEastAsia"/>
                <w:color w:val="000000" w:themeColor="text1"/>
                <w:kern w:val="0"/>
                <w:szCs w:val="21"/>
              </w:rPr>
              <w:t>ETF</w:t>
            </w:r>
            <w:r>
              <w:rPr>
                <w:rFonts w:eastAsiaTheme="minorEastAsia"/>
                <w:color w:val="000000" w:themeColor="text1"/>
                <w:kern w:val="0"/>
                <w:szCs w:val="21"/>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rFonts w:eastAsiaTheme="minorEastAsia"/>
                <w:color w:val="000000" w:themeColor="text1"/>
                <w:kern w:val="0"/>
                <w:szCs w:val="21"/>
              </w:rPr>
              <w:t>ETF</w:t>
            </w:r>
            <w:r>
              <w:rPr>
                <w:rFonts w:eastAsiaTheme="minorEastAsia"/>
                <w:color w:val="000000" w:themeColor="text1"/>
                <w:kern w:val="0"/>
                <w:szCs w:val="21"/>
              </w:rPr>
              <w:t>的买卖。本基金还可适度参与目标</w:t>
            </w:r>
            <w:r>
              <w:rPr>
                <w:rFonts w:eastAsiaTheme="minorEastAsia"/>
                <w:color w:val="000000" w:themeColor="text1"/>
                <w:kern w:val="0"/>
                <w:szCs w:val="21"/>
              </w:rPr>
              <w:t>ETF</w:t>
            </w:r>
            <w:r>
              <w:rPr>
                <w:rFonts w:eastAsiaTheme="minorEastAsia"/>
                <w:color w:val="000000" w:themeColor="text1"/>
                <w:kern w:val="0"/>
                <w:szCs w:val="21"/>
              </w:rPr>
              <w:t>基金份额交易和申购、赎回之间</w:t>
            </w:r>
            <w:r>
              <w:rPr>
                <w:rFonts w:eastAsiaTheme="minorEastAsia"/>
                <w:color w:val="000000" w:themeColor="text1"/>
                <w:kern w:val="0"/>
                <w:szCs w:val="21"/>
              </w:rPr>
              <w:t>的套利，以增强基金收益。</w:t>
            </w:r>
          </w:p>
          <w:p w:rsidR="003C062B" w:rsidRDefault="00986D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本基金可以基金资产特殊申购目标</w:t>
            </w:r>
            <w:r>
              <w:rPr>
                <w:rFonts w:eastAsiaTheme="minorEastAsia"/>
                <w:color w:val="000000" w:themeColor="text1"/>
                <w:kern w:val="0"/>
                <w:szCs w:val="21"/>
              </w:rPr>
              <w:t>ETF</w:t>
            </w:r>
            <w:r>
              <w:rPr>
                <w:rFonts w:eastAsiaTheme="minorEastAsia"/>
                <w:color w:val="000000" w:themeColor="text1"/>
                <w:kern w:val="0"/>
                <w:szCs w:val="21"/>
              </w:rPr>
              <w:t>份额，以进行基金建仓。</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其他投资策略包括股票投资策略、港股通标的股票投资策略、金融衍生品投资策略、债券投资策略、可转换债券和可交换债券投资策略、资产支持证券投资策略、存托凭证投资策略、证券公司短期公司债券投资策略、融资及转融通证券出借策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经估值汇率调整的恒生科技指数收益率</w:t>
            </w:r>
            <w:r w:rsidRPr="00A3398F">
              <w:rPr>
                <w:rFonts w:eastAsiaTheme="minorEastAsia"/>
                <w:color w:val="000000" w:themeColor="text1"/>
                <w:kern w:val="0"/>
                <w:szCs w:val="21"/>
              </w:rPr>
              <w:t>×95%</w:t>
            </w:r>
            <w:r w:rsidRPr="00A3398F">
              <w:rPr>
                <w:rFonts w:eastAsiaTheme="minorEastAsia"/>
                <w:color w:val="000000" w:themeColor="text1"/>
                <w:kern w:val="0"/>
                <w:szCs w:val="21"/>
              </w:rPr>
              <w:t>＋活期存款利率（税后）</w:t>
            </w:r>
            <w:r w:rsidRPr="00A3398F">
              <w:rPr>
                <w:rFonts w:eastAsiaTheme="minorEastAsia"/>
                <w:color w:val="000000" w:themeColor="text1"/>
                <w:kern w:val="0"/>
                <w:szCs w:val="21"/>
              </w:rPr>
              <w:t>×5%</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3C062B" w:rsidRDefault="00986D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w:t>
            </w:r>
            <w:r>
              <w:rPr>
                <w:rFonts w:eastAsiaTheme="minorEastAsia"/>
                <w:color w:val="000000" w:themeColor="text1"/>
                <w:kern w:val="0"/>
                <w:szCs w:val="21"/>
              </w:rPr>
              <w:t>ETF</w:t>
            </w:r>
            <w:r>
              <w:rPr>
                <w:rFonts w:eastAsiaTheme="minorEastAsia"/>
                <w:color w:val="000000" w:themeColor="text1"/>
                <w:kern w:val="0"/>
                <w:szCs w:val="21"/>
              </w:rPr>
              <w:t>联接基金，具有与目标</w:t>
            </w:r>
            <w:r>
              <w:rPr>
                <w:rFonts w:eastAsiaTheme="minorEastAsia"/>
                <w:color w:val="000000" w:themeColor="text1"/>
                <w:kern w:val="0"/>
                <w:szCs w:val="21"/>
              </w:rPr>
              <w:t>ETF</w:t>
            </w:r>
            <w:r>
              <w:rPr>
                <w:rFonts w:eastAsiaTheme="minorEastAsia"/>
                <w:color w:val="000000" w:themeColor="text1"/>
                <w:kern w:val="0"/>
                <w:szCs w:val="21"/>
              </w:rPr>
              <w:t>相似的风险收益特征。目标</w:t>
            </w:r>
            <w:r>
              <w:rPr>
                <w:rFonts w:eastAsiaTheme="minorEastAsia"/>
                <w:color w:val="000000" w:themeColor="text1"/>
                <w:kern w:val="0"/>
                <w:szCs w:val="21"/>
              </w:rPr>
              <w:t>ETF</w:t>
            </w:r>
            <w:r>
              <w:rPr>
                <w:rFonts w:eastAsiaTheme="minorEastAsia"/>
                <w:color w:val="000000" w:themeColor="text1"/>
                <w:kern w:val="0"/>
                <w:szCs w:val="21"/>
              </w:rPr>
              <w:t>为股票型指数基金，因此本基金的预期风险和预期收益高于货币市场基金、债券型基金和混合型</w:t>
            </w:r>
            <w:r>
              <w:rPr>
                <w:rFonts w:eastAsiaTheme="minorEastAsia"/>
                <w:color w:val="000000" w:themeColor="text1"/>
                <w:kern w:val="0"/>
                <w:szCs w:val="21"/>
              </w:rPr>
              <w:lastRenderedPageBreak/>
              <w:t>基金，且具有与标的指数以及标的指数所代表的股票市场相似的风险收益特征。</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本基金可投资于境外证券，除了需要承担与境内证券投资基金类似的市场波动风险等一般投资风险之外，本基金还面临汇率风险等境外证券市场投资所面临的特别投资风险。</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中国工商银行股份有限公司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018577</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018578</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14,059,512.69</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130,044,347.68</w:t>
            </w:r>
            <w:r w:rsidRPr="00A3398F">
              <w:rPr>
                <w:rFonts w:eastAsiaTheme="minorEastAsia"/>
                <w:color w:val="000000" w:themeColor="text1"/>
                <w:kern w:val="0"/>
                <w:szCs w:val="21"/>
              </w:rPr>
              <w:t>份</w:t>
            </w:r>
          </w:p>
        </w:tc>
      </w:tr>
    </w:tbl>
    <w:p w:rsidR="000364FB" w:rsidRDefault="000364FB" w:rsidP="000364FB">
      <w:pPr>
        <w:pStyle w:val="2"/>
        <w:keepNext w:val="0"/>
        <w:keepLines w:val="0"/>
        <w:spacing w:before="0" w:after="0"/>
        <w:rPr>
          <w:rFonts w:asciiTheme="minorEastAsia" w:eastAsiaTheme="minorEastAsia" w:hAnsiTheme="minorEastAsia"/>
          <w:color w:val="000000" w:themeColor="text1"/>
          <w:szCs w:val="24"/>
        </w:rPr>
      </w:pPr>
      <w:r w:rsidRPr="0077262D">
        <w:rPr>
          <w:rFonts w:asciiTheme="minorEastAsia" w:eastAsiaTheme="minorEastAsia" w:hAnsiTheme="minorEastAsia" w:hint="eastAsia"/>
          <w:color w:val="000000" w:themeColor="text1"/>
          <w:szCs w:val="24"/>
        </w:rPr>
        <w:t>2.1.1目标基金基本情况</w:t>
      </w:r>
    </w:p>
    <w:tbl>
      <w:tblPr>
        <w:tblW w:w="8460" w:type="dxa"/>
        <w:tblInd w:w="108" w:type="dxa"/>
        <w:tblLayout w:type="fixed"/>
        <w:tblLook w:val="0000" w:firstRow="0" w:lastRow="0" w:firstColumn="0" w:lastColumn="0" w:noHBand="0" w:noVBand="0"/>
      </w:tblPr>
      <w:tblGrid>
        <w:gridCol w:w="2724"/>
        <w:gridCol w:w="5736"/>
      </w:tblGrid>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olor w:val="000000" w:themeColor="text1"/>
                <w:szCs w:val="21"/>
              </w:rPr>
            </w:pPr>
            <w:r w:rsidRPr="00DE3C5A">
              <w:rPr>
                <w:rFonts w:asciiTheme="minorEastAsia" w:eastAsiaTheme="minorEastAsia" w:hAnsiTheme="minorEastAsia" w:hint="eastAsia"/>
                <w:color w:val="000000" w:themeColor="text1"/>
                <w:szCs w:val="21"/>
              </w:rPr>
              <w:t>摩根恒生科技交易型开放式指数证券投资基金(QDII)</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513890</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交易型开放式</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2021年12月17日</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上海证券交易所</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2022年1月21日</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摩根基金管理（中国）有限公司</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中国工商银行股份有限公司</w:t>
            </w:r>
          </w:p>
        </w:tc>
      </w:tr>
    </w:tbl>
    <w:p w:rsidR="000364FB" w:rsidRPr="006A0AFD" w:rsidRDefault="000364FB" w:rsidP="000364FB">
      <w:pPr>
        <w:pStyle w:val="a0"/>
        <w:ind w:firstLineChars="0" w:firstLine="0"/>
      </w:pPr>
    </w:p>
    <w:p w:rsidR="000364FB" w:rsidRDefault="000364FB" w:rsidP="000364FB">
      <w:pPr>
        <w:pStyle w:val="2"/>
        <w:keepNext w:val="0"/>
        <w:keepLines w:val="0"/>
        <w:spacing w:before="0" w:after="0"/>
        <w:rPr>
          <w:color w:val="000000" w:themeColor="text1"/>
        </w:rPr>
      </w:pPr>
      <w:r w:rsidRPr="0077262D">
        <w:rPr>
          <w:rFonts w:asciiTheme="minorEastAsia" w:eastAsiaTheme="minorEastAsia" w:hAnsiTheme="minorEastAsia" w:hint="eastAsia"/>
          <w:color w:val="000000" w:themeColor="text1"/>
          <w:szCs w:val="24"/>
        </w:rPr>
        <w:t>2.1.2</w:t>
      </w:r>
      <w:r w:rsidRPr="0077262D">
        <w:rPr>
          <w:color w:val="000000" w:themeColor="text1"/>
        </w:rPr>
        <w:t>目标基金产品</w:t>
      </w:r>
      <w:r w:rsidR="00C027C8" w:rsidRPr="00C027C8">
        <w:rPr>
          <w:rFonts w:hint="eastAsia"/>
          <w:color w:val="000000" w:themeColor="text1"/>
        </w:rPr>
        <w:t>说明</w:t>
      </w:r>
    </w:p>
    <w:tbl>
      <w:tblPr>
        <w:tblW w:w="8460" w:type="dxa"/>
        <w:tblInd w:w="108" w:type="dxa"/>
        <w:tblLook w:val="0000" w:firstRow="0" w:lastRow="0" w:firstColumn="0" w:lastColumn="0" w:noHBand="0" w:noVBand="0"/>
      </w:tblPr>
      <w:tblGrid>
        <w:gridCol w:w="2820"/>
        <w:gridCol w:w="5640"/>
      </w:tblGrid>
      <w:tr w:rsidR="000364FB" w:rsidRPr="00DE3C5A" w:rsidTr="00982AC4">
        <w:tc>
          <w:tcPr>
            <w:tcW w:w="282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本基金采用被动指数化投资，紧密跟踪标的指数，追求跟踪偏离度和跟踪误差最小化。</w:t>
            </w:r>
          </w:p>
        </w:tc>
      </w:tr>
      <w:tr w:rsidR="000364FB" w:rsidRPr="00DE3C5A" w:rsidTr="00982AC4">
        <w:tc>
          <w:tcPr>
            <w:tcW w:w="282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本基金采用完全复制法，按照成份股在标的指数中的基准权重构建股票资产组合，并配合使用其他合理的投资方法作为完全复制法的补充，构建本基金实际的投资组合，以追求尽</w:t>
            </w:r>
            <w:r w:rsidRPr="00DE3C5A">
              <w:rPr>
                <w:rFonts w:asciiTheme="minorEastAsia" w:eastAsiaTheme="minorEastAsia" w:hAnsiTheme="minorEastAsia" w:hint="eastAsia"/>
                <w:color w:val="000000" w:themeColor="text1"/>
                <w:szCs w:val="21"/>
              </w:rPr>
              <w:lastRenderedPageBreak/>
              <w:t>可能贴近标的指数的表现，有效控制跟踪误差。</w:t>
            </w:r>
          </w:p>
        </w:tc>
      </w:tr>
      <w:tr w:rsidR="000364FB" w:rsidRPr="00DE3C5A" w:rsidTr="00982AC4">
        <w:tc>
          <w:tcPr>
            <w:tcW w:w="282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lastRenderedPageBreak/>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本基金的业绩比较基准为经估值汇率调整的恒生科技指数（HSTECH）收益率。本基金标的指数变更的，相应更换基金名称和业绩比较基准，并在履行适当程序后及时公告。</w:t>
            </w:r>
          </w:p>
        </w:tc>
      </w:tr>
      <w:tr w:rsidR="000364FB" w:rsidRPr="00DE3C5A" w:rsidTr="00982AC4">
        <w:tc>
          <w:tcPr>
            <w:tcW w:w="282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本基金属于股票基金，预期风险和收益水平高于混合基金、债券基金和货币市场基金。同时，本基金为指数基金，主要采用完全复制法跟踪标的指数表现，具有与标的指数相似的风险收益特征。 本基金可投资于境外证券，除了需要承担与境内证券投资基金类似的市场波动风险等一般投资风险之外，本基金还面临汇率风险等境外证券市场投资所面临的特别投资风险。</w:t>
            </w:r>
          </w:p>
        </w:tc>
      </w:tr>
    </w:tbl>
    <w:p w:rsidR="000364FB" w:rsidRPr="000364FB" w:rsidRDefault="000364FB" w:rsidP="002236BC">
      <w:pPr>
        <w:autoSpaceDE w:val="0"/>
        <w:autoSpaceDN w:val="0"/>
        <w:adjustRightInd w:val="0"/>
        <w:spacing w:line="360" w:lineRule="auto"/>
        <w:jc w:val="left"/>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152,238.63</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1,531,280.47</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-255,328.16</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-2,854,836.13</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-0.0218</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-0.0211</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15,059,197.88</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138,235,313.38</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1.0711</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1.0630</w:t>
            </w:r>
          </w:p>
        </w:tc>
      </w:tr>
    </w:tbl>
    <w:p w:rsidR="003C062B" w:rsidRDefault="00986D9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lastRenderedPageBreak/>
        <w:t>1</w:t>
      </w:r>
      <w:r w:rsidRPr="00A3398F">
        <w:rPr>
          <w:rFonts w:eastAsiaTheme="minorEastAsia"/>
          <w:b/>
          <w:color w:val="000000" w:themeColor="text1"/>
          <w:szCs w:val="21"/>
        </w:rPr>
        <w:t>、</w:t>
      </w:r>
      <w:r w:rsidRPr="00A3398F">
        <w:rPr>
          <w:rFonts w:eastAsiaTheme="minorEastAsia"/>
          <w:b/>
          <w:color w:val="000000" w:themeColor="text1"/>
          <w:kern w:val="0"/>
          <w:szCs w:val="21"/>
        </w:rPr>
        <w:t>摩根恒生科技</w:t>
      </w:r>
      <w:r w:rsidRPr="00A3398F">
        <w:rPr>
          <w:rFonts w:eastAsiaTheme="minorEastAsia"/>
          <w:b/>
          <w:color w:val="000000" w:themeColor="text1"/>
          <w:kern w:val="0"/>
          <w:szCs w:val="21"/>
        </w:rPr>
        <w:t>ETF</w:t>
      </w:r>
      <w:r w:rsidRPr="00A3398F">
        <w:rPr>
          <w:rFonts w:eastAsiaTheme="minorEastAsia"/>
          <w:b/>
          <w:color w:val="000000" w:themeColor="text1"/>
          <w:kern w:val="0"/>
          <w:szCs w:val="21"/>
        </w:rPr>
        <w:t>发起式联接</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3C062B">
        <w:tc>
          <w:tcPr>
            <w:tcW w:w="1290" w:type="dxa"/>
            <w:vAlign w:val="center"/>
          </w:tcPr>
          <w:p w:rsidR="003C062B" w:rsidRDefault="00986D94">
            <w:pPr>
              <w:jc w:val="left"/>
            </w:pPr>
            <w:r>
              <w:rPr>
                <w:rFonts w:eastAsiaTheme="minorEastAsia"/>
                <w:color w:val="000000" w:themeColor="text1"/>
                <w:szCs w:val="21"/>
              </w:rPr>
              <w:t>过去三个月</w:t>
            </w:r>
          </w:p>
        </w:tc>
        <w:tc>
          <w:tcPr>
            <w:tcW w:w="1291" w:type="dxa"/>
            <w:vAlign w:val="center"/>
          </w:tcPr>
          <w:p w:rsidR="003C062B" w:rsidRDefault="00986D94">
            <w:pPr>
              <w:jc w:val="right"/>
            </w:pPr>
            <w:r>
              <w:rPr>
                <w:rFonts w:eastAsiaTheme="minorEastAsia"/>
                <w:color w:val="000000" w:themeColor="text1"/>
                <w:szCs w:val="21"/>
              </w:rPr>
              <w:t>-2.14%</w:t>
            </w:r>
          </w:p>
        </w:tc>
        <w:tc>
          <w:tcPr>
            <w:tcW w:w="1291" w:type="dxa"/>
            <w:vAlign w:val="center"/>
          </w:tcPr>
          <w:p w:rsidR="003C062B" w:rsidRDefault="00986D94">
            <w:pPr>
              <w:jc w:val="right"/>
            </w:pPr>
            <w:r>
              <w:rPr>
                <w:rFonts w:eastAsiaTheme="minorEastAsia"/>
                <w:color w:val="000000" w:themeColor="text1"/>
                <w:szCs w:val="21"/>
              </w:rPr>
              <w:t>1.82%</w:t>
            </w:r>
          </w:p>
        </w:tc>
        <w:tc>
          <w:tcPr>
            <w:tcW w:w="1291" w:type="dxa"/>
            <w:vAlign w:val="center"/>
          </w:tcPr>
          <w:p w:rsidR="003C062B" w:rsidRDefault="00986D94">
            <w:pPr>
              <w:jc w:val="right"/>
            </w:pPr>
            <w:r>
              <w:rPr>
                <w:rFonts w:eastAsiaTheme="minorEastAsia"/>
                <w:color w:val="000000" w:themeColor="text1"/>
                <w:szCs w:val="21"/>
              </w:rPr>
              <w:t>-3.27%</w:t>
            </w:r>
          </w:p>
        </w:tc>
        <w:tc>
          <w:tcPr>
            <w:tcW w:w="1291" w:type="dxa"/>
            <w:vAlign w:val="center"/>
          </w:tcPr>
          <w:p w:rsidR="003C062B" w:rsidRDefault="00986D94">
            <w:pPr>
              <w:jc w:val="right"/>
            </w:pPr>
            <w:r>
              <w:rPr>
                <w:rFonts w:eastAsiaTheme="minorEastAsia"/>
                <w:color w:val="000000" w:themeColor="text1"/>
                <w:szCs w:val="21"/>
              </w:rPr>
              <w:t>1.88%</w:t>
            </w:r>
          </w:p>
        </w:tc>
        <w:tc>
          <w:tcPr>
            <w:tcW w:w="1291" w:type="dxa"/>
            <w:vAlign w:val="center"/>
          </w:tcPr>
          <w:p w:rsidR="003C062B" w:rsidRDefault="00986D94">
            <w:pPr>
              <w:jc w:val="right"/>
            </w:pPr>
            <w:r>
              <w:rPr>
                <w:rFonts w:eastAsiaTheme="minorEastAsia"/>
                <w:color w:val="000000" w:themeColor="text1"/>
                <w:szCs w:val="21"/>
              </w:rPr>
              <w:t>1.13%</w:t>
            </w:r>
          </w:p>
        </w:tc>
        <w:tc>
          <w:tcPr>
            <w:tcW w:w="1291" w:type="dxa"/>
            <w:vAlign w:val="center"/>
          </w:tcPr>
          <w:p w:rsidR="003C062B" w:rsidRDefault="00986D94">
            <w:pPr>
              <w:jc w:val="right"/>
            </w:pPr>
            <w:r>
              <w:rPr>
                <w:rFonts w:eastAsiaTheme="minorEastAsia"/>
                <w:color w:val="000000" w:themeColor="text1"/>
                <w:szCs w:val="21"/>
              </w:rPr>
              <w:t>-0.06%</w:t>
            </w:r>
          </w:p>
        </w:tc>
      </w:tr>
      <w:tr w:rsidR="003C062B">
        <w:tc>
          <w:tcPr>
            <w:tcW w:w="1290" w:type="dxa"/>
            <w:vAlign w:val="center"/>
          </w:tcPr>
          <w:p w:rsidR="003C062B" w:rsidRDefault="00986D94">
            <w:pPr>
              <w:jc w:val="left"/>
            </w:pPr>
            <w:r>
              <w:rPr>
                <w:rFonts w:eastAsiaTheme="minorEastAsia"/>
                <w:color w:val="000000" w:themeColor="text1"/>
                <w:szCs w:val="21"/>
              </w:rPr>
              <w:t>过去六个月</w:t>
            </w:r>
          </w:p>
        </w:tc>
        <w:tc>
          <w:tcPr>
            <w:tcW w:w="1291" w:type="dxa"/>
            <w:vAlign w:val="center"/>
          </w:tcPr>
          <w:p w:rsidR="003C062B" w:rsidRDefault="00986D94">
            <w:pPr>
              <w:jc w:val="right"/>
            </w:pPr>
            <w:r>
              <w:rPr>
                <w:rFonts w:eastAsiaTheme="minorEastAsia"/>
                <w:color w:val="000000" w:themeColor="text1"/>
                <w:szCs w:val="21"/>
              </w:rPr>
              <w:t>24.00%</w:t>
            </w:r>
          </w:p>
        </w:tc>
        <w:tc>
          <w:tcPr>
            <w:tcW w:w="1291" w:type="dxa"/>
            <w:vAlign w:val="center"/>
          </w:tcPr>
          <w:p w:rsidR="003C062B" w:rsidRDefault="00986D94">
            <w:pPr>
              <w:jc w:val="right"/>
            </w:pPr>
            <w:r>
              <w:rPr>
                <w:rFonts w:eastAsiaTheme="minorEastAsia"/>
                <w:color w:val="000000" w:themeColor="text1"/>
                <w:szCs w:val="21"/>
              </w:rPr>
              <w:t>1.87%</w:t>
            </w:r>
          </w:p>
        </w:tc>
        <w:tc>
          <w:tcPr>
            <w:tcW w:w="1291" w:type="dxa"/>
            <w:vAlign w:val="center"/>
          </w:tcPr>
          <w:p w:rsidR="003C062B" w:rsidRDefault="00986D94">
            <w:pPr>
              <w:jc w:val="right"/>
            </w:pPr>
            <w:r>
              <w:rPr>
                <w:rFonts w:eastAsiaTheme="minorEastAsia"/>
                <w:color w:val="000000" w:themeColor="text1"/>
                <w:szCs w:val="21"/>
              </w:rPr>
              <w:t>26.18%</w:t>
            </w:r>
          </w:p>
        </w:tc>
        <w:tc>
          <w:tcPr>
            <w:tcW w:w="1291" w:type="dxa"/>
            <w:vAlign w:val="center"/>
          </w:tcPr>
          <w:p w:rsidR="003C062B" w:rsidRDefault="00986D94">
            <w:pPr>
              <w:jc w:val="right"/>
            </w:pPr>
            <w:r>
              <w:rPr>
                <w:rFonts w:eastAsiaTheme="minorEastAsia"/>
                <w:color w:val="000000" w:themeColor="text1"/>
                <w:szCs w:val="21"/>
              </w:rPr>
              <w:t>1.99%</w:t>
            </w:r>
          </w:p>
        </w:tc>
        <w:tc>
          <w:tcPr>
            <w:tcW w:w="1291" w:type="dxa"/>
            <w:vAlign w:val="center"/>
          </w:tcPr>
          <w:p w:rsidR="003C062B" w:rsidRDefault="00986D94">
            <w:pPr>
              <w:jc w:val="right"/>
            </w:pPr>
            <w:r>
              <w:rPr>
                <w:rFonts w:eastAsiaTheme="minorEastAsia"/>
                <w:color w:val="000000" w:themeColor="text1"/>
                <w:szCs w:val="21"/>
              </w:rPr>
              <w:t>-2.18%</w:t>
            </w:r>
          </w:p>
        </w:tc>
        <w:tc>
          <w:tcPr>
            <w:tcW w:w="1291" w:type="dxa"/>
            <w:vAlign w:val="center"/>
          </w:tcPr>
          <w:p w:rsidR="003C062B" w:rsidRDefault="00986D94">
            <w:pPr>
              <w:jc w:val="right"/>
            </w:pPr>
            <w:r>
              <w:rPr>
                <w:rFonts w:eastAsiaTheme="minorEastAsia"/>
                <w:color w:val="000000" w:themeColor="text1"/>
                <w:szCs w:val="21"/>
              </w:rPr>
              <w:t>-0.12%</w:t>
            </w:r>
          </w:p>
        </w:tc>
      </w:tr>
      <w:tr w:rsidR="003C062B">
        <w:tc>
          <w:tcPr>
            <w:tcW w:w="1290" w:type="dxa"/>
            <w:vAlign w:val="center"/>
          </w:tcPr>
          <w:p w:rsidR="003C062B" w:rsidRDefault="00986D94">
            <w:pPr>
              <w:jc w:val="left"/>
            </w:pPr>
            <w:r>
              <w:rPr>
                <w:rFonts w:eastAsiaTheme="minorEastAsia"/>
                <w:color w:val="000000" w:themeColor="text1"/>
                <w:szCs w:val="21"/>
              </w:rPr>
              <w:t>过去一年</w:t>
            </w:r>
          </w:p>
        </w:tc>
        <w:tc>
          <w:tcPr>
            <w:tcW w:w="1291" w:type="dxa"/>
            <w:vAlign w:val="center"/>
          </w:tcPr>
          <w:p w:rsidR="003C062B" w:rsidRDefault="00986D94">
            <w:pPr>
              <w:jc w:val="right"/>
            </w:pPr>
            <w:r>
              <w:rPr>
                <w:rFonts w:eastAsiaTheme="minorEastAsia"/>
                <w:color w:val="000000" w:themeColor="text1"/>
                <w:szCs w:val="21"/>
              </w:rPr>
              <w:t>19.60%</w:t>
            </w:r>
          </w:p>
        </w:tc>
        <w:tc>
          <w:tcPr>
            <w:tcW w:w="1291" w:type="dxa"/>
            <w:vAlign w:val="center"/>
          </w:tcPr>
          <w:p w:rsidR="003C062B" w:rsidRDefault="00986D94">
            <w:pPr>
              <w:jc w:val="right"/>
            </w:pPr>
            <w:r>
              <w:rPr>
                <w:rFonts w:eastAsiaTheme="minorEastAsia"/>
                <w:color w:val="000000" w:themeColor="text1"/>
                <w:szCs w:val="21"/>
              </w:rPr>
              <w:t>1.95%</w:t>
            </w:r>
          </w:p>
        </w:tc>
        <w:tc>
          <w:tcPr>
            <w:tcW w:w="1291" w:type="dxa"/>
            <w:vAlign w:val="center"/>
          </w:tcPr>
          <w:p w:rsidR="003C062B" w:rsidRDefault="00986D94">
            <w:pPr>
              <w:jc w:val="right"/>
            </w:pPr>
            <w:r>
              <w:rPr>
                <w:rFonts w:eastAsiaTheme="minorEastAsia"/>
                <w:color w:val="000000" w:themeColor="text1"/>
                <w:szCs w:val="21"/>
              </w:rPr>
              <w:t>20.25%</w:t>
            </w:r>
          </w:p>
        </w:tc>
        <w:tc>
          <w:tcPr>
            <w:tcW w:w="1291" w:type="dxa"/>
            <w:vAlign w:val="center"/>
          </w:tcPr>
          <w:p w:rsidR="003C062B" w:rsidRDefault="00986D94">
            <w:pPr>
              <w:jc w:val="right"/>
            </w:pPr>
            <w:r>
              <w:rPr>
                <w:rFonts w:eastAsiaTheme="minorEastAsia"/>
                <w:color w:val="000000" w:themeColor="text1"/>
                <w:szCs w:val="21"/>
              </w:rPr>
              <w:t>2.05%</w:t>
            </w:r>
          </w:p>
        </w:tc>
        <w:tc>
          <w:tcPr>
            <w:tcW w:w="1291" w:type="dxa"/>
            <w:vAlign w:val="center"/>
          </w:tcPr>
          <w:p w:rsidR="003C062B" w:rsidRDefault="00986D94">
            <w:pPr>
              <w:jc w:val="right"/>
            </w:pPr>
            <w:r>
              <w:rPr>
                <w:rFonts w:eastAsiaTheme="minorEastAsia"/>
                <w:color w:val="000000" w:themeColor="text1"/>
                <w:szCs w:val="21"/>
              </w:rPr>
              <w:t>-0.65%</w:t>
            </w:r>
          </w:p>
        </w:tc>
        <w:tc>
          <w:tcPr>
            <w:tcW w:w="1291" w:type="dxa"/>
            <w:vAlign w:val="center"/>
          </w:tcPr>
          <w:p w:rsidR="003C062B" w:rsidRDefault="00986D94">
            <w:pPr>
              <w:jc w:val="right"/>
            </w:pPr>
            <w:r>
              <w:rPr>
                <w:rFonts w:eastAsiaTheme="minorEastAsia"/>
                <w:color w:val="000000" w:themeColor="text1"/>
                <w:szCs w:val="21"/>
              </w:rPr>
              <w:t>-0.10%</w:t>
            </w:r>
          </w:p>
        </w:tc>
      </w:tr>
      <w:tr w:rsidR="003C062B">
        <w:tc>
          <w:tcPr>
            <w:tcW w:w="1290" w:type="dxa"/>
            <w:vAlign w:val="center"/>
          </w:tcPr>
          <w:p w:rsidR="003C062B" w:rsidRDefault="00986D94">
            <w:pPr>
              <w:jc w:val="left"/>
            </w:pPr>
            <w:r>
              <w:rPr>
                <w:rFonts w:eastAsiaTheme="minorEastAsia"/>
                <w:color w:val="000000" w:themeColor="text1"/>
                <w:szCs w:val="21"/>
              </w:rPr>
              <w:t>过去三年</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r>
      <w:tr w:rsidR="003C062B">
        <w:tc>
          <w:tcPr>
            <w:tcW w:w="1290" w:type="dxa"/>
            <w:vAlign w:val="center"/>
          </w:tcPr>
          <w:p w:rsidR="003C062B" w:rsidRDefault="00986D94">
            <w:pPr>
              <w:jc w:val="left"/>
            </w:pPr>
            <w:r>
              <w:rPr>
                <w:rFonts w:eastAsiaTheme="minorEastAsia"/>
                <w:color w:val="000000" w:themeColor="text1"/>
                <w:szCs w:val="21"/>
              </w:rPr>
              <w:t>过去五年</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r>
      <w:tr w:rsidR="003C062B">
        <w:tc>
          <w:tcPr>
            <w:tcW w:w="1290" w:type="dxa"/>
            <w:vAlign w:val="center"/>
          </w:tcPr>
          <w:p w:rsidR="003C062B" w:rsidRDefault="00986D94">
            <w:pPr>
              <w:jc w:val="left"/>
            </w:pPr>
            <w:r>
              <w:rPr>
                <w:rFonts w:eastAsiaTheme="minorEastAsia"/>
                <w:color w:val="000000" w:themeColor="text1"/>
                <w:szCs w:val="21"/>
              </w:rPr>
              <w:t>自基金合同生效起至今</w:t>
            </w:r>
          </w:p>
        </w:tc>
        <w:tc>
          <w:tcPr>
            <w:tcW w:w="1291" w:type="dxa"/>
            <w:vAlign w:val="center"/>
          </w:tcPr>
          <w:p w:rsidR="003C062B" w:rsidRDefault="00986D94">
            <w:pPr>
              <w:jc w:val="right"/>
            </w:pPr>
            <w:r>
              <w:rPr>
                <w:rFonts w:eastAsiaTheme="minorEastAsia"/>
                <w:color w:val="000000" w:themeColor="text1"/>
                <w:szCs w:val="21"/>
              </w:rPr>
              <w:t>7.11%</w:t>
            </w:r>
          </w:p>
        </w:tc>
        <w:tc>
          <w:tcPr>
            <w:tcW w:w="1291" w:type="dxa"/>
            <w:vAlign w:val="center"/>
          </w:tcPr>
          <w:p w:rsidR="003C062B" w:rsidRDefault="00986D94">
            <w:pPr>
              <w:jc w:val="right"/>
            </w:pPr>
            <w:r>
              <w:rPr>
                <w:rFonts w:eastAsiaTheme="minorEastAsia"/>
                <w:color w:val="000000" w:themeColor="text1"/>
                <w:szCs w:val="21"/>
              </w:rPr>
              <w:t>1.89%</w:t>
            </w:r>
          </w:p>
        </w:tc>
        <w:tc>
          <w:tcPr>
            <w:tcW w:w="1291" w:type="dxa"/>
            <w:vAlign w:val="center"/>
          </w:tcPr>
          <w:p w:rsidR="003C062B" w:rsidRDefault="00986D94">
            <w:pPr>
              <w:jc w:val="right"/>
            </w:pPr>
            <w:r>
              <w:rPr>
                <w:rFonts w:eastAsiaTheme="minorEastAsia"/>
                <w:color w:val="000000" w:themeColor="text1"/>
                <w:szCs w:val="21"/>
              </w:rPr>
              <w:t>6.87%</w:t>
            </w:r>
          </w:p>
        </w:tc>
        <w:tc>
          <w:tcPr>
            <w:tcW w:w="1291" w:type="dxa"/>
            <w:vAlign w:val="center"/>
          </w:tcPr>
          <w:p w:rsidR="003C062B" w:rsidRDefault="00986D94">
            <w:pPr>
              <w:jc w:val="right"/>
            </w:pPr>
            <w:r>
              <w:rPr>
                <w:rFonts w:eastAsiaTheme="minorEastAsia"/>
                <w:color w:val="000000" w:themeColor="text1"/>
                <w:szCs w:val="21"/>
              </w:rPr>
              <w:t>2.01%</w:t>
            </w:r>
          </w:p>
        </w:tc>
        <w:tc>
          <w:tcPr>
            <w:tcW w:w="1291" w:type="dxa"/>
            <w:vAlign w:val="center"/>
          </w:tcPr>
          <w:p w:rsidR="003C062B" w:rsidRDefault="00986D94">
            <w:pPr>
              <w:jc w:val="right"/>
            </w:pPr>
            <w:r>
              <w:rPr>
                <w:rFonts w:eastAsiaTheme="minorEastAsia"/>
                <w:color w:val="000000" w:themeColor="text1"/>
                <w:szCs w:val="21"/>
              </w:rPr>
              <w:t>0.24%</w:t>
            </w:r>
          </w:p>
        </w:tc>
        <w:tc>
          <w:tcPr>
            <w:tcW w:w="1291" w:type="dxa"/>
            <w:vAlign w:val="center"/>
          </w:tcPr>
          <w:p w:rsidR="003C062B" w:rsidRDefault="00986D94">
            <w:pPr>
              <w:jc w:val="right"/>
            </w:pPr>
            <w:r>
              <w:rPr>
                <w:rFonts w:eastAsiaTheme="minorEastAsia"/>
                <w:color w:val="000000" w:themeColor="text1"/>
                <w:szCs w:val="21"/>
              </w:rPr>
              <w:t>-0.12%</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摩根恒生科技</w:t>
      </w:r>
      <w:r w:rsidRPr="00A3398F">
        <w:rPr>
          <w:rFonts w:eastAsiaTheme="minorEastAsia"/>
          <w:b/>
          <w:color w:val="000000" w:themeColor="text1"/>
          <w:kern w:val="0"/>
          <w:szCs w:val="21"/>
        </w:rPr>
        <w:t>ETF</w:t>
      </w:r>
      <w:r w:rsidRPr="00A3398F">
        <w:rPr>
          <w:rFonts w:eastAsiaTheme="minorEastAsia"/>
          <w:b/>
          <w:color w:val="000000" w:themeColor="text1"/>
          <w:kern w:val="0"/>
          <w:szCs w:val="21"/>
        </w:rPr>
        <w:t>发起式联接</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3C062B">
        <w:tc>
          <w:tcPr>
            <w:tcW w:w="1290" w:type="dxa"/>
            <w:vAlign w:val="center"/>
          </w:tcPr>
          <w:p w:rsidR="003C062B" w:rsidRDefault="00986D94">
            <w:pPr>
              <w:jc w:val="left"/>
            </w:pPr>
            <w:r>
              <w:rPr>
                <w:rFonts w:eastAsiaTheme="minorEastAsia"/>
                <w:color w:val="000000" w:themeColor="text1"/>
                <w:szCs w:val="21"/>
              </w:rPr>
              <w:t>过去三个月</w:t>
            </w:r>
          </w:p>
        </w:tc>
        <w:tc>
          <w:tcPr>
            <w:tcW w:w="1291" w:type="dxa"/>
            <w:vAlign w:val="center"/>
          </w:tcPr>
          <w:p w:rsidR="003C062B" w:rsidRDefault="00986D94">
            <w:pPr>
              <w:jc w:val="right"/>
            </w:pPr>
            <w:r>
              <w:rPr>
                <w:rFonts w:eastAsiaTheme="minorEastAsia"/>
                <w:color w:val="000000" w:themeColor="text1"/>
                <w:szCs w:val="21"/>
              </w:rPr>
              <w:t>-2.68%</w:t>
            </w:r>
          </w:p>
        </w:tc>
        <w:tc>
          <w:tcPr>
            <w:tcW w:w="1291" w:type="dxa"/>
            <w:vAlign w:val="center"/>
          </w:tcPr>
          <w:p w:rsidR="003C062B" w:rsidRDefault="00986D94">
            <w:pPr>
              <w:jc w:val="right"/>
            </w:pPr>
            <w:r>
              <w:rPr>
                <w:rFonts w:eastAsiaTheme="minorEastAsia"/>
                <w:color w:val="000000" w:themeColor="text1"/>
                <w:szCs w:val="21"/>
              </w:rPr>
              <w:t>1.81%</w:t>
            </w:r>
          </w:p>
        </w:tc>
        <w:tc>
          <w:tcPr>
            <w:tcW w:w="1291" w:type="dxa"/>
            <w:vAlign w:val="center"/>
          </w:tcPr>
          <w:p w:rsidR="003C062B" w:rsidRDefault="00986D94">
            <w:pPr>
              <w:jc w:val="right"/>
            </w:pPr>
            <w:r>
              <w:rPr>
                <w:rFonts w:eastAsiaTheme="minorEastAsia"/>
                <w:color w:val="000000" w:themeColor="text1"/>
                <w:szCs w:val="21"/>
              </w:rPr>
              <w:t>-3.27%</w:t>
            </w:r>
          </w:p>
        </w:tc>
        <w:tc>
          <w:tcPr>
            <w:tcW w:w="1291" w:type="dxa"/>
            <w:vAlign w:val="center"/>
          </w:tcPr>
          <w:p w:rsidR="003C062B" w:rsidRDefault="00986D94">
            <w:pPr>
              <w:jc w:val="right"/>
            </w:pPr>
            <w:r>
              <w:rPr>
                <w:rFonts w:eastAsiaTheme="minorEastAsia"/>
                <w:color w:val="000000" w:themeColor="text1"/>
                <w:szCs w:val="21"/>
              </w:rPr>
              <w:t>1.88%</w:t>
            </w:r>
          </w:p>
        </w:tc>
        <w:tc>
          <w:tcPr>
            <w:tcW w:w="1291" w:type="dxa"/>
            <w:vAlign w:val="center"/>
          </w:tcPr>
          <w:p w:rsidR="003C062B" w:rsidRDefault="00986D94">
            <w:pPr>
              <w:jc w:val="right"/>
            </w:pPr>
            <w:r>
              <w:rPr>
                <w:rFonts w:eastAsiaTheme="minorEastAsia"/>
                <w:color w:val="000000" w:themeColor="text1"/>
                <w:szCs w:val="21"/>
              </w:rPr>
              <w:t>0.59%</w:t>
            </w:r>
          </w:p>
        </w:tc>
        <w:tc>
          <w:tcPr>
            <w:tcW w:w="1291" w:type="dxa"/>
            <w:vAlign w:val="center"/>
          </w:tcPr>
          <w:p w:rsidR="003C062B" w:rsidRDefault="00986D94">
            <w:pPr>
              <w:jc w:val="right"/>
            </w:pPr>
            <w:r>
              <w:rPr>
                <w:rFonts w:eastAsiaTheme="minorEastAsia"/>
                <w:color w:val="000000" w:themeColor="text1"/>
                <w:szCs w:val="21"/>
              </w:rPr>
              <w:t>-0.07%</w:t>
            </w:r>
          </w:p>
        </w:tc>
      </w:tr>
      <w:tr w:rsidR="003C062B">
        <w:tc>
          <w:tcPr>
            <w:tcW w:w="1290" w:type="dxa"/>
            <w:vAlign w:val="center"/>
          </w:tcPr>
          <w:p w:rsidR="003C062B" w:rsidRDefault="00986D94">
            <w:pPr>
              <w:jc w:val="left"/>
            </w:pPr>
            <w:r>
              <w:rPr>
                <w:rFonts w:eastAsiaTheme="minorEastAsia"/>
                <w:color w:val="000000" w:themeColor="text1"/>
                <w:szCs w:val="21"/>
              </w:rPr>
              <w:t>过去六个月</w:t>
            </w:r>
          </w:p>
        </w:tc>
        <w:tc>
          <w:tcPr>
            <w:tcW w:w="1291" w:type="dxa"/>
            <w:vAlign w:val="center"/>
          </w:tcPr>
          <w:p w:rsidR="003C062B" w:rsidRDefault="00986D94">
            <w:pPr>
              <w:jc w:val="right"/>
            </w:pPr>
            <w:r>
              <w:rPr>
                <w:rFonts w:eastAsiaTheme="minorEastAsia"/>
                <w:color w:val="000000" w:themeColor="text1"/>
                <w:szCs w:val="21"/>
              </w:rPr>
              <w:t>23.27%</w:t>
            </w:r>
          </w:p>
        </w:tc>
        <w:tc>
          <w:tcPr>
            <w:tcW w:w="1291" w:type="dxa"/>
            <w:vAlign w:val="center"/>
          </w:tcPr>
          <w:p w:rsidR="003C062B" w:rsidRDefault="00986D94">
            <w:pPr>
              <w:jc w:val="right"/>
            </w:pPr>
            <w:r>
              <w:rPr>
                <w:rFonts w:eastAsiaTheme="minorEastAsia"/>
                <w:color w:val="000000" w:themeColor="text1"/>
                <w:szCs w:val="21"/>
              </w:rPr>
              <w:t>1.87%</w:t>
            </w:r>
          </w:p>
        </w:tc>
        <w:tc>
          <w:tcPr>
            <w:tcW w:w="1291" w:type="dxa"/>
            <w:vAlign w:val="center"/>
          </w:tcPr>
          <w:p w:rsidR="003C062B" w:rsidRDefault="00986D94">
            <w:pPr>
              <w:jc w:val="right"/>
            </w:pPr>
            <w:r>
              <w:rPr>
                <w:rFonts w:eastAsiaTheme="minorEastAsia"/>
                <w:color w:val="000000" w:themeColor="text1"/>
                <w:szCs w:val="21"/>
              </w:rPr>
              <w:t>26.18%</w:t>
            </w:r>
          </w:p>
        </w:tc>
        <w:tc>
          <w:tcPr>
            <w:tcW w:w="1291" w:type="dxa"/>
            <w:vAlign w:val="center"/>
          </w:tcPr>
          <w:p w:rsidR="003C062B" w:rsidRDefault="00986D94">
            <w:pPr>
              <w:jc w:val="right"/>
            </w:pPr>
            <w:r>
              <w:rPr>
                <w:rFonts w:eastAsiaTheme="minorEastAsia"/>
                <w:color w:val="000000" w:themeColor="text1"/>
                <w:szCs w:val="21"/>
              </w:rPr>
              <w:t>1.99%</w:t>
            </w:r>
          </w:p>
        </w:tc>
        <w:tc>
          <w:tcPr>
            <w:tcW w:w="1291" w:type="dxa"/>
            <w:vAlign w:val="center"/>
          </w:tcPr>
          <w:p w:rsidR="003C062B" w:rsidRDefault="00986D94">
            <w:pPr>
              <w:jc w:val="right"/>
            </w:pPr>
            <w:r>
              <w:rPr>
                <w:rFonts w:eastAsiaTheme="minorEastAsia"/>
                <w:color w:val="000000" w:themeColor="text1"/>
                <w:szCs w:val="21"/>
              </w:rPr>
              <w:t>-2.91%</w:t>
            </w:r>
          </w:p>
        </w:tc>
        <w:tc>
          <w:tcPr>
            <w:tcW w:w="1291" w:type="dxa"/>
            <w:vAlign w:val="center"/>
          </w:tcPr>
          <w:p w:rsidR="003C062B" w:rsidRDefault="00986D94">
            <w:pPr>
              <w:jc w:val="right"/>
            </w:pPr>
            <w:r>
              <w:rPr>
                <w:rFonts w:eastAsiaTheme="minorEastAsia"/>
                <w:color w:val="000000" w:themeColor="text1"/>
                <w:szCs w:val="21"/>
              </w:rPr>
              <w:t>-0.12%</w:t>
            </w:r>
          </w:p>
        </w:tc>
      </w:tr>
      <w:tr w:rsidR="003C062B">
        <w:tc>
          <w:tcPr>
            <w:tcW w:w="1290" w:type="dxa"/>
            <w:vAlign w:val="center"/>
          </w:tcPr>
          <w:p w:rsidR="003C062B" w:rsidRDefault="00986D94">
            <w:pPr>
              <w:jc w:val="left"/>
            </w:pPr>
            <w:r>
              <w:rPr>
                <w:rFonts w:eastAsiaTheme="minorEastAsia"/>
                <w:color w:val="000000" w:themeColor="text1"/>
                <w:szCs w:val="21"/>
              </w:rPr>
              <w:t>过去一年</w:t>
            </w:r>
          </w:p>
        </w:tc>
        <w:tc>
          <w:tcPr>
            <w:tcW w:w="1291" w:type="dxa"/>
            <w:vAlign w:val="center"/>
          </w:tcPr>
          <w:p w:rsidR="003C062B" w:rsidRDefault="00986D94">
            <w:pPr>
              <w:jc w:val="right"/>
            </w:pPr>
            <w:r>
              <w:rPr>
                <w:rFonts w:eastAsiaTheme="minorEastAsia"/>
                <w:color w:val="000000" w:themeColor="text1"/>
                <w:szCs w:val="21"/>
              </w:rPr>
              <w:t>18.85%</w:t>
            </w:r>
          </w:p>
        </w:tc>
        <w:tc>
          <w:tcPr>
            <w:tcW w:w="1291" w:type="dxa"/>
            <w:vAlign w:val="center"/>
          </w:tcPr>
          <w:p w:rsidR="003C062B" w:rsidRDefault="00986D94">
            <w:pPr>
              <w:jc w:val="right"/>
            </w:pPr>
            <w:r>
              <w:rPr>
                <w:rFonts w:eastAsiaTheme="minorEastAsia"/>
                <w:color w:val="000000" w:themeColor="text1"/>
                <w:szCs w:val="21"/>
              </w:rPr>
              <w:t>1.95%</w:t>
            </w:r>
          </w:p>
        </w:tc>
        <w:tc>
          <w:tcPr>
            <w:tcW w:w="1291" w:type="dxa"/>
            <w:vAlign w:val="center"/>
          </w:tcPr>
          <w:p w:rsidR="003C062B" w:rsidRDefault="00986D94">
            <w:pPr>
              <w:jc w:val="right"/>
            </w:pPr>
            <w:r>
              <w:rPr>
                <w:rFonts w:eastAsiaTheme="minorEastAsia"/>
                <w:color w:val="000000" w:themeColor="text1"/>
                <w:szCs w:val="21"/>
              </w:rPr>
              <w:t>20.25%</w:t>
            </w:r>
          </w:p>
        </w:tc>
        <w:tc>
          <w:tcPr>
            <w:tcW w:w="1291" w:type="dxa"/>
            <w:vAlign w:val="center"/>
          </w:tcPr>
          <w:p w:rsidR="003C062B" w:rsidRDefault="00986D94">
            <w:pPr>
              <w:jc w:val="right"/>
            </w:pPr>
            <w:r>
              <w:rPr>
                <w:rFonts w:eastAsiaTheme="minorEastAsia"/>
                <w:color w:val="000000" w:themeColor="text1"/>
                <w:szCs w:val="21"/>
              </w:rPr>
              <w:t>2.05%</w:t>
            </w:r>
          </w:p>
        </w:tc>
        <w:tc>
          <w:tcPr>
            <w:tcW w:w="1291" w:type="dxa"/>
            <w:vAlign w:val="center"/>
          </w:tcPr>
          <w:p w:rsidR="003C062B" w:rsidRDefault="00986D94">
            <w:pPr>
              <w:jc w:val="right"/>
            </w:pPr>
            <w:r>
              <w:rPr>
                <w:rFonts w:eastAsiaTheme="minorEastAsia"/>
                <w:color w:val="000000" w:themeColor="text1"/>
                <w:szCs w:val="21"/>
              </w:rPr>
              <w:t>-1.40%</w:t>
            </w:r>
          </w:p>
        </w:tc>
        <w:tc>
          <w:tcPr>
            <w:tcW w:w="1291" w:type="dxa"/>
            <w:vAlign w:val="center"/>
          </w:tcPr>
          <w:p w:rsidR="003C062B" w:rsidRDefault="00986D94">
            <w:pPr>
              <w:jc w:val="right"/>
            </w:pPr>
            <w:r>
              <w:rPr>
                <w:rFonts w:eastAsiaTheme="minorEastAsia"/>
                <w:color w:val="000000" w:themeColor="text1"/>
                <w:szCs w:val="21"/>
              </w:rPr>
              <w:t>-0.10%</w:t>
            </w:r>
          </w:p>
        </w:tc>
      </w:tr>
      <w:tr w:rsidR="003C062B">
        <w:tc>
          <w:tcPr>
            <w:tcW w:w="1290" w:type="dxa"/>
            <w:vAlign w:val="center"/>
          </w:tcPr>
          <w:p w:rsidR="003C062B" w:rsidRDefault="00986D94">
            <w:pPr>
              <w:jc w:val="left"/>
            </w:pPr>
            <w:r>
              <w:rPr>
                <w:rFonts w:eastAsiaTheme="minorEastAsia"/>
                <w:color w:val="000000" w:themeColor="text1"/>
                <w:szCs w:val="21"/>
              </w:rPr>
              <w:t>过去三年</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r>
      <w:tr w:rsidR="003C062B">
        <w:tc>
          <w:tcPr>
            <w:tcW w:w="1290" w:type="dxa"/>
            <w:vAlign w:val="center"/>
          </w:tcPr>
          <w:p w:rsidR="003C062B" w:rsidRDefault="00986D94">
            <w:pPr>
              <w:jc w:val="left"/>
            </w:pPr>
            <w:r>
              <w:rPr>
                <w:rFonts w:eastAsiaTheme="minorEastAsia"/>
                <w:color w:val="000000" w:themeColor="text1"/>
                <w:szCs w:val="21"/>
              </w:rPr>
              <w:t>过去五年</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c>
          <w:tcPr>
            <w:tcW w:w="1291" w:type="dxa"/>
            <w:vAlign w:val="center"/>
          </w:tcPr>
          <w:p w:rsidR="003C062B" w:rsidRDefault="00986D94">
            <w:pPr>
              <w:jc w:val="right"/>
            </w:pPr>
            <w:r>
              <w:rPr>
                <w:rFonts w:eastAsiaTheme="minorEastAsia"/>
                <w:color w:val="000000" w:themeColor="text1"/>
                <w:szCs w:val="21"/>
              </w:rPr>
              <w:t>-</w:t>
            </w:r>
          </w:p>
        </w:tc>
      </w:tr>
      <w:tr w:rsidR="003C062B">
        <w:tc>
          <w:tcPr>
            <w:tcW w:w="1290" w:type="dxa"/>
            <w:vAlign w:val="center"/>
          </w:tcPr>
          <w:p w:rsidR="003C062B" w:rsidRDefault="00986D94">
            <w:pPr>
              <w:jc w:val="left"/>
            </w:pPr>
            <w:r>
              <w:rPr>
                <w:rFonts w:eastAsiaTheme="minorEastAsia"/>
                <w:color w:val="000000" w:themeColor="text1"/>
                <w:szCs w:val="21"/>
              </w:rPr>
              <w:t>自基金合同生效起至今</w:t>
            </w:r>
          </w:p>
        </w:tc>
        <w:tc>
          <w:tcPr>
            <w:tcW w:w="1291" w:type="dxa"/>
            <w:vAlign w:val="center"/>
          </w:tcPr>
          <w:p w:rsidR="003C062B" w:rsidRDefault="00986D94">
            <w:pPr>
              <w:jc w:val="right"/>
            </w:pPr>
            <w:r>
              <w:rPr>
                <w:rFonts w:eastAsiaTheme="minorEastAsia"/>
                <w:color w:val="000000" w:themeColor="text1"/>
                <w:szCs w:val="21"/>
              </w:rPr>
              <w:t>6.30%</w:t>
            </w:r>
          </w:p>
        </w:tc>
        <w:tc>
          <w:tcPr>
            <w:tcW w:w="1291" w:type="dxa"/>
            <w:vAlign w:val="center"/>
          </w:tcPr>
          <w:p w:rsidR="003C062B" w:rsidRDefault="00986D94">
            <w:pPr>
              <w:jc w:val="right"/>
            </w:pPr>
            <w:r>
              <w:rPr>
                <w:rFonts w:eastAsiaTheme="minorEastAsia"/>
                <w:color w:val="000000" w:themeColor="text1"/>
                <w:szCs w:val="21"/>
              </w:rPr>
              <w:t>1.89%</w:t>
            </w:r>
          </w:p>
        </w:tc>
        <w:tc>
          <w:tcPr>
            <w:tcW w:w="1291" w:type="dxa"/>
            <w:vAlign w:val="center"/>
          </w:tcPr>
          <w:p w:rsidR="003C062B" w:rsidRDefault="00986D94">
            <w:pPr>
              <w:jc w:val="right"/>
            </w:pPr>
            <w:r>
              <w:rPr>
                <w:rFonts w:eastAsiaTheme="minorEastAsia"/>
                <w:color w:val="000000" w:themeColor="text1"/>
                <w:szCs w:val="21"/>
              </w:rPr>
              <w:t>6.87%</w:t>
            </w:r>
          </w:p>
        </w:tc>
        <w:tc>
          <w:tcPr>
            <w:tcW w:w="1291" w:type="dxa"/>
            <w:vAlign w:val="center"/>
          </w:tcPr>
          <w:p w:rsidR="003C062B" w:rsidRDefault="00986D94">
            <w:pPr>
              <w:jc w:val="right"/>
            </w:pPr>
            <w:r>
              <w:rPr>
                <w:rFonts w:eastAsiaTheme="minorEastAsia"/>
                <w:color w:val="000000" w:themeColor="text1"/>
                <w:szCs w:val="21"/>
              </w:rPr>
              <w:t>2.01%</w:t>
            </w:r>
          </w:p>
        </w:tc>
        <w:tc>
          <w:tcPr>
            <w:tcW w:w="1291" w:type="dxa"/>
            <w:vAlign w:val="center"/>
          </w:tcPr>
          <w:p w:rsidR="003C062B" w:rsidRDefault="00986D94">
            <w:pPr>
              <w:jc w:val="right"/>
            </w:pPr>
            <w:r>
              <w:rPr>
                <w:rFonts w:eastAsiaTheme="minorEastAsia"/>
                <w:color w:val="000000" w:themeColor="text1"/>
                <w:szCs w:val="21"/>
              </w:rPr>
              <w:t>-0.57%</w:t>
            </w:r>
          </w:p>
        </w:tc>
        <w:tc>
          <w:tcPr>
            <w:tcW w:w="1291" w:type="dxa"/>
            <w:vAlign w:val="center"/>
          </w:tcPr>
          <w:p w:rsidR="003C062B" w:rsidRDefault="00986D94">
            <w:pPr>
              <w:jc w:val="right"/>
            </w:pPr>
            <w:r>
              <w:rPr>
                <w:rFonts w:eastAsiaTheme="minorEastAsia"/>
                <w:color w:val="000000" w:themeColor="text1"/>
                <w:szCs w:val="21"/>
              </w:rPr>
              <w:t>-0.12%</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摩根恒生科技交易型开放式指数证券投资基金发起式联接基金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2023</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7</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18</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12</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3C062B">
        <w:tc>
          <w:tcPr>
            <w:tcW w:w="851" w:type="dxa"/>
            <w:vAlign w:val="center"/>
          </w:tcPr>
          <w:p w:rsidR="003C062B" w:rsidRDefault="00986D94">
            <w:pPr>
              <w:jc w:val="center"/>
            </w:pPr>
            <w:r>
              <w:rPr>
                <w:rFonts w:eastAsiaTheme="minorEastAsia"/>
                <w:color w:val="000000" w:themeColor="text1"/>
                <w:szCs w:val="21"/>
              </w:rPr>
              <w:t>毛时超</w:t>
            </w:r>
          </w:p>
        </w:tc>
        <w:tc>
          <w:tcPr>
            <w:tcW w:w="850" w:type="dxa"/>
            <w:vAlign w:val="center"/>
          </w:tcPr>
          <w:p w:rsidR="003C062B" w:rsidRDefault="00986D94">
            <w:pPr>
              <w:jc w:val="center"/>
            </w:pPr>
            <w:r>
              <w:rPr>
                <w:rFonts w:eastAsiaTheme="minorEastAsia"/>
                <w:color w:val="000000" w:themeColor="text1"/>
                <w:szCs w:val="21"/>
              </w:rPr>
              <w:t>本基金基金经理</w:t>
            </w:r>
          </w:p>
        </w:tc>
        <w:tc>
          <w:tcPr>
            <w:tcW w:w="1560" w:type="dxa"/>
            <w:vAlign w:val="center"/>
          </w:tcPr>
          <w:p w:rsidR="003C062B" w:rsidRDefault="00986D94">
            <w:pPr>
              <w:jc w:val="center"/>
            </w:pPr>
            <w:r>
              <w:rPr>
                <w:rFonts w:eastAsiaTheme="minorEastAsia"/>
                <w:color w:val="000000" w:themeColor="text1"/>
                <w:szCs w:val="21"/>
              </w:rPr>
              <w:t>2023-07-18</w:t>
            </w:r>
          </w:p>
        </w:tc>
        <w:tc>
          <w:tcPr>
            <w:tcW w:w="1559" w:type="dxa"/>
            <w:vAlign w:val="center"/>
          </w:tcPr>
          <w:p w:rsidR="003C062B" w:rsidRDefault="00986D94">
            <w:pPr>
              <w:jc w:val="center"/>
            </w:pPr>
            <w:r>
              <w:rPr>
                <w:rFonts w:eastAsiaTheme="minorEastAsia"/>
                <w:color w:val="000000" w:themeColor="text1"/>
                <w:szCs w:val="21"/>
              </w:rPr>
              <w:t>-</w:t>
            </w:r>
          </w:p>
        </w:tc>
        <w:tc>
          <w:tcPr>
            <w:tcW w:w="1417" w:type="dxa"/>
            <w:vAlign w:val="center"/>
          </w:tcPr>
          <w:p w:rsidR="003C062B" w:rsidRDefault="00986D94">
            <w:pPr>
              <w:jc w:val="center"/>
            </w:pPr>
            <w:r>
              <w:rPr>
                <w:rFonts w:eastAsiaTheme="minorEastAsia"/>
                <w:color w:val="000000" w:themeColor="text1"/>
                <w:szCs w:val="21"/>
              </w:rPr>
              <w:t>9</w:t>
            </w:r>
            <w:r>
              <w:rPr>
                <w:rFonts w:eastAsiaTheme="minorEastAsia"/>
                <w:color w:val="000000" w:themeColor="text1"/>
                <w:szCs w:val="21"/>
              </w:rPr>
              <w:t>年</w:t>
            </w:r>
          </w:p>
        </w:tc>
        <w:tc>
          <w:tcPr>
            <w:tcW w:w="2694" w:type="dxa"/>
            <w:vAlign w:val="center"/>
          </w:tcPr>
          <w:p w:rsidR="003C062B" w:rsidRDefault="00986D94">
            <w:pPr>
              <w:jc w:val="left"/>
            </w:pPr>
            <w:r>
              <w:rPr>
                <w:rFonts w:eastAsiaTheme="minorEastAsia"/>
                <w:color w:val="000000" w:themeColor="text1"/>
                <w:szCs w:val="21"/>
              </w:rPr>
              <w:t>毛时超先生曾任平安基金管理有限公司量化研究员、基金经理助理、基金经理；自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月加入摩根基金管理（中国）有限公司（原上投摩根基金管理有限公司），现任指数及量化投资部基金经理。</w:t>
            </w:r>
          </w:p>
        </w:tc>
      </w:tr>
    </w:tbl>
    <w:p w:rsidR="003C062B" w:rsidRDefault="00986D9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3C062B" w:rsidRDefault="00986D9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毛时超先生为本基金首任基金经理，其任职日期指本基金基金合同生效之日。</w:t>
      </w:r>
      <w:r>
        <w:rPr>
          <w:rFonts w:eastAsiaTheme="minorEastAsia"/>
          <w:color w:val="000000" w:themeColor="text1"/>
          <w:szCs w:val="21"/>
        </w:rPr>
        <w:t xml:space="preserve"> </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2</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3.1</w:t>
      </w:r>
      <w:r w:rsidRPr="00A3398F">
        <w:rPr>
          <w:rFonts w:eastAsiaTheme="minorEastAsia"/>
          <w:color w:val="000000" w:themeColor="text1"/>
          <w:sz w:val="24"/>
        </w:rPr>
        <w:t>公平交易制度的执行情况</w:t>
      </w: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w:t>
      </w:r>
      <w:r>
        <w:rPr>
          <w:rFonts w:eastAsiaTheme="minorEastAsia"/>
          <w:color w:val="000000" w:themeColor="text1"/>
          <w:szCs w:val="21"/>
        </w:rPr>
        <w:lastRenderedPageBreak/>
        <w:t>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4.4 </w:t>
      </w:r>
      <w:r w:rsidRPr="00A3398F">
        <w:rPr>
          <w:rFonts w:eastAsiaTheme="minorEastAsia"/>
          <w:b/>
          <w:color w:val="000000" w:themeColor="text1"/>
          <w:kern w:val="0"/>
          <w:sz w:val="24"/>
        </w:rPr>
        <w:t>报告期内基金的投资策略和业绩表现说明</w:t>
      </w: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港股市场在经历</w:t>
      </w:r>
      <w:r>
        <w:rPr>
          <w:rFonts w:eastAsiaTheme="minorEastAsia"/>
          <w:color w:val="000000" w:themeColor="text1"/>
          <w:szCs w:val="21"/>
        </w:rPr>
        <w:t>9</w:t>
      </w:r>
      <w:r>
        <w:rPr>
          <w:rFonts w:eastAsiaTheme="minorEastAsia"/>
          <w:color w:val="000000" w:themeColor="text1"/>
          <w:szCs w:val="21"/>
        </w:rPr>
        <w:t>月末和</w:t>
      </w:r>
      <w:r>
        <w:rPr>
          <w:rFonts w:eastAsiaTheme="minorEastAsia"/>
          <w:color w:val="000000" w:themeColor="text1"/>
          <w:szCs w:val="21"/>
        </w:rPr>
        <w:t>10</w:t>
      </w:r>
      <w:r>
        <w:rPr>
          <w:rFonts w:eastAsiaTheme="minorEastAsia"/>
          <w:color w:val="000000" w:themeColor="text1"/>
          <w:szCs w:val="21"/>
        </w:rPr>
        <w:t>月初的快速上涨行情后，四季度以来，港股市场呈现弱势震荡态势。从基本面来看，</w:t>
      </w:r>
      <w:r>
        <w:rPr>
          <w:rFonts w:eastAsiaTheme="minorEastAsia"/>
          <w:color w:val="000000" w:themeColor="text1"/>
          <w:szCs w:val="21"/>
        </w:rPr>
        <w:t>11</w:t>
      </w:r>
      <w:r>
        <w:rPr>
          <w:rFonts w:eastAsiaTheme="minorEastAsia"/>
          <w:color w:val="000000" w:themeColor="text1"/>
          <w:szCs w:val="21"/>
        </w:rPr>
        <w:t>月经济数据仍显经济韧性，经济整体延续弱复苏态势。政策层面，</w:t>
      </w:r>
      <w:r>
        <w:rPr>
          <w:rFonts w:eastAsiaTheme="minorEastAsia"/>
          <w:color w:val="000000" w:themeColor="text1"/>
          <w:szCs w:val="21"/>
        </w:rPr>
        <w:t>12</w:t>
      </w:r>
      <w:r>
        <w:rPr>
          <w:rFonts w:eastAsiaTheme="minorEastAsia"/>
          <w:color w:val="000000" w:themeColor="text1"/>
          <w:szCs w:val="21"/>
        </w:rPr>
        <w:t>月的政治局会议和中央经济工作会议对后续政策端给出了积极定调，市场或等待政策执行与落地对经济提振的效果验证。资金面上，美联储</w:t>
      </w:r>
      <w:r>
        <w:rPr>
          <w:rFonts w:eastAsiaTheme="minorEastAsia"/>
          <w:color w:val="000000" w:themeColor="text1"/>
          <w:szCs w:val="21"/>
        </w:rPr>
        <w:t>12</w:t>
      </w:r>
      <w:r>
        <w:rPr>
          <w:rFonts w:eastAsiaTheme="minorEastAsia"/>
          <w:color w:val="000000" w:themeColor="text1"/>
          <w:szCs w:val="21"/>
        </w:rPr>
        <w:t>月降息落地，美国或将进一步降息，但未来降息节奏和幅度仍是不确定变量。本基金跟踪的恒生科技指数由</w:t>
      </w:r>
      <w:r>
        <w:rPr>
          <w:rFonts w:eastAsiaTheme="minorEastAsia"/>
          <w:color w:val="000000" w:themeColor="text1"/>
          <w:szCs w:val="21"/>
        </w:rPr>
        <w:t>30</w:t>
      </w:r>
      <w:r>
        <w:rPr>
          <w:rFonts w:eastAsiaTheme="minorEastAsia"/>
          <w:color w:val="000000" w:themeColor="text1"/>
          <w:szCs w:val="21"/>
        </w:rPr>
        <w:t>家最大的与科技主题高度相关的香港上市公司组成，以反映科技板块港股上市公司的整体表现。报告期内，恒生科技指数录得</w:t>
      </w:r>
      <w:r>
        <w:rPr>
          <w:rFonts w:eastAsiaTheme="minorEastAsia"/>
          <w:color w:val="000000" w:themeColor="text1"/>
          <w:szCs w:val="21"/>
        </w:rPr>
        <w:t>-5.97%</w:t>
      </w:r>
      <w:r>
        <w:rPr>
          <w:rFonts w:eastAsiaTheme="minorEastAsia"/>
          <w:color w:val="000000" w:themeColor="text1"/>
          <w:szCs w:val="21"/>
        </w:rPr>
        <w:t>的收益。本基金采用被动投资的方法跟踪标的指数，争取跟踪误差保持在合理范围内。</w:t>
      </w: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继续看好港股科技成长板块的投资机会。一方面，货币政策宽松，无风险利率下行，稳增长政策发力的多重利好因素或将助力港股市场表现；另一方面，从产业长周期角度来看，中国科技创新和产业升级的潜力巨大，科技</w:t>
      </w:r>
      <w:r>
        <w:rPr>
          <w:rFonts w:eastAsiaTheme="minorEastAsia"/>
          <w:color w:val="000000" w:themeColor="text1"/>
          <w:szCs w:val="21"/>
        </w:rPr>
        <w:t>“</w:t>
      </w:r>
      <w:r>
        <w:rPr>
          <w:rFonts w:eastAsiaTheme="minorEastAsia"/>
          <w:color w:val="000000" w:themeColor="text1"/>
          <w:szCs w:val="21"/>
        </w:rPr>
        <w:t>自主可控</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自立自强</w:t>
      </w:r>
      <w:r>
        <w:rPr>
          <w:rFonts w:eastAsiaTheme="minorEastAsia"/>
          <w:color w:val="000000" w:themeColor="text1"/>
          <w:szCs w:val="21"/>
        </w:rPr>
        <w:t>”</w:t>
      </w:r>
      <w:r>
        <w:rPr>
          <w:rFonts w:eastAsiaTheme="minorEastAsia"/>
          <w:color w:val="000000" w:themeColor="text1"/>
          <w:szCs w:val="21"/>
        </w:rPr>
        <w:t>是内循环当中的较大增量。</w:t>
      </w:r>
      <w:r>
        <w:rPr>
          <w:rFonts w:eastAsiaTheme="minorEastAsia"/>
          <w:color w:val="000000" w:themeColor="text1"/>
          <w:szCs w:val="21"/>
        </w:rPr>
        <w:t>AI</w:t>
      </w:r>
      <w:r>
        <w:rPr>
          <w:rFonts w:eastAsiaTheme="minorEastAsia"/>
          <w:color w:val="000000" w:themeColor="text1"/>
          <w:szCs w:val="21"/>
        </w:rPr>
        <w:t>或将带来恒生科技的新一轮技术周期，有核心技术和积淀的互联网巨头值得投资者关注。</w:t>
      </w:r>
    </w:p>
    <w:p w:rsidR="003C062B" w:rsidRDefault="003C062B">
      <w:pPr>
        <w:spacing w:line="360" w:lineRule="auto"/>
        <w:ind w:firstLineChars="200" w:firstLine="420"/>
        <w:rPr>
          <w:rFonts w:eastAsiaTheme="minorEastAsia"/>
          <w:color w:val="000000" w:themeColor="text1"/>
          <w:szCs w:val="21"/>
        </w:rPr>
      </w:pP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:-2.14%</w:t>
      </w:r>
      <w:r>
        <w:rPr>
          <w:rFonts w:eastAsiaTheme="minorEastAsia"/>
          <w:color w:val="000000" w:themeColor="text1"/>
          <w:szCs w:val="21"/>
        </w:rPr>
        <w:t>，同期业绩比较基准收益率为</w:t>
      </w:r>
      <w:r>
        <w:rPr>
          <w:rFonts w:eastAsiaTheme="minorEastAsia"/>
          <w:color w:val="000000" w:themeColor="text1"/>
          <w:szCs w:val="21"/>
        </w:rPr>
        <w:t>:-3.27%;</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:-2.68%</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:-3.27%</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lastRenderedPageBreak/>
        <w:t>4.5</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982AC4"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145,870,383.45</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93.59</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2,940,620.65</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1.89</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2,940,620.65</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1.89</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6,531,020.77</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4.19</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519,271.67</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0.33</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155,861,296.54</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2E7AB7" w:rsidRPr="006A0AFD" w:rsidRDefault="00982AC4" w:rsidP="002E7AB7">
      <w:pPr>
        <w:rPr>
          <w:rFonts w:eastAsiaTheme="minorEastAsia"/>
          <w:b/>
          <w:color w:val="000000" w:themeColor="text1"/>
          <w:kern w:val="0"/>
          <w:sz w:val="24"/>
        </w:rPr>
      </w:pPr>
      <w:r w:rsidRPr="00A3398F">
        <w:rPr>
          <w:rFonts w:eastAsiaTheme="minorEastAsia"/>
          <w:b/>
          <w:color w:val="000000" w:themeColor="text1"/>
          <w:kern w:val="0"/>
          <w:sz w:val="24"/>
        </w:rPr>
        <w:t>5.2</w:t>
      </w:r>
      <w:r w:rsidR="002E7AB7" w:rsidRPr="006A0AFD">
        <w:rPr>
          <w:rFonts w:eastAsiaTheme="minorEastAsia" w:hint="eastAsia"/>
          <w:b/>
          <w:color w:val="000000" w:themeColor="text1"/>
          <w:kern w:val="0"/>
          <w:sz w:val="24"/>
        </w:rPr>
        <w:t>期末投资目标基金明细</w:t>
      </w:r>
    </w:p>
    <w:tbl>
      <w:tblPr>
        <w:tblStyle w:val="afa"/>
        <w:tblW w:w="0" w:type="auto"/>
        <w:tblInd w:w="15" w:type="dxa"/>
        <w:tblLook w:val="04A0" w:firstRow="1" w:lastRow="0" w:firstColumn="1" w:lastColumn="0" w:noHBand="0" w:noVBand="1"/>
      </w:tblPr>
      <w:tblGrid>
        <w:gridCol w:w="765"/>
        <w:gridCol w:w="1746"/>
        <w:gridCol w:w="766"/>
        <w:gridCol w:w="893"/>
        <w:gridCol w:w="1736"/>
        <w:gridCol w:w="1529"/>
        <w:gridCol w:w="1078"/>
      </w:tblGrid>
      <w:tr w:rsidR="002E7AB7" w:rsidRPr="0077262D" w:rsidTr="00982AC4">
        <w:tc>
          <w:tcPr>
            <w:tcW w:w="1184"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lastRenderedPageBreak/>
              <w:t>序号</w:t>
            </w:r>
          </w:p>
        </w:tc>
        <w:tc>
          <w:tcPr>
            <w:tcW w:w="1185"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基金名称</w:t>
            </w:r>
          </w:p>
        </w:tc>
        <w:tc>
          <w:tcPr>
            <w:tcW w:w="1185"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基金类型</w:t>
            </w:r>
          </w:p>
        </w:tc>
        <w:tc>
          <w:tcPr>
            <w:tcW w:w="1185"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运作方式</w:t>
            </w:r>
          </w:p>
        </w:tc>
        <w:tc>
          <w:tcPr>
            <w:tcW w:w="1185"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管理人</w:t>
            </w:r>
          </w:p>
        </w:tc>
        <w:tc>
          <w:tcPr>
            <w:tcW w:w="1186"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公允价值</w:t>
            </w:r>
          </w:p>
        </w:tc>
        <w:tc>
          <w:tcPr>
            <w:tcW w:w="1403"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占基金资产净值比例（</w:t>
            </w:r>
            <w:r w:rsidRPr="002E7AB7">
              <w:rPr>
                <w:rFonts w:eastAsiaTheme="minorEastAsia"/>
                <w:color w:val="000000" w:themeColor="text1"/>
                <w:kern w:val="0"/>
                <w:szCs w:val="21"/>
              </w:rPr>
              <w:t>%</w:t>
            </w:r>
            <w:r w:rsidRPr="002E7AB7">
              <w:rPr>
                <w:rFonts w:eastAsiaTheme="minorEastAsia" w:hint="eastAsia"/>
                <w:color w:val="000000" w:themeColor="text1"/>
                <w:kern w:val="0"/>
                <w:szCs w:val="21"/>
              </w:rPr>
              <w:t>）</w:t>
            </w:r>
          </w:p>
        </w:tc>
      </w:tr>
      <w:tr w:rsidR="003C062B">
        <w:tc>
          <w:tcPr>
            <w:tcW w:w="0" w:type="auto"/>
            <w:vAlign w:val="center"/>
          </w:tcPr>
          <w:p w:rsidR="003C062B" w:rsidRDefault="00986D94">
            <w:pPr>
              <w:jc w:val="center"/>
            </w:pPr>
            <w:r>
              <w:rPr>
                <w:rFonts w:eastAsiaTheme="minorEastAsia"/>
                <w:color w:val="000000" w:themeColor="text1"/>
                <w:szCs w:val="21"/>
              </w:rPr>
              <w:t>1</w:t>
            </w:r>
          </w:p>
        </w:tc>
        <w:tc>
          <w:tcPr>
            <w:tcW w:w="0" w:type="auto"/>
            <w:vAlign w:val="center"/>
          </w:tcPr>
          <w:p w:rsidR="003C062B" w:rsidRDefault="00986D94">
            <w:pPr>
              <w:jc w:val="center"/>
            </w:pPr>
            <w:r>
              <w:rPr>
                <w:rFonts w:eastAsiaTheme="minorEastAsia"/>
                <w:color w:val="000000" w:themeColor="text1"/>
                <w:szCs w:val="21"/>
              </w:rPr>
              <w:t>摩根恒生科技</w:t>
            </w:r>
            <w:r>
              <w:rPr>
                <w:rFonts w:eastAsiaTheme="minorEastAsia"/>
                <w:color w:val="000000" w:themeColor="text1"/>
                <w:szCs w:val="21"/>
              </w:rPr>
              <w:t>ETF(QDII)</w:t>
            </w:r>
          </w:p>
        </w:tc>
        <w:tc>
          <w:tcPr>
            <w:tcW w:w="0" w:type="auto"/>
            <w:vAlign w:val="center"/>
          </w:tcPr>
          <w:p w:rsidR="003C062B" w:rsidRDefault="00986D94">
            <w:pPr>
              <w:jc w:val="center"/>
            </w:pPr>
            <w:r>
              <w:rPr>
                <w:rFonts w:eastAsiaTheme="minorEastAsia"/>
                <w:color w:val="000000" w:themeColor="text1"/>
                <w:szCs w:val="21"/>
              </w:rPr>
              <w:t>股票型</w:t>
            </w:r>
          </w:p>
        </w:tc>
        <w:tc>
          <w:tcPr>
            <w:tcW w:w="0" w:type="auto"/>
            <w:vAlign w:val="center"/>
          </w:tcPr>
          <w:p w:rsidR="003C062B" w:rsidRDefault="00986D94">
            <w:pPr>
              <w:jc w:val="center"/>
            </w:pPr>
            <w:r>
              <w:rPr>
                <w:rFonts w:eastAsiaTheme="minorEastAsia"/>
                <w:color w:val="000000" w:themeColor="text1"/>
                <w:szCs w:val="21"/>
              </w:rPr>
              <w:t>交易型开放式</w:t>
            </w:r>
          </w:p>
        </w:tc>
        <w:tc>
          <w:tcPr>
            <w:tcW w:w="0" w:type="auto"/>
            <w:vAlign w:val="center"/>
          </w:tcPr>
          <w:p w:rsidR="003C062B" w:rsidRDefault="00986D94">
            <w:pPr>
              <w:jc w:val="center"/>
            </w:pPr>
            <w:r>
              <w:rPr>
                <w:rFonts w:eastAsiaTheme="minorEastAsia"/>
                <w:color w:val="000000" w:themeColor="text1"/>
                <w:szCs w:val="21"/>
              </w:rPr>
              <w:t>摩根基金管理（中国）有限公司</w:t>
            </w:r>
          </w:p>
        </w:tc>
        <w:tc>
          <w:tcPr>
            <w:tcW w:w="0" w:type="auto"/>
            <w:vAlign w:val="center"/>
          </w:tcPr>
          <w:p w:rsidR="003C062B" w:rsidRDefault="00986D94">
            <w:pPr>
              <w:jc w:val="right"/>
            </w:pPr>
            <w:r>
              <w:rPr>
                <w:rFonts w:eastAsiaTheme="minorEastAsia"/>
                <w:color w:val="000000" w:themeColor="text1"/>
                <w:szCs w:val="21"/>
              </w:rPr>
              <w:t>145,870,383.45</w:t>
            </w:r>
          </w:p>
        </w:tc>
        <w:tc>
          <w:tcPr>
            <w:tcW w:w="0" w:type="auto"/>
            <w:vAlign w:val="center"/>
          </w:tcPr>
          <w:p w:rsidR="003C062B" w:rsidRDefault="00986D94">
            <w:pPr>
              <w:jc w:val="right"/>
            </w:pPr>
            <w:r>
              <w:rPr>
                <w:rFonts w:eastAsiaTheme="minorEastAsia"/>
                <w:color w:val="000000" w:themeColor="text1"/>
                <w:szCs w:val="21"/>
              </w:rPr>
              <w:t>95.16</w:t>
            </w:r>
          </w:p>
        </w:tc>
      </w:tr>
    </w:tbl>
    <w:p w:rsidR="00F512C0" w:rsidRPr="002E7AB7"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5.3</w:t>
      </w:r>
      <w:r w:rsidR="00A82C02"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rsidTr="002C042C">
        <w:trPr>
          <w:jc w:val="center"/>
        </w:trPr>
        <w:tc>
          <w:tcPr>
            <w:tcW w:w="2410"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8277FF" w:rsidRPr="00A3398F" w:rsidTr="00877D98">
        <w:trPr>
          <w:jc w:val="center"/>
        </w:trPr>
        <w:tc>
          <w:tcPr>
            <w:tcW w:w="2410" w:type="dxa"/>
            <w:vAlign w:val="center"/>
          </w:tcPr>
          <w:p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w:t>
            </w:r>
          </w:p>
        </w:tc>
        <w:tc>
          <w:tcPr>
            <w:tcW w:w="3076"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w:t>
            </w:r>
          </w:p>
        </w:tc>
      </w:tr>
    </w:tbl>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注：本报告期末本基金未持有股票和存托凭证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5.4</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本基金本报告期末未持有股票及存托凭证。</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E963FD" w:rsidP="00EC4BA3">
      <w:pPr>
        <w:autoSpaceDE w:val="0"/>
        <w:autoSpaceDN w:val="0"/>
        <w:adjustRightInd w:val="0"/>
        <w:spacing w:line="360" w:lineRule="auto"/>
        <w:jc w:val="left"/>
        <w:rPr>
          <w:rFonts w:eastAsiaTheme="minorEastAsia"/>
          <w:b/>
          <w:kern w:val="0"/>
          <w:sz w:val="24"/>
        </w:rPr>
      </w:pPr>
      <w:r w:rsidRPr="00A3398F">
        <w:rPr>
          <w:rFonts w:eastAsiaTheme="minorEastAsia"/>
          <w:b/>
          <w:color w:val="000000" w:themeColor="text1"/>
          <w:kern w:val="0"/>
          <w:sz w:val="24"/>
        </w:rPr>
        <w:t>5.5</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p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本基金本报告期末未持有股票及存托凭证。</w:t>
      </w:r>
    </w:p>
    <w:p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5.6</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tbl>
      <w:tblPr>
        <w:tblStyle w:val="afa"/>
        <w:tblW w:w="0" w:type="auto"/>
        <w:tblInd w:w="15" w:type="dxa"/>
        <w:tblLook w:val="04A0" w:firstRow="1" w:lastRow="0" w:firstColumn="1" w:lastColumn="0" w:noHBand="0" w:noVBand="1"/>
      </w:tblPr>
      <w:tblGrid>
        <w:gridCol w:w="2837"/>
        <w:gridCol w:w="2838"/>
        <w:gridCol w:w="2838"/>
      </w:tblGrid>
      <w:tr w:rsidR="008277FF" w:rsidRPr="00A3398F" w:rsidTr="00797DD2">
        <w:tc>
          <w:tcPr>
            <w:tcW w:w="2837" w:type="dxa"/>
            <w:vAlign w:val="center"/>
          </w:tcPr>
          <w:p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债券信用等级</w:t>
            </w:r>
          </w:p>
        </w:tc>
        <w:tc>
          <w:tcPr>
            <w:tcW w:w="2838" w:type="dxa"/>
            <w:vAlign w:val="center"/>
          </w:tcPr>
          <w:p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2838" w:type="dxa"/>
            <w:vAlign w:val="center"/>
          </w:tcPr>
          <w:p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3C062B">
        <w:tc>
          <w:tcPr>
            <w:tcW w:w="0" w:type="auto"/>
            <w:vAlign w:val="center"/>
          </w:tcPr>
          <w:p w:rsidR="003C062B" w:rsidRDefault="00986D94">
            <w:pPr>
              <w:jc w:val="left"/>
            </w:pPr>
            <w:r>
              <w:rPr>
                <w:rFonts w:eastAsiaTheme="minorEastAsia"/>
                <w:color w:val="000000" w:themeColor="text1"/>
                <w:szCs w:val="21"/>
              </w:rPr>
              <w:t>AAA</w:t>
            </w:r>
          </w:p>
        </w:tc>
        <w:tc>
          <w:tcPr>
            <w:tcW w:w="0" w:type="auto"/>
            <w:vAlign w:val="center"/>
          </w:tcPr>
          <w:p w:rsidR="003C062B" w:rsidRDefault="00986D94">
            <w:pPr>
              <w:jc w:val="right"/>
            </w:pPr>
            <w:r>
              <w:rPr>
                <w:rFonts w:eastAsiaTheme="minorEastAsia"/>
                <w:color w:val="000000" w:themeColor="text1"/>
                <w:szCs w:val="21"/>
              </w:rPr>
              <w:t>-</w:t>
            </w:r>
          </w:p>
        </w:tc>
        <w:tc>
          <w:tcPr>
            <w:tcW w:w="0" w:type="auto"/>
            <w:vAlign w:val="center"/>
          </w:tcPr>
          <w:p w:rsidR="003C062B" w:rsidRDefault="00986D94">
            <w:pPr>
              <w:jc w:val="right"/>
            </w:pPr>
            <w:r>
              <w:rPr>
                <w:rFonts w:eastAsiaTheme="minorEastAsia"/>
                <w:color w:val="000000" w:themeColor="text1"/>
                <w:szCs w:val="21"/>
              </w:rPr>
              <w:t>-</w:t>
            </w:r>
          </w:p>
        </w:tc>
      </w:tr>
      <w:tr w:rsidR="003C062B">
        <w:tc>
          <w:tcPr>
            <w:tcW w:w="0" w:type="auto"/>
            <w:vAlign w:val="center"/>
          </w:tcPr>
          <w:p w:rsidR="003C062B" w:rsidRDefault="00986D94">
            <w:pPr>
              <w:jc w:val="left"/>
            </w:pPr>
            <w:r>
              <w:rPr>
                <w:rFonts w:eastAsiaTheme="minorEastAsia"/>
                <w:color w:val="000000" w:themeColor="text1"/>
                <w:szCs w:val="21"/>
              </w:rPr>
              <w:t>AA-</w:t>
            </w:r>
            <w:r>
              <w:rPr>
                <w:rFonts w:eastAsiaTheme="minorEastAsia"/>
                <w:color w:val="000000" w:themeColor="text1"/>
                <w:szCs w:val="21"/>
              </w:rPr>
              <w:t>至</w:t>
            </w:r>
            <w:r>
              <w:rPr>
                <w:rFonts w:eastAsiaTheme="minorEastAsia"/>
                <w:color w:val="000000" w:themeColor="text1"/>
                <w:szCs w:val="21"/>
              </w:rPr>
              <w:t>AA+</w:t>
            </w:r>
          </w:p>
        </w:tc>
        <w:tc>
          <w:tcPr>
            <w:tcW w:w="0" w:type="auto"/>
            <w:vAlign w:val="center"/>
          </w:tcPr>
          <w:p w:rsidR="003C062B" w:rsidRDefault="00986D94">
            <w:pPr>
              <w:jc w:val="right"/>
            </w:pPr>
            <w:r>
              <w:rPr>
                <w:rFonts w:eastAsiaTheme="minorEastAsia"/>
                <w:color w:val="000000" w:themeColor="text1"/>
                <w:szCs w:val="21"/>
              </w:rPr>
              <w:t>-</w:t>
            </w:r>
          </w:p>
        </w:tc>
        <w:tc>
          <w:tcPr>
            <w:tcW w:w="0" w:type="auto"/>
            <w:vAlign w:val="center"/>
          </w:tcPr>
          <w:p w:rsidR="003C062B" w:rsidRDefault="00986D94">
            <w:pPr>
              <w:jc w:val="right"/>
            </w:pPr>
            <w:r>
              <w:rPr>
                <w:rFonts w:eastAsiaTheme="minorEastAsia"/>
                <w:color w:val="000000" w:themeColor="text1"/>
                <w:szCs w:val="21"/>
              </w:rPr>
              <w:t>-</w:t>
            </w:r>
          </w:p>
        </w:tc>
      </w:tr>
      <w:tr w:rsidR="003C062B">
        <w:tc>
          <w:tcPr>
            <w:tcW w:w="0" w:type="auto"/>
            <w:vAlign w:val="center"/>
          </w:tcPr>
          <w:p w:rsidR="003C062B" w:rsidRDefault="00986D94">
            <w:pPr>
              <w:jc w:val="left"/>
            </w:pPr>
            <w:r>
              <w:rPr>
                <w:rFonts w:eastAsiaTheme="minorEastAsia"/>
                <w:color w:val="000000" w:themeColor="text1"/>
                <w:szCs w:val="21"/>
              </w:rPr>
              <w:t>A-</w:t>
            </w:r>
            <w:r>
              <w:rPr>
                <w:rFonts w:eastAsiaTheme="minorEastAsia"/>
                <w:color w:val="000000" w:themeColor="text1"/>
                <w:szCs w:val="21"/>
              </w:rPr>
              <w:t>至</w:t>
            </w:r>
            <w:r>
              <w:rPr>
                <w:rFonts w:eastAsiaTheme="minorEastAsia"/>
                <w:color w:val="000000" w:themeColor="text1"/>
                <w:szCs w:val="21"/>
              </w:rPr>
              <w:t>A+</w:t>
            </w:r>
          </w:p>
        </w:tc>
        <w:tc>
          <w:tcPr>
            <w:tcW w:w="0" w:type="auto"/>
            <w:vAlign w:val="center"/>
          </w:tcPr>
          <w:p w:rsidR="003C062B" w:rsidRDefault="00986D94">
            <w:pPr>
              <w:jc w:val="right"/>
            </w:pPr>
            <w:r>
              <w:rPr>
                <w:rFonts w:eastAsiaTheme="minorEastAsia"/>
                <w:color w:val="000000" w:themeColor="text1"/>
                <w:szCs w:val="21"/>
              </w:rPr>
              <w:t>2,940,620.65</w:t>
            </w:r>
          </w:p>
        </w:tc>
        <w:tc>
          <w:tcPr>
            <w:tcW w:w="0" w:type="auto"/>
            <w:vAlign w:val="center"/>
          </w:tcPr>
          <w:p w:rsidR="003C062B" w:rsidRDefault="00986D94">
            <w:pPr>
              <w:jc w:val="right"/>
            </w:pPr>
            <w:r>
              <w:rPr>
                <w:rFonts w:eastAsiaTheme="minorEastAsia"/>
                <w:color w:val="000000" w:themeColor="text1"/>
                <w:szCs w:val="21"/>
              </w:rPr>
              <w:t>1.92</w:t>
            </w:r>
          </w:p>
        </w:tc>
      </w:tr>
      <w:tr w:rsidR="003C062B">
        <w:tc>
          <w:tcPr>
            <w:tcW w:w="0" w:type="auto"/>
            <w:vAlign w:val="center"/>
          </w:tcPr>
          <w:p w:rsidR="003C062B" w:rsidRDefault="00986D94">
            <w:pPr>
              <w:jc w:val="left"/>
            </w:pPr>
            <w:r>
              <w:rPr>
                <w:rFonts w:eastAsiaTheme="minorEastAsia"/>
                <w:color w:val="000000" w:themeColor="text1"/>
                <w:szCs w:val="21"/>
              </w:rPr>
              <w:t>BBB-</w:t>
            </w:r>
            <w:r>
              <w:rPr>
                <w:rFonts w:eastAsiaTheme="minorEastAsia"/>
                <w:color w:val="000000" w:themeColor="text1"/>
                <w:szCs w:val="21"/>
              </w:rPr>
              <w:t>至</w:t>
            </w:r>
            <w:r>
              <w:rPr>
                <w:rFonts w:eastAsiaTheme="minorEastAsia"/>
                <w:color w:val="000000" w:themeColor="text1"/>
                <w:szCs w:val="21"/>
              </w:rPr>
              <w:t>BBB+</w:t>
            </w:r>
          </w:p>
        </w:tc>
        <w:tc>
          <w:tcPr>
            <w:tcW w:w="0" w:type="auto"/>
            <w:vAlign w:val="center"/>
          </w:tcPr>
          <w:p w:rsidR="003C062B" w:rsidRDefault="00986D94">
            <w:pPr>
              <w:jc w:val="right"/>
            </w:pPr>
            <w:r>
              <w:rPr>
                <w:rFonts w:eastAsiaTheme="minorEastAsia"/>
                <w:color w:val="000000" w:themeColor="text1"/>
                <w:szCs w:val="21"/>
              </w:rPr>
              <w:t>-</w:t>
            </w:r>
          </w:p>
        </w:tc>
        <w:tc>
          <w:tcPr>
            <w:tcW w:w="0" w:type="auto"/>
            <w:vAlign w:val="center"/>
          </w:tcPr>
          <w:p w:rsidR="003C062B" w:rsidRDefault="00986D94">
            <w:pPr>
              <w:jc w:val="right"/>
            </w:pPr>
            <w:r>
              <w:rPr>
                <w:rFonts w:eastAsiaTheme="minorEastAsia"/>
                <w:color w:val="000000" w:themeColor="text1"/>
                <w:szCs w:val="21"/>
              </w:rPr>
              <w:t>-</w:t>
            </w:r>
          </w:p>
        </w:tc>
      </w:tr>
      <w:tr w:rsidR="003C062B">
        <w:tc>
          <w:tcPr>
            <w:tcW w:w="0" w:type="auto"/>
            <w:vAlign w:val="center"/>
          </w:tcPr>
          <w:p w:rsidR="003C062B" w:rsidRDefault="00986D94">
            <w:pPr>
              <w:jc w:val="left"/>
            </w:pPr>
            <w:r>
              <w:rPr>
                <w:rFonts w:eastAsiaTheme="minorEastAsia"/>
                <w:color w:val="000000" w:themeColor="text1"/>
                <w:szCs w:val="21"/>
              </w:rPr>
              <w:t>BB-</w:t>
            </w:r>
            <w:r>
              <w:rPr>
                <w:rFonts w:eastAsiaTheme="minorEastAsia"/>
                <w:color w:val="000000" w:themeColor="text1"/>
                <w:szCs w:val="21"/>
              </w:rPr>
              <w:t>至</w:t>
            </w:r>
            <w:r>
              <w:rPr>
                <w:rFonts w:eastAsiaTheme="minorEastAsia"/>
                <w:color w:val="000000" w:themeColor="text1"/>
                <w:szCs w:val="21"/>
              </w:rPr>
              <w:t>BB+</w:t>
            </w:r>
          </w:p>
        </w:tc>
        <w:tc>
          <w:tcPr>
            <w:tcW w:w="0" w:type="auto"/>
            <w:vAlign w:val="center"/>
          </w:tcPr>
          <w:p w:rsidR="003C062B" w:rsidRDefault="00986D94">
            <w:pPr>
              <w:jc w:val="right"/>
            </w:pPr>
            <w:r>
              <w:rPr>
                <w:rFonts w:eastAsiaTheme="minorEastAsia"/>
                <w:color w:val="000000" w:themeColor="text1"/>
                <w:szCs w:val="21"/>
              </w:rPr>
              <w:t>-</w:t>
            </w:r>
          </w:p>
        </w:tc>
        <w:tc>
          <w:tcPr>
            <w:tcW w:w="0" w:type="auto"/>
            <w:vAlign w:val="center"/>
          </w:tcPr>
          <w:p w:rsidR="003C062B" w:rsidRDefault="00986D94">
            <w:pPr>
              <w:jc w:val="right"/>
            </w:pPr>
            <w:r>
              <w:rPr>
                <w:rFonts w:eastAsiaTheme="minorEastAsia"/>
                <w:color w:val="000000" w:themeColor="text1"/>
                <w:szCs w:val="21"/>
              </w:rPr>
              <w:t>-</w:t>
            </w:r>
          </w:p>
        </w:tc>
      </w:tr>
    </w:tbl>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注：本基金债券投资组合主要采用标准普尔、惠誉等国际权威评级机构提供的债券信用评级信息。</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5.7</w:t>
      </w:r>
      <w:r w:rsidR="008C71EB"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277FF" w:rsidRPr="00A3398F" w:rsidTr="00B918B8">
        <w:tc>
          <w:tcPr>
            <w:tcW w:w="1252"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1310"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债券代码</w:t>
            </w:r>
          </w:p>
        </w:tc>
        <w:tc>
          <w:tcPr>
            <w:tcW w:w="1282"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债券名称</w:t>
            </w:r>
          </w:p>
        </w:tc>
        <w:tc>
          <w:tcPr>
            <w:tcW w:w="1426"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数量</w:t>
            </w:r>
            <w:r w:rsidRPr="00A3398F">
              <w:rPr>
                <w:rFonts w:eastAsiaTheme="minorEastAsia"/>
                <w:color w:val="000000" w:themeColor="text1"/>
                <w:szCs w:val="21"/>
              </w:rPr>
              <w:t>(</w:t>
            </w:r>
            <w:r w:rsidRPr="00A3398F">
              <w:rPr>
                <w:rFonts w:eastAsiaTheme="minorEastAsia"/>
                <w:color w:val="000000" w:themeColor="text1"/>
                <w:szCs w:val="21"/>
              </w:rPr>
              <w:t>张</w:t>
            </w:r>
            <w:r w:rsidRPr="00A3398F">
              <w:rPr>
                <w:rFonts w:eastAsiaTheme="minorEastAsia"/>
                <w:color w:val="000000" w:themeColor="text1"/>
                <w:szCs w:val="21"/>
              </w:rPr>
              <w:t>)</w:t>
            </w:r>
          </w:p>
        </w:tc>
        <w:tc>
          <w:tcPr>
            <w:tcW w:w="1646"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公允价值</w:t>
            </w:r>
            <w:r w:rsidRPr="00A3398F">
              <w:rPr>
                <w:rFonts w:eastAsiaTheme="minorEastAsia"/>
                <w:color w:val="000000" w:themeColor="text1"/>
                <w:szCs w:val="21"/>
              </w:rPr>
              <w:t>(</w:t>
            </w:r>
            <w:r w:rsidRPr="00A3398F">
              <w:rPr>
                <w:rFonts w:eastAsiaTheme="minorEastAsia"/>
                <w:color w:val="000000" w:themeColor="text1"/>
                <w:szCs w:val="21"/>
              </w:rPr>
              <w:t>元</w:t>
            </w:r>
            <w:r w:rsidRPr="00A3398F">
              <w:rPr>
                <w:rFonts w:eastAsiaTheme="minorEastAsia"/>
                <w:color w:val="000000" w:themeColor="text1"/>
                <w:szCs w:val="21"/>
              </w:rPr>
              <w:t>)</w:t>
            </w:r>
          </w:p>
        </w:tc>
        <w:tc>
          <w:tcPr>
            <w:tcW w:w="1612"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占基金资产净</w:t>
            </w:r>
            <w:r w:rsidRPr="00A3398F">
              <w:rPr>
                <w:rFonts w:eastAsiaTheme="minorEastAsia"/>
                <w:color w:val="000000" w:themeColor="text1"/>
                <w:szCs w:val="21"/>
              </w:rPr>
              <w:lastRenderedPageBreak/>
              <w:t>值比例</w:t>
            </w:r>
            <w:r w:rsidRPr="00A3398F">
              <w:rPr>
                <w:rFonts w:eastAsiaTheme="minorEastAsia"/>
                <w:color w:val="000000" w:themeColor="text1"/>
                <w:szCs w:val="21"/>
              </w:rPr>
              <w:t>(</w:t>
            </w:r>
            <w:r w:rsidRPr="00A3398F">
              <w:rPr>
                <w:rFonts w:eastAsiaTheme="minorEastAsia"/>
                <w:color w:val="000000" w:themeColor="text1"/>
                <w:szCs w:val="21"/>
              </w:rPr>
              <w:t>％</w:t>
            </w:r>
            <w:r w:rsidRPr="00A3398F">
              <w:rPr>
                <w:rFonts w:eastAsiaTheme="minorEastAsia"/>
                <w:color w:val="000000" w:themeColor="text1"/>
                <w:szCs w:val="21"/>
              </w:rPr>
              <w:t>)</w:t>
            </w:r>
          </w:p>
        </w:tc>
      </w:tr>
      <w:tr w:rsidR="003C062B">
        <w:tc>
          <w:tcPr>
            <w:tcW w:w="1252" w:type="dxa"/>
            <w:vAlign w:val="center"/>
          </w:tcPr>
          <w:p w:rsidR="003C062B" w:rsidRDefault="00986D94">
            <w:pPr>
              <w:jc w:val="center"/>
            </w:pPr>
            <w:r>
              <w:rPr>
                <w:rFonts w:eastAsiaTheme="minorEastAsia"/>
                <w:color w:val="000000" w:themeColor="text1"/>
                <w:szCs w:val="21"/>
              </w:rPr>
              <w:lastRenderedPageBreak/>
              <w:t>1</w:t>
            </w:r>
          </w:p>
        </w:tc>
        <w:tc>
          <w:tcPr>
            <w:tcW w:w="1310" w:type="dxa"/>
            <w:vAlign w:val="center"/>
          </w:tcPr>
          <w:p w:rsidR="003C062B" w:rsidRDefault="00986D94">
            <w:pPr>
              <w:jc w:val="center"/>
            </w:pPr>
            <w:r>
              <w:rPr>
                <w:rFonts w:eastAsiaTheme="minorEastAsia"/>
                <w:color w:val="000000" w:themeColor="text1"/>
                <w:szCs w:val="21"/>
              </w:rPr>
              <w:t>019706</w:t>
            </w:r>
          </w:p>
        </w:tc>
        <w:tc>
          <w:tcPr>
            <w:tcW w:w="1282" w:type="dxa"/>
            <w:vAlign w:val="center"/>
          </w:tcPr>
          <w:p w:rsidR="003C062B" w:rsidRDefault="00986D94">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13</w:t>
            </w:r>
          </w:p>
        </w:tc>
        <w:tc>
          <w:tcPr>
            <w:tcW w:w="1426" w:type="dxa"/>
            <w:vAlign w:val="center"/>
          </w:tcPr>
          <w:p w:rsidR="003C062B" w:rsidRDefault="00986D94">
            <w:pPr>
              <w:jc w:val="right"/>
            </w:pPr>
            <w:r>
              <w:rPr>
                <w:rFonts w:eastAsiaTheme="minorEastAsia"/>
                <w:color w:val="000000" w:themeColor="text1"/>
                <w:szCs w:val="21"/>
              </w:rPr>
              <w:t>10,000</w:t>
            </w:r>
          </w:p>
        </w:tc>
        <w:tc>
          <w:tcPr>
            <w:tcW w:w="1646" w:type="dxa"/>
            <w:vAlign w:val="center"/>
          </w:tcPr>
          <w:p w:rsidR="003C062B" w:rsidRDefault="00986D94">
            <w:pPr>
              <w:jc w:val="right"/>
            </w:pPr>
            <w:r>
              <w:rPr>
                <w:rFonts w:eastAsiaTheme="minorEastAsia"/>
                <w:color w:val="000000" w:themeColor="text1"/>
                <w:szCs w:val="21"/>
              </w:rPr>
              <w:t>1,015,658.90</w:t>
            </w:r>
          </w:p>
        </w:tc>
        <w:tc>
          <w:tcPr>
            <w:tcW w:w="1612" w:type="dxa"/>
            <w:vAlign w:val="center"/>
          </w:tcPr>
          <w:p w:rsidR="003C062B" w:rsidRDefault="00986D94">
            <w:pPr>
              <w:jc w:val="right"/>
            </w:pPr>
            <w:r>
              <w:rPr>
                <w:rFonts w:eastAsiaTheme="minorEastAsia"/>
                <w:color w:val="000000" w:themeColor="text1"/>
                <w:szCs w:val="21"/>
              </w:rPr>
              <w:t>0.66</w:t>
            </w:r>
          </w:p>
        </w:tc>
      </w:tr>
      <w:tr w:rsidR="003C062B">
        <w:tc>
          <w:tcPr>
            <w:tcW w:w="1252" w:type="dxa"/>
            <w:vAlign w:val="center"/>
          </w:tcPr>
          <w:p w:rsidR="003C062B" w:rsidRDefault="00986D94">
            <w:pPr>
              <w:jc w:val="center"/>
            </w:pPr>
            <w:r>
              <w:rPr>
                <w:rFonts w:eastAsiaTheme="minorEastAsia"/>
                <w:color w:val="000000" w:themeColor="text1"/>
                <w:szCs w:val="21"/>
              </w:rPr>
              <w:t>2</w:t>
            </w:r>
          </w:p>
        </w:tc>
        <w:tc>
          <w:tcPr>
            <w:tcW w:w="1310" w:type="dxa"/>
            <w:vAlign w:val="center"/>
          </w:tcPr>
          <w:p w:rsidR="003C062B" w:rsidRDefault="00986D94">
            <w:pPr>
              <w:jc w:val="center"/>
            </w:pPr>
            <w:r>
              <w:rPr>
                <w:rFonts w:eastAsiaTheme="minorEastAsia"/>
                <w:color w:val="000000" w:themeColor="text1"/>
                <w:szCs w:val="21"/>
              </w:rPr>
              <w:t>019749</w:t>
            </w:r>
          </w:p>
        </w:tc>
        <w:tc>
          <w:tcPr>
            <w:tcW w:w="1282" w:type="dxa"/>
            <w:vAlign w:val="center"/>
          </w:tcPr>
          <w:p w:rsidR="003C062B" w:rsidRDefault="00986D94">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15</w:t>
            </w:r>
          </w:p>
        </w:tc>
        <w:tc>
          <w:tcPr>
            <w:tcW w:w="1426" w:type="dxa"/>
            <w:vAlign w:val="center"/>
          </w:tcPr>
          <w:p w:rsidR="003C062B" w:rsidRDefault="00986D94">
            <w:pPr>
              <w:jc w:val="right"/>
            </w:pPr>
            <w:r>
              <w:rPr>
                <w:rFonts w:eastAsiaTheme="minorEastAsia"/>
                <w:color w:val="000000" w:themeColor="text1"/>
                <w:szCs w:val="21"/>
              </w:rPr>
              <w:t>10,000</w:t>
            </w:r>
          </w:p>
        </w:tc>
        <w:tc>
          <w:tcPr>
            <w:tcW w:w="1646" w:type="dxa"/>
            <w:vAlign w:val="center"/>
          </w:tcPr>
          <w:p w:rsidR="003C062B" w:rsidRDefault="00986D94">
            <w:pPr>
              <w:jc w:val="right"/>
            </w:pPr>
            <w:r>
              <w:rPr>
                <w:rFonts w:eastAsiaTheme="minorEastAsia"/>
                <w:color w:val="000000" w:themeColor="text1"/>
                <w:szCs w:val="21"/>
              </w:rPr>
              <w:t>1,007,761.64</w:t>
            </w:r>
          </w:p>
        </w:tc>
        <w:tc>
          <w:tcPr>
            <w:tcW w:w="1612" w:type="dxa"/>
            <w:vAlign w:val="center"/>
          </w:tcPr>
          <w:p w:rsidR="003C062B" w:rsidRDefault="00986D94">
            <w:pPr>
              <w:jc w:val="right"/>
            </w:pPr>
            <w:r>
              <w:rPr>
                <w:rFonts w:eastAsiaTheme="minorEastAsia"/>
                <w:color w:val="000000" w:themeColor="text1"/>
                <w:szCs w:val="21"/>
              </w:rPr>
              <w:t>0.66</w:t>
            </w:r>
          </w:p>
        </w:tc>
      </w:tr>
      <w:tr w:rsidR="003C062B">
        <w:tc>
          <w:tcPr>
            <w:tcW w:w="1252" w:type="dxa"/>
            <w:vAlign w:val="center"/>
          </w:tcPr>
          <w:p w:rsidR="003C062B" w:rsidRDefault="00986D94">
            <w:pPr>
              <w:jc w:val="center"/>
            </w:pPr>
            <w:r>
              <w:rPr>
                <w:rFonts w:eastAsiaTheme="minorEastAsia"/>
                <w:color w:val="000000" w:themeColor="text1"/>
                <w:szCs w:val="21"/>
              </w:rPr>
              <w:t>3</w:t>
            </w:r>
          </w:p>
        </w:tc>
        <w:tc>
          <w:tcPr>
            <w:tcW w:w="1310" w:type="dxa"/>
            <w:vAlign w:val="center"/>
          </w:tcPr>
          <w:p w:rsidR="003C062B" w:rsidRDefault="00986D94">
            <w:pPr>
              <w:jc w:val="center"/>
            </w:pPr>
            <w:r>
              <w:rPr>
                <w:rFonts w:eastAsiaTheme="minorEastAsia"/>
                <w:color w:val="000000" w:themeColor="text1"/>
                <w:szCs w:val="21"/>
              </w:rPr>
              <w:t>019733</w:t>
            </w:r>
          </w:p>
        </w:tc>
        <w:tc>
          <w:tcPr>
            <w:tcW w:w="1282" w:type="dxa"/>
            <w:vAlign w:val="center"/>
          </w:tcPr>
          <w:p w:rsidR="003C062B" w:rsidRDefault="00986D94">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02</w:t>
            </w:r>
          </w:p>
        </w:tc>
        <w:tc>
          <w:tcPr>
            <w:tcW w:w="1426" w:type="dxa"/>
            <w:vAlign w:val="center"/>
          </w:tcPr>
          <w:p w:rsidR="003C062B" w:rsidRDefault="00986D94">
            <w:pPr>
              <w:jc w:val="right"/>
            </w:pPr>
            <w:r>
              <w:rPr>
                <w:rFonts w:eastAsiaTheme="minorEastAsia"/>
                <w:color w:val="000000" w:themeColor="text1"/>
                <w:szCs w:val="21"/>
              </w:rPr>
              <w:t>9,000</w:t>
            </w:r>
          </w:p>
        </w:tc>
        <w:tc>
          <w:tcPr>
            <w:tcW w:w="1646" w:type="dxa"/>
            <w:vAlign w:val="center"/>
          </w:tcPr>
          <w:p w:rsidR="003C062B" w:rsidRDefault="00986D94">
            <w:pPr>
              <w:jc w:val="right"/>
            </w:pPr>
            <w:r>
              <w:rPr>
                <w:rFonts w:eastAsiaTheme="minorEastAsia"/>
                <w:color w:val="000000" w:themeColor="text1"/>
                <w:szCs w:val="21"/>
              </w:rPr>
              <w:t>917,200.11</w:t>
            </w:r>
          </w:p>
        </w:tc>
        <w:tc>
          <w:tcPr>
            <w:tcW w:w="1612" w:type="dxa"/>
            <w:vAlign w:val="center"/>
          </w:tcPr>
          <w:p w:rsidR="003C062B" w:rsidRDefault="00986D94">
            <w:pPr>
              <w:jc w:val="right"/>
            </w:pPr>
            <w:r>
              <w:rPr>
                <w:rFonts w:eastAsiaTheme="minorEastAsia"/>
                <w:color w:val="000000" w:themeColor="text1"/>
                <w:szCs w:val="21"/>
              </w:rPr>
              <w:t>0.60</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8C71EB"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5.10</w:t>
      </w:r>
      <w:r>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报告期末按公允价值占基金资产净值比例大小排序的前十名基金投资明细</w:t>
      </w:r>
    </w:p>
    <w:tbl>
      <w:tblPr>
        <w:tblStyle w:val="afa"/>
        <w:tblW w:w="0" w:type="auto"/>
        <w:tblInd w:w="15" w:type="dxa"/>
        <w:tblLook w:val="04A0" w:firstRow="1" w:lastRow="0" w:firstColumn="1" w:lastColumn="0" w:noHBand="0" w:noVBand="1"/>
      </w:tblPr>
      <w:tblGrid>
        <w:gridCol w:w="788"/>
        <w:gridCol w:w="1775"/>
        <w:gridCol w:w="789"/>
        <w:gridCol w:w="908"/>
        <w:gridCol w:w="1793"/>
        <w:gridCol w:w="1529"/>
        <w:gridCol w:w="931"/>
      </w:tblGrid>
      <w:tr w:rsidR="008277FF" w:rsidRPr="00A3398F" w:rsidTr="00797DD2">
        <w:tc>
          <w:tcPr>
            <w:tcW w:w="1215"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序号</w:t>
            </w:r>
          </w:p>
        </w:tc>
        <w:tc>
          <w:tcPr>
            <w:tcW w:w="1216" w:type="dxa"/>
            <w:vAlign w:val="center"/>
          </w:tcPr>
          <w:p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基金名称</w:t>
            </w:r>
          </w:p>
        </w:tc>
        <w:tc>
          <w:tcPr>
            <w:tcW w:w="1216" w:type="dxa"/>
            <w:vAlign w:val="center"/>
          </w:tcPr>
          <w:p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基金类型</w:t>
            </w:r>
          </w:p>
        </w:tc>
        <w:tc>
          <w:tcPr>
            <w:tcW w:w="1216"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运作方式</w:t>
            </w:r>
          </w:p>
        </w:tc>
        <w:tc>
          <w:tcPr>
            <w:tcW w:w="1216"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管理人</w:t>
            </w:r>
          </w:p>
        </w:tc>
        <w:tc>
          <w:tcPr>
            <w:tcW w:w="1217"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公允价值</w:t>
            </w:r>
          </w:p>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（人民币元）</w:t>
            </w:r>
          </w:p>
        </w:tc>
        <w:tc>
          <w:tcPr>
            <w:tcW w:w="1217"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占基金资产净值比例</w:t>
            </w:r>
            <w:r w:rsidRPr="00A3398F">
              <w:rPr>
                <w:rFonts w:eastAsiaTheme="minorEastAsia"/>
                <w:color w:val="000000" w:themeColor="text1"/>
                <w:szCs w:val="21"/>
              </w:rPr>
              <w:t>(%)</w:t>
            </w:r>
          </w:p>
        </w:tc>
      </w:tr>
      <w:tr w:rsidR="003C062B">
        <w:tc>
          <w:tcPr>
            <w:tcW w:w="0" w:type="auto"/>
            <w:vAlign w:val="center"/>
          </w:tcPr>
          <w:p w:rsidR="003C062B" w:rsidRDefault="00986D94">
            <w:pPr>
              <w:jc w:val="center"/>
            </w:pPr>
            <w:r>
              <w:rPr>
                <w:rFonts w:eastAsiaTheme="minorEastAsia"/>
                <w:color w:val="000000" w:themeColor="text1"/>
                <w:szCs w:val="21"/>
              </w:rPr>
              <w:t>1</w:t>
            </w:r>
          </w:p>
        </w:tc>
        <w:tc>
          <w:tcPr>
            <w:tcW w:w="0" w:type="auto"/>
            <w:vAlign w:val="center"/>
          </w:tcPr>
          <w:p w:rsidR="003C062B" w:rsidRDefault="00986D94">
            <w:pPr>
              <w:jc w:val="center"/>
            </w:pPr>
            <w:r>
              <w:rPr>
                <w:rFonts w:eastAsiaTheme="minorEastAsia"/>
                <w:color w:val="000000" w:themeColor="text1"/>
                <w:szCs w:val="21"/>
              </w:rPr>
              <w:t>摩根恒生科技</w:t>
            </w:r>
            <w:r>
              <w:rPr>
                <w:rFonts w:eastAsiaTheme="minorEastAsia"/>
                <w:color w:val="000000" w:themeColor="text1"/>
                <w:szCs w:val="21"/>
              </w:rPr>
              <w:t>ETF(QDII)</w:t>
            </w:r>
          </w:p>
        </w:tc>
        <w:tc>
          <w:tcPr>
            <w:tcW w:w="0" w:type="auto"/>
            <w:vAlign w:val="center"/>
          </w:tcPr>
          <w:p w:rsidR="003C062B" w:rsidRDefault="00986D94">
            <w:pPr>
              <w:jc w:val="center"/>
            </w:pPr>
            <w:r>
              <w:rPr>
                <w:rFonts w:eastAsiaTheme="minorEastAsia"/>
                <w:color w:val="000000" w:themeColor="text1"/>
                <w:szCs w:val="21"/>
              </w:rPr>
              <w:t>股票型</w:t>
            </w:r>
          </w:p>
        </w:tc>
        <w:tc>
          <w:tcPr>
            <w:tcW w:w="0" w:type="auto"/>
            <w:vAlign w:val="center"/>
          </w:tcPr>
          <w:p w:rsidR="003C062B" w:rsidRDefault="00986D94">
            <w:pPr>
              <w:jc w:val="center"/>
            </w:pPr>
            <w:r>
              <w:rPr>
                <w:rFonts w:eastAsiaTheme="minorEastAsia"/>
                <w:color w:val="000000" w:themeColor="text1"/>
                <w:szCs w:val="21"/>
              </w:rPr>
              <w:t>交易型开放式</w:t>
            </w:r>
          </w:p>
        </w:tc>
        <w:tc>
          <w:tcPr>
            <w:tcW w:w="0" w:type="auto"/>
            <w:vAlign w:val="center"/>
          </w:tcPr>
          <w:p w:rsidR="003C062B" w:rsidRDefault="00986D94">
            <w:pPr>
              <w:jc w:val="center"/>
            </w:pPr>
            <w:r>
              <w:rPr>
                <w:rFonts w:eastAsiaTheme="minorEastAsia"/>
                <w:color w:val="000000" w:themeColor="text1"/>
                <w:szCs w:val="21"/>
              </w:rPr>
              <w:t>摩根基金管理（中国）有限公司</w:t>
            </w:r>
          </w:p>
        </w:tc>
        <w:tc>
          <w:tcPr>
            <w:tcW w:w="0" w:type="auto"/>
            <w:vAlign w:val="center"/>
          </w:tcPr>
          <w:p w:rsidR="003C062B" w:rsidRDefault="00986D94">
            <w:pPr>
              <w:jc w:val="right"/>
            </w:pPr>
            <w:r>
              <w:rPr>
                <w:rFonts w:eastAsiaTheme="minorEastAsia"/>
                <w:color w:val="000000" w:themeColor="text1"/>
                <w:szCs w:val="21"/>
              </w:rPr>
              <w:t>145,870,383.45</w:t>
            </w:r>
          </w:p>
        </w:tc>
        <w:tc>
          <w:tcPr>
            <w:tcW w:w="0" w:type="auto"/>
            <w:vAlign w:val="center"/>
          </w:tcPr>
          <w:p w:rsidR="003C062B" w:rsidRDefault="00986D94">
            <w:pPr>
              <w:jc w:val="right"/>
            </w:pPr>
            <w:r>
              <w:rPr>
                <w:rFonts w:eastAsiaTheme="minorEastAsia"/>
                <w:color w:val="000000" w:themeColor="text1"/>
                <w:szCs w:val="21"/>
              </w:rPr>
              <w:t>95.16</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E963FD"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5.11</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5.11.1</w:t>
      </w:r>
      <w:r w:rsidRPr="00A3398F">
        <w:rPr>
          <w:rFonts w:eastAsiaTheme="minorEastAsia"/>
          <w:color w:val="000000" w:themeColor="text1"/>
          <w:sz w:val="24"/>
        </w:rPr>
        <w:t>本基金投资的前十名证券的发行主体本期未出现被监管部门立案调查，或在报告编制日前一年内受到公开谴责、处罚的情形。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5.11.2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E963FD" w:rsidP="0049659A">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33,759.47</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lastRenderedPageBreak/>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485,512.20</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519,271.67</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11,025,083.01</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56,114,114.07</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13,495,584.51</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205,341,792.99</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10,461,154.83</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131,411,559.38</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14,059,512.69</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130,044,347.68</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lastRenderedPageBreak/>
        <w:t xml:space="preserve">§7  </w:t>
      </w:r>
      <w:r w:rsidRPr="00A3398F">
        <w:rPr>
          <w:color w:val="000000" w:themeColor="text1"/>
          <w:sz w:val="24"/>
          <w:szCs w:val="24"/>
        </w:rPr>
        <w:t>基金管理人运用固有资金投资本基金情况</w:t>
      </w:r>
    </w:p>
    <w:p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rsidTr="00982AC4">
        <w:trPr>
          <w:trHeight w:val="248"/>
        </w:trPr>
        <w:tc>
          <w:tcPr>
            <w:tcW w:w="3167" w:type="dxa"/>
            <w:vAlign w:val="center"/>
          </w:tcPr>
          <w:p w:rsidR="00D678E4" w:rsidRPr="00FA472B" w:rsidRDefault="00D678E4" w:rsidP="00982AC4">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rsidR="00D678E4" w:rsidRPr="00FA472B" w:rsidRDefault="00D678E4" w:rsidP="00982AC4">
            <w:pPr>
              <w:jc w:val="center"/>
              <w:rPr>
                <w:sz w:val="24"/>
              </w:rPr>
            </w:pPr>
            <w:r w:rsidRPr="00FA472B">
              <w:rPr>
                <w:sz w:val="24"/>
              </w:rPr>
              <w:t>摩根恒生科技</w:t>
            </w:r>
            <w:r w:rsidRPr="00FA472B">
              <w:rPr>
                <w:sz w:val="24"/>
              </w:rPr>
              <w:t>ETF</w:t>
            </w:r>
            <w:r w:rsidRPr="00FA472B">
              <w:rPr>
                <w:sz w:val="24"/>
              </w:rPr>
              <w:t>发起式联接</w:t>
            </w:r>
            <w:r w:rsidRPr="00FA472B">
              <w:rPr>
                <w:sz w:val="24"/>
              </w:rPr>
              <w:t>(QDII)A</w:t>
            </w:r>
          </w:p>
        </w:tc>
        <w:tc>
          <w:tcPr>
            <w:tcW w:w="2631" w:type="dxa"/>
            <w:vAlign w:val="bottom"/>
          </w:tcPr>
          <w:p w:rsidR="00D678E4" w:rsidRPr="00FA472B" w:rsidRDefault="00D678E4" w:rsidP="00982AC4">
            <w:pPr>
              <w:jc w:val="center"/>
              <w:rPr>
                <w:sz w:val="24"/>
              </w:rPr>
            </w:pPr>
            <w:r w:rsidRPr="00FA472B">
              <w:rPr>
                <w:sz w:val="24"/>
              </w:rPr>
              <w:t>摩根恒生科技</w:t>
            </w:r>
            <w:r w:rsidRPr="00FA472B">
              <w:rPr>
                <w:sz w:val="24"/>
              </w:rPr>
              <w:t>ETF</w:t>
            </w:r>
            <w:r w:rsidRPr="00FA472B">
              <w:rPr>
                <w:sz w:val="24"/>
              </w:rPr>
              <w:t>发起式联接</w:t>
            </w:r>
            <w:r w:rsidRPr="00FA472B">
              <w:rPr>
                <w:sz w:val="24"/>
              </w:rPr>
              <w:t>(QDII)C</w:t>
            </w:r>
          </w:p>
        </w:tc>
      </w:tr>
      <w:tr w:rsidR="00D678E4" w:rsidRPr="00E90B39" w:rsidTr="00982AC4">
        <w:trPr>
          <w:trHeight w:val="247"/>
        </w:trPr>
        <w:tc>
          <w:tcPr>
            <w:tcW w:w="3167" w:type="dxa"/>
            <w:vAlign w:val="center"/>
          </w:tcPr>
          <w:p w:rsidR="00D678E4" w:rsidRPr="00FA472B" w:rsidRDefault="00D678E4" w:rsidP="00982AC4">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rsidR="00D678E4" w:rsidRPr="00FA472B" w:rsidRDefault="00D678E4" w:rsidP="00982AC4">
            <w:pPr>
              <w:jc w:val="right"/>
              <w:rPr>
                <w:sz w:val="24"/>
              </w:rPr>
            </w:pPr>
            <w:r w:rsidRPr="00FA472B">
              <w:rPr>
                <w:color w:val="000000"/>
                <w:sz w:val="24"/>
              </w:rPr>
              <w:t>-</w:t>
            </w:r>
          </w:p>
        </w:tc>
        <w:tc>
          <w:tcPr>
            <w:tcW w:w="2631" w:type="dxa"/>
            <w:vAlign w:val="center"/>
          </w:tcPr>
          <w:p w:rsidR="00D678E4" w:rsidRPr="00FA472B" w:rsidRDefault="00D678E4" w:rsidP="00982AC4">
            <w:pPr>
              <w:jc w:val="right"/>
              <w:rPr>
                <w:sz w:val="24"/>
              </w:rPr>
            </w:pPr>
            <w:r w:rsidRPr="00FA472B">
              <w:rPr>
                <w:color w:val="000000"/>
                <w:sz w:val="24"/>
              </w:rPr>
              <w:t>10,000,097.22</w:t>
            </w:r>
          </w:p>
        </w:tc>
      </w:tr>
      <w:tr w:rsidR="00D678E4" w:rsidRPr="00E90B39" w:rsidTr="00982AC4">
        <w:tc>
          <w:tcPr>
            <w:tcW w:w="3167" w:type="dxa"/>
            <w:vAlign w:val="center"/>
          </w:tcPr>
          <w:p w:rsidR="00D678E4" w:rsidRPr="00FA472B" w:rsidRDefault="00D678E4" w:rsidP="00982AC4">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rsidR="00D678E4" w:rsidRPr="00FA472B" w:rsidRDefault="00D678E4" w:rsidP="00982AC4">
            <w:pPr>
              <w:jc w:val="right"/>
              <w:rPr>
                <w:color w:val="000000"/>
                <w:kern w:val="0"/>
                <w:sz w:val="24"/>
              </w:rPr>
            </w:pPr>
            <w:r w:rsidRPr="00FA472B">
              <w:rPr>
                <w:color w:val="000000"/>
                <w:sz w:val="24"/>
              </w:rPr>
              <w:t>-</w:t>
            </w:r>
          </w:p>
        </w:tc>
        <w:tc>
          <w:tcPr>
            <w:tcW w:w="2631" w:type="dxa"/>
            <w:vAlign w:val="center"/>
          </w:tcPr>
          <w:p w:rsidR="00D678E4" w:rsidRPr="00FA472B" w:rsidRDefault="00D678E4" w:rsidP="00982AC4">
            <w:pPr>
              <w:jc w:val="right"/>
              <w:rPr>
                <w:color w:val="000000"/>
                <w:kern w:val="0"/>
                <w:sz w:val="24"/>
              </w:rPr>
            </w:pPr>
            <w:r w:rsidRPr="00FA472B">
              <w:rPr>
                <w:color w:val="000000"/>
                <w:sz w:val="24"/>
              </w:rPr>
              <w:t>-</w:t>
            </w:r>
          </w:p>
        </w:tc>
      </w:tr>
      <w:tr w:rsidR="00D678E4" w:rsidRPr="00E90B39" w:rsidTr="00982AC4">
        <w:tc>
          <w:tcPr>
            <w:tcW w:w="3167" w:type="dxa"/>
            <w:vAlign w:val="center"/>
          </w:tcPr>
          <w:p w:rsidR="00D678E4" w:rsidRPr="00FA472B" w:rsidRDefault="00D678E4" w:rsidP="00982AC4">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rsidR="00D678E4" w:rsidRPr="00FA472B" w:rsidRDefault="00D678E4" w:rsidP="00982AC4">
            <w:pPr>
              <w:jc w:val="right"/>
              <w:rPr>
                <w:color w:val="000000"/>
                <w:kern w:val="0"/>
                <w:sz w:val="24"/>
              </w:rPr>
            </w:pPr>
            <w:r w:rsidRPr="00FA472B">
              <w:rPr>
                <w:color w:val="000000"/>
                <w:sz w:val="24"/>
              </w:rPr>
              <w:t>-</w:t>
            </w:r>
          </w:p>
        </w:tc>
        <w:tc>
          <w:tcPr>
            <w:tcW w:w="2631" w:type="dxa"/>
            <w:vAlign w:val="center"/>
          </w:tcPr>
          <w:p w:rsidR="00D678E4" w:rsidRPr="00FA472B" w:rsidRDefault="00D678E4" w:rsidP="00982AC4">
            <w:pPr>
              <w:jc w:val="right"/>
              <w:rPr>
                <w:color w:val="000000"/>
                <w:kern w:val="0"/>
                <w:sz w:val="24"/>
              </w:rPr>
            </w:pPr>
            <w:r w:rsidRPr="00FA472B">
              <w:rPr>
                <w:color w:val="000000"/>
                <w:sz w:val="24"/>
              </w:rPr>
              <w:t>-</w:t>
            </w:r>
          </w:p>
        </w:tc>
      </w:tr>
      <w:tr w:rsidR="00D678E4" w:rsidRPr="00E90B39" w:rsidTr="00982AC4">
        <w:tc>
          <w:tcPr>
            <w:tcW w:w="3167" w:type="dxa"/>
            <w:vAlign w:val="center"/>
          </w:tcPr>
          <w:p w:rsidR="00D678E4" w:rsidRPr="00FA472B" w:rsidRDefault="00D678E4" w:rsidP="00982AC4">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rsidR="00D678E4" w:rsidRPr="00FA472B" w:rsidRDefault="00D678E4" w:rsidP="00982AC4">
            <w:pPr>
              <w:jc w:val="right"/>
              <w:rPr>
                <w:sz w:val="24"/>
              </w:rPr>
            </w:pPr>
            <w:r w:rsidRPr="00FA472B">
              <w:rPr>
                <w:color w:val="000000"/>
                <w:sz w:val="24"/>
              </w:rPr>
              <w:t>-</w:t>
            </w:r>
          </w:p>
        </w:tc>
        <w:tc>
          <w:tcPr>
            <w:tcW w:w="2631" w:type="dxa"/>
            <w:vAlign w:val="center"/>
          </w:tcPr>
          <w:p w:rsidR="00D678E4" w:rsidRPr="00FA472B" w:rsidRDefault="00D678E4" w:rsidP="00982AC4">
            <w:pPr>
              <w:jc w:val="right"/>
              <w:rPr>
                <w:sz w:val="24"/>
              </w:rPr>
            </w:pPr>
            <w:r w:rsidRPr="00FA472B">
              <w:rPr>
                <w:color w:val="000000"/>
                <w:sz w:val="24"/>
              </w:rPr>
              <w:t>10,000,097.22</w:t>
            </w:r>
          </w:p>
        </w:tc>
      </w:tr>
      <w:tr w:rsidR="00D678E4" w:rsidRPr="00E90B39" w:rsidTr="00982AC4">
        <w:tc>
          <w:tcPr>
            <w:tcW w:w="3167" w:type="dxa"/>
            <w:vAlign w:val="center"/>
          </w:tcPr>
          <w:p w:rsidR="00D678E4" w:rsidRPr="00FA472B" w:rsidRDefault="00D678E4" w:rsidP="00982AC4">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rsidR="00D678E4" w:rsidRPr="00FA472B" w:rsidRDefault="00D678E4" w:rsidP="00982AC4">
            <w:pPr>
              <w:jc w:val="right"/>
              <w:rPr>
                <w:color w:val="000000"/>
                <w:kern w:val="0"/>
                <w:sz w:val="24"/>
              </w:rPr>
            </w:pPr>
            <w:r w:rsidRPr="00FA472B">
              <w:rPr>
                <w:color w:val="000000"/>
                <w:sz w:val="24"/>
              </w:rPr>
              <w:t>-</w:t>
            </w:r>
          </w:p>
        </w:tc>
        <w:tc>
          <w:tcPr>
            <w:tcW w:w="2631" w:type="dxa"/>
            <w:vAlign w:val="center"/>
          </w:tcPr>
          <w:p w:rsidR="00D678E4" w:rsidRPr="00FA472B" w:rsidRDefault="00D678E4" w:rsidP="00982AC4">
            <w:pPr>
              <w:jc w:val="right"/>
              <w:rPr>
                <w:color w:val="000000"/>
                <w:kern w:val="0"/>
                <w:sz w:val="24"/>
              </w:rPr>
            </w:pPr>
            <w:r w:rsidRPr="00FA472B">
              <w:rPr>
                <w:color w:val="000000"/>
                <w:sz w:val="24"/>
              </w:rPr>
              <w:t>6.94</w:t>
            </w:r>
          </w:p>
        </w:tc>
      </w:tr>
    </w:tbl>
    <w:p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rsidR="00AB2DFA" w:rsidRPr="00A3398F" w:rsidRDefault="00AB2DFA"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bCs w:val="0"/>
          <w:color w:val="000000" w:themeColor="text1"/>
          <w:kern w:val="2"/>
          <w:sz w:val="24"/>
          <w:szCs w:val="24"/>
        </w:rPr>
        <w:t xml:space="preserve">§8  </w:t>
      </w:r>
      <w:r w:rsidR="00861D07" w:rsidRPr="00A3398F">
        <w:rPr>
          <w:rFonts w:eastAsiaTheme="minorEastAsia"/>
          <w:bCs w:val="0"/>
          <w:color w:val="000000" w:themeColor="text1"/>
          <w:kern w:val="2"/>
          <w:sz w:val="24"/>
          <w:szCs w:val="24"/>
        </w:rPr>
        <w:t>报告期末</w:t>
      </w:r>
      <w:r w:rsidRPr="00A3398F">
        <w:rPr>
          <w:rFonts w:eastAsiaTheme="minorEastAsia"/>
          <w:bCs w:val="0"/>
          <w:color w:val="000000" w:themeColor="text1"/>
          <w:kern w:val="2"/>
          <w:sz w:val="24"/>
          <w:szCs w:val="24"/>
        </w:rPr>
        <w:t>发起式基金</w:t>
      </w:r>
      <w:r w:rsidRPr="00A3398F">
        <w:rPr>
          <w:rFonts w:eastAsiaTheme="minorEastAsia"/>
          <w:color w:val="000000" w:themeColor="text1"/>
          <w:kern w:val="0"/>
          <w:sz w:val="24"/>
          <w:szCs w:val="24"/>
        </w:rPr>
        <w:t>发起资金持有份额情况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8277FF" w:rsidRPr="00A3398F" w:rsidTr="007D5584">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widowControl/>
              <w:jc w:val="center"/>
              <w:rPr>
                <w:rFonts w:eastAsiaTheme="minorEastAsia"/>
                <w:color w:val="000000" w:themeColor="text1"/>
                <w:szCs w:val="21"/>
              </w:rPr>
            </w:pPr>
            <w:r w:rsidRPr="00A3398F">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widowControl/>
              <w:jc w:val="center"/>
              <w:rPr>
                <w:rFonts w:eastAsiaTheme="minorEastAsia"/>
                <w:color w:val="000000" w:themeColor="text1"/>
                <w:szCs w:val="21"/>
              </w:rPr>
            </w:pPr>
            <w:r w:rsidRPr="00A3398F">
              <w:rPr>
                <w:rFonts w:eastAsiaTheme="minorEastAsia"/>
                <w:color w:val="000000" w:themeColor="text1"/>
                <w:szCs w:val="21"/>
              </w:rPr>
              <w:t>发起份额承诺持有期限</w:t>
            </w:r>
          </w:p>
        </w:tc>
      </w:tr>
      <w:tr w:rsidR="008277FF" w:rsidRPr="00A3398F"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6.94%</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6.94%</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年</w:t>
            </w:r>
          </w:p>
        </w:tc>
      </w:tr>
      <w:tr w:rsidR="008277FF" w:rsidRPr="00A3398F" w:rsidTr="007D5584">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6.94%</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6.94%</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年</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w:t>
      </w:r>
      <w:r w:rsidR="00B111B9" w:rsidRPr="00A3398F">
        <w:rPr>
          <w:rFonts w:eastAsiaTheme="minorEastAsia"/>
          <w:color w:val="000000" w:themeColor="text1"/>
          <w:kern w:val="0"/>
          <w:sz w:val="24"/>
          <w:szCs w:val="24"/>
        </w:rPr>
        <w:t xml:space="preserve">9 </w:t>
      </w:r>
      <w:r w:rsidRPr="00A3398F">
        <w:rPr>
          <w:rFonts w:eastAsiaTheme="minorEastAsia"/>
          <w:color w:val="000000" w:themeColor="text1"/>
          <w:kern w:val="0"/>
          <w:sz w:val="24"/>
          <w:szCs w:val="24"/>
        </w:rPr>
        <w:t>影响投资者决策的其他重要信息</w:t>
      </w:r>
    </w:p>
    <w:p w:rsidR="00FA3195" w:rsidRPr="00A3398F" w:rsidRDefault="00FA3195" w:rsidP="00FA3195">
      <w:pPr>
        <w:autoSpaceDE w:val="0"/>
        <w:autoSpaceDN w:val="0"/>
        <w:adjustRightInd w:val="0"/>
        <w:spacing w:line="360" w:lineRule="auto"/>
        <w:jc w:val="left"/>
        <w:rPr>
          <w:b/>
          <w:bCs/>
          <w:color w:val="000000"/>
          <w:kern w:val="0"/>
          <w:sz w:val="24"/>
        </w:rPr>
      </w:pPr>
      <w:r w:rsidRPr="00A3398F">
        <w:rPr>
          <w:b/>
          <w:bCs/>
          <w:color w:val="000000"/>
          <w:kern w:val="0"/>
          <w:sz w:val="24"/>
        </w:rPr>
        <w:t xml:space="preserve">9.1 </w:t>
      </w:r>
      <w:r w:rsidRPr="00A3398F">
        <w:rPr>
          <w:b/>
          <w:bCs/>
          <w:color w:val="000000"/>
          <w:kern w:val="0"/>
          <w:sz w:val="24"/>
        </w:rPr>
        <w:t>影响投资者决策的其他重要信息</w:t>
      </w:r>
    </w:p>
    <w:p w:rsidR="00FA3195" w:rsidRPr="00A3398F" w:rsidRDefault="00FA3195" w:rsidP="00FA3195">
      <w:pPr>
        <w:spacing w:line="360" w:lineRule="auto"/>
        <w:ind w:firstLineChars="200" w:firstLine="420"/>
        <w:rPr>
          <w:color w:val="000000"/>
          <w:szCs w:val="21"/>
        </w:rPr>
      </w:pPr>
      <w:r w:rsidRPr="00A3398F">
        <w:rPr>
          <w:color w:val="00000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10</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10</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摩根恒生科技交易型开放式指数证券投资基金发起式联接基金</w:t>
      </w:r>
      <w:r>
        <w:rPr>
          <w:rFonts w:eastAsiaTheme="minorEastAsia"/>
          <w:color w:val="000000" w:themeColor="text1"/>
          <w:szCs w:val="21"/>
        </w:rPr>
        <w:t>(QDII)</w:t>
      </w:r>
      <w:r>
        <w:rPr>
          <w:rFonts w:eastAsiaTheme="minorEastAsia"/>
          <w:color w:val="000000" w:themeColor="text1"/>
          <w:szCs w:val="21"/>
        </w:rPr>
        <w:t>基金合同</w:t>
      </w: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摩根恒生科技交易型开放式指数证券投资基金发起式联接基金</w:t>
      </w:r>
      <w:r>
        <w:rPr>
          <w:rFonts w:eastAsiaTheme="minorEastAsia"/>
          <w:color w:val="000000" w:themeColor="text1"/>
          <w:szCs w:val="21"/>
        </w:rPr>
        <w:t>(QDII)</w:t>
      </w:r>
      <w:r>
        <w:rPr>
          <w:rFonts w:eastAsiaTheme="minorEastAsia"/>
          <w:color w:val="000000" w:themeColor="text1"/>
          <w:szCs w:val="21"/>
        </w:rPr>
        <w:t>托管协议</w:t>
      </w: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3C062B" w:rsidRDefault="00986D94">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（八）中国证监会要求的其他文件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10</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基金管理人或基金托管人处。</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10</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lastRenderedPageBreak/>
        <w:t>二〇二五年一月二十二日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48" w:rsidRDefault="00E21D48">
      <w:r>
        <w:separator/>
      </w:r>
    </w:p>
  </w:endnote>
  <w:endnote w:type="continuationSeparator" w:id="0">
    <w:p w:rsidR="00E21D48" w:rsidRDefault="00E2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Pr="001D0DB0" w:rsidRDefault="00982AC4"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86D9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86D94">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Default="00982A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82AC4" w:rsidRDefault="00982AC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Default="00982A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86D94">
      <w:rPr>
        <w:rStyle w:val="a8"/>
        <w:noProof/>
      </w:rPr>
      <w:t>2</w:t>
    </w:r>
    <w:r>
      <w:rPr>
        <w:rStyle w:val="a8"/>
      </w:rPr>
      <w:fldChar w:fldCharType="end"/>
    </w:r>
  </w:p>
  <w:p w:rsidR="00982AC4" w:rsidRDefault="00982AC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Default="00982A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48" w:rsidRDefault="00E21D48">
      <w:r>
        <w:separator/>
      </w:r>
    </w:p>
  </w:footnote>
  <w:footnote w:type="continuationSeparator" w:id="0">
    <w:p w:rsidR="00E21D48" w:rsidRDefault="00E21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Pr="006669C9" w:rsidRDefault="00982AC4" w:rsidP="001D1356">
    <w:pPr>
      <w:pStyle w:val="aa"/>
      <w:pBdr>
        <w:bottom w:val="single" w:sz="6" w:space="0" w:color="auto"/>
      </w:pBdr>
      <w:jc w:val="right"/>
    </w:pPr>
    <w:r w:rsidRPr="006669C9">
      <w:t>摩根恒生科技交易型开放式指数证券投资基金发起式联接基金</w:t>
    </w:r>
    <w:r w:rsidRPr="006669C9">
      <w:t>(QDII)2024</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Default="00982AC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Default="00982AC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64FB"/>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E7AB7"/>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062B"/>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0A34"/>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4E90"/>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3C5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8F6"/>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2AC4"/>
    <w:rsid w:val="00983C82"/>
    <w:rsid w:val="00984520"/>
    <w:rsid w:val="0098545C"/>
    <w:rsid w:val="00985BF7"/>
    <w:rsid w:val="00986D94"/>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7C8"/>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054E"/>
    <w:rsid w:val="00DD2809"/>
    <w:rsid w:val="00DD7EA2"/>
    <w:rsid w:val="00DE00F2"/>
    <w:rsid w:val="00DE07B4"/>
    <w:rsid w:val="00DE117F"/>
    <w:rsid w:val="00DE279B"/>
    <w:rsid w:val="00DE2B64"/>
    <w:rsid w:val="00DE3C5A"/>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1D48"/>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3FD"/>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 w:type="character" w:customStyle="1" w:styleId="t1">
    <w:name w:val="t1"/>
    <w:rsid w:val="002E7AB7"/>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132</TotalTime>
  <Pages>16</Pages>
  <Words>1226</Words>
  <Characters>6991</Characters>
  <Application>Microsoft Office Word</Application>
  <DocSecurity>0</DocSecurity>
  <Lines>58</Lines>
  <Paragraphs>16</Paragraphs>
  <ScaleCrop>false</ScaleCrop>
  <Company>TRT. Ltd. Co.</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42</cp:revision>
  <cp:lastPrinted>2007-07-19T00:46:00Z</cp:lastPrinted>
  <dcterms:created xsi:type="dcterms:W3CDTF">2014-12-16T02:40:00Z</dcterms:created>
  <dcterms:modified xsi:type="dcterms:W3CDTF">2025-01-21T06:35:00Z</dcterms:modified>
</cp:coreProperties>
</file>