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摩根纳斯达克</w:t>
      </w:r>
      <w:r w:rsidRPr="00253A89">
        <w:rPr>
          <w:rFonts w:eastAsiaTheme="minorEastAsia"/>
          <w:b/>
          <w:color w:val="000000" w:themeColor="text1"/>
          <w:sz w:val="36"/>
          <w:szCs w:val="36"/>
        </w:rPr>
        <w:t>100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2</w:t>
      </w:r>
      <w:r w:rsidRPr="00253A89">
        <w:rPr>
          <w:rFonts w:eastAsiaTheme="minorEastAsia"/>
          <w:b/>
          <w:color w:val="000000" w:themeColor="text1"/>
          <w:sz w:val="36"/>
          <w:szCs w:val="36"/>
        </w:rPr>
        <w:t>季度报告</w:t>
      </w:r>
    </w:p>
    <w:p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6</w:t>
      </w:r>
      <w:r w:rsidRPr="009B0629">
        <w:rPr>
          <w:rFonts w:eastAsiaTheme="minorEastAsia"/>
          <w:b/>
          <w:color w:val="000000" w:themeColor="text1"/>
          <w:sz w:val="24"/>
        </w:rPr>
        <w:t>月</w:t>
      </w:r>
      <w:r w:rsidRPr="009B0629">
        <w:rPr>
          <w:rFonts w:eastAsiaTheme="minorEastAsia"/>
          <w:b/>
          <w:color w:val="000000" w:themeColor="text1"/>
          <w:sz w:val="24"/>
        </w:rPr>
        <w:t>30</w:t>
      </w:r>
      <w:r w:rsidRPr="009B0629">
        <w:rPr>
          <w:rFonts w:eastAsiaTheme="minorEastAsia"/>
          <w:b/>
          <w:color w:val="000000" w:themeColor="text1"/>
          <w:sz w:val="24"/>
        </w:rPr>
        <w:t>日</w:t>
      </w: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826B12">
      <w:pPr>
        <w:spacing w:line="288" w:lineRule="auto"/>
        <w:ind w:firstLineChars="900" w:firstLine="2168"/>
        <w:rPr>
          <w:rFonts w:eastAsiaTheme="minorEastAsia"/>
          <w:b/>
          <w:color w:val="000000" w:themeColor="text1"/>
          <w:sz w:val="24"/>
        </w:rPr>
      </w:pP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基金托管人：上海浦东发展银行股份有限公司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二〇二四年七月十九日</w:t>
      </w:r>
    </w:p>
    <w:p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基金托管人上海浦东发展银行股份有限公司根据本基金合同规定，于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18</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4</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6</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日止。</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415"/>
        <w:gridCol w:w="1417"/>
        <w:gridCol w:w="1276"/>
        <w:gridCol w:w="1335"/>
      </w:tblGrid>
      <w:tr w:rsidR="008277FF" w:rsidRPr="009B0629" w:rsidTr="00D322AA">
        <w:tc>
          <w:tcPr>
            <w:tcW w:w="2980" w:type="dxa"/>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4"/>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摩根纳斯达克</w:t>
            </w:r>
            <w:r w:rsidRPr="009B0629">
              <w:rPr>
                <w:rFonts w:eastAsiaTheme="minorEastAsia"/>
                <w:color w:val="000000" w:themeColor="text1"/>
                <w:kern w:val="0"/>
                <w:sz w:val="24"/>
              </w:rPr>
              <w:t>100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019172</w:t>
            </w:r>
          </w:p>
        </w:tc>
      </w:tr>
      <w:tr w:rsidR="008277FF" w:rsidRPr="009B0629" w:rsidTr="00D322AA">
        <w:tc>
          <w:tcPr>
            <w:tcW w:w="2980" w:type="dxa"/>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4"/>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019172</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25</w:t>
            </w:r>
            <w:r w:rsidRPr="009B0629">
              <w:rPr>
                <w:rFonts w:eastAsiaTheme="minorEastAsia"/>
                <w:color w:val="000000" w:themeColor="text1"/>
                <w:kern w:val="0"/>
                <w:sz w:val="24"/>
              </w:rPr>
              <w:t>日</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527,336,210.66</w:t>
            </w:r>
            <w:r w:rsidRPr="009B0629">
              <w:rPr>
                <w:rFonts w:eastAsiaTheme="minorEastAsia"/>
                <w:color w:val="000000" w:themeColor="text1"/>
                <w:kern w:val="0"/>
                <w:sz w:val="24"/>
              </w:rPr>
              <w:t>份</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4"/>
            <w:vAlign w:val="center"/>
          </w:tcPr>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本基金通过完全复制策略进行被动式指数化投资，根据纳斯达克</w:t>
            </w:r>
            <w:r>
              <w:rPr>
                <w:rFonts w:eastAsiaTheme="minorEastAsia"/>
                <w:color w:val="000000" w:themeColor="text1"/>
                <w:kern w:val="0"/>
                <w:sz w:val="24"/>
              </w:rPr>
              <w:t>100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w:t>
            </w:r>
            <w:r>
              <w:rPr>
                <w:rFonts w:eastAsiaTheme="minorEastAsia"/>
                <w:color w:val="000000" w:themeColor="text1"/>
                <w:kern w:val="0"/>
                <w:sz w:val="24"/>
              </w:rPr>
              <w:lastRenderedPageBreak/>
              <w:t>致基金无法按照指数权重进行配置，基金管理人将综合考虑跟踪误差和投资者利益，选择相关股票进行适当的替代。</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、其他投资策略：包括基金投资策略、金融衍生品投资策略、债券投资策略、资产支持证券投资策略、存托凭证投资策略。</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纳斯达克</w:t>
            </w:r>
            <w:r w:rsidRPr="009B0629">
              <w:rPr>
                <w:rFonts w:eastAsiaTheme="minorEastAsia"/>
                <w:color w:val="000000" w:themeColor="text1"/>
                <w:kern w:val="0"/>
                <w:sz w:val="24"/>
              </w:rPr>
              <w:t>100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4"/>
            <w:vAlign w:val="center"/>
          </w:tcPr>
          <w:p w:rsidR="000A727B" w:rsidRDefault="003938A9">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基金管理人</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上海浦东发展银行股份有限公司</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Citibank N.A.</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lastRenderedPageBreak/>
              <w:t>境外资产托管人中文名称</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花旗银行</w:t>
            </w:r>
          </w:p>
        </w:tc>
      </w:tr>
      <w:tr w:rsidR="00D322AA" w:rsidRPr="009B0629" w:rsidTr="00D322AA">
        <w:tblPrEx>
          <w:tblLook w:val="0000" w:firstRow="0" w:lastRow="0" w:firstColumn="0" w:lastColumn="0" w:noHBand="0" w:noVBand="0"/>
        </w:tblPrEx>
        <w:trPr>
          <w:trHeight w:val="866"/>
        </w:trPr>
        <w:tc>
          <w:tcPr>
            <w:tcW w:w="2980" w:type="dxa"/>
          </w:tcPr>
          <w:p w:rsidR="00D322AA" w:rsidRPr="009B0629" w:rsidRDefault="00D322AA" w:rsidP="00D322AA">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141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417"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276"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33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D322AA" w:rsidRPr="009B0629" w:rsidTr="00D322AA">
        <w:tblPrEx>
          <w:tblLook w:val="0000" w:firstRow="0" w:lastRow="0" w:firstColumn="0" w:lastColumn="0" w:noHBand="0" w:noVBand="0"/>
        </w:tblPrEx>
        <w:trPr>
          <w:trHeight w:val="628"/>
        </w:trPr>
        <w:tc>
          <w:tcPr>
            <w:tcW w:w="2980" w:type="dxa"/>
          </w:tcPr>
          <w:p w:rsidR="00D322AA" w:rsidRPr="009B0629" w:rsidRDefault="00D322AA" w:rsidP="00D322AA">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141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019172</w:t>
            </w:r>
          </w:p>
        </w:tc>
        <w:tc>
          <w:tcPr>
            <w:tcW w:w="1417"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019173</w:t>
            </w:r>
          </w:p>
        </w:tc>
        <w:tc>
          <w:tcPr>
            <w:tcW w:w="1276"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019174</w:t>
            </w:r>
          </w:p>
        </w:tc>
        <w:tc>
          <w:tcPr>
            <w:tcW w:w="133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019175</w:t>
            </w:r>
          </w:p>
        </w:tc>
      </w:tr>
      <w:tr w:rsidR="00D322AA" w:rsidRPr="009B0629" w:rsidTr="00D322AA">
        <w:tblPrEx>
          <w:tblLook w:val="0000" w:firstRow="0" w:lastRow="0" w:firstColumn="0" w:lastColumn="0" w:noHBand="0" w:noVBand="0"/>
        </w:tblPrEx>
        <w:trPr>
          <w:trHeight w:val="555"/>
        </w:trPr>
        <w:tc>
          <w:tcPr>
            <w:tcW w:w="2980" w:type="dxa"/>
            <w:vAlign w:val="center"/>
          </w:tcPr>
          <w:p w:rsidR="00D322AA" w:rsidRPr="009B0629" w:rsidRDefault="00D322AA" w:rsidP="00D322AA">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1415"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295,485,787.71</w:t>
            </w:r>
            <w:r w:rsidRPr="009B0629">
              <w:rPr>
                <w:rFonts w:eastAsiaTheme="minorEastAsia"/>
                <w:color w:val="000000" w:themeColor="text1"/>
                <w:kern w:val="0"/>
                <w:sz w:val="24"/>
              </w:rPr>
              <w:t>份</w:t>
            </w:r>
          </w:p>
        </w:tc>
        <w:tc>
          <w:tcPr>
            <w:tcW w:w="1417"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230,419,495.82</w:t>
            </w:r>
            <w:r w:rsidRPr="009B0629">
              <w:rPr>
                <w:rFonts w:eastAsiaTheme="minorEastAsia"/>
                <w:color w:val="000000" w:themeColor="text1"/>
                <w:kern w:val="0"/>
                <w:sz w:val="24"/>
              </w:rPr>
              <w:t>份</w:t>
            </w:r>
          </w:p>
        </w:tc>
        <w:tc>
          <w:tcPr>
            <w:tcW w:w="1276"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681,657.61</w:t>
            </w:r>
            <w:r w:rsidRPr="009B0629">
              <w:rPr>
                <w:rFonts w:eastAsiaTheme="minorEastAsia"/>
                <w:color w:val="000000" w:themeColor="text1"/>
                <w:kern w:val="0"/>
                <w:sz w:val="24"/>
              </w:rPr>
              <w:t>份</w:t>
            </w:r>
          </w:p>
        </w:tc>
        <w:tc>
          <w:tcPr>
            <w:tcW w:w="1335"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749,269.52</w:t>
            </w:r>
            <w:r w:rsidRPr="009B0629">
              <w:rPr>
                <w:rFonts w:eastAsiaTheme="minorEastAsia"/>
                <w:color w:val="000000" w:themeColor="text1"/>
                <w:kern w:val="0"/>
                <w:sz w:val="24"/>
              </w:rPr>
              <w:t>份</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1134"/>
        <w:gridCol w:w="1134"/>
        <w:gridCol w:w="1134"/>
      </w:tblGrid>
      <w:tr w:rsidR="00012E4A" w:rsidRPr="009B0629" w:rsidTr="00012E4A">
        <w:tc>
          <w:tcPr>
            <w:tcW w:w="3402" w:type="dxa"/>
            <w:vMerge w:val="restart"/>
            <w:vAlign w:val="center"/>
          </w:tcPr>
          <w:p w:rsidR="00012E4A" w:rsidRPr="009B0629" w:rsidRDefault="00012E4A"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678" w:type="dxa"/>
            <w:gridSpan w:val="4"/>
            <w:vAlign w:val="center"/>
          </w:tcPr>
          <w:p w:rsidR="00012E4A" w:rsidRDefault="00012E4A"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rsidR="00012E4A" w:rsidRPr="009B0629" w:rsidRDefault="00012E4A"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4</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6</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w:t>
            </w:r>
            <w:r w:rsidRPr="009B0629">
              <w:rPr>
                <w:rFonts w:eastAsiaTheme="minorEastAsia"/>
                <w:color w:val="000000" w:themeColor="text1"/>
                <w:sz w:val="24"/>
              </w:rPr>
              <w:t>)</w:t>
            </w:r>
          </w:p>
        </w:tc>
      </w:tr>
      <w:tr w:rsidR="00012E4A" w:rsidRPr="009B0629" w:rsidTr="00012E4A">
        <w:tc>
          <w:tcPr>
            <w:tcW w:w="3402" w:type="dxa"/>
            <w:vMerge/>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p>
        </w:tc>
        <w:tc>
          <w:tcPr>
            <w:tcW w:w="1276"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134"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134"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134"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-2,083,522.21</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-1,740,904.41</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-32,385.21</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-41,853.70</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16,499,545.90</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14,395,488.66</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318,355.15</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386,894.63</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0.0795</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0.0857</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0.6948</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0.5778</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369,917,848.20</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287,819,072.30</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6,123,712.97</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6,715,267.24</w:t>
            </w:r>
          </w:p>
        </w:tc>
      </w:tr>
      <w:tr w:rsidR="00012E4A" w:rsidRPr="009B0629" w:rsidTr="00012E4A">
        <w:trPr>
          <w:trHeight w:val="158"/>
        </w:trPr>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1.2519</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1.2491</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1.2605</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1.2576</w:t>
            </w:r>
          </w:p>
        </w:tc>
      </w:tr>
    </w:tbl>
    <w:p w:rsidR="000A727B" w:rsidRDefault="003938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w:t>
      </w:r>
      <w:r>
        <w:rPr>
          <w:rFonts w:eastAsiaTheme="minorEastAsia"/>
          <w:color w:val="000000" w:themeColor="text1"/>
          <w:sz w:val="24"/>
        </w:rPr>
        <w:lastRenderedPageBreak/>
        <w:t>价值变动收益）扣除相关费用后的余额，本期利润为本期已实现收益加上本期公允价值变动收益。</w:t>
      </w:r>
    </w:p>
    <w:p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rsidR="0076518F" w:rsidRPr="00BB3E0D"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0A727B">
        <w:tc>
          <w:tcPr>
            <w:tcW w:w="1290" w:type="dxa"/>
            <w:vAlign w:val="center"/>
          </w:tcPr>
          <w:p w:rsidR="000A727B" w:rsidRDefault="003938A9">
            <w:pPr>
              <w:jc w:val="left"/>
            </w:pPr>
            <w:r>
              <w:rPr>
                <w:rFonts w:eastAsiaTheme="minorEastAsia"/>
                <w:color w:val="000000" w:themeColor="text1"/>
                <w:sz w:val="24"/>
              </w:rPr>
              <w:t>过去三个月</w:t>
            </w:r>
          </w:p>
        </w:tc>
        <w:tc>
          <w:tcPr>
            <w:tcW w:w="1291" w:type="dxa"/>
            <w:vAlign w:val="center"/>
          </w:tcPr>
          <w:p w:rsidR="000A727B" w:rsidRDefault="003938A9">
            <w:pPr>
              <w:jc w:val="right"/>
            </w:pPr>
            <w:r>
              <w:rPr>
                <w:rFonts w:eastAsiaTheme="minorEastAsia"/>
                <w:color w:val="000000" w:themeColor="text1"/>
                <w:sz w:val="24"/>
              </w:rPr>
              <w:t>7.05%</w:t>
            </w:r>
          </w:p>
        </w:tc>
        <w:tc>
          <w:tcPr>
            <w:tcW w:w="1291" w:type="dxa"/>
            <w:vAlign w:val="center"/>
          </w:tcPr>
          <w:p w:rsidR="000A727B" w:rsidRDefault="003938A9">
            <w:pPr>
              <w:jc w:val="right"/>
            </w:pPr>
            <w:r>
              <w:rPr>
                <w:rFonts w:eastAsiaTheme="minorEastAsia"/>
                <w:color w:val="000000" w:themeColor="text1"/>
                <w:sz w:val="24"/>
              </w:rPr>
              <w:t>0.96%</w:t>
            </w:r>
          </w:p>
        </w:tc>
        <w:tc>
          <w:tcPr>
            <w:tcW w:w="1291" w:type="dxa"/>
            <w:vAlign w:val="center"/>
          </w:tcPr>
          <w:p w:rsidR="000A727B" w:rsidRDefault="003938A9">
            <w:pPr>
              <w:jc w:val="right"/>
            </w:pPr>
            <w:r>
              <w:rPr>
                <w:rFonts w:eastAsiaTheme="minorEastAsia"/>
                <w:color w:val="000000" w:themeColor="text1"/>
                <w:sz w:val="24"/>
              </w:rPr>
              <w:t>7.90%</w:t>
            </w:r>
          </w:p>
        </w:tc>
        <w:tc>
          <w:tcPr>
            <w:tcW w:w="1291" w:type="dxa"/>
            <w:vAlign w:val="center"/>
          </w:tcPr>
          <w:p w:rsidR="000A727B" w:rsidRDefault="003938A9">
            <w:pPr>
              <w:jc w:val="right"/>
            </w:pPr>
            <w:r>
              <w:rPr>
                <w:rFonts w:eastAsiaTheme="minorEastAsia"/>
                <w:color w:val="000000" w:themeColor="text1"/>
                <w:sz w:val="24"/>
              </w:rPr>
              <w:t>0.96%</w:t>
            </w:r>
          </w:p>
        </w:tc>
        <w:tc>
          <w:tcPr>
            <w:tcW w:w="1291" w:type="dxa"/>
            <w:vAlign w:val="center"/>
          </w:tcPr>
          <w:p w:rsidR="000A727B" w:rsidRDefault="003938A9">
            <w:pPr>
              <w:jc w:val="right"/>
            </w:pPr>
            <w:r>
              <w:rPr>
                <w:rFonts w:eastAsiaTheme="minorEastAsia"/>
                <w:color w:val="000000" w:themeColor="text1"/>
                <w:sz w:val="24"/>
              </w:rPr>
              <w:t>-0.85%</w:t>
            </w:r>
          </w:p>
        </w:tc>
        <w:tc>
          <w:tcPr>
            <w:tcW w:w="1291" w:type="dxa"/>
            <w:vAlign w:val="center"/>
          </w:tcPr>
          <w:p w:rsidR="000A727B" w:rsidRDefault="003938A9">
            <w:pPr>
              <w:jc w:val="right"/>
            </w:pPr>
            <w:r>
              <w:rPr>
                <w:rFonts w:eastAsiaTheme="minorEastAsia"/>
                <w:color w:val="000000" w:themeColor="text1"/>
                <w:sz w:val="24"/>
              </w:rPr>
              <w:t>0.00%</w:t>
            </w:r>
          </w:p>
        </w:tc>
      </w:tr>
      <w:tr w:rsidR="000A727B">
        <w:tc>
          <w:tcPr>
            <w:tcW w:w="1290" w:type="dxa"/>
            <w:vAlign w:val="center"/>
          </w:tcPr>
          <w:p w:rsidR="000A727B" w:rsidRDefault="003938A9">
            <w:pPr>
              <w:jc w:val="left"/>
            </w:pPr>
            <w:r>
              <w:rPr>
                <w:rFonts w:eastAsiaTheme="minorEastAsia"/>
                <w:color w:val="000000" w:themeColor="text1"/>
                <w:sz w:val="24"/>
              </w:rPr>
              <w:t>过去六个月</w:t>
            </w:r>
          </w:p>
        </w:tc>
        <w:tc>
          <w:tcPr>
            <w:tcW w:w="1291" w:type="dxa"/>
            <w:vAlign w:val="center"/>
          </w:tcPr>
          <w:p w:rsidR="000A727B" w:rsidRDefault="003938A9">
            <w:pPr>
              <w:jc w:val="right"/>
            </w:pPr>
            <w:r>
              <w:rPr>
                <w:rFonts w:eastAsiaTheme="minorEastAsia"/>
                <w:color w:val="000000" w:themeColor="text1"/>
                <w:sz w:val="24"/>
              </w:rPr>
              <w:t>14.34%</w:t>
            </w:r>
          </w:p>
        </w:tc>
        <w:tc>
          <w:tcPr>
            <w:tcW w:w="1291" w:type="dxa"/>
            <w:vAlign w:val="center"/>
          </w:tcPr>
          <w:p w:rsidR="000A727B" w:rsidRDefault="003938A9">
            <w:pPr>
              <w:jc w:val="right"/>
            </w:pPr>
            <w:r>
              <w:rPr>
                <w:rFonts w:eastAsiaTheme="minorEastAsia"/>
                <w:color w:val="000000" w:themeColor="text1"/>
                <w:sz w:val="24"/>
              </w:rPr>
              <w:t>0.94%</w:t>
            </w:r>
          </w:p>
        </w:tc>
        <w:tc>
          <w:tcPr>
            <w:tcW w:w="1291" w:type="dxa"/>
            <w:vAlign w:val="center"/>
          </w:tcPr>
          <w:p w:rsidR="000A727B" w:rsidRDefault="003938A9">
            <w:pPr>
              <w:jc w:val="right"/>
            </w:pPr>
            <w:r>
              <w:rPr>
                <w:rFonts w:eastAsiaTheme="minorEastAsia"/>
                <w:color w:val="000000" w:themeColor="text1"/>
                <w:sz w:val="24"/>
              </w:rPr>
              <w:t>16.83%</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-2.49%</w:t>
            </w:r>
          </w:p>
        </w:tc>
        <w:tc>
          <w:tcPr>
            <w:tcW w:w="1291" w:type="dxa"/>
            <w:vAlign w:val="center"/>
          </w:tcPr>
          <w:p w:rsidR="000A727B" w:rsidRDefault="003938A9">
            <w:pPr>
              <w:jc w:val="right"/>
            </w:pPr>
            <w:r>
              <w:rPr>
                <w:rFonts w:eastAsiaTheme="minorEastAsia"/>
                <w:color w:val="000000" w:themeColor="text1"/>
                <w:sz w:val="24"/>
              </w:rPr>
              <w:t>-0.01%</w:t>
            </w:r>
          </w:p>
        </w:tc>
      </w:tr>
      <w:tr w:rsidR="000A727B">
        <w:tc>
          <w:tcPr>
            <w:tcW w:w="1290" w:type="dxa"/>
            <w:vAlign w:val="center"/>
          </w:tcPr>
          <w:p w:rsidR="000A727B" w:rsidRDefault="003938A9">
            <w:pPr>
              <w:jc w:val="left"/>
            </w:pPr>
            <w:r>
              <w:rPr>
                <w:rFonts w:eastAsiaTheme="minorEastAsia"/>
                <w:color w:val="000000" w:themeColor="text1"/>
                <w:sz w:val="24"/>
              </w:rPr>
              <w:t>过去一年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过去三年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过去五年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自基金合同生效起至今</w:t>
            </w:r>
          </w:p>
        </w:tc>
        <w:tc>
          <w:tcPr>
            <w:tcW w:w="1291" w:type="dxa"/>
            <w:vAlign w:val="center"/>
          </w:tcPr>
          <w:p w:rsidR="000A727B" w:rsidRDefault="003938A9">
            <w:pPr>
              <w:jc w:val="right"/>
            </w:pPr>
            <w:r>
              <w:rPr>
                <w:rFonts w:eastAsiaTheme="minorEastAsia"/>
                <w:color w:val="000000" w:themeColor="text1"/>
                <w:sz w:val="24"/>
              </w:rPr>
              <w:t>25.19%</w:t>
            </w:r>
          </w:p>
        </w:tc>
        <w:tc>
          <w:tcPr>
            <w:tcW w:w="1291" w:type="dxa"/>
            <w:vAlign w:val="center"/>
          </w:tcPr>
          <w:p w:rsidR="000A727B" w:rsidRDefault="003938A9">
            <w:pPr>
              <w:jc w:val="right"/>
            </w:pPr>
            <w:r>
              <w:rPr>
                <w:rFonts w:eastAsiaTheme="minorEastAsia"/>
                <w:color w:val="000000" w:themeColor="text1"/>
                <w:sz w:val="24"/>
              </w:rPr>
              <w:t>0.92%</w:t>
            </w:r>
          </w:p>
        </w:tc>
        <w:tc>
          <w:tcPr>
            <w:tcW w:w="1291" w:type="dxa"/>
            <w:vAlign w:val="center"/>
          </w:tcPr>
          <w:p w:rsidR="000A727B" w:rsidRDefault="003938A9">
            <w:pPr>
              <w:jc w:val="right"/>
            </w:pPr>
            <w:r>
              <w:rPr>
                <w:rFonts w:eastAsiaTheme="minorEastAsia"/>
                <w:color w:val="000000" w:themeColor="text1"/>
                <w:sz w:val="24"/>
              </w:rPr>
              <w:t>31.39%</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-6.20%</w:t>
            </w:r>
          </w:p>
        </w:tc>
        <w:tc>
          <w:tcPr>
            <w:tcW w:w="1291" w:type="dxa"/>
            <w:vAlign w:val="center"/>
          </w:tcPr>
          <w:p w:rsidR="000A727B" w:rsidRDefault="003938A9">
            <w:pPr>
              <w:jc w:val="right"/>
            </w:pPr>
            <w:r>
              <w:rPr>
                <w:rFonts w:eastAsiaTheme="minorEastAsia"/>
                <w:color w:val="000000" w:themeColor="text1"/>
                <w:sz w:val="24"/>
              </w:rPr>
              <w:t>-0.03%</w:t>
            </w:r>
          </w:p>
        </w:tc>
      </w:tr>
    </w:tbl>
    <w:p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0A727B">
        <w:tc>
          <w:tcPr>
            <w:tcW w:w="1290" w:type="dxa"/>
            <w:vAlign w:val="center"/>
          </w:tcPr>
          <w:p w:rsidR="000A727B" w:rsidRDefault="003938A9">
            <w:pPr>
              <w:jc w:val="left"/>
            </w:pPr>
            <w:r>
              <w:rPr>
                <w:rFonts w:eastAsiaTheme="minorEastAsia"/>
                <w:color w:val="000000" w:themeColor="text1"/>
                <w:sz w:val="24"/>
              </w:rPr>
              <w:t>过去三个月</w:t>
            </w:r>
          </w:p>
        </w:tc>
        <w:tc>
          <w:tcPr>
            <w:tcW w:w="1291" w:type="dxa"/>
            <w:vAlign w:val="center"/>
          </w:tcPr>
          <w:p w:rsidR="000A727B" w:rsidRDefault="003938A9">
            <w:pPr>
              <w:jc w:val="right"/>
            </w:pPr>
            <w:r>
              <w:rPr>
                <w:rFonts w:eastAsiaTheme="minorEastAsia"/>
                <w:color w:val="000000" w:themeColor="text1"/>
                <w:sz w:val="24"/>
              </w:rPr>
              <w:t>6.96%</w:t>
            </w:r>
          </w:p>
        </w:tc>
        <w:tc>
          <w:tcPr>
            <w:tcW w:w="1291" w:type="dxa"/>
            <w:vAlign w:val="center"/>
          </w:tcPr>
          <w:p w:rsidR="000A727B" w:rsidRDefault="003938A9">
            <w:pPr>
              <w:jc w:val="right"/>
            </w:pPr>
            <w:r>
              <w:rPr>
                <w:rFonts w:eastAsiaTheme="minorEastAsia"/>
                <w:color w:val="000000" w:themeColor="text1"/>
                <w:sz w:val="24"/>
              </w:rPr>
              <w:t>0.96%</w:t>
            </w:r>
          </w:p>
        </w:tc>
        <w:tc>
          <w:tcPr>
            <w:tcW w:w="1291" w:type="dxa"/>
            <w:vAlign w:val="center"/>
          </w:tcPr>
          <w:p w:rsidR="000A727B" w:rsidRDefault="003938A9">
            <w:pPr>
              <w:jc w:val="right"/>
            </w:pPr>
            <w:r>
              <w:rPr>
                <w:rFonts w:eastAsiaTheme="minorEastAsia"/>
                <w:color w:val="000000" w:themeColor="text1"/>
                <w:sz w:val="24"/>
              </w:rPr>
              <w:t>7.90%</w:t>
            </w:r>
          </w:p>
        </w:tc>
        <w:tc>
          <w:tcPr>
            <w:tcW w:w="1291" w:type="dxa"/>
            <w:vAlign w:val="center"/>
          </w:tcPr>
          <w:p w:rsidR="000A727B" w:rsidRDefault="003938A9">
            <w:pPr>
              <w:jc w:val="right"/>
            </w:pPr>
            <w:r>
              <w:rPr>
                <w:rFonts w:eastAsiaTheme="minorEastAsia"/>
                <w:color w:val="000000" w:themeColor="text1"/>
                <w:sz w:val="24"/>
              </w:rPr>
              <w:t>0.96%</w:t>
            </w:r>
          </w:p>
        </w:tc>
        <w:tc>
          <w:tcPr>
            <w:tcW w:w="1291" w:type="dxa"/>
            <w:vAlign w:val="center"/>
          </w:tcPr>
          <w:p w:rsidR="000A727B" w:rsidRDefault="003938A9">
            <w:pPr>
              <w:jc w:val="right"/>
            </w:pPr>
            <w:r>
              <w:rPr>
                <w:rFonts w:eastAsiaTheme="minorEastAsia"/>
                <w:color w:val="000000" w:themeColor="text1"/>
                <w:sz w:val="24"/>
              </w:rPr>
              <w:t>-0.94%</w:t>
            </w:r>
          </w:p>
        </w:tc>
        <w:tc>
          <w:tcPr>
            <w:tcW w:w="1291" w:type="dxa"/>
            <w:vAlign w:val="center"/>
          </w:tcPr>
          <w:p w:rsidR="000A727B" w:rsidRDefault="003938A9">
            <w:pPr>
              <w:jc w:val="right"/>
            </w:pPr>
            <w:r>
              <w:rPr>
                <w:rFonts w:eastAsiaTheme="minorEastAsia"/>
                <w:color w:val="000000" w:themeColor="text1"/>
                <w:sz w:val="24"/>
              </w:rPr>
              <w:t>0.00%</w:t>
            </w:r>
          </w:p>
        </w:tc>
      </w:tr>
      <w:tr w:rsidR="000A727B">
        <w:tc>
          <w:tcPr>
            <w:tcW w:w="1290" w:type="dxa"/>
            <w:vAlign w:val="center"/>
          </w:tcPr>
          <w:p w:rsidR="000A727B" w:rsidRDefault="003938A9">
            <w:pPr>
              <w:jc w:val="left"/>
            </w:pPr>
            <w:r>
              <w:rPr>
                <w:rFonts w:eastAsiaTheme="minorEastAsia"/>
                <w:color w:val="000000" w:themeColor="text1"/>
                <w:sz w:val="24"/>
              </w:rPr>
              <w:t>过去六个月</w:t>
            </w:r>
          </w:p>
        </w:tc>
        <w:tc>
          <w:tcPr>
            <w:tcW w:w="1291" w:type="dxa"/>
            <w:vAlign w:val="center"/>
          </w:tcPr>
          <w:p w:rsidR="000A727B" w:rsidRDefault="003938A9">
            <w:pPr>
              <w:jc w:val="right"/>
            </w:pPr>
            <w:r>
              <w:rPr>
                <w:rFonts w:eastAsiaTheme="minorEastAsia"/>
                <w:color w:val="000000" w:themeColor="text1"/>
                <w:sz w:val="24"/>
              </w:rPr>
              <w:t>14.18%</w:t>
            </w:r>
          </w:p>
        </w:tc>
        <w:tc>
          <w:tcPr>
            <w:tcW w:w="1291" w:type="dxa"/>
            <w:vAlign w:val="center"/>
          </w:tcPr>
          <w:p w:rsidR="000A727B" w:rsidRDefault="003938A9">
            <w:pPr>
              <w:jc w:val="right"/>
            </w:pPr>
            <w:r>
              <w:rPr>
                <w:rFonts w:eastAsiaTheme="minorEastAsia"/>
                <w:color w:val="000000" w:themeColor="text1"/>
                <w:sz w:val="24"/>
              </w:rPr>
              <w:t>0.94%</w:t>
            </w:r>
          </w:p>
        </w:tc>
        <w:tc>
          <w:tcPr>
            <w:tcW w:w="1291" w:type="dxa"/>
            <w:vAlign w:val="center"/>
          </w:tcPr>
          <w:p w:rsidR="000A727B" w:rsidRDefault="003938A9">
            <w:pPr>
              <w:jc w:val="right"/>
            </w:pPr>
            <w:r>
              <w:rPr>
                <w:rFonts w:eastAsiaTheme="minorEastAsia"/>
                <w:color w:val="000000" w:themeColor="text1"/>
                <w:sz w:val="24"/>
              </w:rPr>
              <w:t>16.83%</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-2.65%</w:t>
            </w:r>
          </w:p>
        </w:tc>
        <w:tc>
          <w:tcPr>
            <w:tcW w:w="1291" w:type="dxa"/>
            <w:vAlign w:val="center"/>
          </w:tcPr>
          <w:p w:rsidR="000A727B" w:rsidRDefault="003938A9">
            <w:pPr>
              <w:jc w:val="right"/>
            </w:pPr>
            <w:r>
              <w:rPr>
                <w:rFonts w:eastAsiaTheme="minorEastAsia"/>
                <w:color w:val="000000" w:themeColor="text1"/>
                <w:sz w:val="24"/>
              </w:rPr>
              <w:t>-0.01%</w:t>
            </w:r>
          </w:p>
        </w:tc>
      </w:tr>
      <w:tr w:rsidR="000A727B">
        <w:tc>
          <w:tcPr>
            <w:tcW w:w="1290" w:type="dxa"/>
            <w:vAlign w:val="center"/>
          </w:tcPr>
          <w:p w:rsidR="000A727B" w:rsidRDefault="003938A9">
            <w:pPr>
              <w:jc w:val="left"/>
            </w:pPr>
            <w:r>
              <w:rPr>
                <w:rFonts w:eastAsiaTheme="minorEastAsia"/>
                <w:color w:val="000000" w:themeColor="text1"/>
                <w:sz w:val="24"/>
              </w:rPr>
              <w:t>过去一年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过去三年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过去五年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自基金合同生效起</w:t>
            </w:r>
            <w:r>
              <w:rPr>
                <w:rFonts w:eastAsiaTheme="minorEastAsia"/>
                <w:color w:val="000000" w:themeColor="text1"/>
                <w:sz w:val="24"/>
              </w:rPr>
              <w:lastRenderedPageBreak/>
              <w:t>至今</w:t>
            </w:r>
          </w:p>
        </w:tc>
        <w:tc>
          <w:tcPr>
            <w:tcW w:w="1291" w:type="dxa"/>
            <w:vAlign w:val="center"/>
          </w:tcPr>
          <w:p w:rsidR="000A727B" w:rsidRDefault="003938A9">
            <w:pPr>
              <w:jc w:val="right"/>
            </w:pPr>
            <w:r>
              <w:rPr>
                <w:rFonts w:eastAsiaTheme="minorEastAsia"/>
                <w:color w:val="000000" w:themeColor="text1"/>
                <w:sz w:val="24"/>
              </w:rPr>
              <w:lastRenderedPageBreak/>
              <w:t>24.91%</w:t>
            </w:r>
          </w:p>
        </w:tc>
        <w:tc>
          <w:tcPr>
            <w:tcW w:w="1291" w:type="dxa"/>
            <w:vAlign w:val="center"/>
          </w:tcPr>
          <w:p w:rsidR="000A727B" w:rsidRDefault="003938A9">
            <w:pPr>
              <w:jc w:val="right"/>
            </w:pPr>
            <w:r>
              <w:rPr>
                <w:rFonts w:eastAsiaTheme="minorEastAsia"/>
                <w:color w:val="000000" w:themeColor="text1"/>
                <w:sz w:val="24"/>
              </w:rPr>
              <w:t>0.92%</w:t>
            </w:r>
          </w:p>
        </w:tc>
        <w:tc>
          <w:tcPr>
            <w:tcW w:w="1291" w:type="dxa"/>
            <w:vAlign w:val="center"/>
          </w:tcPr>
          <w:p w:rsidR="000A727B" w:rsidRDefault="003938A9">
            <w:pPr>
              <w:jc w:val="right"/>
            </w:pPr>
            <w:r>
              <w:rPr>
                <w:rFonts w:eastAsiaTheme="minorEastAsia"/>
                <w:color w:val="000000" w:themeColor="text1"/>
                <w:sz w:val="24"/>
              </w:rPr>
              <w:t>31.39%</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-6.48%</w:t>
            </w:r>
          </w:p>
        </w:tc>
        <w:tc>
          <w:tcPr>
            <w:tcW w:w="1291" w:type="dxa"/>
            <w:vAlign w:val="center"/>
          </w:tcPr>
          <w:p w:rsidR="000A727B" w:rsidRDefault="003938A9">
            <w:pPr>
              <w:jc w:val="right"/>
            </w:pPr>
            <w:r>
              <w:rPr>
                <w:rFonts w:eastAsiaTheme="minorEastAsia"/>
                <w:color w:val="000000" w:themeColor="text1"/>
                <w:sz w:val="24"/>
              </w:rPr>
              <w:t>-0.03%</w:t>
            </w:r>
          </w:p>
        </w:tc>
      </w:tr>
    </w:tbl>
    <w:p w:rsidR="00BB3E0D" w:rsidRPr="009B0629" w:rsidRDefault="00BB3E0D" w:rsidP="00BB3E0D">
      <w:pPr>
        <w:adjustRightInd w:val="0"/>
        <w:spacing w:beforeLines="50" w:before="156" w:line="360" w:lineRule="auto"/>
        <w:rPr>
          <w:rFonts w:eastAsiaTheme="minorEastAsia"/>
          <w:b/>
          <w:color w:val="000000" w:themeColor="text1"/>
          <w:kern w:val="0"/>
          <w:sz w:val="24"/>
        </w:rPr>
      </w:pPr>
      <w:r>
        <w:rPr>
          <w:rFonts w:eastAsiaTheme="minorEastAsia"/>
          <w:b/>
          <w:color w:val="000000" w:themeColor="text1"/>
          <w:sz w:val="24"/>
        </w:rPr>
        <w:t>3</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美元</w:t>
      </w:r>
      <w:r w:rsidRPr="009B0629">
        <w:rPr>
          <w:rFonts w:eastAsiaTheme="minorEastAsia"/>
          <w:b/>
          <w:color w:val="000000" w:themeColor="text1"/>
          <w:kern w:val="0"/>
          <w:sz w:val="24"/>
        </w:rPr>
        <w:t>A</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B3E0D" w:rsidRPr="009B0629" w:rsidTr="003A7728">
        <w:tc>
          <w:tcPr>
            <w:tcW w:w="1290"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0A727B">
        <w:tc>
          <w:tcPr>
            <w:tcW w:w="1290" w:type="dxa"/>
            <w:vAlign w:val="center"/>
          </w:tcPr>
          <w:p w:rsidR="000A727B" w:rsidRDefault="003938A9">
            <w:pPr>
              <w:jc w:val="left"/>
            </w:pPr>
            <w:r>
              <w:rPr>
                <w:rFonts w:eastAsiaTheme="minorEastAsia"/>
                <w:color w:val="000000" w:themeColor="text1"/>
                <w:sz w:val="24"/>
              </w:rPr>
              <w:t>过去三个月</w:t>
            </w:r>
          </w:p>
        </w:tc>
        <w:tc>
          <w:tcPr>
            <w:tcW w:w="1291" w:type="dxa"/>
            <w:vAlign w:val="center"/>
          </w:tcPr>
          <w:p w:rsidR="000A727B" w:rsidRDefault="003938A9">
            <w:pPr>
              <w:jc w:val="right"/>
            </w:pPr>
            <w:r>
              <w:rPr>
                <w:rFonts w:eastAsiaTheme="minorEastAsia"/>
                <w:color w:val="000000" w:themeColor="text1"/>
                <w:sz w:val="24"/>
              </w:rPr>
              <w:t>6.61%</w:t>
            </w:r>
          </w:p>
        </w:tc>
        <w:tc>
          <w:tcPr>
            <w:tcW w:w="1291" w:type="dxa"/>
            <w:vAlign w:val="center"/>
          </w:tcPr>
          <w:p w:rsidR="000A727B" w:rsidRDefault="003938A9">
            <w:pPr>
              <w:jc w:val="right"/>
            </w:pPr>
            <w:r>
              <w:rPr>
                <w:rFonts w:eastAsiaTheme="minorEastAsia"/>
                <w:color w:val="000000" w:themeColor="text1"/>
                <w:sz w:val="24"/>
              </w:rPr>
              <w:t>0.97%</w:t>
            </w:r>
          </w:p>
        </w:tc>
        <w:tc>
          <w:tcPr>
            <w:tcW w:w="1291" w:type="dxa"/>
            <w:vAlign w:val="center"/>
          </w:tcPr>
          <w:p w:rsidR="000A727B" w:rsidRDefault="003938A9">
            <w:pPr>
              <w:jc w:val="right"/>
            </w:pPr>
            <w:r>
              <w:rPr>
                <w:rFonts w:eastAsiaTheme="minorEastAsia"/>
                <w:color w:val="000000" w:themeColor="text1"/>
                <w:sz w:val="24"/>
              </w:rPr>
              <w:t>7.90%</w:t>
            </w:r>
          </w:p>
        </w:tc>
        <w:tc>
          <w:tcPr>
            <w:tcW w:w="1291" w:type="dxa"/>
            <w:vAlign w:val="center"/>
          </w:tcPr>
          <w:p w:rsidR="000A727B" w:rsidRDefault="003938A9">
            <w:pPr>
              <w:jc w:val="right"/>
            </w:pPr>
            <w:r>
              <w:rPr>
                <w:rFonts w:eastAsiaTheme="minorEastAsia"/>
                <w:color w:val="000000" w:themeColor="text1"/>
                <w:sz w:val="24"/>
              </w:rPr>
              <w:t>0.96%</w:t>
            </w:r>
          </w:p>
        </w:tc>
        <w:tc>
          <w:tcPr>
            <w:tcW w:w="1291" w:type="dxa"/>
            <w:vAlign w:val="center"/>
          </w:tcPr>
          <w:p w:rsidR="000A727B" w:rsidRDefault="003938A9">
            <w:pPr>
              <w:jc w:val="right"/>
            </w:pPr>
            <w:r>
              <w:rPr>
                <w:rFonts w:eastAsiaTheme="minorEastAsia"/>
                <w:color w:val="000000" w:themeColor="text1"/>
                <w:sz w:val="24"/>
              </w:rPr>
              <w:t>-1.29%</w:t>
            </w:r>
          </w:p>
        </w:tc>
        <w:tc>
          <w:tcPr>
            <w:tcW w:w="1291" w:type="dxa"/>
            <w:vAlign w:val="center"/>
          </w:tcPr>
          <w:p w:rsidR="000A727B" w:rsidRDefault="003938A9">
            <w:pPr>
              <w:jc w:val="right"/>
            </w:pPr>
            <w:r>
              <w:rPr>
                <w:rFonts w:eastAsiaTheme="minorEastAsia"/>
                <w:color w:val="000000" w:themeColor="text1"/>
                <w:sz w:val="24"/>
              </w:rPr>
              <w:t>0.01%</w:t>
            </w:r>
          </w:p>
        </w:tc>
      </w:tr>
      <w:tr w:rsidR="000A727B">
        <w:tc>
          <w:tcPr>
            <w:tcW w:w="1290" w:type="dxa"/>
            <w:vAlign w:val="center"/>
          </w:tcPr>
          <w:p w:rsidR="000A727B" w:rsidRDefault="003938A9">
            <w:pPr>
              <w:jc w:val="left"/>
            </w:pPr>
            <w:r>
              <w:rPr>
                <w:rFonts w:eastAsiaTheme="minorEastAsia"/>
                <w:color w:val="000000" w:themeColor="text1"/>
                <w:sz w:val="24"/>
              </w:rPr>
              <w:t>过去六个月</w:t>
            </w:r>
          </w:p>
        </w:tc>
        <w:tc>
          <w:tcPr>
            <w:tcW w:w="1291" w:type="dxa"/>
            <w:vAlign w:val="center"/>
          </w:tcPr>
          <w:p w:rsidR="000A727B" w:rsidRDefault="003938A9">
            <w:pPr>
              <w:jc w:val="right"/>
            </w:pPr>
            <w:r>
              <w:rPr>
                <w:rFonts w:eastAsiaTheme="minorEastAsia"/>
                <w:color w:val="000000" w:themeColor="text1"/>
                <w:sz w:val="24"/>
              </w:rPr>
              <w:t>13.68%</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16.83%</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-3.15%</w:t>
            </w:r>
          </w:p>
        </w:tc>
        <w:tc>
          <w:tcPr>
            <w:tcW w:w="1291" w:type="dxa"/>
            <w:vAlign w:val="center"/>
          </w:tcPr>
          <w:p w:rsidR="000A727B" w:rsidRDefault="003938A9">
            <w:pPr>
              <w:jc w:val="right"/>
            </w:pPr>
            <w:r>
              <w:rPr>
                <w:rFonts w:eastAsiaTheme="minorEastAsia"/>
                <w:color w:val="000000" w:themeColor="text1"/>
                <w:sz w:val="24"/>
              </w:rPr>
              <w:t>0.00%</w:t>
            </w:r>
          </w:p>
        </w:tc>
      </w:tr>
      <w:tr w:rsidR="000A727B">
        <w:tc>
          <w:tcPr>
            <w:tcW w:w="1290" w:type="dxa"/>
            <w:vAlign w:val="center"/>
          </w:tcPr>
          <w:p w:rsidR="000A727B" w:rsidRDefault="003938A9">
            <w:pPr>
              <w:jc w:val="left"/>
            </w:pPr>
            <w:r>
              <w:rPr>
                <w:rFonts w:eastAsiaTheme="minorEastAsia"/>
                <w:color w:val="000000" w:themeColor="text1"/>
                <w:sz w:val="24"/>
              </w:rPr>
              <w:t>过去一年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过去三年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过去五年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自基金合同生效起至今</w:t>
            </w:r>
          </w:p>
        </w:tc>
        <w:tc>
          <w:tcPr>
            <w:tcW w:w="1291" w:type="dxa"/>
            <w:vAlign w:val="center"/>
          </w:tcPr>
          <w:p w:rsidR="000A727B" w:rsidRDefault="003938A9">
            <w:pPr>
              <w:jc w:val="right"/>
            </w:pPr>
            <w:r>
              <w:rPr>
                <w:rFonts w:eastAsiaTheme="minorEastAsia"/>
                <w:color w:val="000000" w:themeColor="text1"/>
                <w:sz w:val="24"/>
              </w:rPr>
              <w:t>26.05%</w:t>
            </w:r>
          </w:p>
        </w:tc>
        <w:tc>
          <w:tcPr>
            <w:tcW w:w="1291" w:type="dxa"/>
            <w:vAlign w:val="center"/>
          </w:tcPr>
          <w:p w:rsidR="000A727B" w:rsidRDefault="003938A9">
            <w:pPr>
              <w:jc w:val="right"/>
            </w:pPr>
            <w:r>
              <w:rPr>
                <w:rFonts w:eastAsiaTheme="minorEastAsia"/>
                <w:color w:val="000000" w:themeColor="text1"/>
                <w:sz w:val="24"/>
              </w:rPr>
              <w:t>0.92%</w:t>
            </w:r>
          </w:p>
        </w:tc>
        <w:tc>
          <w:tcPr>
            <w:tcW w:w="1291" w:type="dxa"/>
            <w:vAlign w:val="center"/>
          </w:tcPr>
          <w:p w:rsidR="000A727B" w:rsidRDefault="003938A9">
            <w:pPr>
              <w:jc w:val="right"/>
            </w:pPr>
            <w:r>
              <w:rPr>
                <w:rFonts w:eastAsiaTheme="minorEastAsia"/>
                <w:color w:val="000000" w:themeColor="text1"/>
                <w:sz w:val="24"/>
              </w:rPr>
              <w:t>31.39%</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-5.34%</w:t>
            </w:r>
          </w:p>
        </w:tc>
        <w:tc>
          <w:tcPr>
            <w:tcW w:w="1291" w:type="dxa"/>
            <w:vAlign w:val="center"/>
          </w:tcPr>
          <w:p w:rsidR="000A727B" w:rsidRDefault="003938A9">
            <w:pPr>
              <w:jc w:val="right"/>
            </w:pPr>
            <w:r>
              <w:rPr>
                <w:rFonts w:eastAsiaTheme="minorEastAsia"/>
                <w:color w:val="000000" w:themeColor="text1"/>
                <w:sz w:val="24"/>
              </w:rPr>
              <w:t>-0.03%</w:t>
            </w:r>
          </w:p>
        </w:tc>
      </w:tr>
    </w:tbl>
    <w:p w:rsidR="00BB3E0D" w:rsidRPr="009B0629" w:rsidRDefault="00BB3E0D" w:rsidP="00BB3E0D">
      <w:pPr>
        <w:adjustRightInd w:val="0"/>
        <w:spacing w:beforeLines="50" w:before="156" w:line="360" w:lineRule="auto"/>
        <w:rPr>
          <w:rFonts w:eastAsiaTheme="minorEastAsia"/>
          <w:b/>
          <w:color w:val="000000" w:themeColor="text1"/>
          <w:kern w:val="0"/>
          <w:sz w:val="24"/>
        </w:rPr>
      </w:pPr>
      <w:r>
        <w:rPr>
          <w:rFonts w:eastAsiaTheme="minorEastAsia"/>
          <w:b/>
          <w:color w:val="000000" w:themeColor="text1"/>
          <w:sz w:val="24"/>
        </w:rPr>
        <w:t>4</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美元</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B3E0D" w:rsidRPr="009B0629" w:rsidTr="003A7728">
        <w:tc>
          <w:tcPr>
            <w:tcW w:w="1290"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0A727B">
        <w:tc>
          <w:tcPr>
            <w:tcW w:w="1290" w:type="dxa"/>
            <w:vAlign w:val="center"/>
          </w:tcPr>
          <w:p w:rsidR="000A727B" w:rsidRDefault="003938A9">
            <w:pPr>
              <w:jc w:val="left"/>
            </w:pPr>
            <w:r>
              <w:rPr>
                <w:rFonts w:eastAsiaTheme="minorEastAsia"/>
                <w:color w:val="000000" w:themeColor="text1"/>
                <w:sz w:val="24"/>
              </w:rPr>
              <w:t>过去三个月</w:t>
            </w:r>
          </w:p>
        </w:tc>
        <w:tc>
          <w:tcPr>
            <w:tcW w:w="1291" w:type="dxa"/>
            <w:vAlign w:val="center"/>
          </w:tcPr>
          <w:p w:rsidR="000A727B" w:rsidRDefault="003938A9">
            <w:pPr>
              <w:jc w:val="right"/>
            </w:pPr>
            <w:r>
              <w:rPr>
                <w:rFonts w:eastAsiaTheme="minorEastAsia"/>
                <w:color w:val="000000" w:themeColor="text1"/>
                <w:sz w:val="24"/>
              </w:rPr>
              <w:t>6.54%</w:t>
            </w:r>
          </w:p>
        </w:tc>
        <w:tc>
          <w:tcPr>
            <w:tcW w:w="1291" w:type="dxa"/>
            <w:vAlign w:val="center"/>
          </w:tcPr>
          <w:p w:rsidR="000A727B" w:rsidRDefault="003938A9">
            <w:pPr>
              <w:jc w:val="right"/>
            </w:pPr>
            <w:r>
              <w:rPr>
                <w:rFonts w:eastAsiaTheme="minorEastAsia"/>
                <w:color w:val="000000" w:themeColor="text1"/>
                <w:sz w:val="24"/>
              </w:rPr>
              <w:t>0.97%</w:t>
            </w:r>
          </w:p>
        </w:tc>
        <w:tc>
          <w:tcPr>
            <w:tcW w:w="1291" w:type="dxa"/>
            <w:vAlign w:val="center"/>
          </w:tcPr>
          <w:p w:rsidR="000A727B" w:rsidRDefault="003938A9">
            <w:pPr>
              <w:jc w:val="right"/>
            </w:pPr>
            <w:r>
              <w:rPr>
                <w:rFonts w:eastAsiaTheme="minorEastAsia"/>
                <w:color w:val="000000" w:themeColor="text1"/>
                <w:sz w:val="24"/>
              </w:rPr>
              <w:t>7.90%</w:t>
            </w:r>
          </w:p>
        </w:tc>
        <w:tc>
          <w:tcPr>
            <w:tcW w:w="1291" w:type="dxa"/>
            <w:vAlign w:val="center"/>
          </w:tcPr>
          <w:p w:rsidR="000A727B" w:rsidRDefault="003938A9">
            <w:pPr>
              <w:jc w:val="right"/>
            </w:pPr>
            <w:r>
              <w:rPr>
                <w:rFonts w:eastAsiaTheme="minorEastAsia"/>
                <w:color w:val="000000" w:themeColor="text1"/>
                <w:sz w:val="24"/>
              </w:rPr>
              <w:t>0.96%</w:t>
            </w:r>
          </w:p>
        </w:tc>
        <w:tc>
          <w:tcPr>
            <w:tcW w:w="1291" w:type="dxa"/>
            <w:vAlign w:val="center"/>
          </w:tcPr>
          <w:p w:rsidR="000A727B" w:rsidRDefault="003938A9">
            <w:pPr>
              <w:jc w:val="right"/>
            </w:pPr>
            <w:r>
              <w:rPr>
                <w:rFonts w:eastAsiaTheme="minorEastAsia"/>
                <w:color w:val="000000" w:themeColor="text1"/>
                <w:sz w:val="24"/>
              </w:rPr>
              <w:t>-1.36%</w:t>
            </w:r>
          </w:p>
        </w:tc>
        <w:tc>
          <w:tcPr>
            <w:tcW w:w="1291" w:type="dxa"/>
            <w:vAlign w:val="center"/>
          </w:tcPr>
          <w:p w:rsidR="000A727B" w:rsidRDefault="003938A9">
            <w:pPr>
              <w:jc w:val="right"/>
            </w:pPr>
            <w:r>
              <w:rPr>
                <w:rFonts w:eastAsiaTheme="minorEastAsia"/>
                <w:color w:val="000000" w:themeColor="text1"/>
                <w:sz w:val="24"/>
              </w:rPr>
              <w:t>0.01%</w:t>
            </w:r>
          </w:p>
        </w:tc>
      </w:tr>
      <w:tr w:rsidR="000A727B">
        <w:tc>
          <w:tcPr>
            <w:tcW w:w="1290" w:type="dxa"/>
            <w:vAlign w:val="center"/>
          </w:tcPr>
          <w:p w:rsidR="000A727B" w:rsidRDefault="003938A9">
            <w:pPr>
              <w:jc w:val="left"/>
            </w:pPr>
            <w:r>
              <w:rPr>
                <w:rFonts w:eastAsiaTheme="minorEastAsia"/>
                <w:color w:val="000000" w:themeColor="text1"/>
                <w:sz w:val="24"/>
              </w:rPr>
              <w:t>过去六个月</w:t>
            </w:r>
          </w:p>
        </w:tc>
        <w:tc>
          <w:tcPr>
            <w:tcW w:w="1291" w:type="dxa"/>
            <w:vAlign w:val="center"/>
          </w:tcPr>
          <w:p w:rsidR="000A727B" w:rsidRDefault="003938A9">
            <w:pPr>
              <w:jc w:val="right"/>
            </w:pPr>
            <w:r>
              <w:rPr>
                <w:rFonts w:eastAsiaTheme="minorEastAsia"/>
                <w:color w:val="000000" w:themeColor="text1"/>
                <w:sz w:val="24"/>
              </w:rPr>
              <w:t>13.51%</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16.83%</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-3.32%</w:t>
            </w:r>
          </w:p>
        </w:tc>
        <w:tc>
          <w:tcPr>
            <w:tcW w:w="1291" w:type="dxa"/>
            <w:vAlign w:val="center"/>
          </w:tcPr>
          <w:p w:rsidR="000A727B" w:rsidRDefault="003938A9">
            <w:pPr>
              <w:jc w:val="right"/>
            </w:pPr>
            <w:r>
              <w:rPr>
                <w:rFonts w:eastAsiaTheme="minorEastAsia"/>
                <w:color w:val="000000" w:themeColor="text1"/>
                <w:sz w:val="24"/>
              </w:rPr>
              <w:t>0.00%</w:t>
            </w:r>
          </w:p>
        </w:tc>
      </w:tr>
      <w:tr w:rsidR="000A727B">
        <w:tc>
          <w:tcPr>
            <w:tcW w:w="1290" w:type="dxa"/>
            <w:vAlign w:val="center"/>
          </w:tcPr>
          <w:p w:rsidR="000A727B" w:rsidRDefault="003938A9">
            <w:pPr>
              <w:jc w:val="left"/>
            </w:pPr>
            <w:r>
              <w:rPr>
                <w:rFonts w:eastAsiaTheme="minorEastAsia"/>
                <w:color w:val="000000" w:themeColor="text1"/>
                <w:sz w:val="24"/>
              </w:rPr>
              <w:t>过去一年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过去三年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过去五年</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c>
          <w:tcPr>
            <w:tcW w:w="1291" w:type="dxa"/>
            <w:vAlign w:val="center"/>
          </w:tcPr>
          <w:p w:rsidR="000A727B" w:rsidRDefault="003938A9">
            <w:pPr>
              <w:jc w:val="right"/>
            </w:pPr>
            <w:r>
              <w:rPr>
                <w:rFonts w:eastAsiaTheme="minorEastAsia"/>
                <w:color w:val="000000" w:themeColor="text1"/>
                <w:sz w:val="24"/>
              </w:rPr>
              <w:t>-</w:t>
            </w:r>
          </w:p>
        </w:tc>
      </w:tr>
      <w:tr w:rsidR="000A727B">
        <w:tc>
          <w:tcPr>
            <w:tcW w:w="1290" w:type="dxa"/>
            <w:vAlign w:val="center"/>
          </w:tcPr>
          <w:p w:rsidR="000A727B" w:rsidRDefault="003938A9">
            <w:pPr>
              <w:jc w:val="left"/>
            </w:pPr>
            <w:r>
              <w:rPr>
                <w:rFonts w:eastAsiaTheme="minorEastAsia"/>
                <w:color w:val="000000" w:themeColor="text1"/>
                <w:sz w:val="24"/>
              </w:rPr>
              <w:t>自基金合同生效起至今</w:t>
            </w:r>
          </w:p>
        </w:tc>
        <w:tc>
          <w:tcPr>
            <w:tcW w:w="1291" w:type="dxa"/>
            <w:vAlign w:val="center"/>
          </w:tcPr>
          <w:p w:rsidR="000A727B" w:rsidRDefault="003938A9">
            <w:pPr>
              <w:jc w:val="right"/>
            </w:pPr>
            <w:r>
              <w:rPr>
                <w:rFonts w:eastAsiaTheme="minorEastAsia"/>
                <w:color w:val="000000" w:themeColor="text1"/>
                <w:sz w:val="24"/>
              </w:rPr>
              <w:t>25.76%</w:t>
            </w:r>
          </w:p>
        </w:tc>
        <w:tc>
          <w:tcPr>
            <w:tcW w:w="1291" w:type="dxa"/>
            <w:vAlign w:val="center"/>
          </w:tcPr>
          <w:p w:rsidR="000A727B" w:rsidRDefault="003938A9">
            <w:pPr>
              <w:jc w:val="right"/>
            </w:pPr>
            <w:r>
              <w:rPr>
                <w:rFonts w:eastAsiaTheme="minorEastAsia"/>
                <w:color w:val="000000" w:themeColor="text1"/>
                <w:sz w:val="24"/>
              </w:rPr>
              <w:t>0.92%</w:t>
            </w:r>
          </w:p>
        </w:tc>
        <w:tc>
          <w:tcPr>
            <w:tcW w:w="1291" w:type="dxa"/>
            <w:vAlign w:val="center"/>
          </w:tcPr>
          <w:p w:rsidR="000A727B" w:rsidRDefault="003938A9">
            <w:pPr>
              <w:jc w:val="right"/>
            </w:pPr>
            <w:r>
              <w:rPr>
                <w:rFonts w:eastAsiaTheme="minorEastAsia"/>
                <w:color w:val="000000" w:themeColor="text1"/>
                <w:sz w:val="24"/>
              </w:rPr>
              <w:t>31.39%</w:t>
            </w:r>
          </w:p>
        </w:tc>
        <w:tc>
          <w:tcPr>
            <w:tcW w:w="1291" w:type="dxa"/>
            <w:vAlign w:val="center"/>
          </w:tcPr>
          <w:p w:rsidR="000A727B" w:rsidRDefault="003938A9">
            <w:pPr>
              <w:jc w:val="right"/>
            </w:pPr>
            <w:r>
              <w:rPr>
                <w:rFonts w:eastAsiaTheme="minorEastAsia"/>
                <w:color w:val="000000" w:themeColor="text1"/>
                <w:sz w:val="24"/>
              </w:rPr>
              <w:t>0.95%</w:t>
            </w:r>
          </w:p>
        </w:tc>
        <w:tc>
          <w:tcPr>
            <w:tcW w:w="1291" w:type="dxa"/>
            <w:vAlign w:val="center"/>
          </w:tcPr>
          <w:p w:rsidR="000A727B" w:rsidRDefault="003938A9">
            <w:pPr>
              <w:jc w:val="right"/>
            </w:pPr>
            <w:r>
              <w:rPr>
                <w:rFonts w:eastAsiaTheme="minorEastAsia"/>
                <w:color w:val="000000" w:themeColor="text1"/>
                <w:sz w:val="24"/>
              </w:rPr>
              <w:t>-5.63%</w:t>
            </w:r>
          </w:p>
        </w:tc>
        <w:tc>
          <w:tcPr>
            <w:tcW w:w="1291" w:type="dxa"/>
            <w:vAlign w:val="center"/>
          </w:tcPr>
          <w:p w:rsidR="000A727B" w:rsidRDefault="003938A9">
            <w:pPr>
              <w:jc w:val="right"/>
            </w:pPr>
            <w:r>
              <w:rPr>
                <w:rFonts w:eastAsiaTheme="minorEastAsia"/>
                <w:color w:val="000000" w:themeColor="text1"/>
                <w:sz w:val="24"/>
              </w:rPr>
              <w:t>-0.03%</w:t>
            </w:r>
          </w:p>
        </w:tc>
      </w:tr>
    </w:tbl>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9</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25</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6</w:t>
      </w:r>
      <w:r w:rsidRPr="009B0629">
        <w:rPr>
          <w:rFonts w:eastAsiaTheme="minorEastAsia"/>
          <w:color w:val="000000" w:themeColor="text1"/>
          <w:kern w:val="0"/>
          <w:sz w:val="24"/>
        </w:rPr>
        <w:t>月</w:t>
      </w:r>
      <w:r w:rsidRPr="009B0629">
        <w:rPr>
          <w:rFonts w:eastAsiaTheme="minorEastAsia"/>
          <w:color w:val="000000" w:themeColor="text1"/>
          <w:kern w:val="0"/>
          <w:sz w:val="24"/>
        </w:rPr>
        <w:t>30</w:t>
      </w:r>
      <w:r w:rsidRPr="009B0629">
        <w:rPr>
          <w:rFonts w:eastAsiaTheme="minorEastAsia"/>
          <w:color w:val="000000" w:themeColor="text1"/>
          <w:kern w:val="0"/>
          <w:sz w:val="24"/>
        </w:rPr>
        <w:t>日）</w:t>
      </w:r>
    </w:p>
    <w:p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lastRenderedPageBreak/>
        <w:t>1</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532ADAAD" wp14:editId="2E13F1A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日，截至本报告期末本基金合同生效未满一年。</w:t>
      </w:r>
    </w:p>
    <w:p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4E2A15C4" wp14:editId="3F91DD5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日，截至本报告期末本基金合同生效未满一年。</w:t>
      </w:r>
    </w:p>
    <w:p w:rsidR="0065601A"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rsidR="00BB3E0D" w:rsidRDefault="00BB3E0D" w:rsidP="00BB3E0D">
      <w:pPr>
        <w:snapToGrid w:val="0"/>
        <w:spacing w:beforeLines="100" w:before="312" w:line="360" w:lineRule="auto"/>
        <w:rPr>
          <w:rFonts w:eastAsiaTheme="minorEastAsia"/>
          <w:color w:val="000000" w:themeColor="text1"/>
          <w:sz w:val="24"/>
        </w:rPr>
      </w:pPr>
      <w:r>
        <w:rPr>
          <w:rFonts w:eastAsiaTheme="minorEastAsia"/>
          <w:color w:val="000000" w:themeColor="text1"/>
          <w:sz w:val="24"/>
        </w:rPr>
        <w:t>3</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r w:rsidRPr="009B0629">
        <w:rPr>
          <w:rFonts w:eastAsiaTheme="minorEastAsia"/>
          <w:color w:val="000000" w:themeColor="text1"/>
          <w:sz w:val="24"/>
        </w:rPr>
        <w:t>：</w:t>
      </w:r>
    </w:p>
    <w:p w:rsidR="00093413" w:rsidRPr="009B0629" w:rsidRDefault="00093413" w:rsidP="00BB3E0D">
      <w:pPr>
        <w:snapToGrid w:val="0"/>
        <w:spacing w:beforeLines="100" w:before="312" w:line="360" w:lineRule="auto"/>
        <w:rPr>
          <w:rFonts w:eastAsiaTheme="minorEastAsia"/>
          <w:color w:val="000000" w:themeColor="text1"/>
          <w:sz w:val="24"/>
        </w:rPr>
      </w:pPr>
      <w:r>
        <w:rPr>
          <w:rFonts w:asciiTheme="minorEastAsia" w:eastAsiaTheme="minorEastAsia" w:hAnsiTheme="minorEastAsia"/>
          <w:noProof/>
          <w:color w:val="000000" w:themeColor="text1"/>
          <w:sz w:val="24"/>
        </w:rPr>
        <w:drawing>
          <wp:inline distT="0" distB="0" distL="0" distR="0" wp14:anchorId="18B8DDA6" wp14:editId="62873EA4">
            <wp:extent cx="5278120" cy="309196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3091968"/>
                    </a:xfrm>
                    <a:prstGeom prst="rect">
                      <a:avLst/>
                    </a:prstGeom>
                    <a:noFill/>
                    <a:ln>
                      <a:noFill/>
                    </a:ln>
                  </pic:spPr>
                </pic:pic>
              </a:graphicData>
            </a:graphic>
          </wp:inline>
        </w:drawing>
      </w:r>
    </w:p>
    <w:p w:rsidR="00BB3E0D" w:rsidRPr="009B0629" w:rsidRDefault="00BB3E0D" w:rsidP="00BB3E0D">
      <w:pPr>
        <w:pStyle w:val="20"/>
        <w:spacing w:line="288" w:lineRule="auto"/>
        <w:ind w:firstLineChars="0" w:firstLine="0"/>
        <w:jc w:val="center"/>
        <w:rPr>
          <w:rFonts w:ascii="Times New Roman" w:eastAsiaTheme="minorEastAsia" w:hAnsi="Times New Roman"/>
          <w:color w:val="000000" w:themeColor="text1"/>
        </w:rPr>
      </w:pP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日，截至本报告期末本基金合同生效未满一年。</w:t>
      </w:r>
    </w:p>
    <w:p w:rsidR="00BB3E0D" w:rsidRDefault="00BB3E0D" w:rsidP="007E1218">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rsidR="007E1218" w:rsidRPr="009B0629" w:rsidRDefault="007E1218" w:rsidP="007E1218">
      <w:pPr>
        <w:snapToGrid w:val="0"/>
        <w:spacing w:beforeLines="100" w:before="312" w:line="360" w:lineRule="auto"/>
        <w:rPr>
          <w:rFonts w:eastAsiaTheme="minorEastAsia"/>
          <w:color w:val="000000" w:themeColor="text1"/>
          <w:sz w:val="24"/>
        </w:rPr>
      </w:pPr>
      <w:r>
        <w:rPr>
          <w:rFonts w:eastAsiaTheme="minorEastAsia"/>
          <w:color w:val="000000" w:themeColor="text1"/>
          <w:sz w:val="24"/>
        </w:rPr>
        <w:t>4</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r w:rsidRPr="009B0629">
        <w:rPr>
          <w:rFonts w:eastAsiaTheme="minorEastAsia"/>
          <w:color w:val="000000" w:themeColor="text1"/>
          <w:sz w:val="24"/>
        </w:rPr>
        <w:t>：</w:t>
      </w:r>
    </w:p>
    <w:p w:rsidR="007E1218" w:rsidRPr="009B0629" w:rsidRDefault="00093413" w:rsidP="007E1218">
      <w:pPr>
        <w:pStyle w:val="20"/>
        <w:spacing w:line="288" w:lineRule="auto"/>
        <w:ind w:firstLineChars="0" w:firstLine="0"/>
        <w:jc w:val="center"/>
        <w:rPr>
          <w:rFonts w:ascii="Times New Roman" w:eastAsiaTheme="minorEastAsia" w:hAnsi="Times New Roman"/>
          <w:color w:val="000000" w:themeColor="text1"/>
        </w:rPr>
      </w:pPr>
      <w:r>
        <w:rPr>
          <w:rFonts w:asciiTheme="minorEastAsia" w:eastAsiaTheme="minorEastAsia" w:hAnsiTheme="minorEastAsia"/>
          <w:b/>
          <w:noProof/>
          <w:color w:val="000000" w:themeColor="text1"/>
        </w:rPr>
        <w:lastRenderedPageBreak/>
        <w:drawing>
          <wp:inline distT="0" distB="0" distL="0" distR="0" wp14:anchorId="430C4DE9" wp14:editId="7947EA8F">
            <wp:extent cx="5278120" cy="3090872"/>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3090872"/>
                    </a:xfrm>
                    <a:prstGeom prst="rect">
                      <a:avLst/>
                    </a:prstGeom>
                  </pic:spPr>
                </pic:pic>
              </a:graphicData>
            </a:graphic>
          </wp:inline>
        </w:drawing>
      </w:r>
    </w:p>
    <w:p w:rsidR="000A727B" w:rsidRDefault="003938A9">
      <w:pPr>
        <w:spacing w:line="360" w:lineRule="auto"/>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日，截至本报告期末本基金合同生效未满一年。</w:t>
      </w:r>
    </w:p>
    <w:p w:rsidR="007E1218" w:rsidRPr="009B0629" w:rsidRDefault="007E1218" w:rsidP="007E1218">
      <w:pPr>
        <w:spacing w:line="360" w:lineRule="auto"/>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rsidR="00845292" w:rsidRPr="009B0629" w:rsidRDefault="00845292" w:rsidP="009B0629">
      <w:pPr>
        <w:spacing w:line="360" w:lineRule="auto"/>
        <w:ind w:firstLineChars="200" w:firstLine="480"/>
        <w:rPr>
          <w:rFonts w:eastAsiaTheme="minorEastAsia"/>
          <w:color w:val="000000" w:themeColor="text1"/>
          <w:sz w:val="24"/>
        </w:rPr>
      </w:pP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rsidTr="00D6542C">
        <w:trPr>
          <w:cantSplit/>
          <w:trHeight w:val="292"/>
        </w:trPr>
        <w:tc>
          <w:tcPr>
            <w:tcW w:w="85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rsidTr="00D6542C">
        <w:trPr>
          <w:cantSplit/>
        </w:trPr>
        <w:tc>
          <w:tcPr>
            <w:tcW w:w="85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r>
      <w:tr w:rsidR="000A727B">
        <w:tc>
          <w:tcPr>
            <w:tcW w:w="851" w:type="dxa"/>
            <w:vAlign w:val="center"/>
          </w:tcPr>
          <w:p w:rsidR="000A727B" w:rsidRDefault="003938A9">
            <w:pPr>
              <w:jc w:val="center"/>
            </w:pPr>
            <w:r>
              <w:rPr>
                <w:rFonts w:eastAsiaTheme="minorEastAsia"/>
                <w:color w:val="000000" w:themeColor="text1"/>
                <w:sz w:val="24"/>
              </w:rPr>
              <w:t>毛时超</w:t>
            </w:r>
          </w:p>
        </w:tc>
        <w:tc>
          <w:tcPr>
            <w:tcW w:w="1701" w:type="dxa"/>
            <w:vAlign w:val="center"/>
          </w:tcPr>
          <w:p w:rsidR="000A727B" w:rsidRDefault="003938A9">
            <w:pPr>
              <w:jc w:val="center"/>
            </w:pPr>
            <w:r>
              <w:rPr>
                <w:rFonts w:eastAsiaTheme="minorEastAsia"/>
                <w:color w:val="000000" w:themeColor="text1"/>
                <w:sz w:val="24"/>
              </w:rPr>
              <w:t>本基金基金经理</w:t>
            </w:r>
          </w:p>
        </w:tc>
        <w:tc>
          <w:tcPr>
            <w:tcW w:w="1134" w:type="dxa"/>
            <w:vAlign w:val="center"/>
          </w:tcPr>
          <w:p w:rsidR="000A727B" w:rsidRDefault="003938A9">
            <w:pPr>
              <w:jc w:val="center"/>
            </w:pPr>
            <w:r>
              <w:rPr>
                <w:rFonts w:eastAsiaTheme="minorEastAsia"/>
                <w:color w:val="000000" w:themeColor="text1"/>
                <w:sz w:val="24"/>
              </w:rPr>
              <w:t>2023-09-25</w:t>
            </w:r>
          </w:p>
        </w:tc>
        <w:tc>
          <w:tcPr>
            <w:tcW w:w="1134" w:type="dxa"/>
            <w:vAlign w:val="center"/>
          </w:tcPr>
          <w:p w:rsidR="000A727B" w:rsidRDefault="003938A9">
            <w:pPr>
              <w:jc w:val="center"/>
            </w:pPr>
            <w:r>
              <w:rPr>
                <w:rFonts w:eastAsiaTheme="minorEastAsia"/>
                <w:color w:val="000000" w:themeColor="text1"/>
                <w:sz w:val="24"/>
              </w:rPr>
              <w:t>-</w:t>
            </w:r>
          </w:p>
        </w:tc>
        <w:tc>
          <w:tcPr>
            <w:tcW w:w="1417" w:type="dxa"/>
            <w:vAlign w:val="center"/>
          </w:tcPr>
          <w:p w:rsidR="000A727B" w:rsidRDefault="003938A9">
            <w:pPr>
              <w:jc w:val="center"/>
            </w:pPr>
            <w:r>
              <w:rPr>
                <w:rFonts w:eastAsiaTheme="minorEastAsia"/>
                <w:color w:val="000000" w:themeColor="text1"/>
                <w:sz w:val="24"/>
              </w:rPr>
              <w:t>8</w:t>
            </w:r>
            <w:r>
              <w:rPr>
                <w:rFonts w:eastAsiaTheme="minorEastAsia"/>
                <w:color w:val="000000" w:themeColor="text1"/>
                <w:sz w:val="24"/>
              </w:rPr>
              <w:t>年</w:t>
            </w:r>
          </w:p>
        </w:tc>
        <w:tc>
          <w:tcPr>
            <w:tcW w:w="2694" w:type="dxa"/>
            <w:vAlign w:val="center"/>
          </w:tcPr>
          <w:p w:rsidR="000A727B" w:rsidRDefault="003938A9">
            <w:pPr>
              <w:jc w:val="left"/>
            </w:pPr>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rsidR="000A727B" w:rsidRDefault="003938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0A727B" w:rsidRDefault="003938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毛时超先生为本基金首任基金经理，其任职日期为本基金基金合同生效之日。</w:t>
      </w:r>
    </w:p>
    <w:p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w:t>
      </w:r>
      <w:r>
        <w:rPr>
          <w:rFonts w:eastAsiaTheme="minorEastAsia"/>
          <w:color w:val="000000" w:themeColor="text1"/>
          <w:sz w:val="24"/>
        </w:rPr>
        <w:lastRenderedPageBreak/>
        <w:t>导致不公平交易和利益输送的异常交易行为。</w:t>
      </w:r>
    </w:p>
    <w:p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rsidR="00022821" w:rsidRDefault="00022821" w:rsidP="009B0629">
      <w:pPr>
        <w:spacing w:line="360" w:lineRule="auto"/>
        <w:ind w:firstLineChars="200" w:firstLine="480"/>
        <w:rPr>
          <w:rFonts w:eastAsiaTheme="minorEastAsia"/>
          <w:color w:val="000000" w:themeColor="text1"/>
          <w:sz w:val="24"/>
        </w:rPr>
      </w:pPr>
    </w:p>
    <w:p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0"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0"/>
      <w:r w:rsidR="00864134">
        <w:rPr>
          <w:rFonts w:asciiTheme="minorEastAsia" w:eastAsiaTheme="minorEastAsia" w:hAnsiTheme="minorEastAsia" w:hint="eastAsia"/>
          <w:b/>
          <w:bCs/>
          <w:color w:val="000000" w:themeColor="text1"/>
          <w:kern w:val="0"/>
          <w:sz w:val="24"/>
        </w:rPr>
        <w:t>报告期内基金的投资策略和业绩表现说明</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rsidR="000A727B" w:rsidRDefault="003938A9">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美国中长期国债收益率在高位震荡，美联储降息预期面临较大的不确定性。由于人工智能技术与应用场景快速发展，带动科技类公司业绩预期提升，尤其是市值靠前的“七巨头”公司股价表现亮眼。本基金跟踪的纳斯达克100指数，以大型科技类公司为主，期间受到投资者认可，呈现明显的上涨趋势。</w:t>
      </w:r>
    </w:p>
    <w:p w:rsidR="000A727B" w:rsidRDefault="003938A9">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复制标的指数的投资策略，力争将跟踪误差控制在合理水平。由于当前美元兑人民币汇率，实际交易价格与估值价格存在偏离，申购资金在换汇之后会出现账面损失，导致本基金相对业绩基准指数存在一定的偏离。</w:t>
      </w:r>
    </w:p>
    <w:p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未来，本基金投资跟踪的标的指数，短期来看在持续上涨之后，如果降息幅度或进度不达预期，投资者的风险偏好下降，可能会有一定的回调风险；但是从中长期维度，相关公司有望受益于美联储降息与人工智能技术发展，或具备较好的投资配置价值。</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rsidR="003938A9" w:rsidRPr="003938A9" w:rsidRDefault="003938A9" w:rsidP="003938A9">
      <w:pPr>
        <w:spacing w:line="360" w:lineRule="auto"/>
        <w:ind w:firstLineChars="200" w:firstLine="420"/>
        <w:rPr>
          <w:rFonts w:asciiTheme="minorEastAsia" w:eastAsiaTheme="minorEastAsia" w:hAnsiTheme="minorEastAsia"/>
          <w:color w:val="000000" w:themeColor="text1"/>
        </w:rPr>
      </w:pPr>
      <w:bookmarkStart w:id="1" w:name="_GoBack"/>
      <w:r w:rsidRPr="003938A9">
        <w:rPr>
          <w:rFonts w:asciiTheme="minorEastAsia" w:eastAsiaTheme="minorEastAsia" w:hAnsiTheme="minorEastAsia" w:hint="eastAsia"/>
          <w:color w:val="000000" w:themeColor="text1"/>
        </w:rPr>
        <w:t>本报告期摩根纳斯达克100人民币A份额净值增长率为:7.05%，同期业绩比较基准收益率为:7.90%</w:t>
      </w:r>
    </w:p>
    <w:p w:rsidR="003938A9" w:rsidRPr="003938A9" w:rsidRDefault="003938A9" w:rsidP="003938A9">
      <w:pPr>
        <w:spacing w:line="360" w:lineRule="auto"/>
        <w:ind w:firstLineChars="200" w:firstLine="420"/>
        <w:rPr>
          <w:rFonts w:asciiTheme="minorEastAsia" w:eastAsiaTheme="minorEastAsia" w:hAnsiTheme="minorEastAsia"/>
          <w:color w:val="000000" w:themeColor="text1"/>
        </w:rPr>
      </w:pPr>
      <w:r w:rsidRPr="003938A9">
        <w:rPr>
          <w:rFonts w:asciiTheme="minorEastAsia" w:eastAsiaTheme="minorEastAsia" w:hAnsiTheme="minorEastAsia" w:hint="eastAsia"/>
          <w:color w:val="000000" w:themeColor="text1"/>
        </w:rPr>
        <w:t>摩根纳斯达克100人民币C份额净值增长率为:6.96%，同期业绩比较基准收益率为:7.90%。</w:t>
      </w:r>
    </w:p>
    <w:p w:rsidR="003938A9" w:rsidRPr="003938A9" w:rsidRDefault="003938A9" w:rsidP="003938A9">
      <w:pPr>
        <w:spacing w:line="360" w:lineRule="auto"/>
        <w:ind w:firstLineChars="200" w:firstLine="420"/>
        <w:rPr>
          <w:rFonts w:asciiTheme="minorEastAsia" w:eastAsiaTheme="minorEastAsia" w:hAnsiTheme="minorEastAsia"/>
          <w:color w:val="000000" w:themeColor="text1"/>
        </w:rPr>
      </w:pPr>
      <w:r w:rsidRPr="003938A9">
        <w:rPr>
          <w:rFonts w:asciiTheme="minorEastAsia" w:eastAsiaTheme="minorEastAsia" w:hAnsiTheme="minorEastAsia" w:hint="eastAsia"/>
          <w:color w:val="000000" w:themeColor="text1"/>
        </w:rPr>
        <w:t>摩根纳斯达克100美元A份额净值增长率为:6.61%，同期业绩比较基准收益率为:7.90%</w:t>
      </w:r>
    </w:p>
    <w:p w:rsidR="00377AB2" w:rsidRPr="00864134" w:rsidRDefault="003938A9" w:rsidP="00864134">
      <w:pPr>
        <w:autoSpaceDE w:val="0"/>
        <w:autoSpaceDN w:val="0"/>
        <w:adjustRightInd w:val="0"/>
        <w:spacing w:line="360" w:lineRule="auto"/>
        <w:jc w:val="left"/>
        <w:rPr>
          <w:rFonts w:eastAsiaTheme="minorEastAsia"/>
          <w:color w:val="000000" w:themeColor="text1"/>
          <w:sz w:val="24"/>
        </w:rPr>
      </w:pPr>
      <w:r w:rsidRPr="003938A9">
        <w:rPr>
          <w:rFonts w:asciiTheme="minorEastAsia" w:eastAsiaTheme="minorEastAsia" w:hAnsiTheme="minorEastAsia" w:hint="eastAsia"/>
          <w:color w:val="000000" w:themeColor="text1"/>
        </w:rPr>
        <w:t>摩根纳斯达克100美元C份额净值增长率为:6.54%，同期业绩比较基准收益率为:7.90%</w:t>
      </w:r>
      <w:bookmarkEnd w:id="1"/>
    </w:p>
    <w:p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rsidTr="00592EFF">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w:t>
            </w:r>
            <w:r w:rsidRPr="009B0629">
              <w:rPr>
                <w:rFonts w:eastAsiaTheme="minorEastAsia"/>
                <w:color w:val="000000" w:themeColor="text1"/>
                <w:sz w:val="24"/>
              </w:rPr>
              <w:lastRenderedPageBreak/>
              <w:t>产的比例</w:t>
            </w: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lastRenderedPageBreak/>
              <w:t>1</w:t>
            </w: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628,195,310.46</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89.61</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617,784,080.99</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88.12</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10,411,229.47</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1.49</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37,498,292.86</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5.35</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8</w:t>
            </w:r>
          </w:p>
        </w:tc>
        <w:tc>
          <w:tcPr>
            <w:tcW w:w="4253" w:type="dxa"/>
            <w:shd w:val="clear" w:color="auto" w:fill="auto"/>
            <w:vAlign w:val="center"/>
          </w:tcPr>
          <w:p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35,338,465.09</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5.04</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701,032,068.41</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rsidTr="002C042C">
        <w:trPr>
          <w:jc w:val="center"/>
        </w:trPr>
        <w:tc>
          <w:tcPr>
            <w:tcW w:w="2410"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0A727B">
        <w:trPr>
          <w:jc w:val="center"/>
        </w:trPr>
        <w:tc>
          <w:tcPr>
            <w:tcW w:w="2410" w:type="dxa"/>
            <w:vAlign w:val="center"/>
          </w:tcPr>
          <w:p w:rsidR="000A727B" w:rsidRDefault="003938A9">
            <w:pPr>
              <w:jc w:val="left"/>
            </w:pPr>
            <w:r>
              <w:rPr>
                <w:rFonts w:eastAsiaTheme="minorEastAsia"/>
                <w:color w:val="000000" w:themeColor="text1"/>
                <w:sz w:val="24"/>
              </w:rPr>
              <w:t>美国</w:t>
            </w:r>
          </w:p>
        </w:tc>
        <w:tc>
          <w:tcPr>
            <w:tcW w:w="3118" w:type="dxa"/>
            <w:vAlign w:val="center"/>
          </w:tcPr>
          <w:p w:rsidR="000A727B" w:rsidRDefault="003938A9">
            <w:pPr>
              <w:jc w:val="right"/>
            </w:pPr>
            <w:r>
              <w:rPr>
                <w:rFonts w:eastAsiaTheme="minorEastAsia"/>
                <w:color w:val="000000" w:themeColor="text1"/>
                <w:sz w:val="24"/>
              </w:rPr>
              <w:t>628,195,310.46</w:t>
            </w:r>
          </w:p>
        </w:tc>
        <w:tc>
          <w:tcPr>
            <w:tcW w:w="3076" w:type="dxa"/>
            <w:vAlign w:val="center"/>
          </w:tcPr>
          <w:p w:rsidR="000A727B" w:rsidRDefault="003938A9">
            <w:pPr>
              <w:jc w:val="right"/>
            </w:pPr>
            <w:r>
              <w:rPr>
                <w:rFonts w:eastAsiaTheme="minorEastAsia"/>
                <w:color w:val="000000" w:themeColor="text1"/>
                <w:sz w:val="24"/>
              </w:rPr>
              <w:t>93.68</w:t>
            </w:r>
          </w:p>
        </w:tc>
      </w:tr>
      <w:tr w:rsidR="008277FF" w:rsidRPr="009B0629" w:rsidTr="00877D98">
        <w:trPr>
          <w:jc w:val="center"/>
        </w:trPr>
        <w:tc>
          <w:tcPr>
            <w:tcW w:w="2410" w:type="dxa"/>
            <w:vAlign w:val="center"/>
          </w:tcPr>
          <w:p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628,195,310.46</w:t>
            </w:r>
          </w:p>
        </w:tc>
        <w:tc>
          <w:tcPr>
            <w:tcW w:w="3076"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93.68</w:t>
            </w:r>
          </w:p>
        </w:tc>
      </w:tr>
    </w:tbl>
    <w:p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rsidR="00C37E98" w:rsidRDefault="00C37E98" w:rsidP="00EC4BA3">
      <w:pPr>
        <w:autoSpaceDE w:val="0"/>
        <w:autoSpaceDN w:val="0"/>
        <w:adjustRightInd w:val="0"/>
        <w:spacing w:line="360" w:lineRule="auto"/>
        <w:jc w:val="left"/>
        <w:rPr>
          <w:rFonts w:eastAsiaTheme="minorEastAsia"/>
          <w:color w:val="000000" w:themeColor="text1"/>
          <w:kern w:val="0"/>
          <w:sz w:val="24"/>
        </w:rPr>
      </w:pPr>
    </w:p>
    <w:p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1A0F3E" w:rsidRPr="00335FCF" w:rsidRDefault="001A0F3E" w:rsidP="001A0F3E">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1A0F3E" w:rsidRPr="00C74EFF" w:rsidTr="00A57DFC">
        <w:tc>
          <w:tcPr>
            <w:tcW w:w="2787" w:type="dxa"/>
            <w:vAlign w:val="center"/>
          </w:tcPr>
          <w:p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信息技术</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325,700,742.08</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48.57</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电信服务</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97,643,761.25</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14.56</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消费者非必需品</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78,849,026.88</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11.76</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医疗保健</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38,346,383.39</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5.72</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消费者常用品</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37,788,236.30</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5.64</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工业</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26,798,715.69</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4.00</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基础材料</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8,906,582.04</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1.33</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公用事业</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7,331,848.51</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1.09</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能源</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2,988,450.26</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0.45</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金融</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2,562,882.16</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0.38</w:t>
            </w:r>
          </w:p>
        </w:tc>
      </w:tr>
      <w:tr w:rsidR="000A727B">
        <w:tc>
          <w:tcPr>
            <w:tcW w:w="2787" w:type="dxa"/>
            <w:vAlign w:val="center"/>
          </w:tcPr>
          <w:p w:rsidR="000A727B" w:rsidRDefault="003938A9">
            <w:pPr>
              <w:jc w:val="left"/>
            </w:pPr>
            <w:r>
              <w:rPr>
                <w:rFonts w:asciiTheme="minorEastAsia" w:eastAsiaTheme="minorEastAsia" w:hAnsiTheme="minorEastAsia" w:cs="宋体"/>
                <w:color w:val="000000" w:themeColor="text1"/>
                <w:szCs w:val="21"/>
              </w:rPr>
              <w:t>房地产</w:t>
            </w:r>
          </w:p>
        </w:tc>
        <w:tc>
          <w:tcPr>
            <w:tcW w:w="2551" w:type="dxa"/>
            <w:vAlign w:val="center"/>
          </w:tcPr>
          <w:p w:rsidR="000A727B" w:rsidRDefault="003938A9">
            <w:pPr>
              <w:jc w:val="right"/>
            </w:pPr>
            <w:r>
              <w:rPr>
                <w:rFonts w:asciiTheme="minorEastAsia" w:eastAsiaTheme="minorEastAsia" w:hAnsiTheme="minorEastAsia" w:cs="宋体"/>
                <w:color w:val="000000" w:themeColor="text1"/>
                <w:szCs w:val="21"/>
              </w:rPr>
              <w:t>1,278,681.90</w:t>
            </w:r>
          </w:p>
        </w:tc>
        <w:tc>
          <w:tcPr>
            <w:tcW w:w="3175" w:type="dxa"/>
            <w:vAlign w:val="center"/>
          </w:tcPr>
          <w:p w:rsidR="000A727B" w:rsidRDefault="003938A9">
            <w:pPr>
              <w:jc w:val="right"/>
            </w:pPr>
            <w:r>
              <w:rPr>
                <w:rFonts w:asciiTheme="minorEastAsia" w:eastAsiaTheme="minorEastAsia" w:hAnsiTheme="minorEastAsia" w:cs="宋体"/>
                <w:color w:val="000000" w:themeColor="text1"/>
                <w:szCs w:val="21"/>
              </w:rPr>
              <w:t>0.19</w:t>
            </w:r>
          </w:p>
        </w:tc>
      </w:tr>
      <w:tr w:rsidR="001A0F3E" w:rsidRPr="00C74EFF" w:rsidTr="00A57DFC">
        <w:tc>
          <w:tcPr>
            <w:tcW w:w="2787" w:type="dxa"/>
            <w:vAlign w:val="center"/>
          </w:tcPr>
          <w:p w:rsidR="001A0F3E" w:rsidRPr="00C74EFF" w:rsidRDefault="001A0F3E" w:rsidP="00A57DFC">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rsidR="001A0F3E" w:rsidRPr="00335FCF" w:rsidRDefault="001A0F3E" w:rsidP="00A57DFC">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628,195,310.46</w:t>
            </w:r>
          </w:p>
        </w:tc>
        <w:tc>
          <w:tcPr>
            <w:tcW w:w="3175" w:type="dxa"/>
            <w:vAlign w:val="center"/>
          </w:tcPr>
          <w:p w:rsidR="001A0F3E" w:rsidRPr="00335FCF" w:rsidRDefault="001A0F3E" w:rsidP="00A57DFC">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93.68</w:t>
            </w:r>
          </w:p>
        </w:tc>
      </w:tr>
    </w:tbl>
    <w:p w:rsidR="001A0F3E" w:rsidRPr="00C74EFF" w:rsidRDefault="001A0F3E" w:rsidP="001A0F3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rsidR="001A0F3E" w:rsidRDefault="001A0F3E" w:rsidP="001A0F3E">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rsidR="00CE3801" w:rsidRPr="00CE3801" w:rsidRDefault="001A0F3E"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rsidR="00CE3801" w:rsidRPr="008277FF" w:rsidRDefault="00CE3801" w:rsidP="00D322A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rsidTr="00D322AA">
        <w:trPr>
          <w:trHeight w:val="315"/>
        </w:trPr>
        <w:tc>
          <w:tcPr>
            <w:tcW w:w="709"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1</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MICROSOFT CORP</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微软</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MSFT</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17,046</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54,297,020.29</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8.10</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2</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APPLE INC</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苹果公司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AAPL</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35,169</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52,790,308.44</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7.87</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3</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NVIDIA CORP</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英伟达</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NVDA</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56,417</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49,672,058.34</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7.41</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4</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AMAZON.COM INC</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亚马逊公司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AMZN</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23,868</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32,872,300.86</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4.90</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5</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BROADCOM INC</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博通股份有限公司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AVGO</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2,745</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31,409,089.35</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4.68</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lastRenderedPageBreak/>
              <w:t>6</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META PLATFORMS INC-CLASS A</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Meta平台股份有限公司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META</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7,996</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28,733,426.87</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4.28</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7</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ALPHABET INC-CL A</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Alphabet公司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GOOGL</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13,472</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17,488,631.26</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2.61</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8</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ALPHABET INC-CL C</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Alphabet公司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GOOG</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12,883</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16,840,627.40</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2.51</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9</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COSTCO WHOLESALE CORP</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开市客</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COST</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2,627</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15,913,600.84</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2.37</w:t>
            </w:r>
          </w:p>
        </w:tc>
      </w:tr>
      <w:tr w:rsidR="000A727B">
        <w:tc>
          <w:tcPr>
            <w:tcW w:w="709" w:type="dxa"/>
            <w:vAlign w:val="center"/>
          </w:tcPr>
          <w:p w:rsidR="000A727B" w:rsidRDefault="003938A9">
            <w:pPr>
              <w:jc w:val="center"/>
            </w:pPr>
            <w:r>
              <w:rPr>
                <w:rFonts w:asciiTheme="minorEastAsia" w:eastAsiaTheme="minorEastAsia" w:hAnsiTheme="minorEastAsia" w:cs="宋体"/>
                <w:color w:val="000000" w:themeColor="text1"/>
                <w:szCs w:val="21"/>
              </w:rPr>
              <w:t>10</w:t>
            </w:r>
          </w:p>
        </w:tc>
        <w:tc>
          <w:tcPr>
            <w:tcW w:w="1109" w:type="dxa"/>
            <w:vAlign w:val="center"/>
          </w:tcPr>
          <w:p w:rsidR="000A727B" w:rsidRDefault="003938A9">
            <w:pPr>
              <w:jc w:val="center"/>
            </w:pPr>
            <w:r>
              <w:rPr>
                <w:rFonts w:asciiTheme="minorEastAsia" w:eastAsiaTheme="minorEastAsia" w:hAnsiTheme="minorEastAsia" w:cs="宋体"/>
                <w:color w:val="000000" w:themeColor="text1"/>
                <w:szCs w:val="21"/>
              </w:rPr>
              <w:t>TESLA INC</w:t>
            </w:r>
          </w:p>
        </w:tc>
        <w:tc>
          <w:tcPr>
            <w:tcW w:w="876" w:type="dxa"/>
            <w:vAlign w:val="center"/>
          </w:tcPr>
          <w:p w:rsidR="000A727B" w:rsidRDefault="003938A9">
            <w:pPr>
              <w:jc w:val="center"/>
            </w:pPr>
            <w:r>
              <w:rPr>
                <w:rFonts w:asciiTheme="minorEastAsia" w:eastAsiaTheme="minorEastAsia" w:hAnsiTheme="minorEastAsia" w:cs="宋体"/>
                <w:color w:val="000000" w:themeColor="text1"/>
                <w:szCs w:val="21"/>
              </w:rPr>
              <w:t>特斯拉公司</w:t>
            </w:r>
          </w:p>
        </w:tc>
        <w:tc>
          <w:tcPr>
            <w:tcW w:w="850" w:type="dxa"/>
            <w:vAlign w:val="center"/>
          </w:tcPr>
          <w:p w:rsidR="000A727B" w:rsidRDefault="003938A9">
            <w:pPr>
              <w:jc w:val="center"/>
            </w:pPr>
            <w:r>
              <w:rPr>
                <w:rFonts w:asciiTheme="minorEastAsia" w:eastAsiaTheme="minorEastAsia" w:hAnsiTheme="minorEastAsia" w:cs="宋体"/>
                <w:color w:val="000000" w:themeColor="text1"/>
                <w:szCs w:val="21"/>
              </w:rPr>
              <w:t>TSLA</w:t>
            </w:r>
          </w:p>
        </w:tc>
        <w:tc>
          <w:tcPr>
            <w:tcW w:w="993" w:type="dxa"/>
            <w:vAlign w:val="center"/>
          </w:tcPr>
          <w:p w:rsidR="000A727B" w:rsidRDefault="003938A9">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0A727B" w:rsidRDefault="003938A9">
            <w:pPr>
              <w:jc w:val="center"/>
            </w:pPr>
            <w:r>
              <w:rPr>
                <w:rFonts w:asciiTheme="minorEastAsia" w:eastAsiaTheme="minorEastAsia" w:hAnsiTheme="minorEastAsia" w:cs="宋体"/>
                <w:color w:val="000000" w:themeColor="text1"/>
                <w:szCs w:val="21"/>
              </w:rPr>
              <w:t>美国</w:t>
            </w:r>
          </w:p>
        </w:tc>
        <w:tc>
          <w:tcPr>
            <w:tcW w:w="850" w:type="dxa"/>
            <w:vAlign w:val="center"/>
          </w:tcPr>
          <w:p w:rsidR="000A727B" w:rsidRDefault="003938A9">
            <w:pPr>
              <w:jc w:val="right"/>
            </w:pPr>
            <w:r>
              <w:rPr>
                <w:rFonts w:asciiTheme="minorEastAsia" w:eastAsiaTheme="minorEastAsia" w:hAnsiTheme="minorEastAsia" w:cs="宋体"/>
                <w:color w:val="000000" w:themeColor="text1"/>
                <w:szCs w:val="21"/>
              </w:rPr>
              <w:t>11,072</w:t>
            </w:r>
          </w:p>
        </w:tc>
        <w:tc>
          <w:tcPr>
            <w:tcW w:w="851" w:type="dxa"/>
            <w:vAlign w:val="center"/>
          </w:tcPr>
          <w:p w:rsidR="000A727B" w:rsidRDefault="003938A9">
            <w:pPr>
              <w:jc w:val="right"/>
            </w:pPr>
            <w:r>
              <w:rPr>
                <w:rFonts w:asciiTheme="minorEastAsia" w:eastAsiaTheme="minorEastAsia" w:hAnsiTheme="minorEastAsia" w:cs="宋体"/>
                <w:color w:val="000000" w:themeColor="text1"/>
                <w:szCs w:val="21"/>
              </w:rPr>
              <w:t>15,614,301.11</w:t>
            </w:r>
          </w:p>
        </w:tc>
        <w:tc>
          <w:tcPr>
            <w:tcW w:w="1275" w:type="dxa"/>
            <w:vAlign w:val="center"/>
          </w:tcPr>
          <w:p w:rsidR="000A727B" w:rsidRDefault="003938A9">
            <w:pPr>
              <w:jc w:val="right"/>
            </w:pPr>
            <w:r>
              <w:rPr>
                <w:rFonts w:asciiTheme="minorEastAsia" w:eastAsiaTheme="minorEastAsia" w:hAnsiTheme="minorEastAsia" w:cs="宋体"/>
                <w:color w:val="000000" w:themeColor="text1"/>
                <w:szCs w:val="21"/>
              </w:rPr>
              <w:t>2.33</w:t>
            </w:r>
          </w:p>
        </w:tc>
      </w:tr>
    </w:tbl>
    <w:p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lastRenderedPageBreak/>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rsidTr="004C05F3">
        <w:tc>
          <w:tcPr>
            <w:tcW w:w="802"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160,237.41</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35,178,227.68</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35,338,465.09</w:t>
            </w:r>
          </w:p>
        </w:tc>
      </w:tr>
    </w:tbl>
    <w:p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rsidR="00F842D3" w:rsidRDefault="00F842D3" w:rsidP="00D322AA">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 xml:space="preserve">§6  </w:t>
      </w:r>
      <w:r w:rsidRPr="009B0629">
        <w:rPr>
          <w:rFonts w:eastAsiaTheme="minorEastAsia"/>
          <w:color w:val="000000" w:themeColor="text1"/>
          <w:kern w:val="0"/>
          <w:sz w:val="24"/>
          <w:szCs w:val="24"/>
        </w:rPr>
        <w:t>开放式基金份额变动</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546"/>
        <w:gridCol w:w="1254"/>
        <w:gridCol w:w="1254"/>
        <w:gridCol w:w="1254"/>
        <w:gridCol w:w="1254"/>
      </w:tblGrid>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254" w:type="dxa"/>
            <w:tcBorders>
              <w:top w:val="single" w:sz="8" w:space="0" w:color="000000"/>
              <w:left w:val="single" w:sz="8" w:space="0" w:color="000000"/>
              <w:bottom w:val="single" w:sz="8" w:space="0" w:color="000000"/>
              <w:right w:val="single" w:sz="8" w:space="0" w:color="000000"/>
            </w:tcBorders>
          </w:tcPr>
          <w:p w:rsidR="007E1218" w:rsidRPr="009B0629" w:rsidRDefault="007E1218" w:rsidP="00845292">
            <w:pPr>
              <w:autoSpaceDE w:val="0"/>
              <w:autoSpaceDN w:val="0"/>
              <w:adjustRightInd w:val="0"/>
              <w:spacing w:before="29" w:line="360" w:lineRule="auto"/>
              <w:ind w:left="17"/>
              <w:jc w:val="right"/>
              <w:rPr>
                <w:rFonts w:eastAsiaTheme="minorEastAsia"/>
                <w:color w:val="000000" w:themeColor="text1"/>
                <w:kern w:val="0"/>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254" w:type="dxa"/>
            <w:tcBorders>
              <w:top w:val="single" w:sz="8" w:space="0" w:color="000000"/>
              <w:left w:val="single" w:sz="8" w:space="0" w:color="000000"/>
              <w:bottom w:val="single" w:sz="8" w:space="0" w:color="000000"/>
              <w:right w:val="single" w:sz="8" w:space="0" w:color="000000"/>
            </w:tcBorders>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kern w:val="0"/>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174,257,103.48</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140,318,779.35</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312,281.30</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592,937.82</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192,729,454.67</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212,707,009.70</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419,902.46</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377,464.77</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71,500,770.44</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122,606,293.23</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50,526.15</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221,133.07</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295,485,787.71</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230,419,495.82</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681,657.61</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749,269.52</w:t>
            </w:r>
          </w:p>
        </w:tc>
      </w:tr>
    </w:tbl>
    <w:p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85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6"/>
        <w:gridCol w:w="1257"/>
        <w:gridCol w:w="1257"/>
        <w:gridCol w:w="1257"/>
        <w:gridCol w:w="1251"/>
      </w:tblGrid>
      <w:tr w:rsidR="00D15828" w:rsidRPr="00E90B39" w:rsidTr="00D15828">
        <w:trPr>
          <w:trHeight w:val="248"/>
        </w:trPr>
        <w:tc>
          <w:tcPr>
            <w:tcW w:w="3556" w:type="dxa"/>
            <w:vAlign w:val="center"/>
          </w:tcPr>
          <w:p w:rsidR="00D15828" w:rsidRPr="00FA472B" w:rsidRDefault="00D15828" w:rsidP="00D1582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1257" w:type="dxa"/>
            <w:vAlign w:val="bottom"/>
          </w:tcPr>
          <w:p w:rsidR="00D15828" w:rsidRPr="00FA472B" w:rsidRDefault="00D15828" w:rsidP="00D15828">
            <w:pPr>
              <w:jc w:val="center"/>
              <w:rPr>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人民币</w:t>
            </w:r>
            <w:r w:rsidRPr="00FA472B">
              <w:rPr>
                <w:sz w:val="24"/>
              </w:rPr>
              <w:t>A</w:t>
            </w:r>
          </w:p>
        </w:tc>
        <w:tc>
          <w:tcPr>
            <w:tcW w:w="1257" w:type="dxa"/>
            <w:vAlign w:val="bottom"/>
          </w:tcPr>
          <w:p w:rsidR="00D15828" w:rsidRPr="00FA472B" w:rsidRDefault="00D15828" w:rsidP="00D15828">
            <w:pPr>
              <w:jc w:val="center"/>
              <w:rPr>
                <w:color w:val="000000"/>
                <w:kern w:val="0"/>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人民币</w:t>
            </w:r>
            <w:r w:rsidRPr="00FA472B">
              <w:rPr>
                <w:sz w:val="24"/>
              </w:rPr>
              <w:t>C</w:t>
            </w:r>
          </w:p>
        </w:tc>
        <w:tc>
          <w:tcPr>
            <w:tcW w:w="1257" w:type="dxa"/>
            <w:vAlign w:val="bottom"/>
          </w:tcPr>
          <w:p w:rsidR="00D15828" w:rsidRPr="00FA472B" w:rsidRDefault="00D15828" w:rsidP="00D15828">
            <w:pPr>
              <w:jc w:val="center"/>
              <w:rPr>
                <w:color w:val="000000"/>
                <w:kern w:val="0"/>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美元</w:t>
            </w:r>
            <w:r w:rsidRPr="00FA472B">
              <w:rPr>
                <w:sz w:val="24"/>
              </w:rPr>
              <w:t>A</w:t>
            </w:r>
          </w:p>
        </w:tc>
        <w:tc>
          <w:tcPr>
            <w:tcW w:w="1251" w:type="dxa"/>
            <w:vAlign w:val="bottom"/>
          </w:tcPr>
          <w:p w:rsidR="00D15828" w:rsidRPr="00FA472B" w:rsidRDefault="00D15828" w:rsidP="00D15828">
            <w:pPr>
              <w:jc w:val="center"/>
              <w:rPr>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美元</w:t>
            </w:r>
            <w:r w:rsidRPr="00FA472B">
              <w:rPr>
                <w:sz w:val="24"/>
              </w:rPr>
              <w:t>C</w:t>
            </w:r>
          </w:p>
        </w:tc>
      </w:tr>
      <w:tr w:rsidR="00D15828" w:rsidRPr="00E90B39" w:rsidTr="00D15828">
        <w:trPr>
          <w:trHeight w:val="247"/>
        </w:trPr>
        <w:tc>
          <w:tcPr>
            <w:tcW w:w="3556" w:type="dxa"/>
            <w:vAlign w:val="center"/>
          </w:tcPr>
          <w:p w:rsidR="00D15828" w:rsidRPr="00FA472B" w:rsidRDefault="00D15828" w:rsidP="00D15828">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1257" w:type="dxa"/>
            <w:vAlign w:val="center"/>
          </w:tcPr>
          <w:p w:rsidR="00D15828" w:rsidRPr="00FA472B" w:rsidRDefault="00D15828" w:rsidP="00D15828">
            <w:pPr>
              <w:jc w:val="right"/>
              <w:rPr>
                <w:sz w:val="24"/>
              </w:rPr>
            </w:pPr>
            <w:r w:rsidRPr="00FA472B">
              <w:rPr>
                <w:color w:val="000000"/>
                <w:sz w:val="24"/>
              </w:rPr>
              <w:t>10,000,208.33</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1257" w:type="dxa"/>
            <w:vAlign w:val="center"/>
          </w:tcPr>
          <w:p w:rsidR="00D15828" w:rsidRPr="00FA472B" w:rsidRDefault="00D15828" w:rsidP="00D15828">
            <w:pPr>
              <w:jc w:val="right"/>
              <w:rPr>
                <w:color w:val="000000"/>
                <w:kern w:val="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color w:val="000000"/>
                <w:kern w:val="0"/>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1257" w:type="dxa"/>
            <w:vAlign w:val="center"/>
          </w:tcPr>
          <w:p w:rsidR="00D15828" w:rsidRPr="00FA472B" w:rsidRDefault="00D15828" w:rsidP="00D15828">
            <w:pPr>
              <w:jc w:val="right"/>
              <w:rPr>
                <w:color w:val="000000"/>
                <w:kern w:val="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color w:val="000000"/>
                <w:kern w:val="0"/>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FA472B">
              <w:rPr>
                <w:color w:val="000000"/>
                <w:sz w:val="24"/>
              </w:rPr>
              <w:lastRenderedPageBreak/>
              <w:t>报告期期末管理人持有的本基金份额</w:t>
            </w:r>
          </w:p>
        </w:tc>
        <w:tc>
          <w:tcPr>
            <w:tcW w:w="1257" w:type="dxa"/>
            <w:vAlign w:val="center"/>
          </w:tcPr>
          <w:p w:rsidR="00D15828" w:rsidRPr="00FA472B" w:rsidRDefault="00D15828" w:rsidP="00D15828">
            <w:pPr>
              <w:jc w:val="right"/>
              <w:rPr>
                <w:sz w:val="24"/>
              </w:rPr>
            </w:pPr>
            <w:r w:rsidRPr="00FA472B">
              <w:rPr>
                <w:color w:val="000000"/>
                <w:sz w:val="24"/>
              </w:rPr>
              <w:t>10,000,208.33</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1257" w:type="dxa"/>
            <w:vAlign w:val="center"/>
          </w:tcPr>
          <w:p w:rsidR="00D15828" w:rsidRPr="00FA472B" w:rsidRDefault="00D15828" w:rsidP="00D15828">
            <w:pPr>
              <w:jc w:val="right"/>
              <w:rPr>
                <w:color w:val="000000"/>
                <w:kern w:val="0"/>
                <w:sz w:val="24"/>
              </w:rPr>
            </w:pPr>
            <w:r w:rsidRPr="00FA472B">
              <w:rPr>
                <w:color w:val="000000"/>
                <w:sz w:val="24"/>
              </w:rPr>
              <w:t>1.90</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color w:val="000000"/>
                <w:kern w:val="0"/>
                <w:sz w:val="24"/>
              </w:rPr>
            </w:pPr>
            <w:r w:rsidRPr="00FA472B">
              <w:rPr>
                <w:color w:val="000000"/>
                <w:sz w:val="24"/>
              </w:rPr>
              <w:t>-</w:t>
            </w:r>
          </w:p>
        </w:tc>
      </w:tr>
    </w:tbl>
    <w:p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rsidR="00BB5F3D" w:rsidRPr="00AD550B" w:rsidRDefault="00D86FDF" w:rsidP="00AD550B">
      <w:pPr>
        <w:spacing w:line="360" w:lineRule="auto"/>
        <w:jc w:val="left"/>
        <w:rPr>
          <w:sz w:val="24"/>
        </w:rPr>
      </w:pPr>
      <w:r w:rsidRPr="00AD550B">
        <w:rPr>
          <w:b/>
          <w:sz w:val="24"/>
        </w:rPr>
        <w:t>7.2</w:t>
      </w:r>
      <w:r w:rsidR="00BB5F3D" w:rsidRPr="00AD550B">
        <w:rPr>
          <w:b/>
          <w:sz w:val="24"/>
        </w:rPr>
        <w:t xml:space="preserve"> </w:t>
      </w:r>
      <w:r w:rsidR="00C80F61" w:rsidRPr="00AD550B">
        <w:rPr>
          <w:rFonts w:hint="eastAsia"/>
          <w:b/>
          <w:sz w:val="24"/>
        </w:rPr>
        <w:t>基金管理人运用固有资金投资本基金交易明细</w:t>
      </w:r>
    </w:p>
    <w:p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9B0629" w:rsidTr="007D558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发起份额承诺持有期限</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1.90%</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1.90%</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8277FF" w:rsidRPr="009B0629" w:rsidTr="007D558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1.90%</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1.90%</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w:t>
      </w:r>
      <w:r w:rsidR="002711AA" w:rsidRPr="009B0629">
        <w:rPr>
          <w:rFonts w:eastAsiaTheme="minorEastAsia"/>
          <w:color w:val="000000" w:themeColor="text1"/>
          <w:kern w:val="0"/>
          <w:sz w:val="24"/>
          <w:szCs w:val="24"/>
        </w:rPr>
        <w:t>9</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（一）中国证监会准予摩根纳斯达克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募集注册的文件</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（四）法律意见书</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（五）基金管理人业务资格批件、营业执照</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（六）基金托管人业务资格批件、营业执照</w:t>
      </w:r>
    </w:p>
    <w:p w:rsidR="000A727B" w:rsidRDefault="003938A9">
      <w:pPr>
        <w:spacing w:line="360" w:lineRule="auto"/>
        <w:ind w:firstLineChars="200" w:firstLine="480"/>
        <w:rPr>
          <w:rFonts w:eastAsiaTheme="minorEastAsia"/>
          <w:color w:val="000000" w:themeColor="text1"/>
          <w:sz w:val="24"/>
        </w:rPr>
      </w:pPr>
      <w:r>
        <w:rPr>
          <w:rFonts w:eastAsiaTheme="minorEastAsia"/>
          <w:color w:val="000000" w:themeColor="text1"/>
          <w:sz w:val="24"/>
        </w:rPr>
        <w:t>（七）摩根基金管理（中国）有限公司开放式基金业务规则</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lastRenderedPageBreak/>
        <w:t>（八）中国证监会要求的其他文件</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rsidR="0076518F" w:rsidRPr="009B0629" w:rsidRDefault="0076518F" w:rsidP="008B6A4A">
      <w:pPr>
        <w:spacing w:line="360" w:lineRule="auto"/>
        <w:ind w:firstLineChars="200" w:firstLine="480"/>
        <w:rPr>
          <w:rFonts w:eastAsiaTheme="minorEastAsia"/>
          <w:color w:val="000000" w:themeColor="text1"/>
          <w:sz w:val="24"/>
        </w:rPr>
      </w:pPr>
    </w:p>
    <w:p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二〇二四年七月十九日</w:t>
      </w:r>
    </w:p>
    <w:sectPr w:rsidR="0076518F" w:rsidRPr="009B0629" w:rsidSect="00DB4450">
      <w:headerReference w:type="even" r:id="rId13"/>
      <w:footerReference w:type="even"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CF" w:rsidRDefault="00A111CF">
      <w:r>
        <w:separator/>
      </w:r>
    </w:p>
  </w:endnote>
  <w:endnote w:type="continuationSeparator" w:id="0">
    <w:p w:rsidR="00A111CF" w:rsidRDefault="00A1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Pr="009B0629" w:rsidRDefault="00D322AA"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AD550B">
      <w:rPr>
        <w:noProof/>
        <w:kern w:val="0"/>
        <w:sz w:val="21"/>
        <w:szCs w:val="21"/>
      </w:rPr>
      <w:t>12</w:t>
    </w:r>
    <w:r w:rsidRPr="009B0629">
      <w:rPr>
        <w:kern w:val="0"/>
        <w:sz w:val="21"/>
        <w:szCs w:val="21"/>
      </w:rPr>
      <w:fldChar w:fldCharType="end"/>
    </w:r>
    <w:r w:rsidRPr="009B0629">
      <w:rPr>
        <w:rFonts w:hint="eastAsia"/>
        <w:kern w:val="0"/>
        <w:sz w:val="21"/>
        <w:szCs w:val="21"/>
      </w:rPr>
      <w:t>页</w:t>
    </w:r>
    <w:r>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AD550B">
      <w:rPr>
        <w:noProof/>
        <w:kern w:val="0"/>
        <w:sz w:val="21"/>
        <w:szCs w:val="21"/>
      </w:rPr>
      <w:t>19</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322AA" w:rsidRDefault="00D322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CF" w:rsidRDefault="00A111CF">
      <w:r>
        <w:separator/>
      </w:r>
    </w:p>
  </w:footnote>
  <w:footnote w:type="continuationSeparator" w:id="0">
    <w:p w:rsidR="00A111CF" w:rsidRDefault="00A1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Pr="009B0629" w:rsidRDefault="00D322AA" w:rsidP="001D1356">
    <w:pPr>
      <w:pStyle w:val="aa"/>
      <w:pBdr>
        <w:bottom w:val="single" w:sz="6" w:space="0" w:color="auto"/>
      </w:pBdr>
      <w:jc w:val="right"/>
      <w:rPr>
        <w:sz w:val="21"/>
        <w:szCs w:val="21"/>
      </w:rPr>
    </w:pPr>
    <w:r w:rsidRPr="009B0629">
      <w:rPr>
        <w:sz w:val="21"/>
        <w:szCs w:val="21"/>
      </w:rPr>
      <w:t>摩根纳斯达克</w:t>
    </w:r>
    <w:r w:rsidRPr="009B0629">
      <w:rPr>
        <w:sz w:val="21"/>
        <w:szCs w:val="21"/>
      </w:rPr>
      <w:t>100</w:t>
    </w:r>
    <w:r w:rsidRPr="009B0629">
      <w:rPr>
        <w:sz w:val="21"/>
        <w:szCs w:val="21"/>
      </w:rPr>
      <w:t>指数型发起式证券投资基金</w:t>
    </w:r>
    <w:r w:rsidRPr="009B0629">
      <w:rPr>
        <w:sz w:val="21"/>
        <w:szCs w:val="21"/>
      </w:rPr>
      <w:t>(QDII)2024</w:t>
    </w:r>
    <w:r w:rsidRPr="009B0629">
      <w:rPr>
        <w:sz w:val="21"/>
        <w:szCs w:val="21"/>
      </w:rPr>
      <w:t>年第</w:t>
    </w:r>
    <w:r w:rsidRPr="009B0629">
      <w:rPr>
        <w:sz w:val="21"/>
        <w:szCs w:val="21"/>
      </w:rPr>
      <w:t>2</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2E4A"/>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4638B"/>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3413"/>
    <w:rsid w:val="00094876"/>
    <w:rsid w:val="00095912"/>
    <w:rsid w:val="00095CE0"/>
    <w:rsid w:val="000965F7"/>
    <w:rsid w:val="00096933"/>
    <w:rsid w:val="00097230"/>
    <w:rsid w:val="000A09BE"/>
    <w:rsid w:val="000A457E"/>
    <w:rsid w:val="000A521D"/>
    <w:rsid w:val="000A549A"/>
    <w:rsid w:val="000A55BD"/>
    <w:rsid w:val="000A727B"/>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3FCF"/>
    <w:rsid w:val="00186199"/>
    <w:rsid w:val="0018734E"/>
    <w:rsid w:val="001928F7"/>
    <w:rsid w:val="00194537"/>
    <w:rsid w:val="00194F40"/>
    <w:rsid w:val="001A0F3E"/>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38A9"/>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218"/>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11CF"/>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550B"/>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3E0D"/>
    <w:rsid w:val="00BB531E"/>
    <w:rsid w:val="00BB5F3D"/>
    <w:rsid w:val="00BC2343"/>
    <w:rsid w:val="00BC76D5"/>
    <w:rsid w:val="00BD18B8"/>
    <w:rsid w:val="00BD30C8"/>
    <w:rsid w:val="00BD3EB4"/>
    <w:rsid w:val="00BD5C65"/>
    <w:rsid w:val="00BE01CA"/>
    <w:rsid w:val="00BE0875"/>
    <w:rsid w:val="00BE4973"/>
    <w:rsid w:val="00BE6018"/>
    <w:rsid w:val="00BF19E7"/>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15828"/>
    <w:rsid w:val="00D200BD"/>
    <w:rsid w:val="00D22399"/>
    <w:rsid w:val="00D310E8"/>
    <w:rsid w:val="00D322AA"/>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23D9"/>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6382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260</TotalTime>
  <Pages>19</Pages>
  <Words>1505</Words>
  <Characters>8580</Characters>
  <Application>Microsoft Office Word</Application>
  <DocSecurity>0</DocSecurity>
  <Lines>71</Lines>
  <Paragraphs>20</Paragraphs>
  <ScaleCrop>false</ScaleCrop>
  <Company>TRT. Ltd. Co.</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Landy.Li@FA</cp:lastModifiedBy>
  <cp:revision>65</cp:revision>
  <cp:lastPrinted>2007-07-19T00:46:00Z</cp:lastPrinted>
  <dcterms:created xsi:type="dcterms:W3CDTF">2014-12-16T02:40:00Z</dcterms:created>
  <dcterms:modified xsi:type="dcterms:W3CDTF">2024-07-18T02:23:00Z</dcterms:modified>
</cp:coreProperties>
</file>