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153D2B" w:rsidRDefault="00153D2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153D2B" w:rsidRDefault="00153D2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153D2B" w:rsidRDefault="00153D2B">
      <w:pPr>
        <w:spacing w:line="360" w:lineRule="auto"/>
        <w:jc w:val="center"/>
        <w:rPr>
          <w:rFonts w:hint="eastAsia"/>
        </w:rPr>
      </w:pPr>
      <w:r>
        <w:rPr>
          <w:rFonts w:ascii="宋体" w:hAnsi="宋体" w:hint="eastAsia"/>
          <w:b/>
          <w:bCs/>
          <w:color w:val="000000" w:themeColor="text1"/>
          <w:sz w:val="48"/>
          <w:szCs w:val="30"/>
        </w:rPr>
        <w:t>摩根瑞锦纯债债券型证券投资基金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153D2B" w:rsidRDefault="00153D2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153D2B" w:rsidRDefault="00153D2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53D2B" w:rsidRDefault="00153D2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153D2B" w:rsidRDefault="00153D2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浙商银行股份有限公</w:t>
      </w:r>
      <w:r>
        <w:rPr>
          <w:rFonts w:ascii="宋体" w:hAnsi="宋体" w:hint="eastAsia"/>
          <w:b/>
          <w:bCs/>
          <w:sz w:val="28"/>
          <w:szCs w:val="30"/>
        </w:rPr>
        <w:t>司</w:t>
      </w:r>
    </w:p>
    <w:p w:rsidR="00153D2B" w:rsidRDefault="00153D2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153D2B" w:rsidRDefault="00153D2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153D2B" w:rsidRDefault="00153D2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基金托管人浙商银行股份有限公司根据本基金合同约定，于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153D2B" w:rsidRDefault="00153D2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83973526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153D2B" w:rsidRDefault="00153D2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szCs w:val="24"/>
                <w:lang w:eastAsia="zh-Hans"/>
              </w:rPr>
              <w:t>摩根瑞锦纯债债</w:t>
            </w:r>
            <w:r>
              <w:rPr>
                <w:rFonts w:ascii="宋体" w:hAnsi="宋体" w:hint="eastAsia"/>
                <w:szCs w:val="24"/>
                <w:lang w:eastAsia="zh-Hans"/>
              </w:rPr>
              <w:t>券</w:t>
            </w:r>
            <w:r>
              <w:rPr>
                <w:rFonts w:ascii="宋体" w:hAnsi="宋体" w:hint="eastAsia"/>
                <w:lang w:eastAsia="zh-Hans"/>
              </w:rPr>
              <w:t xml:space="preserve"> </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01946</w:t>
            </w:r>
            <w:r>
              <w:rPr>
                <w:rFonts w:ascii="宋体" w:hAnsi="宋体" w:hint="eastAsia"/>
                <w:lang w:eastAsia="zh-Hans"/>
              </w:rPr>
              <w:t>0</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契约型开放</w:t>
            </w:r>
            <w:r>
              <w:rPr>
                <w:rFonts w:ascii="宋体" w:hAnsi="宋体" w:hint="eastAsia"/>
                <w:lang w:eastAsia="zh-Hans"/>
              </w:rPr>
              <w:t>式</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2023</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81,182,528.1</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w:t>
            </w:r>
            <w:r>
              <w:rPr>
                <w:rFonts w:ascii="宋体" w:hAnsi="宋体" w:hint="eastAsia"/>
                <w:lang w:eastAsia="zh-Hans"/>
              </w:rPr>
              <w:br/>
            </w:r>
            <w:r>
              <w:rPr>
                <w:rFonts w:ascii="宋体" w:hAnsi="宋体" w:hint="eastAsia"/>
                <w:lang w:eastAsia="zh-Hans"/>
              </w:rPr>
              <w:t>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、信用策略（含资产支持证券）</w:t>
            </w:r>
            <w:r>
              <w:rPr>
                <w:rFonts w:ascii="宋体" w:hAnsi="宋体" w:hint="eastAsia"/>
                <w:lang w:eastAsia="zh-Hans"/>
              </w:rPr>
              <w:br/>
            </w:r>
            <w:r>
              <w:rPr>
                <w:rFonts w:ascii="宋体" w:hAnsi="宋体" w:hint="eastAsia"/>
                <w:lang w:eastAsia="zh-Hans"/>
              </w:rPr>
              <w:t>本基金将深入挖掘信用债（含资产支持证券）的投资价值，在承担适度</w:t>
            </w:r>
            <w:r>
              <w:rPr>
                <w:rFonts w:ascii="宋体" w:hAnsi="宋体" w:hint="eastAsia"/>
                <w:lang w:eastAsia="zh-Hans"/>
              </w:rPr>
              <w:t>风险的前提下追求较高收益。本基金将利用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w:t>
            </w:r>
            <w:r>
              <w:rPr>
                <w:rFonts w:ascii="宋体" w:hAnsi="宋体" w:hint="eastAsia"/>
                <w:lang w:eastAsia="zh-Hans"/>
              </w:rPr>
              <w:br/>
              <w:t>5</w:t>
            </w:r>
            <w:r>
              <w:rPr>
                <w:rFonts w:ascii="宋体" w:hAnsi="宋体" w:hint="eastAsia"/>
                <w:lang w:eastAsia="zh-Hans"/>
              </w:rPr>
              <w:t>、其他投资策略：包括回购策略、证券公司短期公司债券投资策略、国债期货投资策</w:t>
            </w:r>
            <w:r>
              <w:rPr>
                <w:rFonts w:ascii="宋体" w:hAnsi="宋体" w:hint="eastAsia"/>
                <w:lang w:eastAsia="zh-Hans"/>
              </w:rPr>
              <w:t>略</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中债综合全价（总值）指数收益率×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83973526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lang w:eastAsia="zh-Hans"/>
              </w:rPr>
              <w:t>浙商银行股份有限公</w:t>
            </w:r>
            <w:r>
              <w:rPr>
                <w:rFonts w:ascii="宋体" w:hAnsi="宋体" w:hint="eastAsia"/>
                <w:lang w:eastAsia="zh-Hans"/>
              </w:rPr>
              <w:t>司</w:t>
            </w:r>
          </w:p>
        </w:tc>
      </w:tr>
      <w:tr w:rsidR="00000000">
        <w:trPr>
          <w:divId w:val="83973526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lang w:eastAsia="zh-Hans"/>
              </w:rPr>
              <w:t>摩根瑞锦纯债债券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lang w:eastAsia="zh-Hans"/>
              </w:rPr>
              <w:t>摩根瑞锦纯债债券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83973526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lang w:eastAsia="zh-Hans"/>
              </w:rPr>
              <w:t>01946</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lang w:eastAsia="zh-Hans"/>
              </w:rPr>
              <w:t>01946</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83973526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53D2B" w:rsidRDefault="00153D2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lang w:eastAsia="zh-Hans"/>
              </w:rPr>
              <w:t>80,548,469.2</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lang w:eastAsia="zh-Hans"/>
              </w:rPr>
              <w:t>634,058.9</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153D2B" w:rsidRDefault="00153D2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153D2B" w:rsidRDefault="00153D2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153D2B" w:rsidRDefault="00153D2B">
      <w:pPr>
        <w:jc w:val="right"/>
        <w:divId w:val="214692213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14692213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53D2B" w:rsidRDefault="00153D2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53D2B" w:rsidRDefault="00153D2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14692213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53D2B" w:rsidRDefault="00153D2B">
            <w:pPr>
              <w:jc w:val="center"/>
              <w:rPr>
                <w:rFonts w:hint="eastAsia"/>
              </w:rPr>
            </w:pPr>
            <w:r>
              <w:rPr>
                <w:rFonts w:ascii="宋体" w:hAnsi="宋体" w:hint="eastAsia"/>
                <w:szCs w:val="24"/>
                <w:lang w:eastAsia="zh-Hans"/>
              </w:rPr>
              <w:t>摩根瑞锦纯债债券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53D2B" w:rsidRDefault="00153D2B">
            <w:pPr>
              <w:jc w:val="center"/>
            </w:pPr>
            <w:r>
              <w:rPr>
                <w:rFonts w:ascii="宋体" w:hAnsi="宋体" w:hint="eastAsia"/>
                <w:szCs w:val="24"/>
                <w:lang w:eastAsia="zh-Hans"/>
              </w:rPr>
              <w:t>摩根瑞锦纯债债券</w:t>
            </w:r>
            <w:r>
              <w:rPr>
                <w:rFonts w:ascii="宋体" w:hAnsi="宋体" w:hint="eastAsia"/>
                <w:szCs w:val="24"/>
                <w:lang w:eastAsia="zh-Hans"/>
              </w:rPr>
              <w:t>C</w:t>
            </w:r>
          </w:p>
        </w:tc>
      </w:tr>
      <w:tr w:rsidR="00000000">
        <w:trPr>
          <w:divId w:val="2146922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rPr>
                <w:rFonts w:hint="eastAsia"/>
              </w:rPr>
            </w:pPr>
            <w:r>
              <w:rPr>
                <w:rFonts w:ascii="宋体" w:hAnsi="宋体" w:hint="eastAsia"/>
                <w:szCs w:val="24"/>
                <w:lang w:eastAsia="zh-Hans"/>
              </w:rPr>
              <w:t>1,000,115.3</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pPr>
            <w:r>
              <w:rPr>
                <w:rFonts w:ascii="宋体" w:hAnsi="宋体" w:hint="eastAsia"/>
                <w:szCs w:val="24"/>
                <w:lang w:eastAsia="zh-Hans"/>
              </w:rPr>
              <w:t>8,768.3</w:t>
            </w:r>
            <w:r>
              <w:rPr>
                <w:rFonts w:ascii="宋体" w:hAnsi="宋体" w:hint="eastAsia"/>
                <w:szCs w:val="24"/>
                <w:lang w:eastAsia="zh-Hans"/>
              </w:rPr>
              <w:t>7</w:t>
            </w:r>
          </w:p>
        </w:tc>
      </w:tr>
      <w:tr w:rsidR="00000000">
        <w:trPr>
          <w:divId w:val="2146922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rPr>
                <w:rFonts w:hint="eastAsia"/>
              </w:rPr>
            </w:pPr>
            <w:r>
              <w:rPr>
                <w:rFonts w:ascii="宋体" w:hAnsi="宋体" w:hint="eastAsia"/>
                <w:szCs w:val="24"/>
                <w:lang w:eastAsia="zh-Hans"/>
              </w:rPr>
              <w:t>1,024,155.6</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pPr>
            <w:r>
              <w:rPr>
                <w:rFonts w:ascii="宋体" w:hAnsi="宋体" w:hint="eastAsia"/>
                <w:szCs w:val="24"/>
                <w:lang w:eastAsia="zh-Hans"/>
              </w:rPr>
              <w:t>8,074.1</w:t>
            </w:r>
            <w:r>
              <w:rPr>
                <w:rFonts w:ascii="宋体" w:hAnsi="宋体" w:hint="eastAsia"/>
                <w:szCs w:val="24"/>
                <w:lang w:eastAsia="zh-Hans"/>
              </w:rPr>
              <w:t>0</w:t>
            </w:r>
          </w:p>
        </w:tc>
      </w:tr>
      <w:tr w:rsidR="00000000">
        <w:trPr>
          <w:divId w:val="2146922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rPr>
                <w:rFonts w:hint="eastAsia"/>
              </w:rPr>
            </w:pPr>
            <w:r>
              <w:rPr>
                <w:rFonts w:ascii="宋体" w:hAnsi="宋体" w:hint="eastAsia"/>
                <w:szCs w:val="24"/>
                <w:lang w:eastAsia="zh-Hans"/>
              </w:rPr>
              <w:t>0.012</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pPr>
            <w:r>
              <w:rPr>
                <w:rFonts w:ascii="宋体" w:hAnsi="宋体" w:hint="eastAsia"/>
                <w:szCs w:val="24"/>
                <w:lang w:eastAsia="zh-Hans"/>
              </w:rPr>
              <w:t>0.011</w:t>
            </w:r>
            <w:r>
              <w:rPr>
                <w:rFonts w:ascii="宋体" w:hAnsi="宋体" w:hint="eastAsia"/>
                <w:szCs w:val="24"/>
                <w:lang w:eastAsia="zh-Hans"/>
              </w:rPr>
              <w:t>0</w:t>
            </w:r>
          </w:p>
        </w:tc>
      </w:tr>
      <w:tr w:rsidR="00000000">
        <w:trPr>
          <w:divId w:val="2146922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rPr>
                <w:rFonts w:hint="eastAsia"/>
              </w:rPr>
            </w:pPr>
            <w:r>
              <w:rPr>
                <w:rFonts w:ascii="宋体" w:hAnsi="宋体" w:hint="eastAsia"/>
                <w:szCs w:val="24"/>
                <w:lang w:eastAsia="zh-Hans"/>
              </w:rPr>
              <w:t>88,155,888.5</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pPr>
            <w:r>
              <w:rPr>
                <w:rFonts w:ascii="宋体" w:hAnsi="宋体" w:hint="eastAsia"/>
                <w:szCs w:val="24"/>
                <w:lang w:eastAsia="zh-Hans"/>
              </w:rPr>
              <w:t>697,131.9</w:t>
            </w:r>
            <w:r>
              <w:rPr>
                <w:rFonts w:ascii="宋体" w:hAnsi="宋体" w:hint="eastAsia"/>
                <w:szCs w:val="24"/>
                <w:lang w:eastAsia="zh-Hans"/>
              </w:rPr>
              <w:t>1</w:t>
            </w:r>
          </w:p>
        </w:tc>
      </w:tr>
      <w:tr w:rsidR="00000000">
        <w:trPr>
          <w:divId w:val="2146922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rPr>
                <w:rFonts w:hint="eastAsia"/>
              </w:rPr>
            </w:pPr>
            <w:r>
              <w:rPr>
                <w:rFonts w:ascii="宋体" w:hAnsi="宋体" w:hint="eastAsia"/>
                <w:szCs w:val="24"/>
                <w:lang w:eastAsia="zh-Hans"/>
              </w:rPr>
              <w:t>1.094</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53D2B" w:rsidRDefault="00153D2B">
            <w:pPr>
              <w:jc w:val="right"/>
            </w:pPr>
            <w:r>
              <w:rPr>
                <w:rFonts w:ascii="宋体" w:hAnsi="宋体" w:hint="eastAsia"/>
                <w:szCs w:val="24"/>
                <w:lang w:eastAsia="zh-Hans"/>
              </w:rPr>
              <w:t>1.099</w:t>
            </w:r>
            <w:r>
              <w:rPr>
                <w:rFonts w:ascii="宋体" w:hAnsi="宋体" w:hint="eastAsia"/>
                <w:szCs w:val="24"/>
                <w:lang w:eastAsia="zh-Hans"/>
              </w:rPr>
              <w:t>5</w:t>
            </w:r>
          </w:p>
        </w:tc>
      </w:tr>
    </w:tbl>
    <w:p w:rsidR="00153D2B" w:rsidRDefault="00153D2B">
      <w:pPr>
        <w:wordWrap w:val="0"/>
        <w:spacing w:line="360" w:lineRule="auto"/>
        <w:jc w:val="left"/>
        <w:divId w:val="87288186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153D2B" w:rsidRDefault="00153D2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153D2B" w:rsidRDefault="00153D2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153D2B" w:rsidRDefault="00153D2B">
      <w:pPr>
        <w:spacing w:line="360" w:lineRule="auto"/>
        <w:jc w:val="center"/>
        <w:divId w:val="581839887"/>
        <w:rPr>
          <w:rFonts w:hint="eastAsia"/>
        </w:rPr>
      </w:pPr>
      <w:r>
        <w:rPr>
          <w:rFonts w:ascii="宋体" w:hAnsi="宋体" w:hint="eastAsia"/>
        </w:rPr>
        <w:t>摩根瑞锦纯债债券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8183988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②－④</w:t>
            </w:r>
            <w:r>
              <w:rPr>
                <w:rFonts w:ascii="宋体" w:hAnsi="宋体" w:hint="eastAsia"/>
              </w:rPr>
              <w:t xml:space="preserve"> </w:t>
            </w:r>
          </w:p>
        </w:tc>
      </w:tr>
      <w:tr w:rsidR="00000000">
        <w:trPr>
          <w:divId w:val="5818398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1.1</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5818398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5818398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5818398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9.4</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5.1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4.3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bl>
    <w:p w:rsidR="00153D2B" w:rsidRDefault="00153D2B">
      <w:pPr>
        <w:spacing w:line="360" w:lineRule="auto"/>
        <w:jc w:val="center"/>
        <w:divId w:val="1049721074"/>
      </w:pPr>
      <w:r>
        <w:rPr>
          <w:rFonts w:ascii="宋体" w:hAnsi="宋体" w:hint="eastAsia"/>
        </w:rPr>
        <w:t>摩根瑞锦纯债债券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4972107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0497210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1.1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0497210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2.7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1.8</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0497210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1.9</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2.4</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0497210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9.9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5.1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53D2B" w:rsidRDefault="00153D2B">
            <w:pPr>
              <w:spacing w:line="360" w:lineRule="auto"/>
              <w:jc w:val="right"/>
            </w:pPr>
            <w:r>
              <w:rPr>
                <w:rFonts w:ascii="宋体" w:hAnsi="宋体" w:hint="eastAsia"/>
              </w:rPr>
              <w:t>4.8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bl>
    <w:p w:rsidR="00153D2B" w:rsidRDefault="00153D2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153D2B" w:rsidRDefault="00153D2B">
      <w:pPr>
        <w:spacing w:line="360" w:lineRule="auto"/>
        <w:jc w:val="left"/>
        <w:divId w:val="31926771"/>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53D2B" w:rsidRDefault="00153D2B">
      <w:pPr>
        <w:spacing w:line="360" w:lineRule="auto"/>
        <w:jc w:val="left"/>
        <w:divId w:val="160596028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53D2B" w:rsidRDefault="00153D2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153D2B" w:rsidRDefault="00153D2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153D2B" w:rsidRDefault="00153D2B">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6605685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6605685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pPr>
          </w:p>
        </w:tc>
      </w:tr>
      <w:tr w:rsidR="00000000">
        <w:trPr>
          <w:divId w:val="66605685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r w:rsidR="00000000">
        <w:trPr>
          <w:divId w:val="66605685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bl>
    <w:p w:rsidR="00153D2B" w:rsidRDefault="00153D2B">
      <w:pPr>
        <w:wordWrap w:val="0"/>
        <w:spacing w:line="360" w:lineRule="auto"/>
        <w:jc w:val="left"/>
        <w:divId w:val="1512376347"/>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153D2B" w:rsidRDefault="00153D2B">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153D2B" w:rsidRDefault="00153D2B">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153D2B" w:rsidRDefault="00153D2B">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153D2B" w:rsidRDefault="00153D2B">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153D2B" w:rsidRDefault="00153D2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153D2B" w:rsidRDefault="00153D2B">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153D2B" w:rsidRDefault="00153D2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153D2B" w:rsidRDefault="00153D2B">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年二季度债券市场延续了利差压缩主线，中长期限补涨。</w:t>
      </w:r>
      <w:r>
        <w:rPr>
          <w:rFonts w:ascii="宋体" w:hAnsi="宋体" w:cs="宋体" w:hint="eastAsia"/>
          <w:color w:val="000000"/>
          <w:kern w:val="0"/>
        </w:rPr>
        <w:t>4</w:t>
      </w:r>
      <w:r>
        <w:rPr>
          <w:rFonts w:ascii="宋体" w:hAnsi="宋体" w:cs="宋体" w:hint="eastAsia"/>
          <w:color w:val="000000"/>
          <w:kern w:val="0"/>
        </w:rPr>
        <w:t>月初油价从单边上涨进入高位波动，油价之外的通胀改善有限，通胀预期冲击边际缓和，而内生融资需求仍然偏弱。银行间资金面极度宽松，而短端信用利差压缩充分、拥挤度已经较高，阶段性做平曲线开始成为市场共识，</w:t>
      </w:r>
      <w:r>
        <w:rPr>
          <w:rFonts w:ascii="宋体" w:hAnsi="宋体" w:cs="宋体" w:hint="eastAsia"/>
          <w:color w:val="000000"/>
          <w:kern w:val="0"/>
        </w:rPr>
        <w:t>10-30</w:t>
      </w:r>
      <w:r>
        <w:rPr>
          <w:rFonts w:ascii="宋体" w:hAnsi="宋体" w:cs="宋体" w:hint="eastAsia"/>
          <w:color w:val="000000"/>
          <w:kern w:val="0"/>
        </w:rPr>
        <w:t>年期利率债和</w:t>
      </w:r>
      <w:r>
        <w:rPr>
          <w:rFonts w:ascii="宋体" w:hAnsi="宋体" w:cs="宋体" w:hint="eastAsia"/>
          <w:color w:val="000000"/>
          <w:kern w:val="0"/>
        </w:rPr>
        <w:t>5-10</w:t>
      </w:r>
      <w:r>
        <w:rPr>
          <w:rFonts w:ascii="宋体" w:hAnsi="宋体" w:cs="宋体" w:hint="eastAsia"/>
          <w:color w:val="000000"/>
          <w:kern w:val="0"/>
        </w:rPr>
        <w:t>年期银行二级资本债期限利差压缩。</w:t>
      </w:r>
      <w:r>
        <w:rPr>
          <w:rFonts w:ascii="宋体" w:hAnsi="宋体" w:cs="宋体" w:hint="eastAsia"/>
          <w:color w:val="000000"/>
          <w:kern w:val="0"/>
        </w:rPr>
        <w:t xml:space="preserve"> </w:t>
      </w:r>
      <w:r>
        <w:rPr>
          <w:rFonts w:ascii="宋体" w:hAnsi="宋体" w:cs="宋体" w:hint="eastAsia"/>
          <w:color w:val="000000"/>
          <w:kern w:val="0"/>
        </w:rPr>
        <w:t>经过</w:t>
      </w:r>
      <w:r>
        <w:rPr>
          <w:rFonts w:ascii="宋体" w:hAnsi="宋体" w:cs="宋体" w:hint="eastAsia"/>
          <w:color w:val="000000"/>
          <w:kern w:val="0"/>
        </w:rPr>
        <w:t>4</w:t>
      </w:r>
      <w:r>
        <w:rPr>
          <w:rFonts w:ascii="宋体" w:hAnsi="宋体" w:cs="宋体" w:hint="eastAsia"/>
          <w:color w:val="000000"/>
          <w:kern w:val="0"/>
        </w:rPr>
        <w:t>月中上旬交易性机构大量净买入，基金类机构边际增量交易拥挤度上升到高位，叠加超长端特别国债开启发行等因素催化，</w:t>
      </w:r>
      <w:r>
        <w:rPr>
          <w:rFonts w:ascii="宋体" w:hAnsi="宋体" w:cs="宋体" w:hint="eastAsia"/>
          <w:color w:val="000000"/>
          <w:kern w:val="0"/>
        </w:rPr>
        <w:t>4</w:t>
      </w:r>
      <w:r>
        <w:rPr>
          <w:rFonts w:ascii="宋体" w:hAnsi="宋体" w:cs="宋体" w:hint="eastAsia"/>
          <w:color w:val="000000"/>
          <w:kern w:val="0"/>
        </w:rPr>
        <w:t>月下旬债券市场出现阶段性回调。经过短期波动，微观结构脆弱性有所释放，</w:t>
      </w:r>
      <w:r>
        <w:rPr>
          <w:rFonts w:ascii="宋体" w:hAnsi="宋体" w:cs="宋体" w:hint="eastAsia"/>
          <w:color w:val="000000"/>
          <w:kern w:val="0"/>
        </w:rPr>
        <w:t>5</w:t>
      </w:r>
      <w:r>
        <w:rPr>
          <w:rFonts w:ascii="宋体" w:hAnsi="宋体" w:cs="宋体" w:hint="eastAsia"/>
          <w:color w:val="000000"/>
          <w:kern w:val="0"/>
        </w:rPr>
        <w:t>月资金面整体延续了宽松格局，负债端资金充裕再度驱动收益率进入下行通道，</w:t>
      </w:r>
      <w:r>
        <w:rPr>
          <w:rFonts w:ascii="宋体" w:hAnsi="宋体" w:cs="宋体" w:hint="eastAsia"/>
          <w:color w:val="000000"/>
          <w:kern w:val="0"/>
        </w:rPr>
        <w:t>3</w:t>
      </w:r>
      <w:r>
        <w:rPr>
          <w:rFonts w:ascii="宋体" w:hAnsi="宋体" w:cs="宋体" w:hint="eastAsia"/>
          <w:color w:val="000000"/>
          <w:kern w:val="0"/>
        </w:rPr>
        <w:t>、</w:t>
      </w:r>
      <w:r>
        <w:rPr>
          <w:rFonts w:ascii="宋体" w:hAnsi="宋体" w:cs="宋体" w:hint="eastAsia"/>
          <w:color w:val="000000"/>
          <w:kern w:val="0"/>
        </w:rPr>
        <w:t>5</w:t>
      </w:r>
      <w:r>
        <w:rPr>
          <w:rFonts w:ascii="宋体" w:hAnsi="宋体" w:cs="宋体" w:hint="eastAsia"/>
          <w:color w:val="000000"/>
          <w:kern w:val="0"/>
        </w:rPr>
        <w:t>、</w:t>
      </w:r>
      <w:r>
        <w:rPr>
          <w:rFonts w:ascii="宋体" w:hAnsi="宋体" w:cs="宋体" w:hint="eastAsia"/>
          <w:color w:val="000000"/>
          <w:kern w:val="0"/>
        </w:rPr>
        <w:t>10</w:t>
      </w:r>
      <w:r>
        <w:rPr>
          <w:rFonts w:ascii="宋体" w:hAnsi="宋体" w:cs="宋体" w:hint="eastAsia"/>
          <w:color w:val="000000"/>
          <w:kern w:val="0"/>
        </w:rPr>
        <w:t>年期利率、信用债收益率均创上半年新低，</w:t>
      </w:r>
      <w:r>
        <w:rPr>
          <w:rFonts w:ascii="宋体" w:hAnsi="宋体" w:cs="宋体" w:hint="eastAsia"/>
          <w:color w:val="000000"/>
          <w:kern w:val="0"/>
        </w:rPr>
        <w:t>6</w:t>
      </w:r>
      <w:r>
        <w:rPr>
          <w:rFonts w:ascii="宋体" w:hAnsi="宋体" w:cs="宋体" w:hint="eastAsia"/>
          <w:color w:val="000000"/>
          <w:kern w:val="0"/>
        </w:rPr>
        <w:t>月初</w:t>
      </w:r>
      <w:r>
        <w:rPr>
          <w:rFonts w:ascii="宋体" w:hAnsi="宋体" w:cs="宋体" w:hint="eastAsia"/>
          <w:color w:val="000000"/>
          <w:kern w:val="0"/>
        </w:rPr>
        <w:t>10</w:t>
      </w:r>
      <w:r>
        <w:rPr>
          <w:rFonts w:ascii="宋体" w:hAnsi="宋体" w:cs="宋体" w:hint="eastAsia"/>
          <w:color w:val="000000"/>
          <w:kern w:val="0"/>
        </w:rPr>
        <w:t>年期国债收益率逼近</w:t>
      </w:r>
      <w:r>
        <w:rPr>
          <w:rFonts w:ascii="宋体" w:hAnsi="宋体" w:cs="宋体" w:hint="eastAsia"/>
          <w:color w:val="000000"/>
          <w:kern w:val="0"/>
        </w:rPr>
        <w:t>1.70%</w:t>
      </w:r>
      <w:r>
        <w:rPr>
          <w:rFonts w:ascii="宋体" w:hAnsi="宋体" w:cs="宋体" w:hint="eastAsia"/>
          <w:color w:val="000000"/>
          <w:kern w:val="0"/>
        </w:rPr>
        <w:t>。此时基金久期达到近一年高位，对标历史多头行情，交易性机构长债累计净买入已经超过</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12</w:t>
      </w:r>
      <w:r>
        <w:rPr>
          <w:rFonts w:ascii="宋体" w:hAnsi="宋体" w:cs="宋体" w:hint="eastAsia"/>
          <w:color w:val="000000"/>
          <w:kern w:val="0"/>
        </w:rPr>
        <w:t>月和</w:t>
      </w:r>
      <w:r>
        <w:rPr>
          <w:rFonts w:ascii="宋体" w:hAnsi="宋体" w:cs="宋体" w:hint="eastAsia"/>
          <w:color w:val="000000"/>
          <w:kern w:val="0"/>
        </w:rPr>
        <w:t>2025</w:t>
      </w:r>
      <w:r>
        <w:rPr>
          <w:rFonts w:ascii="宋体" w:hAnsi="宋体" w:cs="宋体" w:hint="eastAsia"/>
          <w:color w:val="000000"/>
          <w:kern w:val="0"/>
        </w:rPr>
        <w:t>年</w:t>
      </w:r>
      <w:r>
        <w:rPr>
          <w:rFonts w:ascii="宋体" w:hAnsi="宋体" w:cs="宋体" w:hint="eastAsia"/>
          <w:color w:val="000000"/>
          <w:kern w:val="0"/>
        </w:rPr>
        <w:t>6</w:t>
      </w:r>
      <w:r>
        <w:rPr>
          <w:rFonts w:ascii="宋体" w:hAnsi="宋体" w:cs="宋体" w:hint="eastAsia"/>
          <w:color w:val="000000"/>
          <w:kern w:val="0"/>
        </w:rPr>
        <w:t>月，赔率相关指标也处于</w:t>
      </w:r>
      <w:r>
        <w:rPr>
          <w:rFonts w:ascii="宋体" w:hAnsi="宋体" w:cs="宋体" w:hint="eastAsia"/>
          <w:color w:val="000000"/>
          <w:kern w:val="0"/>
        </w:rPr>
        <w:t>-1.8x</w:t>
      </w:r>
      <w:r>
        <w:rPr>
          <w:rFonts w:ascii="宋体" w:hAnsi="宋体" w:cs="宋体" w:hint="eastAsia"/>
          <w:color w:val="000000"/>
          <w:kern w:val="0"/>
        </w:rPr>
        <w:t>标准差的偏低分位。</w:t>
      </w:r>
      <w:r>
        <w:rPr>
          <w:rFonts w:ascii="宋体" w:hAnsi="宋体" w:cs="宋体" w:hint="eastAsia"/>
          <w:color w:val="000000"/>
          <w:kern w:val="0"/>
        </w:rPr>
        <w:t>6</w:t>
      </w:r>
      <w:r>
        <w:rPr>
          <w:rFonts w:ascii="宋体" w:hAnsi="宋体" w:cs="宋体" w:hint="eastAsia"/>
          <w:color w:val="000000"/>
          <w:kern w:val="0"/>
        </w:rPr>
        <w:t>月初在银行自身负债缺口扩大与央行态度边际变化的双重驱动下，银行融出大幅下降，资金面阶段性收敛，叠加债券类基金负债端赎回，</w:t>
      </w:r>
      <w:r>
        <w:rPr>
          <w:rFonts w:ascii="宋体" w:hAnsi="宋体" w:cs="宋体" w:hint="eastAsia"/>
          <w:color w:val="000000"/>
          <w:kern w:val="0"/>
        </w:rPr>
        <w:t>6</w:t>
      </w:r>
      <w:r>
        <w:rPr>
          <w:rFonts w:ascii="宋体" w:hAnsi="宋体" w:cs="宋体" w:hint="eastAsia"/>
          <w:color w:val="000000"/>
          <w:kern w:val="0"/>
        </w:rPr>
        <w:t>月市场整体震荡回调。组合在</w:t>
      </w:r>
      <w:r>
        <w:rPr>
          <w:rFonts w:ascii="宋体" w:hAnsi="宋体" w:cs="宋体" w:hint="eastAsia"/>
          <w:color w:val="000000"/>
          <w:kern w:val="0"/>
        </w:rPr>
        <w:t>4-5</w:t>
      </w:r>
      <w:r>
        <w:rPr>
          <w:rFonts w:ascii="宋体" w:hAnsi="宋体" w:cs="宋体" w:hint="eastAsia"/>
          <w:color w:val="000000"/>
          <w:kern w:val="0"/>
        </w:rPr>
        <w:t>月保持了中高久期，把握了利差压缩的机会，</w:t>
      </w:r>
      <w:r>
        <w:rPr>
          <w:rFonts w:ascii="宋体" w:hAnsi="宋体" w:cs="宋体" w:hint="eastAsia"/>
          <w:color w:val="000000"/>
          <w:kern w:val="0"/>
        </w:rPr>
        <w:t>6</w:t>
      </w:r>
      <w:r>
        <w:rPr>
          <w:rFonts w:ascii="宋体" w:hAnsi="宋体" w:cs="宋体" w:hint="eastAsia"/>
          <w:color w:val="000000"/>
          <w:kern w:val="0"/>
        </w:rPr>
        <w:t>月回归中性，获得了一定超额收益。</w:t>
      </w:r>
      <w:r>
        <w:rPr>
          <w:rFonts w:ascii="宋体" w:hAnsi="宋体" w:cs="宋体" w:hint="eastAsia"/>
          <w:color w:val="000000"/>
          <w:kern w:val="0"/>
        </w:rPr>
        <w:br/>
      </w:r>
      <w:r>
        <w:rPr>
          <w:rFonts w:ascii="宋体" w:hAnsi="宋体" w:cs="宋体" w:hint="eastAsia"/>
          <w:color w:val="000000"/>
          <w:kern w:val="0"/>
        </w:rPr>
        <w:t xml:space="preserve">　　展望后市，目前宏观基本面整体呈现较强的结构分化特征，出口与</w:t>
      </w:r>
      <w:r>
        <w:rPr>
          <w:rFonts w:ascii="宋体" w:hAnsi="宋体" w:cs="宋体" w:hint="eastAsia"/>
          <w:color w:val="000000"/>
          <w:kern w:val="0"/>
        </w:rPr>
        <w:t>AI</w:t>
      </w:r>
      <w:r>
        <w:rPr>
          <w:rFonts w:ascii="宋体" w:hAnsi="宋体" w:cs="宋体" w:hint="eastAsia"/>
          <w:color w:val="000000"/>
          <w:kern w:val="0"/>
        </w:rPr>
        <w:t>相关部门景气较高，但传统部门与内需改善幅度有限。从内需和信用派生现实出发，货币政策缺乏大幅趋势收敛的宏观基础。从历史上看，中长期主导利率趋势转折的基本面路径，一是债务融资需求显著扩张带动资产供需逆转，二是经济整体复苏背景下，货币政策收紧。而在当前的经济结构转型过程中，传统债务融资需求难以明显修复，更关键的因素是货币政策变化，更多取决于整体复苏强度、通胀水平、银行息差等多方面因素。目前债务融资需求仍未扭转、货币流动性并未收紧是债市的关键驱动力量；在此之前，低位震荡可能是利率的长期假设，上下都存在边界。短期，负债端变化与机构行为可能仍然是市场变化的关键矛盾。从利差比价维度，超长端期限利差尚在较高分位，但交易性机构仓位久期偏高制约了收益率流畅下行，利差压缩过程大概率并非一蹴而就。组合计划在正</w:t>
      </w:r>
      <w:r>
        <w:rPr>
          <w:rFonts w:ascii="宋体" w:hAnsi="宋体" w:cs="宋体" w:hint="eastAsia"/>
          <w:color w:val="000000"/>
          <w:kern w:val="0"/>
        </w:rPr>
        <w:t>carry</w:t>
      </w:r>
      <w:r>
        <w:rPr>
          <w:rFonts w:ascii="宋体" w:hAnsi="宋体" w:cs="宋体" w:hint="eastAsia"/>
          <w:color w:val="000000"/>
          <w:kern w:val="0"/>
        </w:rPr>
        <w:t>前提下布局存在配置力量支撑的品种，对于长债灵活把握逆向交易机会</w:t>
      </w:r>
      <w:r>
        <w:rPr>
          <w:rFonts w:ascii="宋体" w:hAnsi="宋体" w:cs="宋体" w:hint="eastAsia"/>
          <w:color w:val="000000"/>
          <w:kern w:val="0"/>
        </w:rPr>
        <w:t>。</w:t>
      </w:r>
    </w:p>
    <w:p w:rsidR="00153D2B" w:rsidRDefault="00153D2B">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153D2B" w:rsidRDefault="00153D2B">
      <w:pPr>
        <w:spacing w:line="360" w:lineRule="auto"/>
        <w:ind w:firstLineChars="200" w:firstLine="420"/>
        <w:rPr>
          <w:rFonts w:hint="eastAsia"/>
        </w:rPr>
      </w:pPr>
      <w:r>
        <w:rPr>
          <w:rFonts w:ascii="宋体" w:hAnsi="宋体" w:hint="eastAsia"/>
        </w:rPr>
        <w:t>本报告期摩根瑞锦纯债债券</w:t>
      </w:r>
      <w:r>
        <w:rPr>
          <w:rFonts w:ascii="宋体" w:hAnsi="宋体" w:hint="eastAsia"/>
        </w:rPr>
        <w:t>A</w:t>
      </w:r>
      <w:r>
        <w:rPr>
          <w:rFonts w:ascii="宋体" w:hAnsi="宋体" w:hint="eastAsia"/>
        </w:rPr>
        <w:t>份额净值增长率为：</w:t>
      </w:r>
      <w:r>
        <w:rPr>
          <w:rFonts w:ascii="宋体" w:hAnsi="宋体" w:hint="eastAsia"/>
        </w:rPr>
        <w:t>1.16%</w:t>
      </w:r>
      <w:r>
        <w:rPr>
          <w:rFonts w:ascii="宋体" w:hAnsi="宋体" w:hint="eastAsia"/>
        </w:rPr>
        <w:t>，同期业绩比较基准收益率为：</w:t>
      </w:r>
      <w:r>
        <w:rPr>
          <w:rFonts w:ascii="宋体" w:hAnsi="宋体" w:hint="eastAsia"/>
        </w:rPr>
        <w:t>0.60%</w:t>
      </w:r>
      <w:r>
        <w:rPr>
          <w:rFonts w:ascii="宋体" w:hAnsi="宋体" w:hint="eastAsia"/>
        </w:rPr>
        <w:t>；</w:t>
      </w:r>
      <w:r>
        <w:rPr>
          <w:rFonts w:ascii="宋体" w:hAnsi="宋体" w:hint="eastAsia"/>
        </w:rPr>
        <w:br/>
      </w:r>
      <w:r>
        <w:rPr>
          <w:rFonts w:ascii="宋体" w:hAnsi="宋体" w:hint="eastAsia"/>
        </w:rPr>
        <w:t xml:space="preserve">　　摩根瑞锦纯债债券</w:t>
      </w:r>
      <w:r>
        <w:rPr>
          <w:rFonts w:ascii="宋体" w:hAnsi="宋体" w:hint="eastAsia"/>
        </w:rPr>
        <w:t>C</w:t>
      </w:r>
      <w:r>
        <w:rPr>
          <w:rFonts w:ascii="宋体" w:hAnsi="宋体" w:hint="eastAsia"/>
        </w:rPr>
        <w:t>份额净值增长率为：</w:t>
      </w:r>
      <w:r>
        <w:rPr>
          <w:rFonts w:ascii="宋体" w:hAnsi="宋体" w:hint="eastAsia"/>
        </w:rPr>
        <w:t>1.15%</w:t>
      </w:r>
      <w:r>
        <w:rPr>
          <w:rFonts w:ascii="宋体" w:hAnsi="宋体" w:hint="eastAsia"/>
        </w:rPr>
        <w:t>，同期业绩比较基准收益率为：</w:t>
      </w:r>
      <w:r>
        <w:rPr>
          <w:rFonts w:ascii="宋体" w:hAnsi="宋体" w:hint="eastAsia"/>
        </w:rPr>
        <w:t>0.60%</w:t>
      </w:r>
      <w:r>
        <w:rPr>
          <w:rFonts w:ascii="宋体" w:hAnsi="宋体" w:hint="eastAsia"/>
        </w:rPr>
        <w:t>。</w:t>
      </w:r>
    </w:p>
    <w:p w:rsidR="00153D2B" w:rsidRDefault="00153D2B">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153D2B" w:rsidRDefault="00153D2B">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153D2B" w:rsidRDefault="00153D2B">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94,505,275.3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99.7</w:t>
            </w:r>
            <w:r>
              <w:rPr>
                <w:rFonts w:ascii="宋体" w:hAnsi="宋体" w:hint="eastAsia"/>
                <w:szCs w:val="24"/>
                <w:lang w:eastAsia="zh-Hans"/>
              </w:rPr>
              <w:t>1</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94,505,275.3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99.7</w:t>
            </w:r>
            <w:r>
              <w:rPr>
                <w:rFonts w:ascii="宋体" w:hAnsi="宋体" w:hint="eastAsia"/>
                <w:szCs w:val="24"/>
                <w:lang w:eastAsia="zh-Hans"/>
              </w:rPr>
              <w:t>1</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247,847.4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0.2</w:t>
            </w:r>
            <w:r>
              <w:rPr>
                <w:rFonts w:ascii="宋体" w:hAnsi="宋体" w:hint="eastAsia"/>
                <w:szCs w:val="24"/>
                <w:lang w:eastAsia="zh-Hans"/>
              </w:rPr>
              <w:t>6</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26,636.3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87742860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153D2B" w:rsidRDefault="00153D2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94,779,759.1</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100.0</w:t>
            </w:r>
            <w:r>
              <w:rPr>
                <w:rFonts w:ascii="宋体" w:hAnsi="宋体" w:hint="eastAsia"/>
                <w:szCs w:val="24"/>
                <w:lang w:eastAsia="zh-Hans"/>
              </w:rPr>
              <w:t>0</w:t>
            </w:r>
          </w:p>
        </w:tc>
      </w:tr>
    </w:tbl>
    <w:p w:rsidR="00153D2B" w:rsidRDefault="00153D2B">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153D2B" w:rsidRDefault="00153D2B">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153D2B" w:rsidRDefault="00153D2B">
      <w:pPr>
        <w:spacing w:line="360" w:lineRule="auto"/>
        <w:ind w:firstLineChars="200" w:firstLine="420"/>
        <w:divId w:val="1619412421"/>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153D2B" w:rsidRDefault="00153D2B">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153D2B" w:rsidRDefault="00153D2B">
      <w:pPr>
        <w:spacing w:line="360" w:lineRule="auto"/>
        <w:ind w:firstLineChars="200" w:firstLine="420"/>
        <w:divId w:val="907618247"/>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153D2B" w:rsidRDefault="00153D2B">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153D2B" w:rsidRDefault="00153D2B">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153D2B" w:rsidRDefault="00153D2B">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153D2B" w:rsidRDefault="00153D2B">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302,029.3</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0.3</w:t>
            </w:r>
            <w:r>
              <w:rPr>
                <w:rFonts w:ascii="宋体" w:hAnsi="宋体" w:hint="eastAsia"/>
                <w:szCs w:val="24"/>
                <w:lang w:eastAsia="zh-Hans"/>
              </w:rPr>
              <w:t>4</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94,203,246.0</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106.0</w:t>
            </w:r>
            <w:r>
              <w:rPr>
                <w:rFonts w:ascii="宋体" w:hAnsi="宋体" w:hint="eastAsia"/>
                <w:szCs w:val="24"/>
                <w:lang w:eastAsia="zh-Hans"/>
              </w:rPr>
              <w:t>2</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94,203,246.0</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106.0</w:t>
            </w:r>
            <w:r>
              <w:rPr>
                <w:rFonts w:ascii="宋体" w:hAnsi="宋体" w:hint="eastAsia"/>
                <w:szCs w:val="24"/>
                <w:lang w:eastAsia="zh-Hans"/>
              </w:rPr>
              <w:t>2</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w:t>
            </w:r>
          </w:p>
        </w:tc>
      </w:tr>
      <w:tr w:rsidR="00000000">
        <w:trPr>
          <w:divId w:val="9550173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153D2B" w:rsidRDefault="00153D2B">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94,505,275.3</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153D2B" w:rsidRDefault="00153D2B">
            <w:pPr>
              <w:jc w:val="right"/>
            </w:pPr>
            <w:r>
              <w:rPr>
                <w:rFonts w:ascii="宋体" w:hAnsi="宋体" w:hint="eastAsia"/>
                <w:szCs w:val="24"/>
                <w:lang w:eastAsia="zh-Hans"/>
              </w:rPr>
              <w:t>106.3</w:t>
            </w:r>
            <w:r>
              <w:rPr>
                <w:rFonts w:ascii="宋体" w:hAnsi="宋体" w:hint="eastAsia"/>
                <w:szCs w:val="24"/>
                <w:lang w:eastAsia="zh-Hans"/>
              </w:rPr>
              <w:t>6</w:t>
            </w:r>
          </w:p>
        </w:tc>
      </w:tr>
    </w:tbl>
    <w:p w:rsidR="00153D2B" w:rsidRDefault="00153D2B">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7260077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726007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25020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20,049,189.0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22.5</w:t>
            </w:r>
            <w:r>
              <w:rPr>
                <w:rFonts w:ascii="宋体" w:hAnsi="宋体" w:hint="eastAsia"/>
                <w:szCs w:val="24"/>
                <w:lang w:eastAsia="zh-Hans"/>
              </w:rPr>
              <w:t>6</w:t>
            </w:r>
          </w:p>
        </w:tc>
      </w:tr>
      <w:tr w:rsidR="00000000">
        <w:trPr>
          <w:divId w:val="4726007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25020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19,982,476.7</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22.4</w:t>
            </w:r>
            <w:r>
              <w:rPr>
                <w:rFonts w:ascii="宋体" w:hAnsi="宋体" w:hint="eastAsia"/>
                <w:szCs w:val="24"/>
                <w:lang w:eastAsia="zh-Hans"/>
              </w:rPr>
              <w:t>9</w:t>
            </w:r>
          </w:p>
        </w:tc>
      </w:tr>
      <w:tr w:rsidR="00000000">
        <w:trPr>
          <w:divId w:val="4726007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22021</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22</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11,050,213.7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12.4</w:t>
            </w:r>
            <w:r>
              <w:rPr>
                <w:rFonts w:ascii="宋体" w:hAnsi="宋体" w:hint="eastAsia"/>
                <w:szCs w:val="24"/>
                <w:lang w:eastAsia="zh-Hans"/>
              </w:rPr>
              <w:t>4</w:t>
            </w:r>
          </w:p>
        </w:tc>
      </w:tr>
      <w:tr w:rsidR="00000000">
        <w:trPr>
          <w:divId w:val="4726007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24021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24</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0</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10,502,054.7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11.8</w:t>
            </w:r>
            <w:r>
              <w:rPr>
                <w:rFonts w:ascii="宋体" w:hAnsi="宋体" w:hint="eastAsia"/>
                <w:szCs w:val="24"/>
                <w:lang w:eastAsia="zh-Hans"/>
              </w:rPr>
              <w:t>2</w:t>
            </w:r>
          </w:p>
        </w:tc>
      </w:tr>
      <w:tr w:rsidR="00000000">
        <w:trPr>
          <w:divId w:val="4726007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23020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szCs w:val="24"/>
                <w:lang w:eastAsia="zh-Hans"/>
              </w:rPr>
              <w:t>23</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10,332,898.6</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szCs w:val="24"/>
                <w:lang w:eastAsia="zh-Hans"/>
              </w:rPr>
              <w:t>11.6</w:t>
            </w:r>
            <w:r>
              <w:rPr>
                <w:rFonts w:ascii="宋体" w:hAnsi="宋体" w:hint="eastAsia"/>
                <w:szCs w:val="24"/>
                <w:lang w:eastAsia="zh-Hans"/>
              </w:rPr>
              <w:t>3</w:t>
            </w:r>
          </w:p>
        </w:tc>
      </w:tr>
    </w:tbl>
    <w:p w:rsidR="00153D2B" w:rsidRDefault="00153D2B">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153D2B" w:rsidRDefault="00153D2B">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153D2B" w:rsidRDefault="00153D2B">
      <w:pPr>
        <w:spacing w:line="360" w:lineRule="auto"/>
        <w:ind w:firstLineChars="200" w:firstLine="420"/>
        <w:divId w:val="7058532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153D2B" w:rsidRDefault="00153D2B">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153D2B" w:rsidRDefault="00153D2B">
      <w:pPr>
        <w:spacing w:line="360" w:lineRule="auto"/>
        <w:ind w:firstLineChars="200" w:firstLine="420"/>
        <w:divId w:val="1858234269"/>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153D2B" w:rsidRDefault="00153D2B">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153D2B" w:rsidRDefault="00153D2B">
      <w:pPr>
        <w:spacing w:line="360" w:lineRule="auto"/>
        <w:ind w:firstLineChars="200" w:firstLine="420"/>
        <w:divId w:val="64443237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153D2B" w:rsidRDefault="00153D2B">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153D2B" w:rsidRDefault="00153D2B">
      <w:pPr>
        <w:spacing w:line="360" w:lineRule="auto"/>
        <w:ind w:firstLineChars="200" w:firstLine="420"/>
        <w:divId w:val="1769235572"/>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153D2B" w:rsidRDefault="00153D2B">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153D2B" w:rsidRDefault="00153D2B">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153D2B" w:rsidRDefault="00153D2B">
      <w:pPr>
        <w:spacing w:line="360" w:lineRule="auto"/>
        <w:ind w:firstLineChars="200" w:firstLine="420"/>
        <w:rPr>
          <w:rFonts w:hint="eastAsia"/>
        </w:rPr>
      </w:pPr>
      <w:r>
        <w:rPr>
          <w:rFonts w:ascii="宋体" w:hAnsi="宋体" w:hint="eastAsia"/>
        </w:rPr>
        <w:t>本基金投资的前十名证券的发行主体中，国家开发银行报告编制日前一年内曾受到央行、国家外汇管理局北京市分局的处罚。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153D2B" w:rsidRDefault="00153D2B">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153D2B" w:rsidRDefault="00153D2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153D2B" w:rsidRDefault="00153D2B">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27463222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jc w:val="center"/>
            </w:pPr>
            <w:r>
              <w:rPr>
                <w:rFonts w:ascii="宋体" w:hAnsi="宋体" w:hint="eastAsia"/>
              </w:rPr>
              <w:t>金额（元</w:t>
            </w:r>
            <w:r>
              <w:rPr>
                <w:rFonts w:ascii="宋体" w:hAnsi="宋体" w:hint="eastAsia"/>
              </w:rPr>
              <w:t>）</w:t>
            </w:r>
            <w:r>
              <w:t xml:space="preserve"> </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26,636.3</w:t>
            </w:r>
            <w:r>
              <w:rPr>
                <w:rFonts w:ascii="宋体" w:hAnsi="宋体" w:hint="eastAsia"/>
              </w:rPr>
              <w:t>3</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w:t>
            </w:r>
          </w:p>
        </w:tc>
      </w:tr>
      <w:tr w:rsidR="00000000">
        <w:trPr>
          <w:divId w:val="127463222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jc w:val="right"/>
            </w:pPr>
            <w:r>
              <w:rPr>
                <w:rFonts w:ascii="宋体" w:hAnsi="宋体" w:hint="eastAsia"/>
              </w:rPr>
              <w:t>26,636.3</w:t>
            </w:r>
            <w:r>
              <w:rPr>
                <w:rFonts w:ascii="宋体" w:hAnsi="宋体" w:hint="eastAsia"/>
              </w:rPr>
              <w:t>3</w:t>
            </w:r>
          </w:p>
        </w:tc>
      </w:tr>
    </w:tbl>
    <w:p w:rsidR="00153D2B" w:rsidRDefault="00153D2B">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153D2B" w:rsidRDefault="00153D2B">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153D2B" w:rsidRDefault="00153D2B">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153D2B" w:rsidRDefault="00153D2B">
      <w:pPr>
        <w:spacing w:line="360" w:lineRule="auto"/>
        <w:ind w:firstLineChars="200" w:firstLine="420"/>
        <w:jc w:val="left"/>
        <w:divId w:val="1963802865"/>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153D2B" w:rsidRDefault="00153D2B">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153D2B" w:rsidRDefault="00153D2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153D2B" w:rsidRDefault="00153D2B">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153D2B" w:rsidRDefault="00153D2B">
      <w:pPr>
        <w:wordWrap w:val="0"/>
        <w:spacing w:line="360" w:lineRule="auto"/>
        <w:jc w:val="right"/>
        <w:divId w:val="192776783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192776783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ind w:right="3"/>
              <w:jc w:val="center"/>
            </w:pPr>
            <w:r>
              <w:rPr>
                <w:rFonts w:ascii="宋体" w:hAnsi="宋体" w:hint="eastAsia"/>
                <w:lang w:eastAsia="zh-Hans"/>
              </w:rPr>
              <w:t>摩根瑞锦纯债债券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53D2B" w:rsidRDefault="00153D2B">
            <w:pPr>
              <w:ind w:right="3"/>
              <w:jc w:val="center"/>
            </w:pPr>
            <w:r>
              <w:rPr>
                <w:rFonts w:ascii="宋体" w:hAnsi="宋体" w:hint="eastAsia"/>
                <w:lang w:eastAsia="zh-Hans"/>
              </w:rPr>
              <w:t>摩根瑞锦纯债债券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92776783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80,900,291.0</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647,610.4</w:t>
            </w:r>
            <w:r>
              <w:rPr>
                <w:rFonts w:ascii="宋体" w:hAnsi="宋体" w:hint="eastAsia"/>
              </w:rPr>
              <w:t>3</w:t>
            </w:r>
          </w:p>
        </w:tc>
      </w:tr>
      <w:tr w:rsidR="00000000">
        <w:trPr>
          <w:divId w:val="192776783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136,251.5</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888,338.5</w:t>
            </w:r>
            <w:r>
              <w:rPr>
                <w:rFonts w:ascii="宋体" w:hAnsi="宋体" w:hint="eastAsia"/>
              </w:rPr>
              <w:t>6</w:t>
            </w:r>
          </w:p>
        </w:tc>
      </w:tr>
      <w:tr w:rsidR="00000000">
        <w:trPr>
          <w:divId w:val="192776783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488,073.3</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901,890.0</w:t>
            </w:r>
            <w:r>
              <w:rPr>
                <w:rFonts w:ascii="宋体" w:hAnsi="宋体" w:hint="eastAsia"/>
              </w:rPr>
              <w:t>1</w:t>
            </w:r>
          </w:p>
        </w:tc>
      </w:tr>
      <w:tr w:rsidR="00000000">
        <w:trPr>
          <w:divId w:val="192776783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w:t>
            </w:r>
          </w:p>
        </w:tc>
      </w:tr>
      <w:tr w:rsidR="00000000">
        <w:trPr>
          <w:divId w:val="192776783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80,548,469.2</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53D2B" w:rsidRDefault="00153D2B">
            <w:pPr>
              <w:jc w:val="right"/>
            </w:pPr>
            <w:r>
              <w:rPr>
                <w:rFonts w:ascii="宋体" w:hAnsi="宋体" w:hint="eastAsia"/>
              </w:rPr>
              <w:t>634,058.9</w:t>
            </w:r>
            <w:r>
              <w:rPr>
                <w:rFonts w:ascii="宋体" w:hAnsi="宋体" w:hint="eastAsia"/>
              </w:rPr>
              <w:t>8</w:t>
            </w:r>
          </w:p>
        </w:tc>
      </w:tr>
    </w:tbl>
    <w:p w:rsidR="00153D2B" w:rsidRDefault="00153D2B">
      <w:pPr>
        <w:spacing w:line="360" w:lineRule="auto"/>
        <w:jc w:val="left"/>
        <w:divId w:val="192776783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153D2B" w:rsidRDefault="00153D2B">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153D2B" w:rsidRDefault="00153D2B">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153D2B" w:rsidRDefault="00153D2B">
      <w:pPr>
        <w:spacing w:line="360" w:lineRule="auto"/>
        <w:ind w:firstLineChars="200" w:firstLine="420"/>
        <w:jc w:val="left"/>
        <w:divId w:val="895318869"/>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153D2B" w:rsidRDefault="00153D2B">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153D2B" w:rsidRDefault="00153D2B">
      <w:pPr>
        <w:spacing w:line="360" w:lineRule="auto"/>
        <w:ind w:firstLineChars="200" w:firstLine="420"/>
        <w:jc w:val="left"/>
        <w:divId w:val="643317085"/>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153D2B" w:rsidRDefault="00153D2B">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153D2B" w:rsidRDefault="00153D2B">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000000">
        <w:trPr>
          <w:divId w:val="106436737"/>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0643673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D2B" w:rsidRDefault="00153D2B">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期初</w:t>
            </w:r>
            <w:r>
              <w:rPr>
                <w:rFonts w:ascii="宋体" w:hAnsi="宋体" w:hint="eastAsia"/>
                <w:color w:val="000000"/>
                <w:kern w:val="0"/>
              </w:rPr>
              <w:t xml:space="preserve"> </w:t>
            </w:r>
          </w:p>
          <w:p w:rsidR="00153D2B" w:rsidRDefault="00153D2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申购</w:t>
            </w:r>
            <w:r>
              <w:rPr>
                <w:rFonts w:ascii="宋体" w:hAnsi="宋体" w:hint="eastAsia"/>
                <w:color w:val="000000"/>
                <w:kern w:val="0"/>
              </w:rPr>
              <w:t xml:space="preserve"> </w:t>
            </w:r>
          </w:p>
          <w:p w:rsidR="00153D2B" w:rsidRDefault="00153D2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赎回</w:t>
            </w:r>
            <w:r>
              <w:rPr>
                <w:rFonts w:ascii="宋体" w:hAnsi="宋体" w:hint="eastAsia"/>
                <w:color w:val="000000"/>
                <w:kern w:val="0"/>
              </w:rPr>
              <w:t xml:space="preserve"> </w:t>
            </w:r>
          </w:p>
          <w:p w:rsidR="00153D2B" w:rsidRDefault="00153D2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3D2B" w:rsidRDefault="00153D2B">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06436737"/>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right"/>
            </w:pPr>
            <w:r>
              <w:rPr>
                <w:rFonts w:ascii="宋体" w:hAnsi="宋体" w:hint="eastAsia"/>
                <w:color w:val="000000"/>
                <w:szCs w:val="21"/>
              </w:rPr>
              <w:t>79,999,911.1</w:t>
            </w:r>
            <w:r>
              <w:rPr>
                <w:rFonts w:ascii="宋体" w:hAnsi="宋体" w:hint="eastAsia"/>
                <w:color w:val="000000"/>
                <w:szCs w:val="21"/>
              </w:rPr>
              <w:t>1</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right"/>
            </w:pPr>
            <w:r>
              <w:rPr>
                <w:rFonts w:ascii="宋体" w:hAnsi="宋体" w:hint="eastAsia"/>
                <w:color w:val="000000"/>
                <w:szCs w:val="21"/>
              </w:rPr>
              <w:t>79,999,911.1</w:t>
            </w:r>
            <w:r>
              <w:rPr>
                <w:rFonts w:ascii="宋体" w:hAnsi="宋体" w:hint="eastAsia"/>
                <w:color w:val="000000"/>
                <w:szCs w:val="21"/>
              </w:rPr>
              <w:t>1</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right"/>
            </w:pPr>
            <w:r>
              <w:rPr>
                <w:rFonts w:ascii="宋体" w:hAnsi="宋体" w:hint="eastAsia"/>
                <w:color w:val="000000"/>
                <w:szCs w:val="21"/>
              </w:rPr>
              <w:t>98.5</w:t>
            </w:r>
            <w:r>
              <w:rPr>
                <w:rFonts w:ascii="宋体" w:hAnsi="宋体" w:hint="eastAsia"/>
                <w:color w:val="000000"/>
                <w:szCs w:val="21"/>
              </w:rPr>
              <w:t>4</w:t>
            </w:r>
            <w:r>
              <w:rPr>
                <w:szCs w:val="21"/>
              </w:rPr>
              <w:t>%</w:t>
            </w:r>
            <w:r>
              <w:t xml:space="preserve"> </w:t>
            </w:r>
          </w:p>
        </w:tc>
      </w:tr>
      <w:tr w:rsidR="00000000">
        <w:trPr>
          <w:divId w:val="10643673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0643673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53D2B" w:rsidRDefault="00153D2B">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153D2B" w:rsidRDefault="00153D2B">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153D2B" w:rsidRDefault="00153D2B">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中国证监会准予摩根瑞锦纯债债券型证券投资基金募集注册的文件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摩根瑞锦纯债债券型证券投资基金基金合同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摩根瑞锦纯债债券型证券投资基金托管协议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153D2B" w:rsidRDefault="00153D2B">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153D2B" w:rsidRDefault="00153D2B">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153D2B" w:rsidRDefault="00153D2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153D2B" w:rsidRDefault="00153D2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153D2B" w:rsidRDefault="00153D2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153D2B" w:rsidRDefault="00153D2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153D2B" w:rsidRDefault="00153D2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153D2B">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D2B" w:rsidRDefault="00153D2B">
      <w:pPr>
        <w:rPr>
          <w:szCs w:val="21"/>
        </w:rPr>
      </w:pPr>
      <w:r>
        <w:rPr>
          <w:szCs w:val="21"/>
        </w:rPr>
        <w:separator/>
      </w:r>
      <w:r>
        <w:rPr>
          <w:szCs w:val="21"/>
        </w:rPr>
        <w:t xml:space="preserve"> </w:t>
      </w:r>
    </w:p>
  </w:endnote>
  <w:endnote w:type="continuationSeparator" w:id="0">
    <w:p w:rsidR="00153D2B" w:rsidRDefault="00153D2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D2B" w:rsidRDefault="00153D2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D2B" w:rsidRDefault="00153D2B">
      <w:pPr>
        <w:rPr>
          <w:szCs w:val="21"/>
        </w:rPr>
      </w:pPr>
      <w:r>
        <w:rPr>
          <w:szCs w:val="21"/>
        </w:rPr>
        <w:separator/>
      </w:r>
      <w:r>
        <w:rPr>
          <w:szCs w:val="21"/>
        </w:rPr>
        <w:t xml:space="preserve"> </w:t>
      </w:r>
    </w:p>
  </w:footnote>
  <w:footnote w:type="continuationSeparator" w:id="0">
    <w:p w:rsidR="00153D2B" w:rsidRDefault="00153D2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D2B" w:rsidRDefault="00153D2B">
    <w:pPr>
      <w:pStyle w:val="a8"/>
      <w:jc w:val="right"/>
    </w:pPr>
    <w:r>
      <w:rPr>
        <w:rFonts w:ascii="宋体" w:hAnsi="宋体" w:hint="eastAsia"/>
      </w:rPr>
      <w:t>摩根瑞锦纯债债券型证券投资基金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90611486">
    <w:abstractNumId w:val="0"/>
  </w:num>
  <w:num w:numId="2" w16cid:durableId="2076315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F4C28"/>
    <w:rsid w:val="00153D2B"/>
    <w:rsid w:val="007F4C28"/>
    <w:rsid w:val="00CD7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6771">
      <w:marLeft w:val="0"/>
      <w:marRight w:val="0"/>
      <w:marTop w:val="0"/>
      <w:marBottom w:val="0"/>
      <w:divBdr>
        <w:top w:val="none" w:sz="0" w:space="0" w:color="auto"/>
        <w:left w:val="none" w:sz="0" w:space="0" w:color="auto"/>
        <w:bottom w:val="none" w:sz="0" w:space="0" w:color="auto"/>
        <w:right w:val="none" w:sz="0" w:space="0" w:color="auto"/>
      </w:divBdr>
    </w:div>
    <w:div w:id="70585328">
      <w:marLeft w:val="0"/>
      <w:marRight w:val="0"/>
      <w:marTop w:val="0"/>
      <w:marBottom w:val="0"/>
      <w:divBdr>
        <w:top w:val="none" w:sz="0" w:space="0" w:color="auto"/>
        <w:left w:val="none" w:sz="0" w:space="0" w:color="auto"/>
        <w:bottom w:val="none" w:sz="0" w:space="0" w:color="auto"/>
        <w:right w:val="none" w:sz="0" w:space="0" w:color="auto"/>
      </w:divBdr>
    </w:div>
    <w:div w:id="147678337">
      <w:marLeft w:val="0"/>
      <w:marRight w:val="0"/>
      <w:marTop w:val="0"/>
      <w:marBottom w:val="0"/>
      <w:divBdr>
        <w:top w:val="none" w:sz="0" w:space="0" w:color="auto"/>
        <w:left w:val="none" w:sz="0" w:space="0" w:color="auto"/>
        <w:bottom w:val="none" w:sz="0" w:space="0" w:color="auto"/>
        <w:right w:val="none" w:sz="0" w:space="0" w:color="auto"/>
      </w:divBdr>
      <w:divsChild>
        <w:div w:id="877428608">
          <w:marLeft w:val="0"/>
          <w:marRight w:val="0"/>
          <w:marTop w:val="0"/>
          <w:marBottom w:val="0"/>
          <w:divBdr>
            <w:top w:val="none" w:sz="0" w:space="0" w:color="auto"/>
            <w:left w:val="none" w:sz="0" w:space="0" w:color="auto"/>
            <w:bottom w:val="none" w:sz="0" w:space="0" w:color="auto"/>
            <w:right w:val="none" w:sz="0" w:space="0" w:color="auto"/>
          </w:divBdr>
        </w:div>
      </w:divsChild>
    </w:div>
    <w:div w:id="346907185">
      <w:marLeft w:val="0"/>
      <w:marRight w:val="0"/>
      <w:marTop w:val="0"/>
      <w:marBottom w:val="0"/>
      <w:divBdr>
        <w:top w:val="none" w:sz="0" w:space="0" w:color="auto"/>
        <w:left w:val="none" w:sz="0" w:space="0" w:color="auto"/>
        <w:bottom w:val="none" w:sz="0" w:space="0" w:color="auto"/>
        <w:right w:val="none" w:sz="0" w:space="0" w:color="auto"/>
      </w:divBdr>
      <w:divsChild>
        <w:div w:id="106436737">
          <w:marLeft w:val="0"/>
          <w:marRight w:val="0"/>
          <w:marTop w:val="0"/>
          <w:marBottom w:val="0"/>
          <w:divBdr>
            <w:top w:val="none" w:sz="0" w:space="0" w:color="auto"/>
            <w:left w:val="none" w:sz="0" w:space="0" w:color="auto"/>
            <w:bottom w:val="none" w:sz="0" w:space="0" w:color="auto"/>
            <w:right w:val="none" w:sz="0" w:space="0" w:color="auto"/>
          </w:divBdr>
        </w:div>
      </w:divsChild>
    </w:div>
    <w:div w:id="472600778">
      <w:marLeft w:val="0"/>
      <w:marRight w:val="0"/>
      <w:marTop w:val="0"/>
      <w:marBottom w:val="0"/>
      <w:divBdr>
        <w:top w:val="none" w:sz="0" w:space="0" w:color="auto"/>
        <w:left w:val="none" w:sz="0" w:space="0" w:color="auto"/>
        <w:bottom w:val="none" w:sz="0" w:space="0" w:color="auto"/>
        <w:right w:val="none" w:sz="0" w:space="0" w:color="auto"/>
      </w:divBdr>
    </w:div>
    <w:div w:id="643317085">
      <w:marLeft w:val="0"/>
      <w:marRight w:val="0"/>
      <w:marTop w:val="0"/>
      <w:marBottom w:val="0"/>
      <w:divBdr>
        <w:top w:val="none" w:sz="0" w:space="0" w:color="auto"/>
        <w:left w:val="none" w:sz="0" w:space="0" w:color="auto"/>
        <w:bottom w:val="none" w:sz="0" w:space="0" w:color="auto"/>
        <w:right w:val="none" w:sz="0" w:space="0" w:color="auto"/>
      </w:divBdr>
    </w:div>
    <w:div w:id="644432376">
      <w:marLeft w:val="0"/>
      <w:marRight w:val="0"/>
      <w:marTop w:val="0"/>
      <w:marBottom w:val="0"/>
      <w:divBdr>
        <w:top w:val="none" w:sz="0" w:space="0" w:color="auto"/>
        <w:left w:val="none" w:sz="0" w:space="0" w:color="auto"/>
        <w:bottom w:val="none" w:sz="0" w:space="0" w:color="auto"/>
        <w:right w:val="none" w:sz="0" w:space="0" w:color="auto"/>
      </w:divBdr>
    </w:div>
    <w:div w:id="839735262">
      <w:marLeft w:val="0"/>
      <w:marRight w:val="0"/>
      <w:marTop w:val="0"/>
      <w:marBottom w:val="0"/>
      <w:divBdr>
        <w:top w:val="none" w:sz="0" w:space="0" w:color="auto"/>
        <w:left w:val="none" w:sz="0" w:space="0" w:color="auto"/>
        <w:bottom w:val="none" w:sz="0" w:space="0" w:color="auto"/>
        <w:right w:val="none" w:sz="0" w:space="0" w:color="auto"/>
      </w:divBdr>
    </w:div>
    <w:div w:id="872881864">
      <w:marLeft w:val="0"/>
      <w:marRight w:val="0"/>
      <w:marTop w:val="0"/>
      <w:marBottom w:val="0"/>
      <w:divBdr>
        <w:top w:val="none" w:sz="0" w:space="0" w:color="auto"/>
        <w:left w:val="none" w:sz="0" w:space="0" w:color="auto"/>
        <w:bottom w:val="none" w:sz="0" w:space="0" w:color="auto"/>
        <w:right w:val="none" w:sz="0" w:space="0" w:color="auto"/>
      </w:divBdr>
      <w:divsChild>
        <w:div w:id="2146922135">
          <w:marLeft w:val="0"/>
          <w:marRight w:val="0"/>
          <w:marTop w:val="0"/>
          <w:marBottom w:val="0"/>
          <w:divBdr>
            <w:top w:val="none" w:sz="0" w:space="0" w:color="auto"/>
            <w:left w:val="none" w:sz="0" w:space="0" w:color="auto"/>
            <w:bottom w:val="none" w:sz="0" w:space="0" w:color="auto"/>
            <w:right w:val="none" w:sz="0" w:space="0" w:color="auto"/>
          </w:divBdr>
        </w:div>
      </w:divsChild>
    </w:div>
    <w:div w:id="895318869">
      <w:marLeft w:val="0"/>
      <w:marRight w:val="0"/>
      <w:marTop w:val="0"/>
      <w:marBottom w:val="0"/>
      <w:divBdr>
        <w:top w:val="none" w:sz="0" w:space="0" w:color="auto"/>
        <w:left w:val="none" w:sz="0" w:space="0" w:color="auto"/>
        <w:bottom w:val="none" w:sz="0" w:space="0" w:color="auto"/>
        <w:right w:val="none" w:sz="0" w:space="0" w:color="auto"/>
      </w:divBdr>
    </w:div>
    <w:div w:id="907618247">
      <w:marLeft w:val="0"/>
      <w:marRight w:val="0"/>
      <w:marTop w:val="0"/>
      <w:marBottom w:val="0"/>
      <w:divBdr>
        <w:top w:val="none" w:sz="0" w:space="0" w:color="auto"/>
        <w:left w:val="none" w:sz="0" w:space="0" w:color="auto"/>
        <w:bottom w:val="none" w:sz="0" w:space="0" w:color="auto"/>
        <w:right w:val="none" w:sz="0" w:space="0" w:color="auto"/>
      </w:divBdr>
    </w:div>
    <w:div w:id="955017338">
      <w:marLeft w:val="0"/>
      <w:marRight w:val="0"/>
      <w:marTop w:val="0"/>
      <w:marBottom w:val="0"/>
      <w:divBdr>
        <w:top w:val="none" w:sz="0" w:space="0" w:color="auto"/>
        <w:left w:val="none" w:sz="0" w:space="0" w:color="auto"/>
        <w:bottom w:val="none" w:sz="0" w:space="0" w:color="auto"/>
        <w:right w:val="none" w:sz="0" w:space="0" w:color="auto"/>
      </w:divBdr>
    </w:div>
    <w:div w:id="1263877491">
      <w:marLeft w:val="0"/>
      <w:marRight w:val="0"/>
      <w:marTop w:val="0"/>
      <w:marBottom w:val="0"/>
      <w:divBdr>
        <w:top w:val="none" w:sz="0" w:space="0" w:color="auto"/>
        <w:left w:val="none" w:sz="0" w:space="0" w:color="auto"/>
        <w:bottom w:val="none" w:sz="0" w:space="0" w:color="auto"/>
        <w:right w:val="none" w:sz="0" w:space="0" w:color="auto"/>
      </w:divBdr>
      <w:divsChild>
        <w:div w:id="1274632227">
          <w:marLeft w:val="0"/>
          <w:marRight w:val="0"/>
          <w:marTop w:val="0"/>
          <w:marBottom w:val="0"/>
          <w:divBdr>
            <w:top w:val="none" w:sz="0" w:space="0" w:color="auto"/>
            <w:left w:val="none" w:sz="0" w:space="0" w:color="auto"/>
            <w:bottom w:val="none" w:sz="0" w:space="0" w:color="auto"/>
            <w:right w:val="none" w:sz="0" w:space="0" w:color="auto"/>
          </w:divBdr>
        </w:div>
      </w:divsChild>
    </w:div>
    <w:div w:id="1512376347">
      <w:marLeft w:val="0"/>
      <w:marRight w:val="0"/>
      <w:marTop w:val="0"/>
      <w:marBottom w:val="0"/>
      <w:divBdr>
        <w:top w:val="none" w:sz="0" w:space="0" w:color="auto"/>
        <w:left w:val="none" w:sz="0" w:space="0" w:color="auto"/>
        <w:bottom w:val="none" w:sz="0" w:space="0" w:color="auto"/>
        <w:right w:val="none" w:sz="0" w:space="0" w:color="auto"/>
      </w:divBdr>
      <w:divsChild>
        <w:div w:id="666056850">
          <w:marLeft w:val="0"/>
          <w:marRight w:val="0"/>
          <w:marTop w:val="0"/>
          <w:marBottom w:val="0"/>
          <w:divBdr>
            <w:top w:val="none" w:sz="0" w:space="0" w:color="auto"/>
            <w:left w:val="none" w:sz="0" w:space="0" w:color="auto"/>
            <w:bottom w:val="none" w:sz="0" w:space="0" w:color="auto"/>
            <w:right w:val="none" w:sz="0" w:space="0" w:color="auto"/>
          </w:divBdr>
        </w:div>
      </w:divsChild>
    </w:div>
    <w:div w:id="1605960287">
      <w:marLeft w:val="0"/>
      <w:marRight w:val="0"/>
      <w:marTop w:val="0"/>
      <w:marBottom w:val="0"/>
      <w:divBdr>
        <w:top w:val="none" w:sz="0" w:space="0" w:color="auto"/>
        <w:left w:val="none" w:sz="0" w:space="0" w:color="auto"/>
        <w:bottom w:val="none" w:sz="0" w:space="0" w:color="auto"/>
        <w:right w:val="none" w:sz="0" w:space="0" w:color="auto"/>
      </w:divBdr>
    </w:div>
    <w:div w:id="1619412421">
      <w:marLeft w:val="0"/>
      <w:marRight w:val="0"/>
      <w:marTop w:val="0"/>
      <w:marBottom w:val="0"/>
      <w:divBdr>
        <w:top w:val="none" w:sz="0" w:space="0" w:color="auto"/>
        <w:left w:val="none" w:sz="0" w:space="0" w:color="auto"/>
        <w:bottom w:val="none" w:sz="0" w:space="0" w:color="auto"/>
        <w:right w:val="none" w:sz="0" w:space="0" w:color="auto"/>
      </w:divBdr>
    </w:div>
    <w:div w:id="1769235572">
      <w:marLeft w:val="0"/>
      <w:marRight w:val="0"/>
      <w:marTop w:val="0"/>
      <w:marBottom w:val="0"/>
      <w:divBdr>
        <w:top w:val="none" w:sz="0" w:space="0" w:color="auto"/>
        <w:left w:val="none" w:sz="0" w:space="0" w:color="auto"/>
        <w:bottom w:val="none" w:sz="0" w:space="0" w:color="auto"/>
        <w:right w:val="none" w:sz="0" w:space="0" w:color="auto"/>
      </w:divBdr>
    </w:div>
    <w:div w:id="1858234269">
      <w:marLeft w:val="0"/>
      <w:marRight w:val="0"/>
      <w:marTop w:val="0"/>
      <w:marBottom w:val="0"/>
      <w:divBdr>
        <w:top w:val="none" w:sz="0" w:space="0" w:color="auto"/>
        <w:left w:val="none" w:sz="0" w:space="0" w:color="auto"/>
        <w:bottom w:val="none" w:sz="0" w:space="0" w:color="auto"/>
        <w:right w:val="none" w:sz="0" w:space="0" w:color="auto"/>
      </w:divBdr>
    </w:div>
    <w:div w:id="1927767832">
      <w:marLeft w:val="0"/>
      <w:marRight w:val="0"/>
      <w:marTop w:val="0"/>
      <w:marBottom w:val="0"/>
      <w:divBdr>
        <w:top w:val="none" w:sz="0" w:space="0" w:color="auto"/>
        <w:left w:val="none" w:sz="0" w:space="0" w:color="auto"/>
        <w:bottom w:val="none" w:sz="0" w:space="0" w:color="auto"/>
        <w:right w:val="none" w:sz="0" w:space="0" w:color="auto"/>
      </w:divBdr>
    </w:div>
    <w:div w:id="1963802865">
      <w:marLeft w:val="0"/>
      <w:marRight w:val="0"/>
      <w:marTop w:val="0"/>
      <w:marBottom w:val="0"/>
      <w:divBdr>
        <w:top w:val="none" w:sz="0" w:space="0" w:color="auto"/>
        <w:left w:val="none" w:sz="0" w:space="0" w:color="auto"/>
        <w:bottom w:val="none" w:sz="0" w:space="0" w:color="auto"/>
        <w:right w:val="none" w:sz="0" w:space="0" w:color="auto"/>
      </w:divBdr>
    </w:div>
    <w:div w:id="2021815598">
      <w:marLeft w:val="0"/>
      <w:marRight w:val="0"/>
      <w:marTop w:val="0"/>
      <w:marBottom w:val="0"/>
      <w:divBdr>
        <w:top w:val="none" w:sz="0" w:space="0" w:color="auto"/>
        <w:left w:val="none" w:sz="0" w:space="0" w:color="auto"/>
        <w:bottom w:val="none" w:sz="0" w:space="0" w:color="auto"/>
        <w:right w:val="none" w:sz="0" w:space="0" w:color="auto"/>
      </w:divBdr>
      <w:divsChild>
        <w:div w:id="581839887">
          <w:marLeft w:val="0"/>
          <w:marRight w:val="0"/>
          <w:marTop w:val="0"/>
          <w:marBottom w:val="0"/>
          <w:divBdr>
            <w:top w:val="none" w:sz="0" w:space="0" w:color="auto"/>
            <w:left w:val="none" w:sz="0" w:space="0" w:color="auto"/>
            <w:bottom w:val="none" w:sz="0" w:space="0" w:color="auto"/>
            <w:right w:val="none" w:sz="0" w:space="0" w:color="auto"/>
          </w:divBdr>
        </w:div>
        <w:div w:id="104972107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1145</Words>
  <Characters>6532</Characters>
  <Application>Microsoft Office Word</Application>
  <DocSecurity>4</DocSecurity>
  <Lines>54</Lines>
  <Paragraphs>15</Paragraphs>
  <ScaleCrop>false</ScaleCrop>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2026-07-13T13:28:00Z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