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2" w:rsidRPr="00473486" w:rsidRDefault="00881A82">
      <w:pPr>
        <w:autoSpaceDE w:val="0"/>
        <w:autoSpaceDN w:val="0"/>
        <w:adjustRightInd w:val="0"/>
        <w:spacing w:line="360" w:lineRule="auto"/>
        <w:jc w:val="left"/>
        <w:rPr>
          <w:rFonts w:eastAsiaTheme="minorEastAsia" w:hint="eastAsia"/>
          <w:color w:val="000000" w:themeColor="text1"/>
          <w:kern w:val="0"/>
          <w:sz w:val="24"/>
        </w:rPr>
      </w:pPr>
      <w:bookmarkStart w:id="0" w:name="_GoBack"/>
      <w:bookmarkEnd w:id="0"/>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36"/>
          <w:szCs w:val="36"/>
        </w:rPr>
      </w:pP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摩根中证同业存单</w:t>
      </w:r>
      <w:r w:rsidRPr="00473486">
        <w:rPr>
          <w:rFonts w:eastAsiaTheme="minorEastAsia"/>
          <w:b/>
          <w:color w:val="000000" w:themeColor="text1"/>
          <w:sz w:val="36"/>
          <w:szCs w:val="36"/>
        </w:rPr>
        <w:t>AAA</w:t>
      </w:r>
      <w:r w:rsidRPr="00473486">
        <w:rPr>
          <w:rFonts w:eastAsiaTheme="minorEastAsia"/>
          <w:b/>
          <w:color w:val="000000" w:themeColor="text1"/>
          <w:sz w:val="36"/>
          <w:szCs w:val="36"/>
        </w:rPr>
        <w:t>指数</w:t>
      </w:r>
      <w:r w:rsidRPr="00473486">
        <w:rPr>
          <w:rFonts w:eastAsiaTheme="minorEastAsia"/>
          <w:b/>
          <w:color w:val="000000" w:themeColor="text1"/>
          <w:sz w:val="36"/>
          <w:szCs w:val="36"/>
        </w:rPr>
        <w:t>7</w:t>
      </w:r>
      <w:r w:rsidRPr="00473486">
        <w:rPr>
          <w:rFonts w:eastAsiaTheme="minorEastAsia"/>
          <w:b/>
          <w:color w:val="000000" w:themeColor="text1"/>
          <w:sz w:val="36"/>
          <w:szCs w:val="36"/>
        </w:rPr>
        <w:t>天持有期证券投资基金</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2024</w:t>
      </w:r>
      <w:r w:rsidRPr="00473486">
        <w:rPr>
          <w:rFonts w:eastAsiaTheme="minorEastAsia"/>
          <w:b/>
          <w:color w:val="000000" w:themeColor="text1"/>
          <w:sz w:val="36"/>
          <w:szCs w:val="36"/>
        </w:rPr>
        <w:t>年第</w:t>
      </w:r>
      <w:r w:rsidRPr="00473486">
        <w:rPr>
          <w:rFonts w:eastAsiaTheme="minorEastAsia"/>
          <w:b/>
          <w:color w:val="000000" w:themeColor="text1"/>
          <w:sz w:val="36"/>
          <w:szCs w:val="36"/>
        </w:rPr>
        <w:t>1</w:t>
      </w:r>
      <w:r w:rsidRPr="00473486">
        <w:rPr>
          <w:rFonts w:eastAsiaTheme="minorEastAsia"/>
          <w:b/>
          <w:color w:val="000000" w:themeColor="text1"/>
          <w:sz w:val="36"/>
          <w:szCs w:val="36"/>
        </w:rPr>
        <w:t>季度报告</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2024</w:t>
      </w:r>
      <w:r w:rsidRPr="00473486">
        <w:rPr>
          <w:rFonts w:eastAsiaTheme="minorEastAsia"/>
          <w:b/>
          <w:color w:val="000000" w:themeColor="text1"/>
          <w:sz w:val="36"/>
          <w:szCs w:val="36"/>
        </w:rPr>
        <w:t>年</w:t>
      </w:r>
      <w:r w:rsidRPr="00473486">
        <w:rPr>
          <w:rFonts w:eastAsiaTheme="minorEastAsia"/>
          <w:b/>
          <w:color w:val="000000" w:themeColor="text1"/>
          <w:sz w:val="36"/>
          <w:szCs w:val="36"/>
        </w:rPr>
        <w:t>3</w:t>
      </w:r>
      <w:r w:rsidRPr="00473486">
        <w:rPr>
          <w:rFonts w:eastAsiaTheme="minorEastAsia"/>
          <w:b/>
          <w:color w:val="000000" w:themeColor="text1"/>
          <w:sz w:val="36"/>
          <w:szCs w:val="36"/>
        </w:rPr>
        <w:t>月</w:t>
      </w:r>
      <w:r w:rsidRPr="00473486">
        <w:rPr>
          <w:rFonts w:eastAsiaTheme="minorEastAsia"/>
          <w:b/>
          <w:color w:val="000000" w:themeColor="text1"/>
          <w:sz w:val="36"/>
          <w:szCs w:val="36"/>
        </w:rPr>
        <w:t>31</w:t>
      </w:r>
      <w:r w:rsidRPr="00473486">
        <w:rPr>
          <w:rFonts w:eastAsiaTheme="minorEastAsia"/>
          <w:b/>
          <w:color w:val="000000" w:themeColor="text1"/>
          <w:sz w:val="36"/>
          <w:szCs w:val="36"/>
        </w:rPr>
        <w:t>日</w:t>
      </w: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rPr>
          <w:rFonts w:eastAsiaTheme="minorEastAsia"/>
          <w:b/>
          <w:color w:val="000000" w:themeColor="text1"/>
          <w:sz w:val="24"/>
        </w:rPr>
      </w:pP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基金管理人：摩根基金管理（中国）有限公司</w:t>
      </w: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基金托管人：交通银行股份有限公司</w:t>
      </w:r>
    </w:p>
    <w:p w:rsidR="00881A82" w:rsidRPr="00473486" w:rsidRDefault="007D1E3A">
      <w:pPr>
        <w:spacing w:line="360" w:lineRule="auto"/>
        <w:ind w:firstLineChars="900" w:firstLine="2168"/>
        <w:rPr>
          <w:rFonts w:eastAsiaTheme="minorEastAsia"/>
          <w:b/>
          <w:color w:val="000000" w:themeColor="text1"/>
          <w:sz w:val="24"/>
        </w:rPr>
        <w:sectPr w:rsidR="00881A82" w:rsidRPr="00473486">
          <w:headerReference w:type="default" r:id="rId7"/>
          <w:footerReference w:type="default" r:id="rId8"/>
          <w:pgSz w:w="11926" w:h="15840"/>
          <w:pgMar w:top="1418" w:right="1418" w:bottom="851" w:left="1418" w:header="851" w:footer="992" w:gutter="0"/>
          <w:cols w:space="720"/>
        </w:sectPr>
      </w:pPr>
      <w:r w:rsidRPr="00473486">
        <w:rPr>
          <w:rFonts w:eastAsiaTheme="minorEastAsia"/>
          <w:b/>
          <w:color w:val="000000" w:themeColor="text1"/>
          <w:sz w:val="24"/>
        </w:rPr>
        <w:t>报告送出日期：二〇二四年四月二十二日</w:t>
      </w:r>
    </w:p>
    <w:p w:rsidR="00881A82" w:rsidRPr="00473486" w:rsidRDefault="007D1E3A">
      <w:pPr>
        <w:pStyle w:val="1"/>
        <w:spacing w:beforeLines="100" w:before="312" w:afterLines="100" w:after="312" w:line="360" w:lineRule="auto"/>
        <w:jc w:val="center"/>
        <w:rPr>
          <w:rFonts w:eastAsiaTheme="minorEastAsia"/>
          <w:b w:val="0"/>
          <w:color w:val="000000" w:themeColor="text1"/>
          <w:kern w:val="0"/>
          <w:sz w:val="24"/>
          <w:szCs w:val="24"/>
        </w:rPr>
      </w:pPr>
      <w:r w:rsidRPr="00473486">
        <w:rPr>
          <w:rFonts w:eastAsiaTheme="minorEastAsia"/>
          <w:color w:val="000000" w:themeColor="text1"/>
          <w:kern w:val="0"/>
          <w:sz w:val="24"/>
          <w:szCs w:val="24"/>
        </w:rPr>
        <w:lastRenderedPageBreak/>
        <w:t xml:space="preserve">§1  </w:t>
      </w:r>
      <w:r w:rsidRPr="00473486">
        <w:rPr>
          <w:rFonts w:eastAsiaTheme="minorEastAsia"/>
          <w:color w:val="000000" w:themeColor="text1"/>
          <w:kern w:val="0"/>
          <w:sz w:val="24"/>
          <w:szCs w:val="24"/>
        </w:rPr>
        <w:t>重要提示</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本报告期自</w:t>
      </w: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日起至</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日止。</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§2  </w:t>
      </w:r>
      <w:r w:rsidRPr="00473486">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基金简称</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摩根中证同业存单</w:t>
            </w:r>
            <w:r w:rsidRPr="00473486">
              <w:rPr>
                <w:rFonts w:eastAsiaTheme="minorEastAsia"/>
                <w:color w:val="000000" w:themeColor="text1"/>
                <w:kern w:val="0"/>
                <w:szCs w:val="21"/>
              </w:rPr>
              <w:t>AAA</w:t>
            </w:r>
            <w:r w:rsidRPr="00473486">
              <w:rPr>
                <w:rFonts w:eastAsiaTheme="minorEastAsia"/>
                <w:color w:val="000000" w:themeColor="text1"/>
                <w:kern w:val="0"/>
                <w:szCs w:val="21"/>
              </w:rPr>
              <w:t>指数</w:t>
            </w:r>
            <w:r w:rsidRPr="00473486">
              <w:rPr>
                <w:rFonts w:eastAsiaTheme="minorEastAsia"/>
                <w:color w:val="000000" w:themeColor="text1"/>
                <w:kern w:val="0"/>
                <w:szCs w:val="21"/>
              </w:rPr>
              <w:t>7</w:t>
            </w:r>
            <w:r w:rsidRPr="00473486">
              <w:rPr>
                <w:rFonts w:eastAsiaTheme="minorEastAsia"/>
                <w:color w:val="000000" w:themeColor="text1"/>
                <w:kern w:val="0"/>
                <w:szCs w:val="21"/>
              </w:rPr>
              <w:t>天持有期</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019683</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019683</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基金运作方式</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契约型开放式</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基金合同生效日</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2023</w:t>
            </w:r>
            <w:r w:rsidRPr="00473486">
              <w:rPr>
                <w:rFonts w:eastAsiaTheme="minorEastAsia"/>
                <w:color w:val="000000" w:themeColor="text1"/>
                <w:kern w:val="0"/>
                <w:szCs w:val="21"/>
              </w:rPr>
              <w:t>年</w:t>
            </w:r>
            <w:r w:rsidRPr="00473486">
              <w:rPr>
                <w:rFonts w:eastAsiaTheme="minorEastAsia"/>
                <w:color w:val="000000" w:themeColor="text1"/>
                <w:kern w:val="0"/>
                <w:szCs w:val="21"/>
              </w:rPr>
              <w:t>12</w:t>
            </w:r>
            <w:r w:rsidRPr="00473486">
              <w:rPr>
                <w:rFonts w:eastAsiaTheme="minorEastAsia"/>
                <w:color w:val="000000" w:themeColor="text1"/>
                <w:kern w:val="0"/>
                <w:szCs w:val="21"/>
              </w:rPr>
              <w:t>月</w:t>
            </w:r>
            <w:r w:rsidRPr="00473486">
              <w:rPr>
                <w:rFonts w:eastAsiaTheme="minorEastAsia"/>
                <w:color w:val="000000" w:themeColor="text1"/>
                <w:kern w:val="0"/>
                <w:szCs w:val="21"/>
              </w:rPr>
              <w:t>18</w:t>
            </w:r>
            <w:r w:rsidRPr="00473486">
              <w:rPr>
                <w:rFonts w:eastAsiaTheme="minorEastAsia"/>
                <w:color w:val="000000" w:themeColor="text1"/>
                <w:kern w:val="0"/>
                <w:szCs w:val="21"/>
              </w:rPr>
              <w:t>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报告期末基金份额总额</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1,790,270,471.90</w:t>
            </w:r>
            <w:r w:rsidRPr="00473486">
              <w:rPr>
                <w:rFonts w:eastAsiaTheme="minorEastAsia"/>
                <w:color w:val="000000" w:themeColor="text1"/>
                <w:kern w:val="0"/>
                <w:szCs w:val="21"/>
              </w:rPr>
              <w:t>份</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投资目标</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本基金通过指数化投资，争取在扣除各项费用之前获得与标的指数相似的总回报，追求跟踪偏离度及跟踪误差的最小化。</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投资策略</w:t>
            </w:r>
          </w:p>
        </w:tc>
        <w:tc>
          <w:tcPr>
            <w:tcW w:w="5479" w:type="dxa"/>
            <w:vAlign w:val="center"/>
          </w:tcPr>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（一）</w:t>
            </w:r>
            <w:r w:rsidRPr="001F1961">
              <w:rPr>
                <w:rFonts w:eastAsiaTheme="minorEastAsia" w:hint="eastAsia"/>
                <w:color w:val="000000" w:themeColor="text1"/>
                <w:kern w:val="0"/>
                <w:szCs w:val="21"/>
              </w:rPr>
              <w:tab/>
            </w:r>
            <w:r w:rsidRPr="001F1961">
              <w:rPr>
                <w:rFonts w:eastAsiaTheme="minorEastAsia" w:hint="eastAsia"/>
                <w:color w:val="000000" w:themeColor="text1"/>
                <w:kern w:val="0"/>
                <w:szCs w:val="21"/>
              </w:rPr>
              <w:t>资产配置策略</w:t>
            </w:r>
          </w:p>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本基金将在降低跟踪误差和控制流动性风险的前提下构建指数化的投资组合。本基金投资于同业存单的比例不低于基金资产的</w:t>
            </w:r>
            <w:r w:rsidRPr="001F1961">
              <w:rPr>
                <w:rFonts w:eastAsiaTheme="minorEastAsia" w:hint="eastAsia"/>
                <w:color w:val="000000" w:themeColor="text1"/>
                <w:kern w:val="0"/>
                <w:szCs w:val="21"/>
              </w:rPr>
              <w:t>80%</w:t>
            </w:r>
            <w:r w:rsidRPr="001F1961">
              <w:rPr>
                <w:rFonts w:eastAsiaTheme="minorEastAsia" w:hint="eastAsia"/>
                <w:color w:val="000000" w:themeColor="text1"/>
                <w:kern w:val="0"/>
                <w:szCs w:val="21"/>
              </w:rPr>
              <w:t>，投资于标的指数成份券和备选成份券</w:t>
            </w:r>
            <w:r w:rsidRPr="001F1961">
              <w:rPr>
                <w:rFonts w:eastAsiaTheme="minorEastAsia" w:hint="eastAsia"/>
                <w:color w:val="000000" w:themeColor="text1"/>
                <w:kern w:val="0"/>
                <w:szCs w:val="21"/>
              </w:rPr>
              <w:lastRenderedPageBreak/>
              <w:t>的比例不低于非现金基金资产的</w:t>
            </w:r>
            <w:r w:rsidRPr="001F1961">
              <w:rPr>
                <w:rFonts w:eastAsiaTheme="minorEastAsia" w:hint="eastAsia"/>
                <w:color w:val="000000" w:themeColor="text1"/>
                <w:kern w:val="0"/>
                <w:szCs w:val="21"/>
              </w:rPr>
              <w:t>80%</w:t>
            </w:r>
            <w:r w:rsidRPr="001F1961">
              <w:rPr>
                <w:rFonts w:eastAsiaTheme="minorEastAsia" w:hint="eastAsia"/>
                <w:color w:val="000000" w:themeColor="text1"/>
                <w:kern w:val="0"/>
                <w:szCs w:val="21"/>
              </w:rPr>
              <w:t>。</w:t>
            </w:r>
          </w:p>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（二）</w:t>
            </w:r>
            <w:r w:rsidRPr="001F1961">
              <w:rPr>
                <w:rFonts w:eastAsiaTheme="minorEastAsia" w:hint="eastAsia"/>
                <w:color w:val="000000" w:themeColor="text1"/>
                <w:kern w:val="0"/>
                <w:szCs w:val="21"/>
              </w:rPr>
              <w:tab/>
            </w:r>
            <w:r w:rsidRPr="001F1961">
              <w:rPr>
                <w:rFonts w:eastAsiaTheme="minorEastAsia" w:hint="eastAsia"/>
                <w:color w:val="000000" w:themeColor="text1"/>
                <w:kern w:val="0"/>
                <w:szCs w:val="21"/>
              </w:rPr>
              <w:t>抽样复制策略</w:t>
            </w:r>
          </w:p>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本基金按待偿期将可投资同业存单进行分层，综合考虑同业存单发行人的信用资质、存单流动性及可获得性，在每个分层中选取一定数量个券，分配权重，使得组合每个分层的权重占比与指数保持一致。本基金将定期对投资组合进行调整，以确保组合总体特征与标的指数相似，并缩小跟踪误差。当发生较大的申购赎回、组合中同业存单派息、存单到期以及市场波动剧烈等情况，导致投资组合与标的指数出现偏离，本基金将综合考虑市场流动性、交易成本、偏离程度等因素，对投资组合进行不定期的动态调整以缩小跟踪误差。</w:t>
            </w:r>
          </w:p>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（三）</w:t>
            </w:r>
            <w:r w:rsidRPr="001F1961">
              <w:rPr>
                <w:rFonts w:eastAsiaTheme="minorEastAsia" w:hint="eastAsia"/>
                <w:color w:val="000000" w:themeColor="text1"/>
                <w:kern w:val="0"/>
                <w:szCs w:val="21"/>
              </w:rPr>
              <w:tab/>
            </w:r>
            <w:r w:rsidRPr="001F1961">
              <w:rPr>
                <w:rFonts w:eastAsiaTheme="minorEastAsia" w:hint="eastAsia"/>
                <w:color w:val="000000" w:themeColor="text1"/>
                <w:kern w:val="0"/>
                <w:szCs w:val="21"/>
              </w:rPr>
              <w:t>替代性策略</w:t>
            </w:r>
          </w:p>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基金管理人可以在成份券和备选成份券外寻找其他存单和债券构建替代组合，本基金将选取与成份券久期相近、剩余期限基本匹配的存单和债券进行替代。在力求跟踪误差最小化的前提下，本基金可采取适当方法，如久期管理、期限结构配置、类别配置、骑乘、息差等优化策略对基金资产进行调整，降低交易成本，以期在规定的风险承受限度之内，尽量缩小跟踪误差。</w:t>
            </w:r>
          </w:p>
          <w:p w:rsidR="001F1961" w:rsidRPr="001F1961" w:rsidRDefault="001F1961" w:rsidP="001F1961">
            <w:pPr>
              <w:adjustRightInd w:val="0"/>
              <w:spacing w:before="29" w:line="360" w:lineRule="auto"/>
              <w:ind w:left="17"/>
              <w:rPr>
                <w:rFonts w:eastAsiaTheme="minorEastAsia"/>
                <w:color w:val="000000" w:themeColor="text1"/>
                <w:kern w:val="0"/>
                <w:szCs w:val="21"/>
              </w:rPr>
            </w:pPr>
            <w:r w:rsidRPr="001F1961">
              <w:rPr>
                <w:rFonts w:eastAsiaTheme="minorEastAsia" w:hint="eastAsia"/>
                <w:color w:val="000000" w:themeColor="text1"/>
                <w:kern w:val="0"/>
                <w:szCs w:val="21"/>
              </w:rPr>
              <w:t>（四）</w:t>
            </w:r>
            <w:r w:rsidRPr="001F1961">
              <w:rPr>
                <w:rFonts w:eastAsiaTheme="minorEastAsia" w:hint="eastAsia"/>
                <w:color w:val="000000" w:themeColor="text1"/>
                <w:kern w:val="0"/>
                <w:szCs w:val="21"/>
              </w:rPr>
              <w:tab/>
            </w:r>
            <w:r w:rsidRPr="001F1961">
              <w:rPr>
                <w:rFonts w:eastAsiaTheme="minorEastAsia" w:hint="eastAsia"/>
                <w:color w:val="000000" w:themeColor="text1"/>
                <w:kern w:val="0"/>
                <w:szCs w:val="21"/>
              </w:rPr>
              <w:t>资产支持证券投资策略</w:t>
            </w:r>
          </w:p>
          <w:p w:rsidR="00881A82" w:rsidRPr="00473486" w:rsidRDefault="001F1961">
            <w:pPr>
              <w:adjustRightInd w:val="0"/>
              <w:spacing w:before="29" w:line="360" w:lineRule="auto"/>
              <w:ind w:left="17"/>
              <w:rPr>
                <w:rFonts w:eastAsiaTheme="minorEastAsia"/>
                <w:color w:val="000000" w:themeColor="text1"/>
                <w:szCs w:val="21"/>
              </w:rPr>
            </w:pPr>
            <w:r w:rsidRPr="001F1961">
              <w:rPr>
                <w:rFonts w:eastAsiaTheme="minorEastAsia" w:hint="eastAsia"/>
                <w:color w:val="000000" w:themeColor="text1"/>
                <w:kern w:val="0"/>
                <w:szCs w:val="21"/>
              </w:rPr>
              <w:t>本基金将在严格控制组合投资风险的前提下投资于资产支持证券。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lastRenderedPageBreak/>
              <w:t>业绩比较基准</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中证同业存单</w:t>
            </w:r>
            <w:r w:rsidRPr="00473486">
              <w:rPr>
                <w:rFonts w:eastAsiaTheme="minorEastAsia"/>
                <w:color w:val="000000" w:themeColor="text1"/>
                <w:kern w:val="0"/>
                <w:szCs w:val="21"/>
              </w:rPr>
              <w:t>AAA</w:t>
            </w:r>
            <w:r w:rsidRPr="00473486">
              <w:rPr>
                <w:rFonts w:eastAsiaTheme="minorEastAsia"/>
                <w:color w:val="000000" w:themeColor="text1"/>
                <w:kern w:val="0"/>
                <w:szCs w:val="21"/>
              </w:rPr>
              <w:t>指数收益率</w:t>
            </w:r>
            <w:r w:rsidRPr="00473486">
              <w:rPr>
                <w:rFonts w:eastAsiaTheme="minorEastAsia"/>
                <w:color w:val="000000" w:themeColor="text1"/>
                <w:kern w:val="0"/>
                <w:szCs w:val="21"/>
              </w:rPr>
              <w:t>×95%+</w:t>
            </w:r>
            <w:r w:rsidRPr="00473486">
              <w:rPr>
                <w:rFonts w:eastAsiaTheme="minorEastAsia"/>
                <w:color w:val="000000" w:themeColor="text1"/>
                <w:kern w:val="0"/>
                <w:szCs w:val="21"/>
              </w:rPr>
              <w:t>银行人民币一年定期存款利率（税后）</w:t>
            </w:r>
            <w:r w:rsidRPr="00473486">
              <w:rPr>
                <w:rFonts w:eastAsiaTheme="minorEastAsia"/>
                <w:color w:val="000000" w:themeColor="text1"/>
                <w:kern w:val="0"/>
                <w:szCs w:val="21"/>
              </w:rPr>
              <w:t>×5%</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风险收益特征</w:t>
            </w:r>
          </w:p>
        </w:tc>
        <w:tc>
          <w:tcPr>
            <w:tcW w:w="5479" w:type="dxa"/>
            <w:vAlign w:val="center"/>
          </w:tcPr>
          <w:p w:rsidR="00F96B7B" w:rsidRDefault="009E083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本基金预期风险与预期收益低于股票型基金、偏股混合型基金，高于货币市场基金。</w:t>
            </w:r>
          </w:p>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本基金为指数型基金，主要采用抽样复制和动态最优化的方法跟踪标的指数的表现，具有与标的指数以及标的指数所代表的市场相似的风险收益特征。</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基金管理人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摩根基金管理（中国）有限公司</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基金托管人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交通银行股份有限公司</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§3  </w:t>
      </w:r>
      <w:r w:rsidRPr="00473486">
        <w:rPr>
          <w:rFonts w:eastAsiaTheme="minorEastAsia"/>
          <w:color w:val="000000" w:themeColor="text1"/>
          <w:kern w:val="0"/>
          <w:sz w:val="24"/>
          <w:szCs w:val="24"/>
        </w:rPr>
        <w:t>主要财务指标和基金净值表现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3.1 </w:t>
      </w:r>
      <w:r w:rsidRPr="00473486">
        <w:rPr>
          <w:rFonts w:eastAsiaTheme="minorEastAsia"/>
          <w:b/>
          <w:color w:val="000000" w:themeColor="text1"/>
          <w:kern w:val="0"/>
          <w:sz w:val="24"/>
        </w:rPr>
        <w:t>主要财务指标</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9E0833" w:rsidRPr="00473486" w:rsidTr="009E0833">
        <w:tc>
          <w:tcPr>
            <w:tcW w:w="3402" w:type="dxa"/>
            <w:vAlign w:val="center"/>
          </w:tcPr>
          <w:p w:rsidR="00881A82" w:rsidRPr="00473486" w:rsidRDefault="007D1E3A">
            <w:pPr>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主要财务指标</w:t>
            </w:r>
          </w:p>
        </w:tc>
        <w:tc>
          <w:tcPr>
            <w:tcW w:w="4962" w:type="dxa"/>
            <w:vAlign w:val="center"/>
          </w:tcPr>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报告期</w:t>
            </w:r>
          </w:p>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1</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w:t>
            </w:r>
            <w:r w:rsidRPr="00473486">
              <w:rPr>
                <w:rFonts w:eastAsiaTheme="minorEastAsia"/>
                <w:color w:val="000000" w:themeColor="text1"/>
                <w:szCs w:val="21"/>
              </w:rPr>
              <w:t>-2024</w:t>
            </w:r>
            <w:r w:rsidRPr="00473486">
              <w:rPr>
                <w:rFonts w:eastAsiaTheme="minorEastAsia"/>
                <w:color w:val="000000" w:themeColor="text1"/>
                <w:szCs w:val="21"/>
              </w:rPr>
              <w:t>年</w:t>
            </w:r>
            <w:r w:rsidRPr="00473486">
              <w:rPr>
                <w:rFonts w:eastAsiaTheme="minorEastAsia"/>
                <w:color w:val="000000" w:themeColor="text1"/>
                <w:szCs w:val="21"/>
              </w:rPr>
              <w:t>3</w:t>
            </w:r>
            <w:r w:rsidRPr="00473486">
              <w:rPr>
                <w:rFonts w:eastAsiaTheme="minorEastAsia"/>
                <w:color w:val="000000" w:themeColor="text1"/>
                <w:szCs w:val="21"/>
              </w:rPr>
              <w:t>月</w:t>
            </w:r>
            <w:r w:rsidRPr="00473486">
              <w:rPr>
                <w:rFonts w:eastAsiaTheme="minorEastAsia"/>
                <w:color w:val="000000" w:themeColor="text1"/>
                <w:szCs w:val="21"/>
              </w:rPr>
              <w:t>31</w:t>
            </w:r>
            <w:r w:rsidRPr="00473486">
              <w:rPr>
                <w:rFonts w:eastAsiaTheme="minorEastAsia"/>
                <w:color w:val="000000" w:themeColor="text1"/>
                <w:szCs w:val="21"/>
              </w:rPr>
              <w:t>日</w:t>
            </w:r>
            <w:r w:rsidRPr="00473486">
              <w:rPr>
                <w:rFonts w:eastAsiaTheme="minorEastAsia"/>
                <w:color w:val="000000" w:themeColor="text1"/>
                <w:szCs w:val="21"/>
              </w:rPr>
              <w:t>)</w:t>
            </w:r>
          </w:p>
        </w:tc>
      </w:tr>
      <w:tr w:rsidR="009E0833" w:rsidRPr="00473486" w:rsidTr="009E0833">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1.</w:t>
            </w:r>
            <w:r w:rsidRPr="00473486">
              <w:rPr>
                <w:rFonts w:eastAsiaTheme="minorEastAsia"/>
                <w:color w:val="000000" w:themeColor="text1"/>
                <w:kern w:val="0"/>
                <w:szCs w:val="21"/>
              </w:rPr>
              <w:t>本期已实现收益</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12,284,060.83</w:t>
            </w:r>
          </w:p>
        </w:tc>
      </w:tr>
      <w:tr w:rsidR="009E0833" w:rsidRPr="00473486" w:rsidTr="009E0833">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2.</w:t>
            </w:r>
            <w:r w:rsidRPr="00473486">
              <w:rPr>
                <w:rFonts w:eastAsiaTheme="minorEastAsia"/>
                <w:color w:val="000000" w:themeColor="text1"/>
                <w:kern w:val="0"/>
                <w:szCs w:val="21"/>
              </w:rPr>
              <w:t>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12,645,845.11</w:t>
            </w:r>
          </w:p>
        </w:tc>
      </w:tr>
      <w:tr w:rsidR="009E0833" w:rsidRPr="00473486" w:rsidTr="009E0833">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加权平均基金份额本期利润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0.0057</w:t>
            </w:r>
          </w:p>
        </w:tc>
      </w:tr>
      <w:tr w:rsidR="009E0833" w:rsidRPr="00473486" w:rsidTr="009E0833">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4.</w:t>
            </w:r>
            <w:r w:rsidRPr="00473486">
              <w:rPr>
                <w:rFonts w:eastAsiaTheme="minorEastAsia"/>
                <w:color w:val="000000" w:themeColor="text1"/>
                <w:kern w:val="0"/>
                <w:szCs w:val="21"/>
              </w:rPr>
              <w:t>期末基金资产净值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1,802,125,497.13</w:t>
            </w:r>
          </w:p>
        </w:tc>
      </w:tr>
      <w:tr w:rsidR="009E0833" w:rsidRPr="00473486" w:rsidTr="009E0833">
        <w:trPr>
          <w:trHeight w:val="158"/>
        </w:trPr>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w:t>
            </w:r>
            <w:r w:rsidRPr="00473486">
              <w:rPr>
                <w:rFonts w:eastAsiaTheme="minorEastAsia"/>
                <w:color w:val="000000" w:themeColor="text1"/>
                <w:kern w:val="0"/>
                <w:szCs w:val="21"/>
              </w:rPr>
              <w:t>期末基金份额净值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1.0066</w:t>
            </w:r>
          </w:p>
        </w:tc>
      </w:tr>
    </w:tbl>
    <w:p w:rsidR="00F96B7B" w:rsidRDefault="009E083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3.2 </w:t>
      </w:r>
      <w:r w:rsidRPr="00473486">
        <w:rPr>
          <w:rFonts w:eastAsiaTheme="minorEastAsia"/>
          <w:b/>
          <w:color w:val="000000" w:themeColor="text1"/>
          <w:kern w:val="0"/>
          <w:sz w:val="24"/>
        </w:rPr>
        <w:t>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3.2.1</w:t>
      </w:r>
      <w:r w:rsidRPr="00473486">
        <w:rPr>
          <w:rFonts w:eastAsiaTheme="minorEastAsia"/>
          <w:b/>
          <w:color w:val="000000" w:themeColor="text1"/>
          <w:kern w:val="0"/>
          <w:sz w:val="24"/>
        </w:rPr>
        <w:t>本报告期基金份额净值增长率及其与同期业绩比较基准收益率的比较</w:t>
      </w:r>
    </w:p>
    <w:tbl>
      <w:tblPr>
        <w:tblStyle w:val="afa"/>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81A82" w:rsidRPr="00473486">
        <w:tc>
          <w:tcPr>
            <w:tcW w:w="1395"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阶段</w:t>
            </w:r>
          </w:p>
        </w:tc>
        <w:tc>
          <w:tcPr>
            <w:tcW w:w="109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w:t>
            </w:r>
            <w:r w:rsidRPr="00473486">
              <w:rPr>
                <w:rFonts w:eastAsiaTheme="minorEastAsia"/>
                <w:color w:val="000000" w:themeColor="text1"/>
                <w:szCs w:val="21"/>
              </w:rPr>
              <w:lastRenderedPageBreak/>
              <w:t>率</w:t>
            </w:r>
            <w:r w:rsidRPr="00473486">
              <w:rPr>
                <w:rFonts w:ascii="宋体" w:hAnsi="宋体" w:cs="宋体" w:hint="eastAsia"/>
                <w:color w:val="000000" w:themeColor="text1"/>
                <w:szCs w:val="21"/>
              </w:rPr>
              <w:t>①</w:t>
            </w:r>
          </w:p>
        </w:tc>
        <w:tc>
          <w:tcPr>
            <w:tcW w:w="11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lastRenderedPageBreak/>
              <w:t>净值增长</w:t>
            </w:r>
            <w:r w:rsidRPr="00473486">
              <w:rPr>
                <w:rFonts w:eastAsiaTheme="minorEastAsia"/>
                <w:color w:val="000000" w:themeColor="text1"/>
                <w:szCs w:val="21"/>
              </w:rPr>
              <w:lastRenderedPageBreak/>
              <w:t>率标准差</w:t>
            </w:r>
            <w:r w:rsidRPr="00473486">
              <w:rPr>
                <w:rFonts w:ascii="宋体" w:hAnsi="宋体" w:cs="宋体" w:hint="eastAsia"/>
                <w:color w:val="000000" w:themeColor="text1"/>
                <w:szCs w:val="21"/>
              </w:rPr>
              <w:t>②</w:t>
            </w:r>
          </w:p>
        </w:tc>
        <w:tc>
          <w:tcPr>
            <w:tcW w:w="118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lastRenderedPageBreak/>
              <w:t>业绩比较</w:t>
            </w:r>
            <w:r w:rsidRPr="00473486">
              <w:rPr>
                <w:rFonts w:eastAsiaTheme="minorEastAsia"/>
                <w:color w:val="000000" w:themeColor="text1"/>
                <w:szCs w:val="21"/>
              </w:rPr>
              <w:lastRenderedPageBreak/>
              <w:t>基准收益率</w:t>
            </w:r>
            <w:r w:rsidRPr="00473486">
              <w:rPr>
                <w:rFonts w:ascii="宋体" w:hAnsi="宋体" w:cs="宋体" w:hint="eastAsia"/>
                <w:color w:val="000000" w:themeColor="text1"/>
                <w:szCs w:val="21"/>
              </w:rPr>
              <w:t>③</w:t>
            </w:r>
          </w:p>
        </w:tc>
        <w:tc>
          <w:tcPr>
            <w:tcW w:w="118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lastRenderedPageBreak/>
              <w:t>业绩比较</w:t>
            </w:r>
            <w:r w:rsidRPr="00473486">
              <w:rPr>
                <w:rFonts w:eastAsiaTheme="minorEastAsia"/>
                <w:color w:val="000000" w:themeColor="text1"/>
                <w:szCs w:val="21"/>
              </w:rPr>
              <w:lastRenderedPageBreak/>
              <w:t>基准收益率标准差</w:t>
            </w:r>
            <w:r w:rsidRPr="00473486">
              <w:rPr>
                <w:rFonts w:ascii="宋体" w:hAnsi="宋体" w:cs="宋体" w:hint="eastAsia"/>
                <w:color w:val="000000" w:themeColor="text1"/>
                <w:szCs w:val="21"/>
              </w:rPr>
              <w:t>④</w:t>
            </w:r>
          </w:p>
        </w:tc>
        <w:tc>
          <w:tcPr>
            <w:tcW w:w="119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lastRenderedPageBreak/>
              <w:t>①</w:t>
            </w:r>
            <w:r w:rsidRPr="00473486">
              <w:rPr>
                <w:rFonts w:eastAsiaTheme="minorEastAsia"/>
                <w:color w:val="000000" w:themeColor="text1"/>
                <w:szCs w:val="21"/>
              </w:rPr>
              <w:t>-</w:t>
            </w:r>
            <w:r w:rsidRPr="00473486">
              <w:rPr>
                <w:rFonts w:ascii="宋体" w:hAnsi="宋体" w:cs="宋体" w:hint="eastAsia"/>
                <w:color w:val="000000" w:themeColor="text1"/>
                <w:szCs w:val="21"/>
              </w:rPr>
              <w:t>③</w:t>
            </w:r>
          </w:p>
        </w:tc>
        <w:tc>
          <w:tcPr>
            <w:tcW w:w="120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②</w:t>
            </w:r>
            <w:r w:rsidRPr="00473486">
              <w:rPr>
                <w:rFonts w:eastAsiaTheme="minorEastAsia"/>
                <w:color w:val="000000" w:themeColor="text1"/>
                <w:szCs w:val="21"/>
              </w:rPr>
              <w:t>-</w:t>
            </w:r>
            <w:r w:rsidRPr="00473486">
              <w:rPr>
                <w:rFonts w:ascii="宋体" w:hAnsi="宋体" w:cs="宋体" w:hint="eastAsia"/>
                <w:color w:val="000000" w:themeColor="text1"/>
                <w:szCs w:val="21"/>
              </w:rPr>
              <w:t>④</w:t>
            </w:r>
          </w:p>
        </w:tc>
      </w:tr>
      <w:tr w:rsidR="00F96B7B">
        <w:tc>
          <w:tcPr>
            <w:tcW w:w="1395" w:type="dxa"/>
            <w:vAlign w:val="center"/>
          </w:tcPr>
          <w:p w:rsidR="00F96B7B" w:rsidRDefault="009E0833">
            <w:pPr>
              <w:jc w:val="left"/>
            </w:pPr>
            <w:r>
              <w:rPr>
                <w:rFonts w:eastAsiaTheme="minorEastAsia"/>
                <w:color w:val="000000" w:themeColor="text1"/>
                <w:szCs w:val="21"/>
              </w:rPr>
              <w:t>过去三个月</w:t>
            </w:r>
          </w:p>
        </w:tc>
        <w:tc>
          <w:tcPr>
            <w:tcW w:w="1092" w:type="dxa"/>
            <w:vAlign w:val="center"/>
          </w:tcPr>
          <w:p w:rsidR="00F96B7B" w:rsidRDefault="009E0833">
            <w:pPr>
              <w:jc w:val="center"/>
            </w:pPr>
            <w:r>
              <w:rPr>
                <w:rFonts w:eastAsiaTheme="minorEastAsia"/>
                <w:color w:val="000000" w:themeColor="text1"/>
                <w:szCs w:val="21"/>
              </w:rPr>
              <w:t>0.57%</w:t>
            </w:r>
          </w:p>
        </w:tc>
        <w:tc>
          <w:tcPr>
            <w:tcW w:w="1161" w:type="dxa"/>
            <w:vAlign w:val="center"/>
          </w:tcPr>
          <w:p w:rsidR="00F96B7B" w:rsidRDefault="009E0833">
            <w:pPr>
              <w:jc w:val="center"/>
            </w:pPr>
            <w:r>
              <w:rPr>
                <w:rFonts w:eastAsiaTheme="minorEastAsia"/>
                <w:color w:val="000000" w:themeColor="text1"/>
                <w:szCs w:val="21"/>
              </w:rPr>
              <w:t>0.01%</w:t>
            </w:r>
          </w:p>
        </w:tc>
        <w:tc>
          <w:tcPr>
            <w:tcW w:w="1181" w:type="dxa"/>
            <w:vAlign w:val="center"/>
          </w:tcPr>
          <w:p w:rsidR="00F96B7B" w:rsidRDefault="009E0833">
            <w:pPr>
              <w:jc w:val="center"/>
            </w:pPr>
            <w:r>
              <w:rPr>
                <w:rFonts w:eastAsiaTheme="minorEastAsia"/>
                <w:color w:val="000000" w:themeColor="text1"/>
                <w:szCs w:val="21"/>
              </w:rPr>
              <w:t>0.63%</w:t>
            </w:r>
          </w:p>
        </w:tc>
        <w:tc>
          <w:tcPr>
            <w:tcW w:w="1188" w:type="dxa"/>
            <w:vAlign w:val="center"/>
          </w:tcPr>
          <w:p w:rsidR="00F96B7B" w:rsidRDefault="009E0833">
            <w:pPr>
              <w:jc w:val="center"/>
            </w:pPr>
            <w:r>
              <w:rPr>
                <w:rFonts w:eastAsiaTheme="minorEastAsia"/>
                <w:color w:val="000000" w:themeColor="text1"/>
                <w:szCs w:val="21"/>
              </w:rPr>
              <w:t>0.01%</w:t>
            </w:r>
          </w:p>
        </w:tc>
        <w:tc>
          <w:tcPr>
            <w:tcW w:w="1199" w:type="dxa"/>
            <w:vAlign w:val="center"/>
          </w:tcPr>
          <w:p w:rsidR="00F96B7B" w:rsidRDefault="009E0833">
            <w:pPr>
              <w:jc w:val="center"/>
            </w:pPr>
            <w:r>
              <w:rPr>
                <w:rFonts w:eastAsiaTheme="minorEastAsia"/>
                <w:color w:val="000000" w:themeColor="text1"/>
                <w:szCs w:val="21"/>
              </w:rPr>
              <w:t>-0.06%</w:t>
            </w:r>
          </w:p>
        </w:tc>
        <w:tc>
          <w:tcPr>
            <w:tcW w:w="1204" w:type="dxa"/>
            <w:vAlign w:val="center"/>
          </w:tcPr>
          <w:p w:rsidR="00F96B7B" w:rsidRDefault="009E0833">
            <w:pPr>
              <w:jc w:val="center"/>
            </w:pPr>
            <w:r>
              <w:rPr>
                <w:rFonts w:eastAsiaTheme="minorEastAsia"/>
                <w:color w:val="000000" w:themeColor="text1"/>
                <w:szCs w:val="21"/>
              </w:rPr>
              <w:t>0.00%</w:t>
            </w:r>
          </w:p>
        </w:tc>
      </w:tr>
      <w:tr w:rsidR="00F96B7B">
        <w:tc>
          <w:tcPr>
            <w:tcW w:w="1395" w:type="dxa"/>
            <w:vAlign w:val="center"/>
          </w:tcPr>
          <w:p w:rsidR="00F96B7B" w:rsidRDefault="009E0833">
            <w:pPr>
              <w:jc w:val="left"/>
            </w:pPr>
            <w:r>
              <w:rPr>
                <w:rFonts w:eastAsiaTheme="minorEastAsia"/>
                <w:color w:val="000000" w:themeColor="text1"/>
                <w:szCs w:val="21"/>
              </w:rPr>
              <w:t>过去六个月</w:t>
            </w:r>
          </w:p>
        </w:tc>
        <w:tc>
          <w:tcPr>
            <w:tcW w:w="1092" w:type="dxa"/>
            <w:vAlign w:val="center"/>
          </w:tcPr>
          <w:p w:rsidR="00F96B7B" w:rsidRDefault="009E0833">
            <w:pPr>
              <w:jc w:val="center"/>
            </w:pPr>
            <w:r>
              <w:rPr>
                <w:rFonts w:eastAsiaTheme="minorEastAsia"/>
                <w:color w:val="000000" w:themeColor="text1"/>
                <w:szCs w:val="21"/>
              </w:rPr>
              <w:t>-</w:t>
            </w:r>
          </w:p>
        </w:tc>
        <w:tc>
          <w:tcPr>
            <w:tcW w:w="1161" w:type="dxa"/>
            <w:vAlign w:val="center"/>
          </w:tcPr>
          <w:p w:rsidR="00F96B7B" w:rsidRDefault="009E0833">
            <w:pPr>
              <w:jc w:val="center"/>
            </w:pPr>
            <w:r>
              <w:rPr>
                <w:rFonts w:eastAsiaTheme="minorEastAsia"/>
                <w:color w:val="000000" w:themeColor="text1"/>
                <w:szCs w:val="21"/>
              </w:rPr>
              <w:t>-</w:t>
            </w:r>
          </w:p>
        </w:tc>
        <w:tc>
          <w:tcPr>
            <w:tcW w:w="1181" w:type="dxa"/>
            <w:vAlign w:val="center"/>
          </w:tcPr>
          <w:p w:rsidR="00F96B7B" w:rsidRDefault="009E0833">
            <w:pPr>
              <w:jc w:val="center"/>
            </w:pPr>
            <w:r>
              <w:rPr>
                <w:rFonts w:eastAsiaTheme="minorEastAsia"/>
                <w:color w:val="000000" w:themeColor="text1"/>
                <w:szCs w:val="21"/>
              </w:rPr>
              <w:t>-</w:t>
            </w:r>
          </w:p>
        </w:tc>
        <w:tc>
          <w:tcPr>
            <w:tcW w:w="1188" w:type="dxa"/>
            <w:vAlign w:val="center"/>
          </w:tcPr>
          <w:p w:rsidR="00F96B7B" w:rsidRDefault="009E0833">
            <w:pPr>
              <w:jc w:val="center"/>
            </w:pPr>
            <w:r>
              <w:rPr>
                <w:rFonts w:eastAsiaTheme="minorEastAsia"/>
                <w:color w:val="000000" w:themeColor="text1"/>
                <w:szCs w:val="21"/>
              </w:rPr>
              <w:t>-</w:t>
            </w:r>
          </w:p>
        </w:tc>
        <w:tc>
          <w:tcPr>
            <w:tcW w:w="1199" w:type="dxa"/>
            <w:vAlign w:val="center"/>
          </w:tcPr>
          <w:p w:rsidR="00F96B7B" w:rsidRDefault="009E0833">
            <w:pPr>
              <w:jc w:val="center"/>
            </w:pPr>
            <w:r>
              <w:rPr>
                <w:rFonts w:eastAsiaTheme="minorEastAsia"/>
                <w:color w:val="000000" w:themeColor="text1"/>
                <w:szCs w:val="21"/>
              </w:rPr>
              <w:t>-</w:t>
            </w:r>
          </w:p>
        </w:tc>
        <w:tc>
          <w:tcPr>
            <w:tcW w:w="1204" w:type="dxa"/>
            <w:vAlign w:val="center"/>
          </w:tcPr>
          <w:p w:rsidR="00F96B7B" w:rsidRDefault="009E0833">
            <w:pPr>
              <w:jc w:val="center"/>
            </w:pPr>
            <w:r>
              <w:rPr>
                <w:rFonts w:eastAsiaTheme="minorEastAsia"/>
                <w:color w:val="000000" w:themeColor="text1"/>
                <w:szCs w:val="21"/>
              </w:rPr>
              <w:t>-</w:t>
            </w:r>
          </w:p>
        </w:tc>
      </w:tr>
      <w:tr w:rsidR="00F96B7B">
        <w:tc>
          <w:tcPr>
            <w:tcW w:w="1395" w:type="dxa"/>
            <w:vAlign w:val="center"/>
          </w:tcPr>
          <w:p w:rsidR="00F96B7B" w:rsidRDefault="009E0833">
            <w:pPr>
              <w:jc w:val="left"/>
            </w:pPr>
            <w:r>
              <w:rPr>
                <w:rFonts w:eastAsiaTheme="minorEastAsia"/>
                <w:color w:val="000000" w:themeColor="text1"/>
                <w:szCs w:val="21"/>
              </w:rPr>
              <w:t>过去一年</w:t>
            </w:r>
          </w:p>
        </w:tc>
        <w:tc>
          <w:tcPr>
            <w:tcW w:w="1092" w:type="dxa"/>
            <w:vAlign w:val="center"/>
          </w:tcPr>
          <w:p w:rsidR="00F96B7B" w:rsidRDefault="009E0833">
            <w:pPr>
              <w:jc w:val="center"/>
            </w:pPr>
            <w:r>
              <w:rPr>
                <w:rFonts w:eastAsiaTheme="minorEastAsia"/>
                <w:color w:val="000000" w:themeColor="text1"/>
                <w:szCs w:val="21"/>
              </w:rPr>
              <w:t>-</w:t>
            </w:r>
          </w:p>
        </w:tc>
        <w:tc>
          <w:tcPr>
            <w:tcW w:w="1161" w:type="dxa"/>
            <w:vAlign w:val="center"/>
          </w:tcPr>
          <w:p w:rsidR="00F96B7B" w:rsidRDefault="009E0833">
            <w:pPr>
              <w:jc w:val="center"/>
            </w:pPr>
            <w:r>
              <w:rPr>
                <w:rFonts w:eastAsiaTheme="minorEastAsia"/>
                <w:color w:val="000000" w:themeColor="text1"/>
                <w:szCs w:val="21"/>
              </w:rPr>
              <w:t>-</w:t>
            </w:r>
          </w:p>
        </w:tc>
        <w:tc>
          <w:tcPr>
            <w:tcW w:w="1181" w:type="dxa"/>
            <w:vAlign w:val="center"/>
          </w:tcPr>
          <w:p w:rsidR="00F96B7B" w:rsidRDefault="009E0833">
            <w:pPr>
              <w:jc w:val="center"/>
            </w:pPr>
            <w:r>
              <w:rPr>
                <w:rFonts w:eastAsiaTheme="minorEastAsia"/>
                <w:color w:val="000000" w:themeColor="text1"/>
                <w:szCs w:val="21"/>
              </w:rPr>
              <w:t>-</w:t>
            </w:r>
          </w:p>
        </w:tc>
        <w:tc>
          <w:tcPr>
            <w:tcW w:w="1188" w:type="dxa"/>
            <w:vAlign w:val="center"/>
          </w:tcPr>
          <w:p w:rsidR="00F96B7B" w:rsidRDefault="009E0833">
            <w:pPr>
              <w:jc w:val="center"/>
            </w:pPr>
            <w:r>
              <w:rPr>
                <w:rFonts w:eastAsiaTheme="minorEastAsia"/>
                <w:color w:val="000000" w:themeColor="text1"/>
                <w:szCs w:val="21"/>
              </w:rPr>
              <w:t>-</w:t>
            </w:r>
          </w:p>
        </w:tc>
        <w:tc>
          <w:tcPr>
            <w:tcW w:w="1199" w:type="dxa"/>
            <w:vAlign w:val="center"/>
          </w:tcPr>
          <w:p w:rsidR="00F96B7B" w:rsidRDefault="009E0833">
            <w:pPr>
              <w:jc w:val="center"/>
            </w:pPr>
            <w:r>
              <w:rPr>
                <w:rFonts w:eastAsiaTheme="minorEastAsia"/>
                <w:color w:val="000000" w:themeColor="text1"/>
                <w:szCs w:val="21"/>
              </w:rPr>
              <w:t>-</w:t>
            </w:r>
          </w:p>
        </w:tc>
        <w:tc>
          <w:tcPr>
            <w:tcW w:w="1204" w:type="dxa"/>
            <w:vAlign w:val="center"/>
          </w:tcPr>
          <w:p w:rsidR="00F96B7B" w:rsidRDefault="009E0833">
            <w:pPr>
              <w:jc w:val="center"/>
            </w:pPr>
            <w:r>
              <w:rPr>
                <w:rFonts w:eastAsiaTheme="minorEastAsia"/>
                <w:color w:val="000000" w:themeColor="text1"/>
                <w:szCs w:val="21"/>
              </w:rPr>
              <w:t>-</w:t>
            </w:r>
          </w:p>
        </w:tc>
      </w:tr>
      <w:tr w:rsidR="00F96B7B">
        <w:tc>
          <w:tcPr>
            <w:tcW w:w="1395" w:type="dxa"/>
            <w:vAlign w:val="center"/>
          </w:tcPr>
          <w:p w:rsidR="00F96B7B" w:rsidRDefault="009E0833">
            <w:pPr>
              <w:jc w:val="left"/>
            </w:pPr>
            <w:r>
              <w:rPr>
                <w:rFonts w:eastAsiaTheme="minorEastAsia"/>
                <w:color w:val="000000" w:themeColor="text1"/>
                <w:szCs w:val="21"/>
              </w:rPr>
              <w:t>过去三年</w:t>
            </w:r>
          </w:p>
        </w:tc>
        <w:tc>
          <w:tcPr>
            <w:tcW w:w="1092" w:type="dxa"/>
            <w:vAlign w:val="center"/>
          </w:tcPr>
          <w:p w:rsidR="00F96B7B" w:rsidRDefault="009E0833">
            <w:pPr>
              <w:jc w:val="center"/>
            </w:pPr>
            <w:r>
              <w:rPr>
                <w:rFonts w:eastAsiaTheme="minorEastAsia"/>
                <w:color w:val="000000" w:themeColor="text1"/>
                <w:szCs w:val="21"/>
              </w:rPr>
              <w:t>-</w:t>
            </w:r>
          </w:p>
        </w:tc>
        <w:tc>
          <w:tcPr>
            <w:tcW w:w="1161" w:type="dxa"/>
            <w:vAlign w:val="center"/>
          </w:tcPr>
          <w:p w:rsidR="00F96B7B" w:rsidRDefault="009E0833">
            <w:pPr>
              <w:jc w:val="center"/>
            </w:pPr>
            <w:r>
              <w:rPr>
                <w:rFonts w:eastAsiaTheme="minorEastAsia"/>
                <w:color w:val="000000" w:themeColor="text1"/>
                <w:szCs w:val="21"/>
              </w:rPr>
              <w:t>-</w:t>
            </w:r>
          </w:p>
        </w:tc>
        <w:tc>
          <w:tcPr>
            <w:tcW w:w="1181" w:type="dxa"/>
            <w:vAlign w:val="center"/>
          </w:tcPr>
          <w:p w:rsidR="00F96B7B" w:rsidRDefault="009E0833">
            <w:pPr>
              <w:jc w:val="center"/>
            </w:pPr>
            <w:r>
              <w:rPr>
                <w:rFonts w:eastAsiaTheme="minorEastAsia"/>
                <w:color w:val="000000" w:themeColor="text1"/>
                <w:szCs w:val="21"/>
              </w:rPr>
              <w:t>-</w:t>
            </w:r>
          </w:p>
        </w:tc>
        <w:tc>
          <w:tcPr>
            <w:tcW w:w="1188" w:type="dxa"/>
            <w:vAlign w:val="center"/>
          </w:tcPr>
          <w:p w:rsidR="00F96B7B" w:rsidRDefault="009E0833">
            <w:pPr>
              <w:jc w:val="center"/>
            </w:pPr>
            <w:r>
              <w:rPr>
                <w:rFonts w:eastAsiaTheme="minorEastAsia"/>
                <w:color w:val="000000" w:themeColor="text1"/>
                <w:szCs w:val="21"/>
              </w:rPr>
              <w:t>-</w:t>
            </w:r>
          </w:p>
        </w:tc>
        <w:tc>
          <w:tcPr>
            <w:tcW w:w="1199" w:type="dxa"/>
            <w:vAlign w:val="center"/>
          </w:tcPr>
          <w:p w:rsidR="00F96B7B" w:rsidRDefault="009E0833">
            <w:pPr>
              <w:jc w:val="center"/>
            </w:pPr>
            <w:r>
              <w:rPr>
                <w:rFonts w:eastAsiaTheme="minorEastAsia"/>
                <w:color w:val="000000" w:themeColor="text1"/>
                <w:szCs w:val="21"/>
              </w:rPr>
              <w:t>-</w:t>
            </w:r>
          </w:p>
        </w:tc>
        <w:tc>
          <w:tcPr>
            <w:tcW w:w="1204" w:type="dxa"/>
            <w:vAlign w:val="center"/>
          </w:tcPr>
          <w:p w:rsidR="00F96B7B" w:rsidRDefault="009E0833">
            <w:pPr>
              <w:jc w:val="center"/>
            </w:pPr>
            <w:r>
              <w:rPr>
                <w:rFonts w:eastAsiaTheme="minorEastAsia"/>
                <w:color w:val="000000" w:themeColor="text1"/>
                <w:szCs w:val="21"/>
              </w:rPr>
              <w:t>-</w:t>
            </w:r>
          </w:p>
        </w:tc>
      </w:tr>
      <w:tr w:rsidR="00F96B7B">
        <w:tc>
          <w:tcPr>
            <w:tcW w:w="1395" w:type="dxa"/>
            <w:vAlign w:val="center"/>
          </w:tcPr>
          <w:p w:rsidR="00F96B7B" w:rsidRDefault="009E0833">
            <w:pPr>
              <w:jc w:val="left"/>
            </w:pPr>
            <w:r>
              <w:rPr>
                <w:rFonts w:eastAsiaTheme="minorEastAsia"/>
                <w:color w:val="000000" w:themeColor="text1"/>
                <w:szCs w:val="21"/>
              </w:rPr>
              <w:t>过去五年</w:t>
            </w:r>
          </w:p>
        </w:tc>
        <w:tc>
          <w:tcPr>
            <w:tcW w:w="1092" w:type="dxa"/>
            <w:vAlign w:val="center"/>
          </w:tcPr>
          <w:p w:rsidR="00F96B7B" w:rsidRDefault="009E0833">
            <w:pPr>
              <w:jc w:val="center"/>
            </w:pPr>
            <w:r>
              <w:rPr>
                <w:rFonts w:eastAsiaTheme="minorEastAsia"/>
                <w:color w:val="000000" w:themeColor="text1"/>
                <w:szCs w:val="21"/>
              </w:rPr>
              <w:t>-</w:t>
            </w:r>
          </w:p>
        </w:tc>
        <w:tc>
          <w:tcPr>
            <w:tcW w:w="1161" w:type="dxa"/>
            <w:vAlign w:val="center"/>
          </w:tcPr>
          <w:p w:rsidR="00F96B7B" w:rsidRDefault="009E0833">
            <w:pPr>
              <w:jc w:val="center"/>
            </w:pPr>
            <w:r>
              <w:rPr>
                <w:rFonts w:eastAsiaTheme="minorEastAsia"/>
                <w:color w:val="000000" w:themeColor="text1"/>
                <w:szCs w:val="21"/>
              </w:rPr>
              <w:t>-</w:t>
            </w:r>
          </w:p>
        </w:tc>
        <w:tc>
          <w:tcPr>
            <w:tcW w:w="1181" w:type="dxa"/>
            <w:vAlign w:val="center"/>
          </w:tcPr>
          <w:p w:rsidR="00F96B7B" w:rsidRDefault="009E0833">
            <w:pPr>
              <w:jc w:val="center"/>
            </w:pPr>
            <w:r>
              <w:rPr>
                <w:rFonts w:eastAsiaTheme="minorEastAsia"/>
                <w:color w:val="000000" w:themeColor="text1"/>
                <w:szCs w:val="21"/>
              </w:rPr>
              <w:t>-</w:t>
            </w:r>
          </w:p>
        </w:tc>
        <w:tc>
          <w:tcPr>
            <w:tcW w:w="1188" w:type="dxa"/>
            <w:vAlign w:val="center"/>
          </w:tcPr>
          <w:p w:rsidR="00F96B7B" w:rsidRDefault="009E0833">
            <w:pPr>
              <w:jc w:val="center"/>
            </w:pPr>
            <w:r>
              <w:rPr>
                <w:rFonts w:eastAsiaTheme="minorEastAsia"/>
                <w:color w:val="000000" w:themeColor="text1"/>
                <w:szCs w:val="21"/>
              </w:rPr>
              <w:t>-</w:t>
            </w:r>
          </w:p>
        </w:tc>
        <w:tc>
          <w:tcPr>
            <w:tcW w:w="1199" w:type="dxa"/>
            <w:vAlign w:val="center"/>
          </w:tcPr>
          <w:p w:rsidR="00F96B7B" w:rsidRDefault="009E0833">
            <w:pPr>
              <w:jc w:val="center"/>
            </w:pPr>
            <w:r>
              <w:rPr>
                <w:rFonts w:eastAsiaTheme="minorEastAsia"/>
                <w:color w:val="000000" w:themeColor="text1"/>
                <w:szCs w:val="21"/>
              </w:rPr>
              <w:t>-</w:t>
            </w:r>
          </w:p>
        </w:tc>
        <w:tc>
          <w:tcPr>
            <w:tcW w:w="1204" w:type="dxa"/>
            <w:vAlign w:val="center"/>
          </w:tcPr>
          <w:p w:rsidR="00F96B7B" w:rsidRDefault="009E0833">
            <w:pPr>
              <w:jc w:val="center"/>
            </w:pPr>
            <w:r>
              <w:rPr>
                <w:rFonts w:eastAsiaTheme="minorEastAsia"/>
                <w:color w:val="000000" w:themeColor="text1"/>
                <w:szCs w:val="21"/>
              </w:rPr>
              <w:t>-</w:t>
            </w:r>
          </w:p>
        </w:tc>
      </w:tr>
      <w:tr w:rsidR="00F96B7B">
        <w:tc>
          <w:tcPr>
            <w:tcW w:w="1395" w:type="dxa"/>
            <w:vAlign w:val="center"/>
          </w:tcPr>
          <w:p w:rsidR="00F96B7B" w:rsidRDefault="009E0833">
            <w:pPr>
              <w:jc w:val="left"/>
            </w:pPr>
            <w:r>
              <w:rPr>
                <w:rFonts w:eastAsiaTheme="minorEastAsia"/>
                <w:color w:val="000000" w:themeColor="text1"/>
                <w:szCs w:val="21"/>
              </w:rPr>
              <w:t>自基金合同生效起至今</w:t>
            </w:r>
          </w:p>
        </w:tc>
        <w:tc>
          <w:tcPr>
            <w:tcW w:w="1092" w:type="dxa"/>
            <w:vAlign w:val="center"/>
          </w:tcPr>
          <w:p w:rsidR="00F96B7B" w:rsidRDefault="009E0833">
            <w:pPr>
              <w:jc w:val="center"/>
            </w:pPr>
            <w:r>
              <w:rPr>
                <w:rFonts w:eastAsiaTheme="minorEastAsia"/>
                <w:color w:val="000000" w:themeColor="text1"/>
                <w:szCs w:val="21"/>
              </w:rPr>
              <w:t>0.66%</w:t>
            </w:r>
          </w:p>
        </w:tc>
        <w:tc>
          <w:tcPr>
            <w:tcW w:w="1161" w:type="dxa"/>
            <w:vAlign w:val="center"/>
          </w:tcPr>
          <w:p w:rsidR="00F96B7B" w:rsidRDefault="009E0833">
            <w:pPr>
              <w:jc w:val="center"/>
            </w:pPr>
            <w:r>
              <w:rPr>
                <w:rFonts w:eastAsiaTheme="minorEastAsia"/>
                <w:color w:val="000000" w:themeColor="text1"/>
                <w:szCs w:val="21"/>
              </w:rPr>
              <w:t>0.01%</w:t>
            </w:r>
          </w:p>
        </w:tc>
        <w:tc>
          <w:tcPr>
            <w:tcW w:w="1181" w:type="dxa"/>
            <w:vAlign w:val="center"/>
          </w:tcPr>
          <w:p w:rsidR="00F96B7B" w:rsidRDefault="009E0833">
            <w:pPr>
              <w:jc w:val="center"/>
            </w:pPr>
            <w:r>
              <w:rPr>
                <w:rFonts w:eastAsiaTheme="minorEastAsia"/>
                <w:color w:val="000000" w:themeColor="text1"/>
                <w:szCs w:val="21"/>
              </w:rPr>
              <w:t>0.83%</w:t>
            </w:r>
          </w:p>
        </w:tc>
        <w:tc>
          <w:tcPr>
            <w:tcW w:w="1188" w:type="dxa"/>
            <w:vAlign w:val="center"/>
          </w:tcPr>
          <w:p w:rsidR="00F96B7B" w:rsidRDefault="009E0833">
            <w:pPr>
              <w:jc w:val="center"/>
            </w:pPr>
            <w:r>
              <w:rPr>
                <w:rFonts w:eastAsiaTheme="minorEastAsia"/>
                <w:color w:val="000000" w:themeColor="text1"/>
                <w:szCs w:val="21"/>
              </w:rPr>
              <w:t>0.01%</w:t>
            </w:r>
          </w:p>
        </w:tc>
        <w:tc>
          <w:tcPr>
            <w:tcW w:w="1199" w:type="dxa"/>
            <w:vAlign w:val="center"/>
          </w:tcPr>
          <w:p w:rsidR="00F96B7B" w:rsidRDefault="009E0833">
            <w:pPr>
              <w:jc w:val="center"/>
            </w:pPr>
            <w:r>
              <w:rPr>
                <w:rFonts w:eastAsiaTheme="minorEastAsia"/>
                <w:color w:val="000000" w:themeColor="text1"/>
                <w:szCs w:val="21"/>
              </w:rPr>
              <w:t>-0.17%</w:t>
            </w:r>
          </w:p>
        </w:tc>
        <w:tc>
          <w:tcPr>
            <w:tcW w:w="1204" w:type="dxa"/>
            <w:vAlign w:val="center"/>
          </w:tcPr>
          <w:p w:rsidR="00F96B7B" w:rsidRDefault="009E0833">
            <w:pPr>
              <w:jc w:val="center"/>
            </w:pPr>
            <w:r>
              <w:rPr>
                <w:rFonts w:eastAsiaTheme="minorEastAsia"/>
                <w:color w:val="000000" w:themeColor="text1"/>
                <w:szCs w:val="21"/>
              </w:rPr>
              <w:t>0.00%</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3.2.2</w:t>
      </w:r>
      <w:r w:rsidRPr="00473486">
        <w:rPr>
          <w:rStyle w:val="af4"/>
          <w:color w:val="000000" w:themeColor="text1"/>
          <w:sz w:val="24"/>
          <w:shd w:val="clear" w:color="auto" w:fill="FFFFFF"/>
        </w:rPr>
        <w:t>自基金合同生效以来</w:t>
      </w:r>
      <w:r w:rsidRPr="00473486">
        <w:rPr>
          <w:rFonts w:eastAsiaTheme="minorEastAsia"/>
          <w:b/>
          <w:bCs/>
          <w:color w:val="000000" w:themeColor="text1"/>
          <w:sz w:val="24"/>
        </w:rPr>
        <w:t>基金累计净值增长率变动及其与同期业绩比较基准收益率变动的比较</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szCs w:val="21"/>
        </w:rPr>
        <w:t>摩根中证同业存单</w:t>
      </w:r>
      <w:r w:rsidRPr="00473486">
        <w:rPr>
          <w:rFonts w:eastAsiaTheme="minorEastAsia"/>
          <w:color w:val="000000" w:themeColor="text1"/>
          <w:szCs w:val="21"/>
        </w:rPr>
        <w:t>AAA</w:t>
      </w:r>
      <w:r w:rsidRPr="00473486">
        <w:rPr>
          <w:rFonts w:eastAsiaTheme="minorEastAsia"/>
          <w:color w:val="000000" w:themeColor="text1"/>
          <w:szCs w:val="21"/>
        </w:rPr>
        <w:t>指数</w:t>
      </w:r>
      <w:r w:rsidRPr="00473486">
        <w:rPr>
          <w:rFonts w:eastAsiaTheme="minorEastAsia"/>
          <w:color w:val="000000" w:themeColor="text1"/>
          <w:szCs w:val="21"/>
        </w:rPr>
        <w:t>7</w:t>
      </w:r>
      <w:r w:rsidRPr="00473486">
        <w:rPr>
          <w:rFonts w:eastAsiaTheme="minorEastAsia"/>
          <w:color w:val="000000" w:themeColor="text1"/>
          <w:szCs w:val="21"/>
        </w:rPr>
        <w:t>天持有期证券投资基金</w:t>
      </w:r>
    </w:p>
    <w:p w:rsidR="00881A82" w:rsidRPr="00473486" w:rsidRDefault="007D1E3A">
      <w:pPr>
        <w:pStyle w:val="a9"/>
        <w:snapToGrid w:val="0"/>
        <w:spacing w:line="360" w:lineRule="auto"/>
        <w:jc w:val="center"/>
        <w:rPr>
          <w:rFonts w:ascii="Times New Roman" w:eastAsiaTheme="minorEastAsia" w:hAnsi="Times New Roman"/>
          <w:color w:val="000000" w:themeColor="text1"/>
        </w:rPr>
      </w:pPr>
      <w:r w:rsidRPr="00473486">
        <w:rPr>
          <w:rFonts w:ascii="Times New Roman" w:eastAsiaTheme="minorEastAsia" w:hAnsi="Times New Roman"/>
          <w:color w:val="000000" w:themeColor="text1"/>
        </w:rPr>
        <w:t>累计净值增长率与业绩比较基准收益率历史走势对比图</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kern w:val="0"/>
          <w:szCs w:val="21"/>
        </w:rPr>
        <w:t>（</w:t>
      </w:r>
      <w:r w:rsidRPr="00473486">
        <w:rPr>
          <w:rFonts w:eastAsiaTheme="minorEastAsia"/>
          <w:color w:val="000000" w:themeColor="text1"/>
          <w:kern w:val="0"/>
          <w:szCs w:val="21"/>
        </w:rPr>
        <w:t>2023</w:t>
      </w:r>
      <w:r w:rsidRPr="00473486">
        <w:rPr>
          <w:rFonts w:eastAsiaTheme="minorEastAsia"/>
          <w:color w:val="000000" w:themeColor="text1"/>
          <w:kern w:val="0"/>
          <w:szCs w:val="21"/>
        </w:rPr>
        <w:t>年</w:t>
      </w:r>
      <w:r w:rsidRPr="00473486">
        <w:rPr>
          <w:rFonts w:eastAsiaTheme="minorEastAsia"/>
          <w:color w:val="000000" w:themeColor="text1"/>
          <w:kern w:val="0"/>
          <w:szCs w:val="21"/>
        </w:rPr>
        <w:t>12</w:t>
      </w:r>
      <w:r w:rsidRPr="00473486">
        <w:rPr>
          <w:rFonts w:eastAsiaTheme="minorEastAsia"/>
          <w:color w:val="000000" w:themeColor="text1"/>
          <w:kern w:val="0"/>
          <w:szCs w:val="21"/>
        </w:rPr>
        <w:t>月</w:t>
      </w:r>
      <w:r w:rsidRPr="00473486">
        <w:rPr>
          <w:rFonts w:eastAsiaTheme="minorEastAsia"/>
          <w:color w:val="000000" w:themeColor="text1"/>
          <w:kern w:val="0"/>
          <w:szCs w:val="21"/>
        </w:rPr>
        <w:t>18</w:t>
      </w:r>
      <w:r w:rsidRPr="00473486">
        <w:rPr>
          <w:rFonts w:eastAsiaTheme="minorEastAsia"/>
          <w:color w:val="000000" w:themeColor="text1"/>
          <w:kern w:val="0"/>
          <w:szCs w:val="21"/>
        </w:rPr>
        <w:t>日至</w:t>
      </w:r>
      <w:r w:rsidRPr="00473486">
        <w:rPr>
          <w:rFonts w:eastAsiaTheme="minorEastAsia"/>
          <w:color w:val="000000" w:themeColor="text1"/>
          <w:kern w:val="0"/>
          <w:szCs w:val="21"/>
        </w:rPr>
        <w:t>2024</w:t>
      </w:r>
      <w:r w:rsidRPr="00473486">
        <w:rPr>
          <w:rFonts w:eastAsiaTheme="minorEastAsia"/>
          <w:color w:val="000000" w:themeColor="text1"/>
          <w:kern w:val="0"/>
          <w:szCs w:val="21"/>
        </w:rPr>
        <w:t>年</w:t>
      </w:r>
      <w:r w:rsidRPr="00473486">
        <w:rPr>
          <w:rFonts w:eastAsiaTheme="minorEastAsia"/>
          <w:color w:val="000000" w:themeColor="text1"/>
          <w:kern w:val="0"/>
          <w:szCs w:val="21"/>
        </w:rPr>
        <w:t>3</w:t>
      </w:r>
      <w:r w:rsidRPr="00473486">
        <w:rPr>
          <w:rFonts w:eastAsiaTheme="minorEastAsia"/>
          <w:color w:val="000000" w:themeColor="text1"/>
          <w:kern w:val="0"/>
          <w:szCs w:val="21"/>
        </w:rPr>
        <w:t>月</w:t>
      </w:r>
      <w:r w:rsidRPr="00473486">
        <w:rPr>
          <w:rFonts w:eastAsiaTheme="minorEastAsia"/>
          <w:color w:val="000000" w:themeColor="text1"/>
          <w:kern w:val="0"/>
          <w:szCs w:val="21"/>
        </w:rPr>
        <w:t>31</w:t>
      </w:r>
      <w:r w:rsidRPr="00473486">
        <w:rPr>
          <w:rFonts w:eastAsiaTheme="minorEastAsia"/>
          <w:color w:val="000000" w:themeColor="text1"/>
          <w:kern w:val="0"/>
          <w:szCs w:val="21"/>
        </w:rPr>
        <w:t>日）</w:t>
      </w:r>
    </w:p>
    <w:p w:rsidR="00881A82" w:rsidRPr="00473486" w:rsidRDefault="009E0833">
      <w:pPr>
        <w:tabs>
          <w:tab w:val="left" w:pos="1800"/>
        </w:tabs>
        <w:spacing w:line="360" w:lineRule="auto"/>
        <w:jc w:val="center"/>
        <w:rPr>
          <w:rFonts w:eastAsiaTheme="minorEastAsia"/>
          <w:color w:val="000000" w:themeColor="text1"/>
          <w:sz w:val="24"/>
        </w:rPr>
      </w:pPr>
      <w:r w:rsidRPr="00473486">
        <w:rPr>
          <w:rFonts w:eastAsiaTheme="minorEastAsia"/>
          <w:noProof/>
          <w:color w:val="000000" w:themeColor="text1"/>
          <w:sz w:val="24"/>
        </w:rPr>
        <w:drawing>
          <wp:inline distT="0" distB="0" distL="0" distR="0" wp14:anchorId="73EB5849" wp14:editId="26A6E594">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9E0833" w:rsidRDefault="009E0833" w:rsidP="009E0833">
      <w:pPr>
        <w:spacing w:line="360" w:lineRule="auto"/>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日，截至本报告期末本基金合同生效未满一年。</w:t>
      </w:r>
    </w:p>
    <w:p w:rsidR="009E0833" w:rsidRPr="00B27A29" w:rsidRDefault="009E0833" w:rsidP="009E0833">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个月，截至本报告期末本基金仍处于建仓期。</w:t>
      </w:r>
    </w:p>
    <w:p w:rsidR="00881A82" w:rsidRPr="00473486" w:rsidRDefault="00881A82">
      <w:pPr>
        <w:pStyle w:val="a9"/>
        <w:snapToGrid w:val="0"/>
        <w:spacing w:before="120" w:line="360" w:lineRule="auto"/>
        <w:jc w:val="center"/>
        <w:rPr>
          <w:rFonts w:ascii="Times New Roman" w:eastAsiaTheme="minorEastAsia" w:hAnsi="Times New Roman"/>
          <w:color w:val="000000" w:themeColor="text1"/>
          <w:sz w:val="24"/>
          <w:szCs w:val="24"/>
        </w:rPr>
      </w:pPr>
    </w:p>
    <w:p w:rsidR="00881A82" w:rsidRPr="00473486" w:rsidRDefault="00881A82">
      <w:pPr>
        <w:tabs>
          <w:tab w:val="left" w:pos="1800"/>
        </w:tabs>
        <w:spacing w:line="288" w:lineRule="auto"/>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lastRenderedPageBreak/>
        <w:t xml:space="preserve">§4  </w:t>
      </w:r>
      <w:r w:rsidRPr="00473486">
        <w:rPr>
          <w:rFonts w:eastAsiaTheme="minorEastAsia"/>
          <w:color w:val="000000" w:themeColor="text1"/>
          <w:kern w:val="0"/>
          <w:sz w:val="24"/>
          <w:szCs w:val="24"/>
        </w:rPr>
        <w:t>管理人报告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4.1 </w:t>
      </w:r>
      <w:r w:rsidRPr="00473486">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81A82" w:rsidRPr="00473486">
        <w:trPr>
          <w:cantSplit/>
          <w:trHeight w:val="292"/>
        </w:trPr>
        <w:tc>
          <w:tcPr>
            <w:tcW w:w="851"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姓名</w:t>
            </w:r>
          </w:p>
        </w:tc>
        <w:tc>
          <w:tcPr>
            <w:tcW w:w="850"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职务</w:t>
            </w:r>
          </w:p>
        </w:tc>
        <w:tc>
          <w:tcPr>
            <w:tcW w:w="3119" w:type="dxa"/>
            <w:gridSpan w:val="2"/>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任本基金的基金经理期限</w:t>
            </w:r>
          </w:p>
        </w:tc>
        <w:tc>
          <w:tcPr>
            <w:tcW w:w="1417" w:type="dxa"/>
            <w:vMerge w:val="restart"/>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证券从业年限</w:t>
            </w:r>
          </w:p>
        </w:tc>
        <w:tc>
          <w:tcPr>
            <w:tcW w:w="2694"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说明</w:t>
            </w:r>
          </w:p>
        </w:tc>
      </w:tr>
      <w:tr w:rsidR="00881A82" w:rsidRPr="00473486">
        <w:trPr>
          <w:cantSplit/>
        </w:trPr>
        <w:tc>
          <w:tcPr>
            <w:tcW w:w="851"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850"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1560"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任职日期</w:t>
            </w:r>
          </w:p>
        </w:tc>
        <w:tc>
          <w:tcPr>
            <w:tcW w:w="155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离任日期</w:t>
            </w:r>
          </w:p>
        </w:tc>
        <w:tc>
          <w:tcPr>
            <w:tcW w:w="1417"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2694"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r>
      <w:tr w:rsidR="00F96B7B">
        <w:tc>
          <w:tcPr>
            <w:tcW w:w="851" w:type="dxa"/>
            <w:vAlign w:val="center"/>
          </w:tcPr>
          <w:p w:rsidR="00F96B7B" w:rsidRDefault="009E0833">
            <w:pPr>
              <w:jc w:val="center"/>
            </w:pPr>
            <w:r>
              <w:rPr>
                <w:rFonts w:eastAsiaTheme="minorEastAsia"/>
                <w:color w:val="000000" w:themeColor="text1"/>
                <w:szCs w:val="21"/>
              </w:rPr>
              <w:t>鞠婷</w:t>
            </w:r>
          </w:p>
        </w:tc>
        <w:tc>
          <w:tcPr>
            <w:tcW w:w="850" w:type="dxa"/>
            <w:vAlign w:val="center"/>
          </w:tcPr>
          <w:p w:rsidR="00F96B7B" w:rsidRDefault="009E0833">
            <w:pPr>
              <w:jc w:val="center"/>
            </w:pPr>
            <w:r>
              <w:rPr>
                <w:rFonts w:eastAsiaTheme="minorEastAsia"/>
                <w:color w:val="000000" w:themeColor="text1"/>
                <w:szCs w:val="21"/>
              </w:rPr>
              <w:t>本基金基金经理</w:t>
            </w:r>
          </w:p>
        </w:tc>
        <w:tc>
          <w:tcPr>
            <w:tcW w:w="1560" w:type="dxa"/>
            <w:vAlign w:val="center"/>
          </w:tcPr>
          <w:p w:rsidR="00F96B7B" w:rsidRDefault="009E0833">
            <w:pPr>
              <w:jc w:val="center"/>
            </w:pPr>
            <w:r>
              <w:rPr>
                <w:rFonts w:eastAsiaTheme="minorEastAsia"/>
                <w:color w:val="000000" w:themeColor="text1"/>
                <w:szCs w:val="21"/>
              </w:rPr>
              <w:t>2023-12-18</w:t>
            </w:r>
          </w:p>
        </w:tc>
        <w:tc>
          <w:tcPr>
            <w:tcW w:w="1559" w:type="dxa"/>
            <w:vAlign w:val="center"/>
          </w:tcPr>
          <w:p w:rsidR="00F96B7B" w:rsidRDefault="009E0833">
            <w:pPr>
              <w:jc w:val="center"/>
            </w:pPr>
            <w:r>
              <w:rPr>
                <w:rFonts w:eastAsiaTheme="minorEastAsia"/>
                <w:color w:val="000000" w:themeColor="text1"/>
                <w:szCs w:val="21"/>
              </w:rPr>
              <w:t>-</w:t>
            </w:r>
          </w:p>
        </w:tc>
        <w:tc>
          <w:tcPr>
            <w:tcW w:w="1417" w:type="dxa"/>
            <w:vAlign w:val="center"/>
          </w:tcPr>
          <w:p w:rsidR="00F96B7B" w:rsidRDefault="009E0833">
            <w:pPr>
              <w:jc w:val="center"/>
            </w:pPr>
            <w:r>
              <w:rPr>
                <w:rFonts w:eastAsiaTheme="minorEastAsia"/>
                <w:color w:val="000000" w:themeColor="text1"/>
                <w:szCs w:val="21"/>
              </w:rPr>
              <w:t>18</w:t>
            </w:r>
            <w:r>
              <w:rPr>
                <w:rFonts w:eastAsiaTheme="minorEastAsia"/>
                <w:color w:val="000000" w:themeColor="text1"/>
                <w:szCs w:val="21"/>
              </w:rPr>
              <w:t>年</w:t>
            </w:r>
          </w:p>
        </w:tc>
        <w:tc>
          <w:tcPr>
            <w:tcW w:w="2694" w:type="dxa"/>
            <w:vAlign w:val="center"/>
          </w:tcPr>
          <w:p w:rsidR="00F96B7B" w:rsidRDefault="009E0833">
            <w:r>
              <w:rPr>
                <w:rFonts w:eastAsiaTheme="minorEastAsia"/>
                <w:color w:val="000000" w:themeColor="text1"/>
                <w:szCs w:val="21"/>
              </w:rPr>
              <w:t>鞠婷女士曾任中国建设银行第一支行助理经济师，瑞穗银行总行总经理助理。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月起加入摩根基金管理（中国）有限公司（原上投摩根基金管理有限公司），历任基金经理助理、基金经理，高级基金经理，现任货币市场投资部副总监兼资深基金经理。</w:t>
            </w:r>
          </w:p>
        </w:tc>
      </w:tr>
      <w:tr w:rsidR="00F96B7B">
        <w:tc>
          <w:tcPr>
            <w:tcW w:w="851" w:type="dxa"/>
            <w:vAlign w:val="center"/>
          </w:tcPr>
          <w:p w:rsidR="00F96B7B" w:rsidRDefault="009E0833">
            <w:pPr>
              <w:jc w:val="center"/>
            </w:pPr>
            <w:r>
              <w:rPr>
                <w:rFonts w:eastAsiaTheme="minorEastAsia"/>
                <w:color w:val="000000" w:themeColor="text1"/>
                <w:szCs w:val="21"/>
              </w:rPr>
              <w:t>邱林晶</w:t>
            </w:r>
          </w:p>
        </w:tc>
        <w:tc>
          <w:tcPr>
            <w:tcW w:w="850" w:type="dxa"/>
            <w:vAlign w:val="center"/>
          </w:tcPr>
          <w:p w:rsidR="00F96B7B" w:rsidRDefault="009E0833">
            <w:pPr>
              <w:jc w:val="center"/>
            </w:pPr>
            <w:r>
              <w:rPr>
                <w:rFonts w:eastAsiaTheme="minorEastAsia"/>
                <w:color w:val="000000" w:themeColor="text1"/>
                <w:szCs w:val="21"/>
              </w:rPr>
              <w:t>本基金基金经理</w:t>
            </w:r>
          </w:p>
        </w:tc>
        <w:tc>
          <w:tcPr>
            <w:tcW w:w="1560" w:type="dxa"/>
            <w:vAlign w:val="center"/>
          </w:tcPr>
          <w:p w:rsidR="00F96B7B" w:rsidRDefault="009E0833">
            <w:pPr>
              <w:jc w:val="center"/>
            </w:pPr>
            <w:r>
              <w:rPr>
                <w:rFonts w:eastAsiaTheme="minorEastAsia"/>
                <w:color w:val="000000" w:themeColor="text1"/>
                <w:szCs w:val="21"/>
              </w:rPr>
              <w:t>2023-12-22</w:t>
            </w:r>
          </w:p>
        </w:tc>
        <w:tc>
          <w:tcPr>
            <w:tcW w:w="1559" w:type="dxa"/>
            <w:vAlign w:val="center"/>
          </w:tcPr>
          <w:p w:rsidR="00F96B7B" w:rsidRDefault="009E0833">
            <w:pPr>
              <w:jc w:val="center"/>
            </w:pPr>
            <w:r>
              <w:rPr>
                <w:rFonts w:eastAsiaTheme="minorEastAsia"/>
                <w:color w:val="000000" w:themeColor="text1"/>
                <w:szCs w:val="21"/>
              </w:rPr>
              <w:t>-</w:t>
            </w:r>
          </w:p>
        </w:tc>
        <w:tc>
          <w:tcPr>
            <w:tcW w:w="1417" w:type="dxa"/>
            <w:vAlign w:val="center"/>
          </w:tcPr>
          <w:p w:rsidR="00F96B7B" w:rsidRDefault="009E0833">
            <w:pPr>
              <w:jc w:val="center"/>
            </w:pPr>
            <w:r>
              <w:rPr>
                <w:rFonts w:eastAsiaTheme="minorEastAsia"/>
                <w:color w:val="000000" w:themeColor="text1"/>
                <w:szCs w:val="21"/>
              </w:rPr>
              <w:t>10</w:t>
            </w:r>
            <w:r>
              <w:rPr>
                <w:rFonts w:eastAsiaTheme="minorEastAsia"/>
                <w:color w:val="000000" w:themeColor="text1"/>
                <w:szCs w:val="21"/>
              </w:rPr>
              <w:t>年</w:t>
            </w:r>
          </w:p>
        </w:tc>
        <w:tc>
          <w:tcPr>
            <w:tcW w:w="2694" w:type="dxa"/>
            <w:vAlign w:val="center"/>
          </w:tcPr>
          <w:p w:rsidR="00F96B7B" w:rsidRDefault="009E0833">
            <w:r>
              <w:rPr>
                <w:rFonts w:eastAsiaTheme="minorEastAsia"/>
                <w:color w:val="000000" w:themeColor="text1"/>
                <w:szCs w:val="21"/>
              </w:rPr>
              <w:t>邱林晶女士曾任国泰基金管理有限公司风险管理部分析师，平安资产管理有限责任公司固收交易员，中银理财有限责任公司集中交易室高级经理、活期理财产品部投资经理；自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月加入摩根基金管理（中国）有限公司（原上投摩根基金管理有限公司），历任货币市场投资部基金经理助理，现任基金经理。</w:t>
            </w:r>
          </w:p>
        </w:tc>
      </w:tr>
    </w:tbl>
    <w:p w:rsidR="00F96B7B" w:rsidRDefault="009E083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F96B7B" w:rsidRDefault="009E0833">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鞠婷女士为本基金首任基金经理，其任职日期为本基金基金合同生效之日。</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3.</w:t>
      </w:r>
      <w:r w:rsidRPr="00473486">
        <w:rPr>
          <w:rFonts w:eastAsiaTheme="minorEastAsia"/>
          <w:color w:val="000000" w:themeColor="text1"/>
          <w:szCs w:val="21"/>
        </w:rPr>
        <w:t>证券从业的含义遵从行业协会《证券业从业人员资格管理办法》的相关规定。</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4.2</w:t>
      </w:r>
      <w:r w:rsidRPr="00473486">
        <w:rPr>
          <w:b/>
          <w:color w:val="000000"/>
          <w:sz w:val="24"/>
          <w:shd w:val="clear" w:color="auto" w:fill="FFFFFF"/>
        </w:rPr>
        <w:t>管理人对报告期内本基金运作遵规守信情况的说明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4.3 </w:t>
      </w:r>
      <w:r w:rsidRPr="00473486">
        <w:rPr>
          <w:rFonts w:eastAsiaTheme="minorEastAsia"/>
          <w:b/>
          <w:color w:val="000000" w:themeColor="text1"/>
          <w:kern w:val="0"/>
          <w:sz w:val="24"/>
        </w:rPr>
        <w:t>公平交易专项说明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lastRenderedPageBreak/>
        <w:t xml:space="preserve">4.3.1 </w:t>
      </w:r>
      <w:r w:rsidRPr="00473486">
        <w:rPr>
          <w:rFonts w:eastAsiaTheme="minorEastAsia"/>
          <w:color w:val="000000" w:themeColor="text1"/>
          <w:szCs w:val="21"/>
        </w:rPr>
        <w:t>公平交易制度的执行情况</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4.3.2 </w:t>
      </w:r>
      <w:r w:rsidRPr="00473486">
        <w:rPr>
          <w:rFonts w:eastAsiaTheme="minorEastAsia"/>
          <w:color w:val="000000" w:themeColor="text1"/>
          <w:szCs w:val="21"/>
        </w:rPr>
        <w:t>异常交易行为的专项说明</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所有投资组合参与的交易所公开竞价同日反向交易成交较少的单边交易量超过该证券当日成交量的</w:t>
      </w:r>
      <w:r w:rsidRPr="00473486">
        <w:rPr>
          <w:rFonts w:eastAsiaTheme="minorEastAsia"/>
          <w:color w:val="000000" w:themeColor="text1"/>
          <w:szCs w:val="21"/>
        </w:rPr>
        <w:t>5%</w:t>
      </w:r>
      <w:r w:rsidRPr="00473486">
        <w:rPr>
          <w:rFonts w:eastAsiaTheme="minorEastAsia"/>
          <w:color w:val="000000" w:themeColor="text1"/>
          <w:szCs w:val="21"/>
        </w:rPr>
        <w:t>的情形：无。</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4.4 </w:t>
      </w:r>
      <w:r w:rsidRPr="00473486">
        <w:rPr>
          <w:rFonts w:eastAsiaTheme="minorEastAsia"/>
          <w:b/>
          <w:color w:val="000000" w:themeColor="text1"/>
          <w:kern w:val="0"/>
          <w:sz w:val="24"/>
        </w:rPr>
        <w:t>报告期内基金的投资策略和业绩表现说明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4.4.1</w:t>
      </w:r>
      <w:r w:rsidRPr="00473486">
        <w:rPr>
          <w:rFonts w:eastAsiaTheme="minorEastAsia"/>
          <w:color w:val="000000" w:themeColor="text1"/>
          <w:szCs w:val="21"/>
        </w:rPr>
        <w:t>报告期内基金投资策略和运作分析</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年一季度，随着宏观组合政策效应持续释放，生产需求稳中有升，经济运行起步平稳，延续了回升向好态势。</w:t>
      </w:r>
      <w:r>
        <w:rPr>
          <w:rFonts w:eastAsiaTheme="minorEastAsia"/>
          <w:color w:val="000000" w:themeColor="text1"/>
          <w:szCs w:val="21"/>
        </w:rPr>
        <w:t>1-2</w:t>
      </w:r>
      <w:r>
        <w:rPr>
          <w:rFonts w:eastAsiaTheme="minorEastAsia"/>
          <w:color w:val="000000" w:themeColor="text1"/>
          <w:szCs w:val="21"/>
        </w:rPr>
        <w:t>月份全国规模以上工业企业利润增长</w:t>
      </w:r>
      <w:r>
        <w:rPr>
          <w:rFonts w:eastAsiaTheme="minorEastAsia"/>
          <w:color w:val="000000" w:themeColor="text1"/>
          <w:szCs w:val="21"/>
        </w:rPr>
        <w:t>10.2%</w:t>
      </w:r>
      <w:r>
        <w:rPr>
          <w:rFonts w:eastAsiaTheme="minorEastAsia"/>
          <w:color w:val="000000" w:themeColor="text1"/>
          <w:szCs w:val="21"/>
        </w:rPr>
        <w:t>，利润由上年全年下降</w:t>
      </w:r>
      <w:r>
        <w:rPr>
          <w:rFonts w:eastAsiaTheme="minorEastAsia"/>
          <w:color w:val="000000" w:themeColor="text1"/>
          <w:szCs w:val="21"/>
        </w:rPr>
        <w:t>2.3%</w:t>
      </w:r>
      <w:r>
        <w:rPr>
          <w:rFonts w:eastAsiaTheme="minorEastAsia"/>
          <w:color w:val="000000" w:themeColor="text1"/>
          <w:szCs w:val="21"/>
        </w:rPr>
        <w:t>转为正增长；</w:t>
      </w:r>
      <w:r>
        <w:rPr>
          <w:rFonts w:eastAsiaTheme="minorEastAsia"/>
          <w:color w:val="000000" w:themeColor="text1"/>
          <w:szCs w:val="21"/>
        </w:rPr>
        <w:t>1-2</w:t>
      </w:r>
      <w:r>
        <w:rPr>
          <w:rFonts w:eastAsiaTheme="minorEastAsia"/>
          <w:color w:val="000000" w:themeColor="text1"/>
          <w:szCs w:val="21"/>
        </w:rPr>
        <w:t>月份全国固定资产投资增长</w:t>
      </w:r>
      <w:r>
        <w:rPr>
          <w:rFonts w:eastAsiaTheme="minorEastAsia"/>
          <w:color w:val="000000" w:themeColor="text1"/>
          <w:szCs w:val="21"/>
        </w:rPr>
        <w:t>4.2%</w:t>
      </w:r>
      <w:r>
        <w:rPr>
          <w:rFonts w:eastAsiaTheme="minorEastAsia"/>
          <w:color w:val="000000" w:themeColor="text1"/>
          <w:szCs w:val="21"/>
        </w:rPr>
        <w:t>，制造业投资增速加快</w:t>
      </w:r>
      <w:r>
        <w:rPr>
          <w:rFonts w:eastAsiaTheme="minorEastAsia"/>
          <w:color w:val="000000" w:themeColor="text1"/>
          <w:szCs w:val="21"/>
        </w:rPr>
        <w:t>; 1-2</w:t>
      </w:r>
      <w:r>
        <w:rPr>
          <w:rFonts w:eastAsiaTheme="minorEastAsia"/>
          <w:color w:val="000000" w:themeColor="text1"/>
          <w:szCs w:val="21"/>
        </w:rPr>
        <w:t>月份社会消费品零售总额增长</w:t>
      </w:r>
      <w:r>
        <w:rPr>
          <w:rFonts w:eastAsiaTheme="minorEastAsia"/>
          <w:color w:val="000000" w:themeColor="text1"/>
          <w:szCs w:val="21"/>
        </w:rPr>
        <w:t>5.5%</w:t>
      </w:r>
      <w:r>
        <w:rPr>
          <w:rFonts w:eastAsiaTheme="minorEastAsia"/>
          <w:color w:val="000000" w:themeColor="text1"/>
          <w:szCs w:val="21"/>
        </w:rPr>
        <w:t>，市场销售持续平稳恢复；</w:t>
      </w:r>
      <w:r>
        <w:rPr>
          <w:rFonts w:eastAsiaTheme="minorEastAsia"/>
          <w:color w:val="000000" w:themeColor="text1"/>
          <w:szCs w:val="21"/>
        </w:rPr>
        <w:t>3</w:t>
      </w:r>
      <w:r>
        <w:rPr>
          <w:rFonts w:eastAsiaTheme="minorEastAsia"/>
          <w:color w:val="000000" w:themeColor="text1"/>
          <w:szCs w:val="21"/>
        </w:rPr>
        <w:t>月份制造业采购经理人指数（</w:t>
      </w:r>
      <w:r>
        <w:rPr>
          <w:rFonts w:eastAsiaTheme="minorEastAsia"/>
          <w:color w:val="000000" w:themeColor="text1"/>
          <w:szCs w:val="21"/>
        </w:rPr>
        <w:t>PMI</w:t>
      </w:r>
      <w:r>
        <w:rPr>
          <w:rFonts w:eastAsiaTheme="minorEastAsia"/>
          <w:color w:val="000000" w:themeColor="text1"/>
          <w:szCs w:val="21"/>
        </w:rPr>
        <w:t>）为</w:t>
      </w:r>
      <w:r>
        <w:rPr>
          <w:rFonts w:eastAsiaTheme="minorEastAsia"/>
          <w:color w:val="000000" w:themeColor="text1"/>
          <w:szCs w:val="21"/>
        </w:rPr>
        <w:t>50.8%</w:t>
      </w:r>
      <w:r>
        <w:rPr>
          <w:rFonts w:eastAsiaTheme="minorEastAsia"/>
          <w:color w:val="000000" w:themeColor="text1"/>
          <w:szCs w:val="21"/>
        </w:rPr>
        <w:t>，比上月上升</w:t>
      </w:r>
      <w:r>
        <w:rPr>
          <w:rFonts w:eastAsiaTheme="minorEastAsia"/>
          <w:color w:val="000000" w:themeColor="text1"/>
          <w:szCs w:val="21"/>
        </w:rPr>
        <w:t>1.7</w:t>
      </w:r>
      <w:r>
        <w:rPr>
          <w:rFonts w:eastAsiaTheme="minorEastAsia"/>
          <w:color w:val="000000" w:themeColor="text1"/>
          <w:szCs w:val="21"/>
        </w:rPr>
        <w:t>个百分点，制造业景气回升；</w:t>
      </w:r>
      <w:r>
        <w:rPr>
          <w:rFonts w:eastAsiaTheme="minorEastAsia"/>
          <w:color w:val="000000" w:themeColor="text1"/>
          <w:szCs w:val="21"/>
        </w:rPr>
        <w:t>2</w:t>
      </w:r>
      <w:r>
        <w:rPr>
          <w:rFonts w:eastAsiaTheme="minorEastAsia"/>
          <w:color w:val="000000" w:themeColor="text1"/>
          <w:szCs w:val="21"/>
        </w:rPr>
        <w:t>月消费者价格指数</w:t>
      </w:r>
      <w:r>
        <w:rPr>
          <w:rFonts w:eastAsiaTheme="minorEastAsia"/>
          <w:color w:val="000000" w:themeColor="text1"/>
          <w:szCs w:val="21"/>
        </w:rPr>
        <w:t>(CPI)</w:t>
      </w:r>
      <w:r>
        <w:rPr>
          <w:rFonts w:eastAsiaTheme="minorEastAsia"/>
          <w:color w:val="000000" w:themeColor="text1"/>
          <w:szCs w:val="21"/>
        </w:rPr>
        <w:t>当月同比上涨</w:t>
      </w:r>
      <w:r>
        <w:rPr>
          <w:rFonts w:eastAsiaTheme="minorEastAsia"/>
          <w:color w:val="000000" w:themeColor="text1"/>
          <w:szCs w:val="21"/>
        </w:rPr>
        <w:t>0.7%</w:t>
      </w:r>
      <w:r>
        <w:rPr>
          <w:rFonts w:eastAsiaTheme="minorEastAsia"/>
          <w:color w:val="000000" w:themeColor="text1"/>
          <w:szCs w:val="21"/>
        </w:rPr>
        <w:t>，生产者价格指数</w:t>
      </w:r>
      <w:r>
        <w:rPr>
          <w:rFonts w:eastAsiaTheme="minorEastAsia"/>
          <w:color w:val="000000" w:themeColor="text1"/>
          <w:szCs w:val="21"/>
        </w:rPr>
        <w:t>(PPI)</w:t>
      </w:r>
      <w:r>
        <w:rPr>
          <w:rFonts w:eastAsiaTheme="minorEastAsia"/>
          <w:color w:val="000000" w:themeColor="text1"/>
          <w:szCs w:val="21"/>
        </w:rPr>
        <w:t>当月同比下降</w:t>
      </w:r>
      <w:r>
        <w:rPr>
          <w:rFonts w:eastAsiaTheme="minorEastAsia"/>
          <w:color w:val="000000" w:themeColor="text1"/>
          <w:szCs w:val="21"/>
        </w:rPr>
        <w:t>2.7%</w:t>
      </w:r>
      <w:r>
        <w:rPr>
          <w:rFonts w:eastAsiaTheme="minorEastAsia"/>
          <w:color w:val="000000" w:themeColor="text1"/>
          <w:szCs w:val="21"/>
        </w:rPr>
        <w:t>。</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一季度，稳健的货币政策灵活适度、精准有效，促进社会综合融资成本稳中有降，保持人民币汇率稳定。在总量上，在灵活摆布中期借贷便利（</w:t>
      </w:r>
      <w:r>
        <w:rPr>
          <w:rFonts w:eastAsiaTheme="minorEastAsia"/>
          <w:color w:val="000000" w:themeColor="text1"/>
          <w:szCs w:val="21"/>
        </w:rPr>
        <w:t>MLF</w:t>
      </w:r>
      <w:r>
        <w:rPr>
          <w:rFonts w:eastAsiaTheme="minorEastAsia"/>
          <w:color w:val="000000" w:themeColor="text1"/>
          <w:szCs w:val="21"/>
        </w:rPr>
        <w:t>）、公开市场操作的同时，开年降准</w:t>
      </w:r>
      <w:r>
        <w:rPr>
          <w:rFonts w:eastAsiaTheme="minorEastAsia"/>
          <w:color w:val="000000" w:themeColor="text1"/>
          <w:szCs w:val="21"/>
        </w:rPr>
        <w:t>0.5</w:t>
      </w:r>
      <w:r>
        <w:rPr>
          <w:rFonts w:eastAsiaTheme="minorEastAsia"/>
          <w:color w:val="000000" w:themeColor="text1"/>
          <w:szCs w:val="21"/>
        </w:rPr>
        <w:t>个百分点，一次性释放长期流动性超过</w:t>
      </w:r>
      <w:r>
        <w:rPr>
          <w:rFonts w:eastAsiaTheme="minorEastAsia"/>
          <w:color w:val="000000" w:themeColor="text1"/>
          <w:szCs w:val="21"/>
        </w:rPr>
        <w:t>1</w:t>
      </w:r>
      <w:r>
        <w:rPr>
          <w:rFonts w:eastAsiaTheme="minorEastAsia"/>
          <w:color w:val="000000" w:themeColor="text1"/>
          <w:szCs w:val="21"/>
        </w:rPr>
        <w:t>万亿元，充分保障流动性供给。在价格</w:t>
      </w:r>
      <w:r>
        <w:rPr>
          <w:rFonts w:eastAsiaTheme="minorEastAsia"/>
          <w:color w:val="000000" w:themeColor="text1"/>
          <w:szCs w:val="21"/>
        </w:rPr>
        <w:lastRenderedPageBreak/>
        <w:t>上，</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5</w:t>
      </w:r>
      <w:r>
        <w:rPr>
          <w:rFonts w:eastAsiaTheme="minorEastAsia"/>
          <w:color w:val="000000" w:themeColor="text1"/>
          <w:szCs w:val="21"/>
        </w:rPr>
        <w:t>年期以上贷款市场报价利率（</w:t>
      </w:r>
      <w:r>
        <w:rPr>
          <w:rFonts w:eastAsiaTheme="minorEastAsia"/>
          <w:color w:val="000000" w:themeColor="text1"/>
          <w:szCs w:val="21"/>
        </w:rPr>
        <w:t>LPR</w:t>
      </w:r>
      <w:r>
        <w:rPr>
          <w:rFonts w:eastAsiaTheme="minorEastAsia"/>
          <w:color w:val="000000" w:themeColor="text1"/>
          <w:szCs w:val="21"/>
        </w:rPr>
        <w:t>）下行</w:t>
      </w:r>
      <w:r>
        <w:rPr>
          <w:rFonts w:eastAsiaTheme="minorEastAsia"/>
          <w:color w:val="000000" w:themeColor="text1"/>
          <w:szCs w:val="21"/>
        </w:rPr>
        <w:t>0.25</w:t>
      </w:r>
      <w:r>
        <w:rPr>
          <w:rFonts w:eastAsiaTheme="minorEastAsia"/>
          <w:color w:val="000000" w:themeColor="text1"/>
          <w:szCs w:val="21"/>
        </w:rPr>
        <w:t>个百分点，为</w:t>
      </w:r>
      <w:r>
        <w:rPr>
          <w:rFonts w:eastAsiaTheme="minorEastAsia"/>
          <w:color w:val="000000" w:themeColor="text1"/>
          <w:szCs w:val="21"/>
        </w:rPr>
        <w:t>LPR</w:t>
      </w:r>
      <w:r>
        <w:rPr>
          <w:rFonts w:eastAsiaTheme="minorEastAsia"/>
          <w:color w:val="000000" w:themeColor="text1"/>
          <w:szCs w:val="21"/>
        </w:rPr>
        <w:t>改革以来最大降幅，有效带动贷款利率的持续下降。总体来看，一季度债市短端收益率整体下行，</w:t>
      </w:r>
      <w:r>
        <w:rPr>
          <w:rFonts w:eastAsiaTheme="minorEastAsia"/>
          <w:color w:val="000000" w:themeColor="text1"/>
          <w:szCs w:val="21"/>
        </w:rPr>
        <w:t>1</w:t>
      </w:r>
      <w:r>
        <w:rPr>
          <w:rFonts w:eastAsiaTheme="minorEastAsia"/>
          <w:color w:val="000000" w:themeColor="text1"/>
          <w:szCs w:val="21"/>
        </w:rPr>
        <w:t>年期国股行同业存单收益率从年初</w:t>
      </w:r>
      <w:r>
        <w:rPr>
          <w:rFonts w:eastAsiaTheme="minorEastAsia"/>
          <w:color w:val="000000" w:themeColor="text1"/>
          <w:szCs w:val="21"/>
        </w:rPr>
        <w:t>2.45%</w:t>
      </w:r>
      <w:r>
        <w:rPr>
          <w:rFonts w:eastAsiaTheme="minorEastAsia"/>
          <w:color w:val="000000" w:themeColor="text1"/>
          <w:szCs w:val="21"/>
        </w:rPr>
        <w:t>下行</w:t>
      </w:r>
      <w:r>
        <w:rPr>
          <w:rFonts w:eastAsiaTheme="minorEastAsia"/>
          <w:color w:val="000000" w:themeColor="text1"/>
          <w:szCs w:val="21"/>
        </w:rPr>
        <w:t>20bps</w:t>
      </w:r>
      <w:r>
        <w:rPr>
          <w:rFonts w:eastAsiaTheme="minorEastAsia"/>
          <w:color w:val="000000" w:themeColor="text1"/>
          <w:szCs w:val="21"/>
        </w:rPr>
        <w:t>至</w:t>
      </w:r>
      <w:r>
        <w:rPr>
          <w:rFonts w:eastAsiaTheme="minorEastAsia"/>
          <w:color w:val="000000" w:themeColor="text1"/>
          <w:szCs w:val="21"/>
        </w:rPr>
        <w:t>2.25%</w:t>
      </w:r>
      <w:r>
        <w:rPr>
          <w:rFonts w:eastAsiaTheme="minorEastAsia"/>
          <w:color w:val="000000" w:themeColor="text1"/>
          <w:szCs w:val="21"/>
        </w:rPr>
        <w:t>附近；</w:t>
      </w:r>
      <w:r>
        <w:rPr>
          <w:rFonts w:eastAsiaTheme="minorEastAsia"/>
          <w:color w:val="000000" w:themeColor="text1"/>
          <w:szCs w:val="21"/>
        </w:rPr>
        <w:t>1</w:t>
      </w:r>
      <w:r>
        <w:rPr>
          <w:rFonts w:eastAsiaTheme="minorEastAsia"/>
          <w:color w:val="000000" w:themeColor="text1"/>
          <w:szCs w:val="21"/>
        </w:rPr>
        <w:t>年期国开债收益率从年初</w:t>
      </w:r>
      <w:r>
        <w:rPr>
          <w:rFonts w:eastAsiaTheme="minorEastAsia"/>
          <w:color w:val="000000" w:themeColor="text1"/>
          <w:szCs w:val="21"/>
        </w:rPr>
        <w:t>2.25%</w:t>
      </w:r>
      <w:r>
        <w:rPr>
          <w:rFonts w:eastAsiaTheme="minorEastAsia"/>
          <w:color w:val="000000" w:themeColor="text1"/>
          <w:szCs w:val="21"/>
        </w:rPr>
        <w:t>下行</w:t>
      </w:r>
      <w:r>
        <w:rPr>
          <w:rFonts w:eastAsiaTheme="minorEastAsia"/>
          <w:color w:val="000000" w:themeColor="text1"/>
          <w:szCs w:val="21"/>
        </w:rPr>
        <w:t>40bps</w:t>
      </w:r>
      <w:r>
        <w:rPr>
          <w:rFonts w:eastAsiaTheme="minorEastAsia"/>
          <w:color w:val="000000" w:themeColor="text1"/>
          <w:szCs w:val="21"/>
        </w:rPr>
        <w:t>至</w:t>
      </w:r>
      <w:r>
        <w:rPr>
          <w:rFonts w:eastAsiaTheme="minorEastAsia"/>
          <w:color w:val="000000" w:themeColor="text1"/>
          <w:szCs w:val="21"/>
        </w:rPr>
        <w:t>1.85%</w:t>
      </w:r>
      <w:r>
        <w:rPr>
          <w:rFonts w:eastAsiaTheme="minorEastAsia"/>
          <w:color w:val="000000" w:themeColor="text1"/>
          <w:szCs w:val="21"/>
        </w:rPr>
        <w:t>附近。</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报告期内，本基金采用抽样复制和动态最优化的方法，投资于标的指数中具有代表性和流动性的成份券和备选成份券，或选择非成份券作为替代，以实现对标的指数的有效跟踪，一季度组合整体运行状况良好。</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展望未来，政策效力或有望进一步发挥，推动大规模设备更新和消费品以旧换新、发行使用超长期特别国债等增量举措，将有助于推动经济持续恢复向好。稳健的货币政策预计保持灵活适度、精准有效，综合运用多种货币政策工具保持流动性合理充裕，促进社会融资规模、货币供应量同经济增长和价格水平预期目标相匹配。同时，中美货币政策</w:t>
      </w:r>
      <w:r w:rsidRPr="00473486">
        <w:rPr>
          <w:rFonts w:eastAsiaTheme="minorEastAsia"/>
          <w:color w:val="000000" w:themeColor="text1"/>
          <w:szCs w:val="21"/>
        </w:rPr>
        <w:t>“</w:t>
      </w:r>
      <w:r w:rsidRPr="00473486">
        <w:rPr>
          <w:rFonts w:eastAsiaTheme="minorEastAsia"/>
          <w:color w:val="000000" w:themeColor="text1"/>
          <w:szCs w:val="21"/>
        </w:rPr>
        <w:t>周期差</w:t>
      </w:r>
      <w:r w:rsidRPr="00473486">
        <w:rPr>
          <w:rFonts w:eastAsiaTheme="minorEastAsia"/>
          <w:color w:val="000000" w:themeColor="text1"/>
          <w:szCs w:val="21"/>
        </w:rPr>
        <w:t>”</w:t>
      </w:r>
      <w:r w:rsidRPr="00473486">
        <w:rPr>
          <w:rFonts w:eastAsiaTheme="minorEastAsia"/>
          <w:color w:val="000000" w:themeColor="text1"/>
          <w:szCs w:val="21"/>
        </w:rPr>
        <w:t>趋于收敛，货币政策操作的空间将进一步打开，银行负债成本存在一定下行空间。</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4.4.2</w:t>
      </w:r>
      <w:r w:rsidRPr="00473486">
        <w:rPr>
          <w:rFonts w:eastAsiaTheme="minorEastAsia"/>
          <w:color w:val="000000" w:themeColor="text1"/>
          <w:szCs w:val="21"/>
        </w:rPr>
        <w:t>报告期内基金的业绩表现</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本报告期摩根中证同业存单</w:t>
      </w:r>
      <w:r w:rsidRPr="00473486">
        <w:rPr>
          <w:rFonts w:eastAsiaTheme="minorEastAsia"/>
          <w:color w:val="000000" w:themeColor="text1"/>
          <w:szCs w:val="21"/>
        </w:rPr>
        <w:t>AAA</w:t>
      </w:r>
      <w:r w:rsidRPr="00473486">
        <w:rPr>
          <w:rFonts w:eastAsiaTheme="minorEastAsia"/>
          <w:color w:val="000000" w:themeColor="text1"/>
          <w:szCs w:val="21"/>
        </w:rPr>
        <w:t>指数</w:t>
      </w:r>
      <w:r w:rsidRPr="00473486">
        <w:rPr>
          <w:rFonts w:eastAsiaTheme="minorEastAsia"/>
          <w:color w:val="000000" w:themeColor="text1"/>
          <w:szCs w:val="21"/>
        </w:rPr>
        <w:t>7</w:t>
      </w:r>
      <w:r w:rsidRPr="00473486">
        <w:rPr>
          <w:rFonts w:eastAsiaTheme="minorEastAsia"/>
          <w:color w:val="000000" w:themeColor="text1"/>
          <w:szCs w:val="21"/>
        </w:rPr>
        <w:t>天份额净值增长率为</w:t>
      </w:r>
      <w:r w:rsidRPr="00473486">
        <w:rPr>
          <w:rFonts w:eastAsiaTheme="minorEastAsia"/>
          <w:color w:val="000000" w:themeColor="text1"/>
          <w:szCs w:val="21"/>
        </w:rPr>
        <w:t>:0.57%</w:t>
      </w:r>
      <w:r w:rsidRPr="00473486">
        <w:rPr>
          <w:rFonts w:eastAsiaTheme="minorEastAsia"/>
          <w:color w:val="000000" w:themeColor="text1"/>
          <w:szCs w:val="21"/>
        </w:rPr>
        <w:t>，同期业绩比较基准收益率为</w:t>
      </w:r>
      <w:r w:rsidRPr="00473486">
        <w:rPr>
          <w:rFonts w:eastAsiaTheme="minorEastAsia"/>
          <w:color w:val="000000" w:themeColor="text1"/>
          <w:szCs w:val="21"/>
        </w:rPr>
        <w:t>:0.63%</w:t>
      </w:r>
      <w:r w:rsidRPr="00473486">
        <w:rPr>
          <w:rFonts w:eastAsiaTheme="minorEastAsia"/>
          <w:color w:val="000000" w:themeColor="text1"/>
          <w:szCs w:val="21"/>
        </w:rPr>
        <w:t>。</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color w:val="000000" w:themeColor="text1"/>
          <w:sz w:val="24"/>
        </w:rPr>
      </w:pPr>
      <w:r w:rsidRPr="00473486">
        <w:rPr>
          <w:rFonts w:eastAsiaTheme="minorEastAsia"/>
          <w:b/>
          <w:color w:val="000000" w:themeColor="text1"/>
          <w:kern w:val="0"/>
          <w:sz w:val="24"/>
        </w:rPr>
        <w:t>4.5</w:t>
      </w:r>
      <w:r w:rsidRPr="00473486">
        <w:rPr>
          <w:rFonts w:eastAsiaTheme="minorEastAsia"/>
          <w:b/>
          <w:color w:val="000000" w:themeColor="text1"/>
          <w:kern w:val="0"/>
          <w:sz w:val="24"/>
        </w:rPr>
        <w:t>报告期内基金持有人数或基金资产净值预警说明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kern w:val="0"/>
          <w:szCs w:val="21"/>
        </w:rPr>
        <w:t>无。</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§5  </w:t>
      </w:r>
      <w:r w:rsidRPr="00473486">
        <w:rPr>
          <w:rFonts w:eastAsiaTheme="minorEastAsia"/>
          <w:color w:val="000000" w:themeColor="text1"/>
          <w:kern w:val="0"/>
          <w:sz w:val="24"/>
          <w:szCs w:val="24"/>
        </w:rPr>
        <w:t>投资组合报告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5.1 </w:t>
      </w:r>
      <w:r w:rsidRPr="00473486">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335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项目</w:t>
            </w:r>
          </w:p>
        </w:tc>
        <w:tc>
          <w:tcPr>
            <w:tcW w:w="297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金额</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占基金总资产的比例</w:t>
            </w: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权益投资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其中：股票</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固定收益投资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1,591,792,933.30</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87.19</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其中：债券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1,591,792,933.30</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87.19</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autoSpaceDE w:val="0"/>
              <w:autoSpaceDN w:val="0"/>
              <w:adjustRightInd w:val="0"/>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资产支持证券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lastRenderedPageBreak/>
              <w:t>3</w:t>
            </w:r>
          </w:p>
        </w:tc>
        <w:tc>
          <w:tcPr>
            <w:tcW w:w="3357" w:type="dxa"/>
          </w:tcPr>
          <w:p w:rsidR="00881A82" w:rsidRPr="00473486" w:rsidRDefault="007D1E3A">
            <w:pPr>
              <w:spacing w:before="29" w:line="360" w:lineRule="auto"/>
              <w:ind w:leftChars="50" w:left="105"/>
              <w:rPr>
                <w:rFonts w:eastAsiaTheme="minorEastAsia"/>
                <w:color w:val="000000" w:themeColor="text1"/>
                <w:szCs w:val="21"/>
              </w:rPr>
            </w:pPr>
            <w:r w:rsidRPr="00473486">
              <w:rPr>
                <w:rFonts w:eastAsiaTheme="minorEastAsia"/>
                <w:color w:val="000000" w:themeColor="text1"/>
                <w:szCs w:val="21"/>
              </w:rPr>
              <w:t>贵金属投资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金融衍生品投资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81,840,619.41</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4.48</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其中：买断式回购的买入返售金融资产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6</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银行存款和结算备付金合计</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1,848,107.16</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0.10</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其他各项资产</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150,183,135.97</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8.23</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合计</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1,825,664,795.84</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100.00</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5.2 </w:t>
      </w:r>
      <w:r w:rsidRPr="00473486">
        <w:rPr>
          <w:rFonts w:eastAsiaTheme="minorEastAsia"/>
          <w:b/>
          <w:color w:val="000000" w:themeColor="text1"/>
          <w:kern w:val="0"/>
          <w:sz w:val="24"/>
        </w:rPr>
        <w:t>报告期末按行业分类的股票投资组合</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5.2.1</w:t>
      </w:r>
      <w:r w:rsidRPr="00473486">
        <w:rPr>
          <w:rFonts w:eastAsiaTheme="minorEastAsia"/>
          <w:b/>
          <w:color w:val="000000" w:themeColor="text1"/>
          <w:kern w:val="0"/>
          <w:sz w:val="24"/>
        </w:rPr>
        <w:t>积极投资按行业分类的股票投资组合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5.2.2</w:t>
      </w:r>
      <w:r w:rsidRPr="00473486">
        <w:rPr>
          <w:rFonts w:eastAsiaTheme="minorEastAsia"/>
          <w:b/>
          <w:color w:val="000000" w:themeColor="text1"/>
          <w:kern w:val="0"/>
          <w:sz w:val="24"/>
        </w:rPr>
        <w:t>指数投资按行业分类的股票投资组合</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本基金本报告期末未持有指数投资股票。</w:t>
      </w:r>
    </w:p>
    <w:p w:rsidR="00881A82" w:rsidRPr="00473486" w:rsidRDefault="00881A82">
      <w:pPr>
        <w:autoSpaceDE w:val="0"/>
        <w:autoSpaceDN w:val="0"/>
        <w:adjustRightInd w:val="0"/>
        <w:spacing w:line="360" w:lineRule="auto"/>
        <w:jc w:val="left"/>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5.3</w:t>
      </w:r>
      <w:r w:rsidRPr="00473486">
        <w:rPr>
          <w:rFonts w:eastAsiaTheme="minorEastAsia"/>
          <w:b/>
          <w:color w:val="000000" w:themeColor="text1"/>
          <w:kern w:val="0"/>
          <w:sz w:val="24"/>
        </w:rPr>
        <w:t>报告期末按公允价值占基金资产净值比例大小排序的股票投资明细</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5.3.1</w:t>
      </w:r>
      <w:r w:rsidRPr="00473486">
        <w:rPr>
          <w:rFonts w:eastAsiaTheme="minorEastAsia"/>
          <w:b/>
          <w:color w:val="000000" w:themeColor="text1"/>
          <w:kern w:val="0"/>
          <w:sz w:val="24"/>
        </w:rPr>
        <w:t>期末</w:t>
      </w:r>
      <w:r w:rsidRPr="00473486">
        <w:rPr>
          <w:rFonts w:eastAsiaTheme="minorEastAsia"/>
          <w:b/>
          <w:color w:val="000000" w:themeColor="text1"/>
          <w:sz w:val="24"/>
        </w:rPr>
        <w:t>指数投资按公允价值占基金资产净值比例大小排序的前十名股票投资明细</w:t>
      </w:r>
    </w:p>
    <w:p w:rsidR="00881A82" w:rsidRPr="00473486" w:rsidRDefault="007D1E3A">
      <w:pPr>
        <w:autoSpaceDE w:val="0"/>
        <w:autoSpaceDN w:val="0"/>
        <w:adjustRightInd w:val="0"/>
        <w:spacing w:line="360" w:lineRule="auto"/>
        <w:jc w:val="left"/>
        <w:rPr>
          <w:rFonts w:eastAsiaTheme="minorEastAsia"/>
          <w:color w:val="000000" w:themeColor="text1"/>
          <w:sz w:val="24"/>
        </w:rPr>
      </w:pPr>
      <w:r w:rsidRPr="00473486">
        <w:rPr>
          <w:rFonts w:eastAsiaTheme="minorEastAsia"/>
          <w:color w:val="000000" w:themeColor="text1"/>
          <w:szCs w:val="21"/>
        </w:rPr>
        <w:t>本基金本报告期末未持有股票。</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5.3.2</w:t>
      </w:r>
      <w:r w:rsidRPr="00473486">
        <w:rPr>
          <w:rFonts w:eastAsiaTheme="minorEastAsia"/>
          <w:b/>
          <w:color w:val="000000" w:themeColor="text1"/>
          <w:kern w:val="0"/>
          <w:sz w:val="24"/>
        </w:rPr>
        <w:t>期末</w:t>
      </w:r>
      <w:r w:rsidRPr="00473486">
        <w:rPr>
          <w:rFonts w:eastAsiaTheme="minorEastAsia"/>
          <w:b/>
          <w:color w:val="000000" w:themeColor="text1"/>
          <w:sz w:val="24"/>
        </w:rPr>
        <w:t>积极投资按公允价值占基金资产净值比例大小排序的前五名股票投资明细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本基金本报告期末未持有积极投资股票。</w:t>
      </w:r>
    </w:p>
    <w:p w:rsidR="00881A82" w:rsidRPr="000A0010" w:rsidRDefault="00881A82">
      <w:pPr>
        <w:autoSpaceDE w:val="0"/>
        <w:autoSpaceDN w:val="0"/>
        <w:adjustRightInd w:val="0"/>
        <w:spacing w:line="360" w:lineRule="auto"/>
        <w:jc w:val="left"/>
        <w:rPr>
          <w:rFonts w:eastAsiaTheme="minorEastAsia"/>
          <w:color w:val="000000" w:themeColor="text1"/>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5.4 </w:t>
      </w:r>
      <w:r w:rsidRPr="00473486">
        <w:rPr>
          <w:rFonts w:eastAsiaTheme="minorEastAsia"/>
          <w:b/>
          <w:color w:val="000000" w:themeColor="text1"/>
          <w:kern w:val="0"/>
          <w:sz w:val="24"/>
        </w:rPr>
        <w:t>报告期末按债券品种分类的债券投资组合</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694"/>
        <w:gridCol w:w="1757"/>
      </w:tblGrid>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2835"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债券品种</w:t>
            </w:r>
          </w:p>
        </w:tc>
        <w:tc>
          <w:tcPr>
            <w:tcW w:w="2694"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国家债券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央行票据</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lastRenderedPageBreak/>
              <w:t>3</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金融债券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202,924,164.39</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11.26</w:t>
            </w:r>
          </w:p>
        </w:tc>
      </w:tr>
      <w:tr w:rsidR="00881A82" w:rsidRPr="00473486">
        <w:tc>
          <w:tcPr>
            <w:tcW w:w="1242" w:type="dxa"/>
            <w:shd w:val="clear" w:color="auto" w:fill="auto"/>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其中：政策性金融债</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101,651,961.75</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5.64</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企业债券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企业短期融资券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121,011,038.25</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6.71</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6</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中期票据</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30,360,380.33</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1.68</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可转债（可交换债）</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同业存单</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1,237,497,350.33</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68.67</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9</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其他</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10</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合计</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1,591,792,933.30</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88.33</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5.5 </w:t>
      </w:r>
      <w:r w:rsidRPr="00473486">
        <w:rPr>
          <w:rFonts w:eastAsiaTheme="minorEastAsia"/>
          <w:b/>
          <w:color w:val="000000" w:themeColor="text1"/>
          <w:kern w:val="0"/>
          <w:sz w:val="24"/>
        </w:rPr>
        <w:t>报告期末按公允价值占基金资产净值比例大小排序的前五名债券投资明细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881A82" w:rsidRPr="00473486">
        <w:tc>
          <w:tcPr>
            <w:tcW w:w="125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310"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债券代码</w:t>
            </w:r>
          </w:p>
        </w:tc>
        <w:tc>
          <w:tcPr>
            <w:tcW w:w="128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债券名称</w:t>
            </w:r>
          </w:p>
        </w:tc>
        <w:tc>
          <w:tcPr>
            <w:tcW w:w="1426"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张</w:t>
            </w:r>
            <w:r w:rsidRPr="00473486">
              <w:rPr>
                <w:rFonts w:eastAsiaTheme="minorEastAsia"/>
                <w:color w:val="000000" w:themeColor="text1"/>
                <w:szCs w:val="21"/>
              </w:rPr>
              <w:t>)</w:t>
            </w:r>
          </w:p>
        </w:tc>
        <w:tc>
          <w:tcPr>
            <w:tcW w:w="1646"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F96B7B">
        <w:tc>
          <w:tcPr>
            <w:tcW w:w="1252" w:type="dxa"/>
            <w:vAlign w:val="center"/>
          </w:tcPr>
          <w:p w:rsidR="00F96B7B" w:rsidRDefault="009E0833">
            <w:pPr>
              <w:jc w:val="center"/>
            </w:pPr>
            <w:r>
              <w:rPr>
                <w:rFonts w:eastAsiaTheme="minorEastAsia"/>
                <w:color w:val="000000" w:themeColor="text1"/>
                <w:szCs w:val="21"/>
              </w:rPr>
              <w:t>1</w:t>
            </w:r>
          </w:p>
        </w:tc>
        <w:tc>
          <w:tcPr>
            <w:tcW w:w="1310" w:type="dxa"/>
            <w:vAlign w:val="center"/>
          </w:tcPr>
          <w:p w:rsidR="00F96B7B" w:rsidRDefault="009E0833">
            <w:pPr>
              <w:jc w:val="center"/>
            </w:pPr>
            <w:r>
              <w:rPr>
                <w:rFonts w:eastAsiaTheme="minorEastAsia"/>
                <w:color w:val="000000" w:themeColor="text1"/>
                <w:szCs w:val="21"/>
              </w:rPr>
              <w:t>112306264</w:t>
            </w:r>
          </w:p>
        </w:tc>
        <w:tc>
          <w:tcPr>
            <w:tcW w:w="1282" w:type="dxa"/>
            <w:vAlign w:val="center"/>
          </w:tcPr>
          <w:p w:rsidR="00F96B7B" w:rsidRDefault="009E0833">
            <w:pPr>
              <w:jc w:val="center"/>
            </w:pPr>
            <w:r>
              <w:rPr>
                <w:rFonts w:eastAsiaTheme="minorEastAsia"/>
                <w:color w:val="000000" w:themeColor="text1"/>
                <w:szCs w:val="21"/>
              </w:rPr>
              <w:t>23</w:t>
            </w:r>
            <w:r>
              <w:rPr>
                <w:rFonts w:eastAsiaTheme="minorEastAsia"/>
                <w:color w:val="000000" w:themeColor="text1"/>
                <w:szCs w:val="21"/>
              </w:rPr>
              <w:t>交通银行</w:t>
            </w:r>
            <w:r>
              <w:rPr>
                <w:rFonts w:eastAsiaTheme="minorEastAsia"/>
                <w:color w:val="000000" w:themeColor="text1"/>
                <w:szCs w:val="21"/>
              </w:rPr>
              <w:t>CD264</w:t>
            </w:r>
          </w:p>
        </w:tc>
        <w:tc>
          <w:tcPr>
            <w:tcW w:w="1426" w:type="dxa"/>
            <w:vAlign w:val="center"/>
          </w:tcPr>
          <w:p w:rsidR="00F96B7B" w:rsidRDefault="009E0833">
            <w:pPr>
              <w:jc w:val="right"/>
            </w:pPr>
            <w:r>
              <w:rPr>
                <w:rFonts w:eastAsiaTheme="minorEastAsia"/>
                <w:color w:val="000000" w:themeColor="text1"/>
                <w:szCs w:val="21"/>
              </w:rPr>
              <w:t>1,000,000</w:t>
            </w:r>
          </w:p>
        </w:tc>
        <w:tc>
          <w:tcPr>
            <w:tcW w:w="1646" w:type="dxa"/>
            <w:vAlign w:val="center"/>
          </w:tcPr>
          <w:p w:rsidR="00F96B7B" w:rsidRDefault="009E0833">
            <w:pPr>
              <w:jc w:val="right"/>
            </w:pPr>
            <w:r>
              <w:rPr>
                <w:rFonts w:eastAsiaTheme="minorEastAsia"/>
                <w:color w:val="000000" w:themeColor="text1"/>
                <w:szCs w:val="21"/>
              </w:rPr>
              <w:t>98,716,347.54</w:t>
            </w:r>
          </w:p>
        </w:tc>
        <w:tc>
          <w:tcPr>
            <w:tcW w:w="1612" w:type="dxa"/>
            <w:vAlign w:val="center"/>
          </w:tcPr>
          <w:p w:rsidR="00F96B7B" w:rsidRDefault="009E0833">
            <w:pPr>
              <w:jc w:val="right"/>
            </w:pPr>
            <w:r>
              <w:rPr>
                <w:rFonts w:eastAsiaTheme="minorEastAsia"/>
                <w:color w:val="000000" w:themeColor="text1"/>
                <w:szCs w:val="21"/>
              </w:rPr>
              <w:t>5.48</w:t>
            </w:r>
          </w:p>
        </w:tc>
      </w:tr>
      <w:tr w:rsidR="00F96B7B">
        <w:tc>
          <w:tcPr>
            <w:tcW w:w="1252" w:type="dxa"/>
            <w:vAlign w:val="center"/>
          </w:tcPr>
          <w:p w:rsidR="00F96B7B" w:rsidRDefault="009E0833">
            <w:pPr>
              <w:jc w:val="center"/>
            </w:pPr>
            <w:r>
              <w:rPr>
                <w:rFonts w:eastAsiaTheme="minorEastAsia"/>
                <w:color w:val="000000" w:themeColor="text1"/>
                <w:szCs w:val="21"/>
              </w:rPr>
              <w:t>2</w:t>
            </w:r>
          </w:p>
        </w:tc>
        <w:tc>
          <w:tcPr>
            <w:tcW w:w="1310" w:type="dxa"/>
            <w:vAlign w:val="center"/>
          </w:tcPr>
          <w:p w:rsidR="00F96B7B" w:rsidRDefault="009E0833">
            <w:pPr>
              <w:jc w:val="center"/>
            </w:pPr>
            <w:r>
              <w:rPr>
                <w:rFonts w:eastAsiaTheme="minorEastAsia"/>
                <w:color w:val="000000" w:themeColor="text1"/>
                <w:szCs w:val="21"/>
              </w:rPr>
              <w:t>112405036</w:t>
            </w:r>
          </w:p>
        </w:tc>
        <w:tc>
          <w:tcPr>
            <w:tcW w:w="1282" w:type="dxa"/>
            <w:vAlign w:val="center"/>
          </w:tcPr>
          <w:p w:rsidR="00F96B7B" w:rsidRDefault="009E0833">
            <w:pPr>
              <w:jc w:val="center"/>
            </w:pPr>
            <w:r>
              <w:rPr>
                <w:rFonts w:eastAsiaTheme="minorEastAsia"/>
                <w:color w:val="000000" w:themeColor="text1"/>
                <w:szCs w:val="21"/>
              </w:rPr>
              <w:t>24</w:t>
            </w:r>
            <w:r>
              <w:rPr>
                <w:rFonts w:eastAsiaTheme="minorEastAsia"/>
                <w:color w:val="000000" w:themeColor="text1"/>
                <w:szCs w:val="21"/>
              </w:rPr>
              <w:t>建设银行</w:t>
            </w:r>
            <w:r>
              <w:rPr>
                <w:rFonts w:eastAsiaTheme="minorEastAsia"/>
                <w:color w:val="000000" w:themeColor="text1"/>
                <w:szCs w:val="21"/>
              </w:rPr>
              <w:t>CD036</w:t>
            </w:r>
          </w:p>
        </w:tc>
        <w:tc>
          <w:tcPr>
            <w:tcW w:w="1426" w:type="dxa"/>
            <w:vAlign w:val="center"/>
          </w:tcPr>
          <w:p w:rsidR="00F96B7B" w:rsidRDefault="009E0833">
            <w:pPr>
              <w:jc w:val="right"/>
            </w:pPr>
            <w:r>
              <w:rPr>
                <w:rFonts w:eastAsiaTheme="minorEastAsia"/>
                <w:color w:val="000000" w:themeColor="text1"/>
                <w:szCs w:val="21"/>
              </w:rPr>
              <w:t>1,000,000</w:t>
            </w:r>
          </w:p>
        </w:tc>
        <w:tc>
          <w:tcPr>
            <w:tcW w:w="1646" w:type="dxa"/>
            <w:vAlign w:val="center"/>
          </w:tcPr>
          <w:p w:rsidR="00F96B7B" w:rsidRDefault="009E0833">
            <w:pPr>
              <w:jc w:val="right"/>
            </w:pPr>
            <w:r>
              <w:rPr>
                <w:rFonts w:eastAsiaTheme="minorEastAsia"/>
                <w:color w:val="000000" w:themeColor="text1"/>
                <w:szCs w:val="21"/>
              </w:rPr>
              <w:t>98,227,255.74</w:t>
            </w:r>
          </w:p>
        </w:tc>
        <w:tc>
          <w:tcPr>
            <w:tcW w:w="1612" w:type="dxa"/>
            <w:vAlign w:val="center"/>
          </w:tcPr>
          <w:p w:rsidR="00F96B7B" w:rsidRDefault="009E0833">
            <w:pPr>
              <w:jc w:val="right"/>
            </w:pPr>
            <w:r>
              <w:rPr>
                <w:rFonts w:eastAsiaTheme="minorEastAsia"/>
                <w:color w:val="000000" w:themeColor="text1"/>
                <w:szCs w:val="21"/>
              </w:rPr>
              <w:t>5.45</w:t>
            </w:r>
          </w:p>
        </w:tc>
      </w:tr>
      <w:tr w:rsidR="00F96B7B">
        <w:tc>
          <w:tcPr>
            <w:tcW w:w="1252" w:type="dxa"/>
            <w:vAlign w:val="center"/>
          </w:tcPr>
          <w:p w:rsidR="00F96B7B" w:rsidRDefault="009E0833">
            <w:pPr>
              <w:jc w:val="center"/>
            </w:pPr>
            <w:r>
              <w:rPr>
                <w:rFonts w:eastAsiaTheme="minorEastAsia"/>
                <w:color w:val="000000" w:themeColor="text1"/>
                <w:szCs w:val="21"/>
              </w:rPr>
              <w:t>3</w:t>
            </w:r>
          </w:p>
        </w:tc>
        <w:tc>
          <w:tcPr>
            <w:tcW w:w="1310" w:type="dxa"/>
            <w:vAlign w:val="center"/>
          </w:tcPr>
          <w:p w:rsidR="00F96B7B" w:rsidRDefault="009E0833">
            <w:pPr>
              <w:jc w:val="center"/>
            </w:pPr>
            <w:r>
              <w:rPr>
                <w:rFonts w:eastAsiaTheme="minorEastAsia"/>
                <w:color w:val="000000" w:themeColor="text1"/>
                <w:szCs w:val="21"/>
              </w:rPr>
              <w:t>112410046</w:t>
            </w:r>
          </w:p>
        </w:tc>
        <w:tc>
          <w:tcPr>
            <w:tcW w:w="1282" w:type="dxa"/>
            <w:vAlign w:val="center"/>
          </w:tcPr>
          <w:p w:rsidR="00F96B7B" w:rsidRDefault="009E0833">
            <w:pPr>
              <w:jc w:val="center"/>
            </w:pPr>
            <w:r>
              <w:rPr>
                <w:rFonts w:eastAsiaTheme="minorEastAsia"/>
                <w:color w:val="000000" w:themeColor="text1"/>
                <w:szCs w:val="21"/>
              </w:rPr>
              <w:t>24</w:t>
            </w:r>
            <w:r>
              <w:rPr>
                <w:rFonts w:eastAsiaTheme="minorEastAsia"/>
                <w:color w:val="000000" w:themeColor="text1"/>
                <w:szCs w:val="21"/>
              </w:rPr>
              <w:t>兴业银行</w:t>
            </w:r>
            <w:r>
              <w:rPr>
                <w:rFonts w:eastAsiaTheme="minorEastAsia"/>
                <w:color w:val="000000" w:themeColor="text1"/>
                <w:szCs w:val="21"/>
              </w:rPr>
              <w:t>CD046</w:t>
            </w:r>
          </w:p>
        </w:tc>
        <w:tc>
          <w:tcPr>
            <w:tcW w:w="1426" w:type="dxa"/>
            <w:vAlign w:val="center"/>
          </w:tcPr>
          <w:p w:rsidR="00F96B7B" w:rsidRDefault="009E0833">
            <w:pPr>
              <w:jc w:val="right"/>
            </w:pPr>
            <w:r>
              <w:rPr>
                <w:rFonts w:eastAsiaTheme="minorEastAsia"/>
                <w:color w:val="000000" w:themeColor="text1"/>
                <w:szCs w:val="21"/>
              </w:rPr>
              <w:t>1,000,000</w:t>
            </w:r>
          </w:p>
        </w:tc>
        <w:tc>
          <w:tcPr>
            <w:tcW w:w="1646" w:type="dxa"/>
            <w:vAlign w:val="center"/>
          </w:tcPr>
          <w:p w:rsidR="00F96B7B" w:rsidRDefault="009E0833">
            <w:pPr>
              <w:jc w:val="right"/>
            </w:pPr>
            <w:r>
              <w:rPr>
                <w:rFonts w:eastAsiaTheme="minorEastAsia"/>
                <w:color w:val="000000" w:themeColor="text1"/>
                <w:szCs w:val="21"/>
              </w:rPr>
              <w:t>98,010,430.33</w:t>
            </w:r>
          </w:p>
        </w:tc>
        <w:tc>
          <w:tcPr>
            <w:tcW w:w="1612" w:type="dxa"/>
            <w:vAlign w:val="center"/>
          </w:tcPr>
          <w:p w:rsidR="00F96B7B" w:rsidRDefault="009E0833">
            <w:pPr>
              <w:jc w:val="right"/>
            </w:pPr>
            <w:r>
              <w:rPr>
                <w:rFonts w:eastAsiaTheme="minorEastAsia"/>
                <w:color w:val="000000" w:themeColor="text1"/>
                <w:szCs w:val="21"/>
              </w:rPr>
              <w:t>5.44</w:t>
            </w:r>
          </w:p>
        </w:tc>
      </w:tr>
      <w:tr w:rsidR="00F96B7B">
        <w:tc>
          <w:tcPr>
            <w:tcW w:w="1252" w:type="dxa"/>
            <w:vAlign w:val="center"/>
          </w:tcPr>
          <w:p w:rsidR="00F96B7B" w:rsidRDefault="009E0833">
            <w:pPr>
              <w:jc w:val="center"/>
            </w:pPr>
            <w:r>
              <w:rPr>
                <w:rFonts w:eastAsiaTheme="minorEastAsia"/>
                <w:color w:val="000000" w:themeColor="text1"/>
                <w:szCs w:val="21"/>
              </w:rPr>
              <w:t>4</w:t>
            </w:r>
          </w:p>
        </w:tc>
        <w:tc>
          <w:tcPr>
            <w:tcW w:w="1310" w:type="dxa"/>
            <w:vAlign w:val="center"/>
          </w:tcPr>
          <w:p w:rsidR="00F96B7B" w:rsidRDefault="009E0833">
            <w:pPr>
              <w:jc w:val="center"/>
            </w:pPr>
            <w:r>
              <w:rPr>
                <w:rFonts w:eastAsiaTheme="minorEastAsia"/>
                <w:color w:val="000000" w:themeColor="text1"/>
                <w:szCs w:val="21"/>
              </w:rPr>
              <w:t>230306</w:t>
            </w:r>
          </w:p>
        </w:tc>
        <w:tc>
          <w:tcPr>
            <w:tcW w:w="1282" w:type="dxa"/>
            <w:vAlign w:val="center"/>
          </w:tcPr>
          <w:p w:rsidR="00F96B7B" w:rsidRDefault="009E0833">
            <w:pPr>
              <w:jc w:val="center"/>
            </w:pPr>
            <w:r>
              <w:rPr>
                <w:rFonts w:eastAsiaTheme="minorEastAsia"/>
                <w:color w:val="000000" w:themeColor="text1"/>
                <w:szCs w:val="21"/>
              </w:rPr>
              <w:t>23</w:t>
            </w:r>
            <w:r>
              <w:rPr>
                <w:rFonts w:eastAsiaTheme="minorEastAsia"/>
                <w:color w:val="000000" w:themeColor="text1"/>
                <w:szCs w:val="21"/>
              </w:rPr>
              <w:t>进出</w:t>
            </w:r>
            <w:r>
              <w:rPr>
                <w:rFonts w:eastAsiaTheme="minorEastAsia"/>
                <w:color w:val="000000" w:themeColor="text1"/>
                <w:szCs w:val="21"/>
              </w:rPr>
              <w:t>06</w:t>
            </w:r>
          </w:p>
        </w:tc>
        <w:tc>
          <w:tcPr>
            <w:tcW w:w="1426" w:type="dxa"/>
            <w:vAlign w:val="center"/>
          </w:tcPr>
          <w:p w:rsidR="00F96B7B" w:rsidRDefault="009E0833">
            <w:pPr>
              <w:jc w:val="right"/>
            </w:pPr>
            <w:r>
              <w:rPr>
                <w:rFonts w:eastAsiaTheme="minorEastAsia"/>
                <w:color w:val="000000" w:themeColor="text1"/>
                <w:szCs w:val="21"/>
              </w:rPr>
              <w:t>500,000</w:t>
            </w:r>
          </w:p>
        </w:tc>
        <w:tc>
          <w:tcPr>
            <w:tcW w:w="1646" w:type="dxa"/>
            <w:vAlign w:val="center"/>
          </w:tcPr>
          <w:p w:rsidR="00F96B7B" w:rsidRDefault="009E0833">
            <w:pPr>
              <w:jc w:val="right"/>
            </w:pPr>
            <w:r>
              <w:rPr>
                <w:rFonts w:eastAsiaTheme="minorEastAsia"/>
                <w:color w:val="000000" w:themeColor="text1"/>
                <w:szCs w:val="21"/>
              </w:rPr>
              <w:t>50,583,688.52</w:t>
            </w:r>
          </w:p>
        </w:tc>
        <w:tc>
          <w:tcPr>
            <w:tcW w:w="1612" w:type="dxa"/>
            <w:vAlign w:val="center"/>
          </w:tcPr>
          <w:p w:rsidR="00F96B7B" w:rsidRDefault="009E0833">
            <w:pPr>
              <w:jc w:val="right"/>
            </w:pPr>
            <w:r>
              <w:rPr>
                <w:rFonts w:eastAsiaTheme="minorEastAsia"/>
                <w:color w:val="000000" w:themeColor="text1"/>
                <w:szCs w:val="21"/>
              </w:rPr>
              <w:t>2.81</w:t>
            </w:r>
          </w:p>
        </w:tc>
      </w:tr>
      <w:tr w:rsidR="00F96B7B">
        <w:tc>
          <w:tcPr>
            <w:tcW w:w="1252" w:type="dxa"/>
            <w:vAlign w:val="center"/>
          </w:tcPr>
          <w:p w:rsidR="00F96B7B" w:rsidRDefault="009E0833">
            <w:pPr>
              <w:jc w:val="center"/>
            </w:pPr>
            <w:r>
              <w:rPr>
                <w:rFonts w:eastAsiaTheme="minorEastAsia"/>
                <w:color w:val="000000" w:themeColor="text1"/>
                <w:szCs w:val="21"/>
              </w:rPr>
              <w:t>5</w:t>
            </w:r>
          </w:p>
        </w:tc>
        <w:tc>
          <w:tcPr>
            <w:tcW w:w="1310" w:type="dxa"/>
            <w:vAlign w:val="center"/>
          </w:tcPr>
          <w:p w:rsidR="00F96B7B" w:rsidRDefault="009E0833">
            <w:pPr>
              <w:jc w:val="center"/>
            </w:pPr>
            <w:r>
              <w:rPr>
                <w:rFonts w:eastAsiaTheme="minorEastAsia"/>
                <w:color w:val="000000" w:themeColor="text1"/>
                <w:szCs w:val="21"/>
              </w:rPr>
              <w:t>012383894</w:t>
            </w:r>
          </w:p>
        </w:tc>
        <w:tc>
          <w:tcPr>
            <w:tcW w:w="1282" w:type="dxa"/>
            <w:vAlign w:val="center"/>
          </w:tcPr>
          <w:p w:rsidR="00F96B7B" w:rsidRDefault="009E0833">
            <w:pPr>
              <w:jc w:val="center"/>
            </w:pPr>
            <w:r>
              <w:rPr>
                <w:rFonts w:eastAsiaTheme="minorEastAsia"/>
                <w:color w:val="000000" w:themeColor="text1"/>
                <w:szCs w:val="21"/>
              </w:rPr>
              <w:t>23</w:t>
            </w:r>
            <w:r>
              <w:rPr>
                <w:rFonts w:eastAsiaTheme="minorEastAsia"/>
                <w:color w:val="000000" w:themeColor="text1"/>
                <w:szCs w:val="21"/>
              </w:rPr>
              <w:t>张江集</w:t>
            </w:r>
            <w:r>
              <w:rPr>
                <w:rFonts w:eastAsiaTheme="minorEastAsia"/>
                <w:color w:val="000000" w:themeColor="text1"/>
                <w:szCs w:val="21"/>
              </w:rPr>
              <w:t>SCP005</w:t>
            </w:r>
          </w:p>
        </w:tc>
        <w:tc>
          <w:tcPr>
            <w:tcW w:w="1426" w:type="dxa"/>
            <w:vAlign w:val="center"/>
          </w:tcPr>
          <w:p w:rsidR="00F96B7B" w:rsidRDefault="009E0833">
            <w:pPr>
              <w:jc w:val="right"/>
            </w:pPr>
            <w:r>
              <w:rPr>
                <w:rFonts w:eastAsiaTheme="minorEastAsia"/>
                <w:color w:val="000000" w:themeColor="text1"/>
                <w:szCs w:val="21"/>
              </w:rPr>
              <w:t>500,000</w:t>
            </w:r>
          </w:p>
        </w:tc>
        <w:tc>
          <w:tcPr>
            <w:tcW w:w="1646" w:type="dxa"/>
            <w:vAlign w:val="center"/>
          </w:tcPr>
          <w:p w:rsidR="00F96B7B" w:rsidRDefault="009E0833">
            <w:pPr>
              <w:jc w:val="right"/>
            </w:pPr>
            <w:r>
              <w:rPr>
                <w:rFonts w:eastAsiaTheme="minorEastAsia"/>
                <w:color w:val="000000" w:themeColor="text1"/>
                <w:szCs w:val="21"/>
              </w:rPr>
              <w:t>50,556,163.93</w:t>
            </w:r>
          </w:p>
        </w:tc>
        <w:tc>
          <w:tcPr>
            <w:tcW w:w="1612" w:type="dxa"/>
            <w:vAlign w:val="center"/>
          </w:tcPr>
          <w:p w:rsidR="00F96B7B" w:rsidRDefault="009E0833">
            <w:pPr>
              <w:jc w:val="right"/>
            </w:pPr>
            <w:r>
              <w:rPr>
                <w:rFonts w:eastAsiaTheme="minorEastAsia"/>
                <w:color w:val="000000" w:themeColor="text1"/>
                <w:szCs w:val="21"/>
              </w:rPr>
              <w:t>2.81</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5.6</w:t>
      </w:r>
      <w:r w:rsidRPr="00473486">
        <w:rPr>
          <w:rFonts w:eastAsiaTheme="minorEastAsia"/>
          <w:b/>
          <w:color w:val="000000" w:themeColor="text1"/>
          <w:kern w:val="0"/>
          <w:sz w:val="24"/>
        </w:rPr>
        <w:t>报告期末按公允价值占基金资产净值比例大小排序的前十名资产支持证券投资明细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本基金本报告期末未持有资产支持证券。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bCs/>
          <w:color w:val="000000" w:themeColor="text1"/>
          <w:kern w:val="0"/>
          <w:sz w:val="24"/>
        </w:rPr>
      </w:pPr>
      <w:r w:rsidRPr="00473486">
        <w:rPr>
          <w:rFonts w:eastAsiaTheme="minorEastAsia"/>
          <w:b/>
          <w:bCs/>
          <w:color w:val="000000" w:themeColor="text1"/>
          <w:kern w:val="0"/>
          <w:sz w:val="24"/>
        </w:rPr>
        <w:t xml:space="preserve">5.7 </w:t>
      </w:r>
      <w:r w:rsidRPr="00473486">
        <w:rPr>
          <w:rFonts w:eastAsiaTheme="minorEastAsia"/>
          <w:b/>
          <w:bCs/>
          <w:color w:val="000000" w:themeColor="text1"/>
          <w:kern w:val="0"/>
          <w:sz w:val="24"/>
        </w:rPr>
        <w:t>报告期末按公允价值占基金资产净值比例大小排序的前五名贵金属投资明细</w:t>
      </w:r>
    </w:p>
    <w:p w:rsidR="00881A82" w:rsidRPr="00473486" w:rsidRDefault="007D1E3A">
      <w:pPr>
        <w:widowControl/>
        <w:spacing w:line="360" w:lineRule="auto"/>
        <w:jc w:val="left"/>
        <w:rPr>
          <w:color w:val="000000" w:themeColor="text1"/>
          <w:szCs w:val="21"/>
        </w:rPr>
      </w:pPr>
      <w:r w:rsidRPr="00473486">
        <w:rPr>
          <w:color w:val="000000" w:themeColor="text1"/>
          <w:szCs w:val="21"/>
        </w:rPr>
        <w:t>本基金本报告期末未持有贵金属。</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5.8</w:t>
      </w:r>
      <w:r w:rsidRPr="00473486">
        <w:rPr>
          <w:rFonts w:eastAsiaTheme="minorEastAsia"/>
          <w:b/>
          <w:bCs/>
          <w:color w:val="000000" w:themeColor="text1"/>
          <w:sz w:val="24"/>
        </w:rPr>
        <w:t>报告期末按公允价值占基金资产净值比例大小排序的前五名权证投资明细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lastRenderedPageBreak/>
        <w:t>本基金本报告期末未持有权证。</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 xml:space="preserve">5.9 </w:t>
      </w:r>
      <w:r w:rsidRPr="00473486">
        <w:rPr>
          <w:rFonts w:eastAsiaTheme="minorEastAsia"/>
          <w:b/>
          <w:color w:val="000000" w:themeColor="text1"/>
          <w:sz w:val="24"/>
        </w:rPr>
        <w:t>报告期末本基金投资的股指期货交易情况说明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本基金本报告期末未持有股指期货。</w:t>
      </w:r>
    </w:p>
    <w:p w:rsidR="00881A82" w:rsidRPr="00473486" w:rsidRDefault="00881A82">
      <w:pPr>
        <w:adjustRightInd w:val="0"/>
        <w:snapToGrid w:val="0"/>
        <w:spacing w:line="360" w:lineRule="exact"/>
        <w:rPr>
          <w:rFonts w:eastAsiaTheme="minorEastAsia"/>
          <w:color w:val="000000" w:themeColor="text1"/>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5.10</w:t>
      </w:r>
      <w:r w:rsidRPr="00473486">
        <w:rPr>
          <w:rFonts w:eastAsiaTheme="minorEastAsia"/>
          <w:b/>
          <w:color w:val="000000" w:themeColor="text1"/>
          <w:sz w:val="24"/>
        </w:rPr>
        <w:t>报告期末本基金投资的国债期货交易情况说明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本基金本报告期末未持有国债期货。</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w:t>
      </w:r>
      <w:r w:rsidRPr="00473486">
        <w:rPr>
          <w:rFonts w:eastAsiaTheme="minorEastAsia"/>
          <w:b/>
          <w:color w:val="000000" w:themeColor="text1"/>
          <w:kern w:val="0"/>
          <w:sz w:val="24"/>
        </w:rPr>
        <w:t>投资组合报告附注</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5.11.1</w:t>
      </w:r>
      <w:r w:rsidRPr="00473486">
        <w:rPr>
          <w:rFonts w:eastAsiaTheme="minorEastAsia"/>
          <w:color w:val="000000" w:themeColor="text1"/>
          <w:szCs w:val="21"/>
        </w:rPr>
        <w:t>本基金投资的前十名证券的发行主体中，中国建设银行股份有限公司在报告编制日前一年内曾受到国家金融监督管理总局的处罚。平安银行股份有限公司在报告编制日前一年内曾受到央行、国家金融监督管理总局深圳监管局的处罚。广发银行股份有限公司在报告编制日前一年内曾受到国家金融监督管理总局的处罚。本基金对上述主体所发行证券的投资决策程序符合相关法律法规、基金合同及公司投资制度的要求。</w:t>
      </w:r>
    </w:p>
    <w:p w:rsidR="00F96B7B" w:rsidRDefault="009E0833">
      <w:pPr>
        <w:spacing w:line="360" w:lineRule="auto"/>
        <w:rPr>
          <w:rFonts w:eastAsiaTheme="minorEastAsia"/>
          <w:color w:val="000000" w:themeColor="text1"/>
          <w:szCs w:val="21"/>
        </w:rPr>
      </w:pPr>
      <w:r>
        <w:rPr>
          <w:rFonts w:eastAsiaTheme="minorEastAsia"/>
          <w:color w:val="000000" w:themeColor="text1"/>
          <w:szCs w:val="21"/>
        </w:rPr>
        <w:t>除上述主体外，本基金投资的其余前十名证券的发行主体本期未出现被监管部门立案调查，或在报告编制日前一年内受到公开谴责、处罚的情形。</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5.11.2</w:t>
      </w:r>
      <w:r w:rsidRPr="00473486">
        <w:rPr>
          <w:rFonts w:eastAsiaTheme="minorEastAsia"/>
          <w:color w:val="000000" w:themeColor="text1"/>
          <w:szCs w:val="21"/>
        </w:rPr>
        <w:t>报告期内本基金投资的前十名股票中没有在基金合同规定备选股票库之外的股票。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5.11.3</w:t>
      </w:r>
      <w:r w:rsidRPr="00473486">
        <w:rPr>
          <w:rFonts w:eastAsiaTheme="minorEastAsia"/>
          <w:b/>
          <w:color w:val="000000" w:themeColor="text1"/>
          <w:kern w:val="0"/>
          <w:sz w:val="24"/>
        </w:rPr>
        <w:t>其他资产构成</w:t>
      </w:r>
    </w:p>
    <w:tbl>
      <w:tblPr>
        <w:tblStyle w:val="afa"/>
        <w:tblW w:w="8513" w:type="dxa"/>
        <w:tblInd w:w="15" w:type="dxa"/>
        <w:tblLayout w:type="fixed"/>
        <w:tblLook w:val="04A0" w:firstRow="1" w:lastRow="0" w:firstColumn="1" w:lastColumn="0" w:noHBand="0" w:noVBand="1"/>
      </w:tblPr>
      <w:tblGrid>
        <w:gridCol w:w="944"/>
        <w:gridCol w:w="2761"/>
        <w:gridCol w:w="4808"/>
      </w:tblGrid>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序号</w:t>
            </w:r>
          </w:p>
        </w:tc>
        <w:tc>
          <w:tcPr>
            <w:tcW w:w="27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名称</w:t>
            </w:r>
          </w:p>
        </w:tc>
        <w:tc>
          <w:tcPr>
            <w:tcW w:w="480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金额</w:t>
            </w:r>
            <w:r w:rsidRPr="00473486">
              <w:rPr>
                <w:rFonts w:eastAsiaTheme="minorEastAsia"/>
                <w:color w:val="000000" w:themeColor="text1"/>
                <w:kern w:val="0"/>
                <w:szCs w:val="21"/>
              </w:rPr>
              <w:t>(</w:t>
            </w:r>
            <w:r w:rsidRPr="00473486">
              <w:rPr>
                <w:rFonts w:eastAsiaTheme="minorEastAsia"/>
                <w:color w:val="000000" w:themeColor="text1"/>
                <w:kern w:val="0"/>
                <w:szCs w:val="21"/>
              </w:rPr>
              <w:t>元</w:t>
            </w: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kern w:val="0"/>
                <w:szCs w:val="21"/>
              </w:rPr>
            </w:pPr>
            <w:r w:rsidRPr="00473486">
              <w:rPr>
                <w:rFonts w:eastAsiaTheme="minorEastAsia"/>
                <w:color w:val="000000" w:themeColor="text1"/>
                <w:szCs w:val="21"/>
              </w:rPr>
              <w:t>1</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存出保证金</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2</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应收证券清算款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3</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应收股利</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4</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应收利息</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5</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应收申购款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150,183,135.97</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6</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其他应收款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7</w:t>
            </w:r>
          </w:p>
        </w:tc>
        <w:tc>
          <w:tcPr>
            <w:tcW w:w="2761" w:type="dxa"/>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待摊费用</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8</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9</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合计</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150,183,135.97</w:t>
            </w:r>
          </w:p>
        </w:tc>
      </w:tr>
    </w:tbl>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lastRenderedPageBreak/>
        <w:t>5.11.4</w:t>
      </w:r>
      <w:r w:rsidRPr="00473486">
        <w:rPr>
          <w:rFonts w:eastAsiaTheme="minorEastAsia"/>
          <w:b/>
          <w:color w:val="000000" w:themeColor="text1"/>
          <w:kern w:val="0"/>
          <w:sz w:val="24"/>
        </w:rPr>
        <w:t>报告期末持有的处于转股期的可转换债券明细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本基金本报告期末未持有处于转股期的可转换债券。</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w:t>
      </w:r>
      <w:r w:rsidRPr="00473486">
        <w:rPr>
          <w:rFonts w:eastAsiaTheme="minorEastAsia"/>
          <w:b/>
          <w:color w:val="000000" w:themeColor="text1"/>
          <w:sz w:val="24"/>
        </w:rPr>
        <w:t>报告期末前十名股票中存在流通受限情况的说明</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5.11.5.1</w:t>
      </w:r>
      <w:r w:rsidRPr="00473486">
        <w:rPr>
          <w:rFonts w:eastAsiaTheme="minorEastAsia"/>
          <w:b/>
          <w:color w:val="000000" w:themeColor="text1"/>
          <w:sz w:val="24"/>
        </w:rPr>
        <w:t>期末指数投资前十名股票中存在流通受限情况的说明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本基金本报告期末前十名股票中不存在流通受限情况。</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5.11.5.2</w:t>
      </w:r>
      <w:r w:rsidRPr="00473486">
        <w:rPr>
          <w:rFonts w:eastAsiaTheme="minorEastAsia"/>
          <w:b/>
          <w:color w:val="000000" w:themeColor="text1"/>
          <w:sz w:val="24"/>
        </w:rPr>
        <w:t>期末积极投资前五名股票中存在流通受限情况的说明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本基金本报告期末前五名积极投资中不存在流通受限情况。</w:t>
      </w:r>
    </w:p>
    <w:p w:rsidR="00881A82" w:rsidRPr="00473486" w:rsidRDefault="00881A82">
      <w:pPr>
        <w:spacing w:line="360" w:lineRule="auto"/>
        <w:rPr>
          <w:rFonts w:eastAsiaTheme="minorEastAsia"/>
          <w:bCs/>
          <w:color w:val="000000" w:themeColor="text1"/>
          <w:szCs w:val="21"/>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5.11.</w:t>
      </w:r>
      <w:r w:rsidRPr="00473486">
        <w:rPr>
          <w:rFonts w:eastAsiaTheme="minorEastAsia"/>
          <w:b/>
          <w:bCs/>
          <w:color w:val="000000" w:themeColor="text1"/>
          <w:sz w:val="24"/>
        </w:rPr>
        <w:t>6</w:t>
      </w:r>
      <w:r w:rsidRPr="00473486">
        <w:rPr>
          <w:rFonts w:eastAsiaTheme="minorEastAsia"/>
          <w:b/>
          <w:bCs/>
          <w:color w:val="000000" w:themeColor="text1"/>
          <w:kern w:val="0"/>
          <w:sz w:val="24"/>
        </w:rPr>
        <w:t>投资组合报告附注的其他文字描述部分</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因四舍五入原因，投资组合报告中分项之和与合计可能存在尾差。</w:t>
      </w:r>
    </w:p>
    <w:p w:rsidR="00881A82" w:rsidRPr="00473486" w:rsidRDefault="00881A82">
      <w:pPr>
        <w:spacing w:line="360" w:lineRule="auto"/>
        <w:ind w:firstLineChars="200" w:firstLine="420"/>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§6  </w:t>
      </w:r>
      <w:r w:rsidRPr="00473486">
        <w:rPr>
          <w:rFonts w:eastAsiaTheme="minorEastAsia"/>
          <w:color w:val="000000" w:themeColor="text1"/>
          <w:kern w:val="0"/>
          <w:sz w:val="24"/>
          <w:szCs w:val="24"/>
        </w:rPr>
        <w:t>开放式基金份额变动</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单位：份</w:t>
      </w:r>
    </w:p>
    <w:tbl>
      <w:tblPr>
        <w:tblW w:w="8634" w:type="dxa"/>
        <w:tblInd w:w="-106" w:type="dxa"/>
        <w:tblLayout w:type="fixed"/>
        <w:tblLook w:val="04A0" w:firstRow="1" w:lastRow="0" w:firstColumn="1" w:lastColumn="0" w:noHBand="0" w:noVBand="1"/>
      </w:tblPr>
      <w:tblGrid>
        <w:gridCol w:w="4609"/>
        <w:gridCol w:w="4025"/>
      </w:tblGrid>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5,001,591,250.27</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1,246,757,301.96</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4,458,078,080.33</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1,790,270,471.90</w:t>
            </w:r>
          </w:p>
        </w:tc>
      </w:tr>
    </w:tbl>
    <w:p w:rsidR="00881A82" w:rsidRPr="00473486" w:rsidRDefault="007D1E3A">
      <w:pPr>
        <w:pStyle w:val="1"/>
        <w:tabs>
          <w:tab w:val="center" w:pos="4156"/>
          <w:tab w:val="right" w:pos="8312"/>
        </w:tabs>
        <w:spacing w:beforeLines="100" w:before="312" w:afterLines="100" w:after="312" w:line="360" w:lineRule="auto"/>
        <w:jc w:val="center"/>
        <w:rPr>
          <w:color w:val="000000" w:themeColor="text1"/>
          <w:sz w:val="24"/>
          <w:szCs w:val="24"/>
        </w:rPr>
      </w:pPr>
      <w:r w:rsidRPr="00473486">
        <w:rPr>
          <w:rFonts w:eastAsiaTheme="minorEastAsia"/>
          <w:color w:val="000000" w:themeColor="text1"/>
          <w:kern w:val="0"/>
          <w:sz w:val="24"/>
          <w:szCs w:val="24"/>
        </w:rPr>
        <w:t xml:space="preserve">§7  </w:t>
      </w:r>
      <w:r w:rsidRPr="00473486">
        <w:rPr>
          <w:color w:val="000000" w:themeColor="text1"/>
          <w:sz w:val="24"/>
          <w:szCs w:val="24"/>
        </w:rPr>
        <w:t>基金管理人运用固有资金投资本基金情况</w:t>
      </w:r>
    </w:p>
    <w:p w:rsidR="00881A82" w:rsidRPr="00473486" w:rsidRDefault="007D1E3A">
      <w:pPr>
        <w:spacing w:line="360" w:lineRule="auto"/>
        <w:jc w:val="left"/>
        <w:rPr>
          <w:color w:val="000000" w:themeColor="text1"/>
          <w:sz w:val="24"/>
        </w:rPr>
      </w:pPr>
      <w:r w:rsidRPr="00473486">
        <w:rPr>
          <w:b/>
          <w:color w:val="000000" w:themeColor="text1"/>
          <w:sz w:val="24"/>
        </w:rPr>
        <w:t xml:space="preserve">7.1 </w:t>
      </w:r>
      <w:r w:rsidRPr="00473486">
        <w:rPr>
          <w:b/>
          <w:color w:val="000000" w:themeColor="text1"/>
          <w:sz w:val="24"/>
        </w:rPr>
        <w:t>基金管理人持有本基金份额变动情况</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jc w:val="left"/>
        <w:rPr>
          <w:color w:val="000000" w:themeColor="text1"/>
          <w:sz w:val="24"/>
        </w:rPr>
      </w:pPr>
      <w:r w:rsidRPr="00473486">
        <w:rPr>
          <w:b/>
          <w:color w:val="000000" w:themeColor="text1"/>
          <w:sz w:val="24"/>
        </w:rPr>
        <w:t xml:space="preserve">7.2 </w:t>
      </w:r>
      <w:r w:rsidRPr="00473486">
        <w:rPr>
          <w:b/>
          <w:color w:val="000000" w:themeColor="text1"/>
          <w:sz w:val="24"/>
        </w:rPr>
        <w:t>基金管理人运用固有资金投资本基金交易明细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lastRenderedPageBreak/>
        <w:t>§8</w:t>
      </w:r>
      <w:r w:rsidRPr="00473486">
        <w:rPr>
          <w:rFonts w:eastAsiaTheme="minorEastAsia"/>
          <w:color w:val="000000" w:themeColor="text1"/>
          <w:kern w:val="0"/>
          <w:sz w:val="24"/>
          <w:szCs w:val="24"/>
        </w:rPr>
        <w:t>备查文件目录</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8.1 </w:t>
      </w:r>
      <w:r w:rsidRPr="00473486">
        <w:rPr>
          <w:rFonts w:eastAsiaTheme="minorEastAsia"/>
          <w:b/>
          <w:color w:val="000000" w:themeColor="text1"/>
          <w:sz w:val="24"/>
        </w:rPr>
        <w:t>备查文件目录</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中国证监会准予摩根中证同业存单</w:t>
      </w:r>
      <w:r>
        <w:rPr>
          <w:rFonts w:eastAsiaTheme="minorEastAsia"/>
          <w:color w:val="000000" w:themeColor="text1"/>
          <w:szCs w:val="21"/>
        </w:rPr>
        <w:t>AAA</w:t>
      </w:r>
      <w:r>
        <w:rPr>
          <w:rFonts w:eastAsiaTheme="minorEastAsia"/>
          <w:color w:val="000000" w:themeColor="text1"/>
          <w:szCs w:val="21"/>
        </w:rPr>
        <w:t>指数</w:t>
      </w:r>
      <w:r>
        <w:rPr>
          <w:rFonts w:eastAsiaTheme="minorEastAsia"/>
          <w:color w:val="000000" w:themeColor="text1"/>
          <w:szCs w:val="21"/>
        </w:rPr>
        <w:t>7</w:t>
      </w:r>
      <w:r>
        <w:rPr>
          <w:rFonts w:eastAsiaTheme="minorEastAsia"/>
          <w:color w:val="000000" w:themeColor="text1"/>
          <w:szCs w:val="21"/>
        </w:rPr>
        <w:t>天持有期证券投资基金募集注册的文件</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摩根中证同业存单</w:t>
      </w:r>
      <w:r>
        <w:rPr>
          <w:rFonts w:eastAsiaTheme="minorEastAsia"/>
          <w:color w:val="000000" w:themeColor="text1"/>
          <w:szCs w:val="21"/>
        </w:rPr>
        <w:t>AAA</w:t>
      </w:r>
      <w:r>
        <w:rPr>
          <w:rFonts w:eastAsiaTheme="minorEastAsia"/>
          <w:color w:val="000000" w:themeColor="text1"/>
          <w:szCs w:val="21"/>
        </w:rPr>
        <w:t>指数</w:t>
      </w:r>
      <w:r>
        <w:rPr>
          <w:rFonts w:eastAsiaTheme="minorEastAsia"/>
          <w:color w:val="000000" w:themeColor="text1"/>
          <w:szCs w:val="21"/>
        </w:rPr>
        <w:t>7</w:t>
      </w:r>
      <w:r>
        <w:rPr>
          <w:rFonts w:eastAsiaTheme="minorEastAsia"/>
          <w:color w:val="000000" w:themeColor="text1"/>
          <w:szCs w:val="21"/>
        </w:rPr>
        <w:t>天持有期证券投资基金基金合同</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摩根中证同业存单</w:t>
      </w:r>
      <w:r>
        <w:rPr>
          <w:rFonts w:eastAsiaTheme="minorEastAsia"/>
          <w:color w:val="000000" w:themeColor="text1"/>
          <w:szCs w:val="21"/>
        </w:rPr>
        <w:t>AAA</w:t>
      </w:r>
      <w:r>
        <w:rPr>
          <w:rFonts w:eastAsiaTheme="minorEastAsia"/>
          <w:color w:val="000000" w:themeColor="text1"/>
          <w:szCs w:val="21"/>
        </w:rPr>
        <w:t>指数</w:t>
      </w:r>
      <w:r>
        <w:rPr>
          <w:rFonts w:eastAsiaTheme="minorEastAsia"/>
          <w:color w:val="000000" w:themeColor="text1"/>
          <w:szCs w:val="21"/>
        </w:rPr>
        <w:t>7</w:t>
      </w:r>
      <w:r>
        <w:rPr>
          <w:rFonts w:eastAsiaTheme="minorEastAsia"/>
          <w:color w:val="000000" w:themeColor="text1"/>
          <w:szCs w:val="21"/>
        </w:rPr>
        <w:t>天持有期证券投资基金托管协议</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F96B7B" w:rsidRDefault="009E083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w:t>
      </w:r>
      <w:r w:rsidRPr="00473486">
        <w:rPr>
          <w:rFonts w:eastAsiaTheme="minorEastAsia"/>
          <w:color w:val="000000" w:themeColor="text1"/>
          <w:szCs w:val="21"/>
        </w:rPr>
        <w:t>八</w:t>
      </w:r>
      <w:r w:rsidRPr="00473486">
        <w:rPr>
          <w:rFonts w:eastAsiaTheme="minorEastAsia"/>
          <w:color w:val="000000" w:themeColor="text1"/>
          <w:szCs w:val="21"/>
        </w:rPr>
        <w:t>)</w:t>
      </w:r>
      <w:r w:rsidRPr="00473486">
        <w:rPr>
          <w:rFonts w:eastAsiaTheme="minorEastAsia"/>
          <w:color w:val="000000" w:themeColor="text1"/>
          <w:szCs w:val="21"/>
        </w:rPr>
        <w:t>中国证监会要求的其他文件</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8.2 </w:t>
      </w:r>
      <w:r w:rsidRPr="00473486">
        <w:rPr>
          <w:rFonts w:eastAsiaTheme="minorEastAsia"/>
          <w:b/>
          <w:color w:val="000000" w:themeColor="text1"/>
          <w:sz w:val="24"/>
        </w:rPr>
        <w:t>存放地点</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基金管理人或基金托管人住所。</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8.3 </w:t>
      </w:r>
      <w:r w:rsidRPr="00473486">
        <w:rPr>
          <w:rFonts w:eastAsiaTheme="minorEastAsia"/>
          <w:b/>
          <w:color w:val="000000" w:themeColor="text1"/>
          <w:sz w:val="24"/>
        </w:rPr>
        <w:t>查阅方式</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投资者可在营业时间免费查阅，也可按工本费购买复印件。</w:t>
      </w: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摩根基金管理（中国）有限公司</w:t>
      </w: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二〇二四年四月二十二日</w:t>
      </w:r>
    </w:p>
    <w:p w:rsidR="00881A82" w:rsidRPr="00473486" w:rsidRDefault="00881A82">
      <w:pPr>
        <w:spacing w:line="360" w:lineRule="auto"/>
        <w:ind w:firstLineChars="900" w:firstLine="2168"/>
        <w:rPr>
          <w:rFonts w:eastAsiaTheme="minorEastAsia"/>
          <w:b/>
          <w:color w:val="000000" w:themeColor="text1"/>
          <w:sz w:val="24"/>
        </w:rPr>
      </w:pPr>
    </w:p>
    <w:sectPr w:rsidR="00881A82" w:rsidRPr="00473486">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DF" w:rsidRDefault="007F3EDF">
      <w:r>
        <w:separator/>
      </w:r>
    </w:p>
  </w:endnote>
  <w:endnote w:type="continuationSeparator" w:id="0">
    <w:p w:rsidR="007F3EDF" w:rsidRDefault="007F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E0BB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E0BB9">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1A82" w:rsidRDefault="00881A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E0BB9">
      <w:rPr>
        <w:rStyle w:val="af5"/>
        <w:noProof/>
      </w:rPr>
      <w:t>2</w:t>
    </w:r>
    <w:r>
      <w:rPr>
        <w:rStyle w:val="af5"/>
      </w:rPr>
      <w:fldChar w:fldCharType="end"/>
    </w:r>
  </w:p>
  <w:p w:rsidR="00881A82" w:rsidRDefault="00881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DF" w:rsidRDefault="007F3EDF">
      <w:r>
        <w:separator/>
      </w:r>
    </w:p>
  </w:footnote>
  <w:footnote w:type="continuationSeparator" w:id="0">
    <w:p w:rsidR="007F3EDF" w:rsidRDefault="007F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f"/>
      <w:pBdr>
        <w:bottom w:val="single" w:sz="6" w:space="0" w:color="auto"/>
      </w:pBdr>
      <w:jc w:val="right"/>
    </w:pPr>
    <w:r>
      <w:t>摩根中证同业存单</w:t>
    </w:r>
    <w:r>
      <w:t>AAA</w:t>
    </w:r>
    <w:r>
      <w:t>指数</w:t>
    </w:r>
    <w:r>
      <w:t>7</w:t>
    </w:r>
    <w:r>
      <w:t>天持有期证券投资基金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0010"/>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2BD7"/>
    <w:rsid w:val="00163B27"/>
    <w:rsid w:val="00165317"/>
    <w:rsid w:val="00171BAD"/>
    <w:rsid w:val="00172410"/>
    <w:rsid w:val="001744B4"/>
    <w:rsid w:val="001756A1"/>
    <w:rsid w:val="001761EE"/>
    <w:rsid w:val="00176EAA"/>
    <w:rsid w:val="0017725A"/>
    <w:rsid w:val="001775F7"/>
    <w:rsid w:val="001779ED"/>
    <w:rsid w:val="00177C4B"/>
    <w:rsid w:val="00180E68"/>
    <w:rsid w:val="0018325A"/>
    <w:rsid w:val="00186199"/>
    <w:rsid w:val="001928F7"/>
    <w:rsid w:val="00194537"/>
    <w:rsid w:val="0019563C"/>
    <w:rsid w:val="00195F18"/>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196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D32E3"/>
    <w:rsid w:val="002E0BB9"/>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690"/>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666D2"/>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73486"/>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015"/>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491F"/>
    <w:rsid w:val="005E58CE"/>
    <w:rsid w:val="005E59E9"/>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C3A"/>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708F"/>
    <w:rsid w:val="00732D1D"/>
    <w:rsid w:val="00736034"/>
    <w:rsid w:val="0073681C"/>
    <w:rsid w:val="00741EBE"/>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69A0"/>
    <w:rsid w:val="00786A23"/>
    <w:rsid w:val="007870FC"/>
    <w:rsid w:val="00787CD0"/>
    <w:rsid w:val="00791053"/>
    <w:rsid w:val="00791A3A"/>
    <w:rsid w:val="00794196"/>
    <w:rsid w:val="00797637"/>
    <w:rsid w:val="00797D95"/>
    <w:rsid w:val="007A2E54"/>
    <w:rsid w:val="007A3680"/>
    <w:rsid w:val="007A59B8"/>
    <w:rsid w:val="007B2862"/>
    <w:rsid w:val="007B662A"/>
    <w:rsid w:val="007C1A93"/>
    <w:rsid w:val="007C751E"/>
    <w:rsid w:val="007D021A"/>
    <w:rsid w:val="007D1E3A"/>
    <w:rsid w:val="007D28C9"/>
    <w:rsid w:val="007D3CC8"/>
    <w:rsid w:val="007D62F9"/>
    <w:rsid w:val="007D63A4"/>
    <w:rsid w:val="007E1AA2"/>
    <w:rsid w:val="007E4C1F"/>
    <w:rsid w:val="007F0746"/>
    <w:rsid w:val="007F0759"/>
    <w:rsid w:val="007F25C0"/>
    <w:rsid w:val="007F3EDF"/>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833"/>
    <w:rsid w:val="008174D4"/>
    <w:rsid w:val="00820FE6"/>
    <w:rsid w:val="00821A66"/>
    <w:rsid w:val="00822476"/>
    <w:rsid w:val="00822882"/>
    <w:rsid w:val="00824CB2"/>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82"/>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6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833"/>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3284"/>
    <w:rsid w:val="00A64CB8"/>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5585"/>
    <w:rsid w:val="00AF6EC1"/>
    <w:rsid w:val="00B00331"/>
    <w:rsid w:val="00B01A80"/>
    <w:rsid w:val="00B06D4D"/>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6460"/>
    <w:rsid w:val="00D33751"/>
    <w:rsid w:val="00D33924"/>
    <w:rsid w:val="00D36F6E"/>
    <w:rsid w:val="00D37343"/>
    <w:rsid w:val="00D4205E"/>
    <w:rsid w:val="00D42507"/>
    <w:rsid w:val="00D5574C"/>
    <w:rsid w:val="00D61982"/>
    <w:rsid w:val="00D6267A"/>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895"/>
    <w:rsid w:val="00DB7B69"/>
    <w:rsid w:val="00DC02EC"/>
    <w:rsid w:val="00DC234A"/>
    <w:rsid w:val="00DC41E4"/>
    <w:rsid w:val="00DC5116"/>
    <w:rsid w:val="00DC77DD"/>
    <w:rsid w:val="00DC7C77"/>
    <w:rsid w:val="00DD2417"/>
    <w:rsid w:val="00DD7EA2"/>
    <w:rsid w:val="00DE00F2"/>
    <w:rsid w:val="00DE117F"/>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611"/>
    <w:rsid w:val="00E25852"/>
    <w:rsid w:val="00E30EDF"/>
    <w:rsid w:val="00E31FBA"/>
    <w:rsid w:val="00E36AAE"/>
    <w:rsid w:val="00E41773"/>
    <w:rsid w:val="00E427F2"/>
    <w:rsid w:val="00E513F6"/>
    <w:rsid w:val="00E52792"/>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375E"/>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2E6B"/>
    <w:rsid w:val="00F8677B"/>
    <w:rsid w:val="00F96B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 w:val="2FA97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E9B9F7-3084-4E23-82E2-17FB52A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footnote text" w:semiHidden="1" w:qFormat="1"/>
    <w:lsdException w:name="annotation text" w:semiHidden="1" w:qFormat="1"/>
    <w:lsdException w:name="header" w:uiPriority="99"/>
    <w:lsdException w:name="caption" w:semiHidden="1" w:unhideWhenUsed="1" w:qFormat="1"/>
    <w:lsdException w:name="footnote reference" w:semiHidden="1" w:qFormat="1"/>
    <w:lsdException w:name="annotation reference" w:semiHidden="1"/>
    <w:lsdException w:name="Title" w:qFormat="1"/>
    <w:lsdException w:name="Default Paragraph Font" w:semiHidden="1" w:uiPriority="1" w:unhideWhenUsed="1"/>
    <w:lsdException w:name="Subtitle" w:qFormat="1"/>
    <w:lsdException w:name="Date" w:uiPriority="99"/>
    <w:lsdException w:name="Body Text Indent 3" w:qFormat="1"/>
    <w:lsdException w:name="Hyperlink" w:qFormat="1"/>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semiHidden/>
    <w:rPr>
      <w:b/>
      <w:bCs/>
    </w:rPr>
  </w:style>
  <w:style w:type="paragraph" w:styleId="a5">
    <w:name w:val="annotation text"/>
    <w:basedOn w:val="a"/>
    <w:semiHidden/>
    <w:qFormat/>
    <w:pPr>
      <w:jc w:val="left"/>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qFormat/>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rPr>
      <w:sz w:val="21"/>
      <w:szCs w:val="21"/>
    </w:rPr>
  </w:style>
  <w:style w:type="character" w:styleId="af9">
    <w:name w:val="footnote reference"/>
    <w:basedOn w:val="a1"/>
    <w:semiHidden/>
    <w:qFormat/>
    <w:rPr>
      <w:vertAlign w:val="superscript"/>
    </w:rPr>
  </w:style>
  <w:style w:type="table" w:styleId="afa">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qFormat/>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917">
      <w:bodyDiv w:val="1"/>
      <w:marLeft w:val="0"/>
      <w:marRight w:val="0"/>
      <w:marTop w:val="0"/>
      <w:marBottom w:val="0"/>
      <w:divBdr>
        <w:top w:val="none" w:sz="0" w:space="0" w:color="auto"/>
        <w:left w:val="none" w:sz="0" w:space="0" w:color="auto"/>
        <w:bottom w:val="none" w:sz="0" w:space="0" w:color="auto"/>
        <w:right w:val="none" w:sz="0" w:space="0" w:color="auto"/>
      </w:divBdr>
    </w:div>
    <w:div w:id="1389844735">
      <w:bodyDiv w:val="1"/>
      <w:marLeft w:val="0"/>
      <w:marRight w:val="0"/>
      <w:marTop w:val="0"/>
      <w:marBottom w:val="0"/>
      <w:divBdr>
        <w:top w:val="none" w:sz="0" w:space="0" w:color="auto"/>
        <w:left w:val="none" w:sz="0" w:space="0" w:color="auto"/>
        <w:bottom w:val="none" w:sz="0" w:space="0" w:color="auto"/>
        <w:right w:val="none" w:sz="0" w:space="0" w:color="auto"/>
      </w:divBdr>
    </w:div>
    <w:div w:id="18903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1086</Words>
  <Characters>6195</Characters>
  <Application>Microsoft Office Word</Application>
  <DocSecurity>0</DocSecurity>
  <Lines>51</Lines>
  <Paragraphs>14</Paragraphs>
  <ScaleCrop>false</ScaleCrop>
  <Company>TRT. Ltd. Co.</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Xiaodi.Wang@FA</cp:lastModifiedBy>
  <cp:revision>161</cp:revision>
  <cp:lastPrinted>2007-07-19T00:46:00Z</cp:lastPrinted>
  <dcterms:created xsi:type="dcterms:W3CDTF">2012-11-21T04:46:00Z</dcterms:created>
  <dcterms:modified xsi:type="dcterms:W3CDTF">2024-04-19T05:25:00Z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