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B025"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72C4001"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7A02D06"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6EBFDAC" w14:textId="77777777"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14:paraId="766F75B0"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摩根中证同业存单</w:t>
      </w:r>
      <w:r w:rsidRPr="00473486">
        <w:rPr>
          <w:rFonts w:eastAsiaTheme="minorEastAsia"/>
          <w:b/>
          <w:color w:val="000000" w:themeColor="text1"/>
          <w:sz w:val="36"/>
          <w:szCs w:val="36"/>
        </w:rPr>
        <w:t>AAA</w:t>
      </w:r>
      <w:r w:rsidRPr="00473486">
        <w:rPr>
          <w:rFonts w:eastAsiaTheme="minorEastAsia"/>
          <w:b/>
          <w:color w:val="000000" w:themeColor="text1"/>
          <w:sz w:val="36"/>
          <w:szCs w:val="36"/>
        </w:rPr>
        <w:t>指数</w:t>
      </w:r>
      <w:r w:rsidRPr="00473486">
        <w:rPr>
          <w:rFonts w:eastAsiaTheme="minorEastAsia"/>
          <w:b/>
          <w:color w:val="000000" w:themeColor="text1"/>
          <w:sz w:val="36"/>
          <w:szCs w:val="36"/>
        </w:rPr>
        <w:t>7</w:t>
      </w:r>
      <w:r w:rsidRPr="00473486">
        <w:rPr>
          <w:rFonts w:eastAsiaTheme="minorEastAsia"/>
          <w:b/>
          <w:color w:val="000000" w:themeColor="text1"/>
          <w:sz w:val="36"/>
          <w:szCs w:val="36"/>
        </w:rPr>
        <w:t>天持有期证券投资基金</w:t>
      </w:r>
    </w:p>
    <w:p w14:paraId="2D02E8B6"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2</w:t>
      </w:r>
      <w:r w:rsidRPr="00473486">
        <w:rPr>
          <w:rFonts w:eastAsiaTheme="minorEastAsia"/>
          <w:b/>
          <w:color w:val="000000" w:themeColor="text1"/>
          <w:sz w:val="36"/>
          <w:szCs w:val="36"/>
        </w:rPr>
        <w:t>季度报告</w:t>
      </w:r>
    </w:p>
    <w:p w14:paraId="63A646B0"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6</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14:paraId="7CF2AD18" w14:textId="77777777" w:rsidR="00881A82" w:rsidRPr="00473486" w:rsidRDefault="00881A82">
      <w:pPr>
        <w:spacing w:line="360" w:lineRule="auto"/>
        <w:jc w:val="center"/>
        <w:rPr>
          <w:rFonts w:eastAsiaTheme="minorEastAsia"/>
          <w:b/>
          <w:color w:val="000000" w:themeColor="text1"/>
          <w:sz w:val="24"/>
        </w:rPr>
      </w:pPr>
    </w:p>
    <w:p w14:paraId="04E765C9" w14:textId="77777777" w:rsidR="00881A82" w:rsidRPr="00473486" w:rsidRDefault="00881A82">
      <w:pPr>
        <w:spacing w:line="360" w:lineRule="auto"/>
        <w:jc w:val="center"/>
        <w:rPr>
          <w:rFonts w:eastAsiaTheme="minorEastAsia"/>
          <w:b/>
          <w:color w:val="000000" w:themeColor="text1"/>
          <w:sz w:val="24"/>
        </w:rPr>
      </w:pPr>
    </w:p>
    <w:p w14:paraId="3C38916F" w14:textId="77777777" w:rsidR="00881A82" w:rsidRPr="00473486" w:rsidRDefault="00881A82">
      <w:pPr>
        <w:spacing w:line="360" w:lineRule="auto"/>
        <w:jc w:val="center"/>
        <w:rPr>
          <w:rFonts w:eastAsiaTheme="minorEastAsia"/>
          <w:b/>
          <w:color w:val="000000" w:themeColor="text1"/>
          <w:sz w:val="24"/>
        </w:rPr>
      </w:pPr>
    </w:p>
    <w:p w14:paraId="613018C1" w14:textId="77777777" w:rsidR="00881A82" w:rsidRPr="00473486" w:rsidRDefault="00881A82">
      <w:pPr>
        <w:spacing w:line="360" w:lineRule="auto"/>
        <w:jc w:val="center"/>
        <w:rPr>
          <w:rFonts w:eastAsiaTheme="minorEastAsia"/>
          <w:b/>
          <w:color w:val="000000" w:themeColor="text1"/>
          <w:sz w:val="24"/>
        </w:rPr>
      </w:pPr>
    </w:p>
    <w:p w14:paraId="0D327E41" w14:textId="77777777" w:rsidR="00881A82" w:rsidRPr="00473486" w:rsidRDefault="00881A82">
      <w:pPr>
        <w:spacing w:line="360" w:lineRule="auto"/>
        <w:jc w:val="center"/>
        <w:rPr>
          <w:rFonts w:eastAsiaTheme="minorEastAsia"/>
          <w:b/>
          <w:color w:val="000000" w:themeColor="text1"/>
          <w:sz w:val="24"/>
        </w:rPr>
      </w:pPr>
    </w:p>
    <w:p w14:paraId="65224ACB" w14:textId="77777777" w:rsidR="00881A82" w:rsidRPr="00473486" w:rsidRDefault="00881A82">
      <w:pPr>
        <w:spacing w:line="360" w:lineRule="auto"/>
        <w:jc w:val="center"/>
        <w:rPr>
          <w:rFonts w:eastAsiaTheme="minorEastAsia"/>
          <w:b/>
          <w:color w:val="000000" w:themeColor="text1"/>
          <w:sz w:val="24"/>
        </w:rPr>
      </w:pPr>
    </w:p>
    <w:p w14:paraId="6F9C3D03" w14:textId="77777777" w:rsidR="00881A82" w:rsidRPr="00473486" w:rsidRDefault="00881A82">
      <w:pPr>
        <w:spacing w:line="360" w:lineRule="auto"/>
        <w:jc w:val="center"/>
        <w:rPr>
          <w:rFonts w:eastAsiaTheme="minorEastAsia"/>
          <w:b/>
          <w:color w:val="000000" w:themeColor="text1"/>
          <w:sz w:val="24"/>
        </w:rPr>
      </w:pPr>
    </w:p>
    <w:p w14:paraId="57DD922D" w14:textId="77777777" w:rsidR="00881A82" w:rsidRPr="00473486" w:rsidRDefault="00881A82">
      <w:pPr>
        <w:spacing w:line="360" w:lineRule="auto"/>
        <w:jc w:val="center"/>
        <w:rPr>
          <w:rFonts w:eastAsiaTheme="minorEastAsia"/>
          <w:b/>
          <w:color w:val="000000" w:themeColor="text1"/>
          <w:sz w:val="24"/>
        </w:rPr>
      </w:pPr>
    </w:p>
    <w:p w14:paraId="6A3DAC60" w14:textId="77777777" w:rsidR="00881A82" w:rsidRPr="00473486" w:rsidRDefault="00881A82">
      <w:pPr>
        <w:spacing w:line="360" w:lineRule="auto"/>
        <w:jc w:val="center"/>
        <w:rPr>
          <w:rFonts w:eastAsiaTheme="minorEastAsia"/>
          <w:b/>
          <w:color w:val="000000" w:themeColor="text1"/>
          <w:sz w:val="24"/>
        </w:rPr>
      </w:pPr>
    </w:p>
    <w:p w14:paraId="5B0ACB85" w14:textId="77777777" w:rsidR="00881A82" w:rsidRPr="00473486" w:rsidRDefault="00881A82">
      <w:pPr>
        <w:spacing w:line="360" w:lineRule="auto"/>
        <w:jc w:val="center"/>
        <w:rPr>
          <w:rFonts w:eastAsiaTheme="minorEastAsia"/>
          <w:b/>
          <w:color w:val="000000" w:themeColor="text1"/>
          <w:sz w:val="24"/>
        </w:rPr>
      </w:pPr>
    </w:p>
    <w:p w14:paraId="482E95B1" w14:textId="77777777" w:rsidR="00881A82" w:rsidRPr="00473486" w:rsidRDefault="00881A82">
      <w:pPr>
        <w:spacing w:line="360" w:lineRule="auto"/>
        <w:jc w:val="center"/>
        <w:rPr>
          <w:rFonts w:eastAsiaTheme="minorEastAsia"/>
          <w:b/>
          <w:color w:val="000000" w:themeColor="text1"/>
          <w:sz w:val="24"/>
        </w:rPr>
      </w:pPr>
    </w:p>
    <w:p w14:paraId="3E31821D" w14:textId="77777777" w:rsidR="00881A82" w:rsidRPr="00473486" w:rsidRDefault="00881A82">
      <w:pPr>
        <w:spacing w:line="360" w:lineRule="auto"/>
        <w:jc w:val="center"/>
        <w:rPr>
          <w:rFonts w:eastAsiaTheme="minorEastAsia"/>
          <w:b/>
          <w:color w:val="000000" w:themeColor="text1"/>
          <w:sz w:val="24"/>
        </w:rPr>
      </w:pPr>
    </w:p>
    <w:p w14:paraId="0C597212" w14:textId="77777777" w:rsidR="00881A82" w:rsidRPr="00473486" w:rsidRDefault="00881A82">
      <w:pPr>
        <w:spacing w:line="360" w:lineRule="auto"/>
        <w:jc w:val="center"/>
        <w:rPr>
          <w:rFonts w:eastAsiaTheme="minorEastAsia"/>
          <w:b/>
          <w:color w:val="000000" w:themeColor="text1"/>
          <w:sz w:val="24"/>
        </w:rPr>
      </w:pPr>
    </w:p>
    <w:p w14:paraId="5E79E6B7" w14:textId="77777777" w:rsidR="00881A82" w:rsidRPr="00473486" w:rsidRDefault="00881A82">
      <w:pPr>
        <w:spacing w:line="360" w:lineRule="auto"/>
        <w:jc w:val="center"/>
        <w:rPr>
          <w:rFonts w:eastAsiaTheme="minorEastAsia"/>
          <w:b/>
          <w:color w:val="000000" w:themeColor="text1"/>
          <w:sz w:val="24"/>
        </w:rPr>
      </w:pPr>
    </w:p>
    <w:p w14:paraId="0594F3F1" w14:textId="77777777" w:rsidR="00881A82" w:rsidRPr="00473486" w:rsidRDefault="00881A82">
      <w:pPr>
        <w:spacing w:line="360" w:lineRule="auto"/>
        <w:rPr>
          <w:rFonts w:eastAsiaTheme="minorEastAsia"/>
          <w:b/>
          <w:color w:val="000000" w:themeColor="text1"/>
          <w:sz w:val="24"/>
        </w:rPr>
      </w:pPr>
    </w:p>
    <w:p w14:paraId="3E5F28E3"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14:paraId="63B0591D"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基金托管人：交通银行股份有限公司</w:t>
      </w:r>
    </w:p>
    <w:p w14:paraId="7F57A6C4" w14:textId="77777777"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报告送出日期：二〇二四年七月十九日</w:t>
      </w:r>
    </w:p>
    <w:p w14:paraId="60A5A95C" w14:textId="77777777"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14:paraId="4E5F0783"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EB0054E"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1C85D93"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EBA9AE1"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07D498B6"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01F3320C"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14:paraId="69D3A51D"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14:paraId="7B0B7860" w14:textId="77777777">
        <w:tc>
          <w:tcPr>
            <w:tcW w:w="2835" w:type="dxa"/>
            <w:vAlign w:val="center"/>
          </w:tcPr>
          <w:p w14:paraId="77723090"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14:paraId="72BDEBC9"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摩根中证同业存单</w:t>
            </w:r>
            <w:r w:rsidRPr="00473486">
              <w:rPr>
                <w:rFonts w:eastAsiaTheme="minorEastAsia"/>
                <w:color w:val="000000" w:themeColor="text1"/>
                <w:kern w:val="0"/>
                <w:szCs w:val="21"/>
              </w:rPr>
              <w:t>AAA</w:t>
            </w:r>
            <w:r w:rsidRPr="00473486">
              <w:rPr>
                <w:rFonts w:eastAsiaTheme="minorEastAsia"/>
                <w:color w:val="000000" w:themeColor="text1"/>
                <w:kern w:val="0"/>
                <w:szCs w:val="21"/>
              </w:rPr>
              <w:t>指数</w:t>
            </w:r>
            <w:r w:rsidRPr="00473486">
              <w:rPr>
                <w:rFonts w:eastAsiaTheme="minorEastAsia"/>
                <w:color w:val="000000" w:themeColor="text1"/>
                <w:kern w:val="0"/>
                <w:szCs w:val="21"/>
              </w:rPr>
              <w:t>7</w:t>
            </w:r>
            <w:r w:rsidRPr="00473486">
              <w:rPr>
                <w:rFonts w:eastAsiaTheme="minorEastAsia"/>
                <w:color w:val="000000" w:themeColor="text1"/>
                <w:kern w:val="0"/>
                <w:szCs w:val="21"/>
              </w:rPr>
              <w:t>天持有期</w:t>
            </w:r>
          </w:p>
        </w:tc>
      </w:tr>
      <w:tr w:rsidR="00881A82" w:rsidRPr="00473486" w14:paraId="5A0714A9" w14:textId="77777777">
        <w:tc>
          <w:tcPr>
            <w:tcW w:w="2835" w:type="dxa"/>
            <w:tcBorders>
              <w:top w:val="single" w:sz="4" w:space="0" w:color="auto"/>
              <w:left w:val="single" w:sz="4" w:space="0" w:color="auto"/>
              <w:bottom w:val="single" w:sz="4" w:space="0" w:color="auto"/>
              <w:right w:val="single" w:sz="4" w:space="0" w:color="auto"/>
            </w:tcBorders>
            <w:vAlign w:val="center"/>
          </w:tcPr>
          <w:p w14:paraId="0215EC8C"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1E20591B"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019683</w:t>
            </w:r>
          </w:p>
        </w:tc>
      </w:tr>
      <w:tr w:rsidR="00881A82" w:rsidRPr="00473486" w14:paraId="1343367A" w14:textId="77777777">
        <w:tc>
          <w:tcPr>
            <w:tcW w:w="2835" w:type="dxa"/>
            <w:tcBorders>
              <w:top w:val="single" w:sz="4" w:space="0" w:color="auto"/>
              <w:left w:val="single" w:sz="4" w:space="0" w:color="auto"/>
              <w:bottom w:val="single" w:sz="4" w:space="0" w:color="auto"/>
              <w:right w:val="single" w:sz="4" w:space="0" w:color="auto"/>
            </w:tcBorders>
            <w:vAlign w:val="center"/>
          </w:tcPr>
          <w:p w14:paraId="5CB07C8C"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79A6E8F0"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019683</w:t>
            </w:r>
          </w:p>
        </w:tc>
      </w:tr>
      <w:tr w:rsidR="00881A82" w:rsidRPr="00473486" w14:paraId="26F6506D" w14:textId="77777777">
        <w:tc>
          <w:tcPr>
            <w:tcW w:w="2835" w:type="dxa"/>
            <w:vAlign w:val="center"/>
          </w:tcPr>
          <w:p w14:paraId="148DA065"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14:paraId="184EED6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契约型开放式</w:t>
            </w:r>
          </w:p>
        </w:tc>
      </w:tr>
      <w:tr w:rsidR="00881A82" w:rsidRPr="00473486" w14:paraId="193426A2" w14:textId="77777777">
        <w:tc>
          <w:tcPr>
            <w:tcW w:w="2835" w:type="dxa"/>
            <w:vAlign w:val="center"/>
          </w:tcPr>
          <w:p w14:paraId="52782E6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14:paraId="6799FAB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2023</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18</w:t>
            </w:r>
            <w:r w:rsidRPr="00473486">
              <w:rPr>
                <w:rFonts w:eastAsiaTheme="minorEastAsia"/>
                <w:color w:val="000000" w:themeColor="text1"/>
                <w:kern w:val="0"/>
                <w:szCs w:val="21"/>
              </w:rPr>
              <w:t>日</w:t>
            </w:r>
          </w:p>
        </w:tc>
      </w:tr>
      <w:tr w:rsidR="00881A82" w:rsidRPr="00473486" w14:paraId="60B79BEE" w14:textId="77777777">
        <w:tc>
          <w:tcPr>
            <w:tcW w:w="2835" w:type="dxa"/>
            <w:vAlign w:val="center"/>
          </w:tcPr>
          <w:p w14:paraId="00BADAC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14:paraId="1B67306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474,869,898.98</w:t>
            </w:r>
            <w:r w:rsidRPr="00473486">
              <w:rPr>
                <w:rFonts w:eastAsiaTheme="minorEastAsia"/>
                <w:color w:val="000000" w:themeColor="text1"/>
                <w:kern w:val="0"/>
                <w:szCs w:val="21"/>
              </w:rPr>
              <w:t>份</w:t>
            </w:r>
          </w:p>
        </w:tc>
      </w:tr>
      <w:tr w:rsidR="00881A82" w:rsidRPr="00473486" w14:paraId="63F87409" w14:textId="77777777">
        <w:tc>
          <w:tcPr>
            <w:tcW w:w="2835" w:type="dxa"/>
            <w:vAlign w:val="center"/>
          </w:tcPr>
          <w:p w14:paraId="7EE5E29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14:paraId="5433D82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本基金通过指数化投资，争取在扣除各项费用之前获得与标的指数相似的总回报，追求跟踪偏离度及跟踪误差的最小化。</w:t>
            </w:r>
          </w:p>
        </w:tc>
      </w:tr>
      <w:tr w:rsidR="00881A82" w:rsidRPr="00473486" w14:paraId="18CFD4E6" w14:textId="77777777">
        <w:tc>
          <w:tcPr>
            <w:tcW w:w="2835" w:type="dxa"/>
            <w:vAlign w:val="center"/>
          </w:tcPr>
          <w:p w14:paraId="4D8860A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14:paraId="03EFAE6C" w14:textId="77777777" w:rsidR="009442E3" w:rsidRDefault="004657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（一）资产配置策略</w:t>
            </w:r>
          </w:p>
          <w:p w14:paraId="1D0325FA" w14:textId="77777777" w:rsidR="009442E3" w:rsidRDefault="004657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本基金将在降低跟踪误差和控制流动性风险的前提下构建指数化的投资组合。本基金投资于同业存单的比例不低于基金资产的</w:t>
            </w:r>
            <w:r>
              <w:rPr>
                <w:rFonts w:eastAsiaTheme="minorEastAsia"/>
                <w:color w:val="000000" w:themeColor="text1"/>
                <w:kern w:val="0"/>
                <w:szCs w:val="21"/>
              </w:rPr>
              <w:t>80%</w:t>
            </w:r>
            <w:r>
              <w:rPr>
                <w:rFonts w:eastAsiaTheme="minorEastAsia"/>
                <w:color w:val="000000" w:themeColor="text1"/>
                <w:kern w:val="0"/>
                <w:szCs w:val="21"/>
              </w:rPr>
              <w:t>，投资于标的指数成份券和备选成份券</w:t>
            </w:r>
            <w:r>
              <w:rPr>
                <w:rFonts w:eastAsiaTheme="minorEastAsia"/>
                <w:color w:val="000000" w:themeColor="text1"/>
                <w:kern w:val="0"/>
                <w:szCs w:val="21"/>
              </w:rPr>
              <w:lastRenderedPageBreak/>
              <w:t>的比例不低于非现金基金资产的</w:t>
            </w:r>
            <w:r>
              <w:rPr>
                <w:rFonts w:eastAsiaTheme="minorEastAsia"/>
                <w:color w:val="000000" w:themeColor="text1"/>
                <w:kern w:val="0"/>
                <w:szCs w:val="21"/>
              </w:rPr>
              <w:t>80%</w:t>
            </w:r>
            <w:r>
              <w:rPr>
                <w:rFonts w:eastAsiaTheme="minorEastAsia"/>
                <w:color w:val="000000" w:themeColor="text1"/>
                <w:kern w:val="0"/>
                <w:szCs w:val="21"/>
              </w:rPr>
              <w:t>。</w:t>
            </w:r>
          </w:p>
          <w:p w14:paraId="1CD498E7" w14:textId="77777777" w:rsidR="009442E3" w:rsidRDefault="004657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（二）抽样复制策略</w:t>
            </w:r>
          </w:p>
          <w:p w14:paraId="22FA886C" w14:textId="77777777" w:rsidR="009442E3" w:rsidRDefault="004657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按待偿期将可投资同业存单进行分层，综合考虑同业存单发行人的信用资质、存单流动性及可获得性，在每个分层中选取一定数量个券，分配权重，使得组合每个分层的权重占比与指数保持一致。本基金将定期对投资组合进行调整，以确保组合总体特征与标的指数相似，并缩小跟踪误差。当发生较大的申购赎回、组合中同业存单派息、存单到期以及市场波动剧烈等情况，导致投资组合与标的指数出现偏离，本基金将综合考虑市场流动性、交易成本、偏离程度等因素，对投资组合进行不定期的动态调整以缩小跟踪误差。</w:t>
            </w:r>
          </w:p>
          <w:p w14:paraId="00505B0C" w14:textId="77777777" w:rsidR="009442E3" w:rsidRDefault="004657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（三）替代性策略</w:t>
            </w:r>
          </w:p>
          <w:p w14:paraId="25C19D99" w14:textId="77777777" w:rsidR="009442E3" w:rsidRDefault="004657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可以在成份券和备选成份券外寻找其他存单和债券构建替代组合，本基金将选取与成份券久期相近、剩余期限基本匹配的存单和债券进行替代。在力求跟踪误差最小化的前提下，本基金可采取适当方法，如久期管理、期限结构配置、类别配置、骑乘、息差等优化策略对基金资产进行调整，降低交易成本，以期在规定的风险承受限度之内，尽量缩小跟踪误差。</w:t>
            </w:r>
          </w:p>
          <w:p w14:paraId="0FC7BFF1" w14:textId="77777777" w:rsidR="009442E3" w:rsidRDefault="004657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（四）资产支持证券投资策略</w:t>
            </w:r>
          </w:p>
          <w:p w14:paraId="7D1B3BBE"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将在严格控制组合投资风险的前提下投资于资产支持证券。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tc>
      </w:tr>
      <w:tr w:rsidR="00881A82" w:rsidRPr="00473486" w14:paraId="7AD5AA4E" w14:textId="77777777">
        <w:tc>
          <w:tcPr>
            <w:tcW w:w="2835" w:type="dxa"/>
            <w:vAlign w:val="center"/>
          </w:tcPr>
          <w:p w14:paraId="78272C2E"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14:paraId="11D6DC7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中证同业存单</w:t>
            </w:r>
            <w:r w:rsidRPr="00473486">
              <w:rPr>
                <w:rFonts w:eastAsiaTheme="minorEastAsia"/>
                <w:color w:val="000000" w:themeColor="text1"/>
                <w:kern w:val="0"/>
                <w:szCs w:val="21"/>
              </w:rPr>
              <w:t>AAA</w:t>
            </w:r>
            <w:r w:rsidRPr="00473486">
              <w:rPr>
                <w:rFonts w:eastAsiaTheme="minorEastAsia"/>
                <w:color w:val="000000" w:themeColor="text1"/>
                <w:kern w:val="0"/>
                <w:szCs w:val="21"/>
              </w:rPr>
              <w:t>指数收益率</w:t>
            </w:r>
            <w:r w:rsidRPr="00473486">
              <w:rPr>
                <w:rFonts w:eastAsiaTheme="minorEastAsia"/>
                <w:color w:val="000000" w:themeColor="text1"/>
                <w:kern w:val="0"/>
                <w:szCs w:val="21"/>
              </w:rPr>
              <w:t>×95%+</w:t>
            </w:r>
            <w:r w:rsidRPr="00473486">
              <w:rPr>
                <w:rFonts w:eastAsiaTheme="minorEastAsia"/>
                <w:color w:val="000000" w:themeColor="text1"/>
                <w:kern w:val="0"/>
                <w:szCs w:val="21"/>
              </w:rPr>
              <w:t>银行人民币一年定期存款利率（税后）</w:t>
            </w:r>
            <w:r w:rsidRPr="00473486">
              <w:rPr>
                <w:rFonts w:eastAsiaTheme="minorEastAsia"/>
                <w:color w:val="000000" w:themeColor="text1"/>
                <w:kern w:val="0"/>
                <w:szCs w:val="21"/>
              </w:rPr>
              <w:t>×5%</w:t>
            </w:r>
          </w:p>
        </w:tc>
      </w:tr>
      <w:tr w:rsidR="00881A82" w:rsidRPr="00473486" w14:paraId="24804DD0" w14:textId="77777777">
        <w:tc>
          <w:tcPr>
            <w:tcW w:w="2835" w:type="dxa"/>
            <w:vAlign w:val="center"/>
          </w:tcPr>
          <w:p w14:paraId="71F37F0C"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14:paraId="255DF45C" w14:textId="77777777" w:rsidR="009442E3" w:rsidRDefault="004657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本基金预期风险与预期收益低于股票型基金、偏股混合型基金，高于货币市场基金。</w:t>
            </w:r>
          </w:p>
          <w:p w14:paraId="207430C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本基金为指数型基金，主要采用抽样复制和动态最优化的方法跟踪标的指数的表现，具有与标的指数以及标的指数所代表的市场相似的风险收益特征。</w:t>
            </w:r>
          </w:p>
        </w:tc>
      </w:tr>
      <w:tr w:rsidR="00881A82" w:rsidRPr="00473486" w14:paraId="75520EB2" w14:textId="77777777">
        <w:tc>
          <w:tcPr>
            <w:tcW w:w="2835" w:type="dxa"/>
            <w:vAlign w:val="center"/>
          </w:tcPr>
          <w:p w14:paraId="6935E04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14:paraId="52E9FB1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14:paraId="4B9ECDB6" w14:textId="77777777">
        <w:tc>
          <w:tcPr>
            <w:tcW w:w="2835" w:type="dxa"/>
            <w:vAlign w:val="center"/>
          </w:tcPr>
          <w:p w14:paraId="680ABA1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14:paraId="7E923F9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交通银行股份有限公司</w:t>
            </w:r>
          </w:p>
        </w:tc>
      </w:tr>
    </w:tbl>
    <w:p w14:paraId="2646A625"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14:paraId="7F60A9E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14:paraId="3A6352FF"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46571D" w:rsidRPr="00473486" w14:paraId="19D87390" w14:textId="77777777" w:rsidTr="0046571D">
        <w:tc>
          <w:tcPr>
            <w:tcW w:w="3402" w:type="dxa"/>
            <w:vAlign w:val="center"/>
          </w:tcPr>
          <w:p w14:paraId="0F73C427" w14:textId="77777777"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14:paraId="6738B287"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14:paraId="0525E540"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46571D" w:rsidRPr="00473486" w14:paraId="42E0D022" w14:textId="77777777" w:rsidTr="0046571D">
        <w:tc>
          <w:tcPr>
            <w:tcW w:w="3402" w:type="dxa"/>
            <w:vAlign w:val="center"/>
          </w:tcPr>
          <w:p w14:paraId="1FD60E57"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14:paraId="71F0EDD4"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4,236,866.39</w:t>
            </w:r>
          </w:p>
        </w:tc>
      </w:tr>
      <w:tr w:rsidR="0046571D" w:rsidRPr="00473486" w14:paraId="1C90D678" w14:textId="77777777" w:rsidTr="0046571D">
        <w:tc>
          <w:tcPr>
            <w:tcW w:w="3402" w:type="dxa"/>
            <w:vAlign w:val="center"/>
          </w:tcPr>
          <w:p w14:paraId="459D7467"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14:paraId="44877B45"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4,431,685.26</w:t>
            </w:r>
          </w:p>
        </w:tc>
      </w:tr>
      <w:tr w:rsidR="0046571D" w:rsidRPr="00473486" w14:paraId="609761A8" w14:textId="77777777" w:rsidTr="0046571D">
        <w:tc>
          <w:tcPr>
            <w:tcW w:w="3402" w:type="dxa"/>
            <w:vAlign w:val="center"/>
          </w:tcPr>
          <w:p w14:paraId="7B80693F"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14:paraId="085283CF"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0.0056</w:t>
            </w:r>
          </w:p>
        </w:tc>
      </w:tr>
      <w:tr w:rsidR="0046571D" w:rsidRPr="00473486" w14:paraId="4E8322A4" w14:textId="77777777" w:rsidTr="0046571D">
        <w:tc>
          <w:tcPr>
            <w:tcW w:w="3402" w:type="dxa"/>
            <w:vAlign w:val="center"/>
          </w:tcPr>
          <w:p w14:paraId="2A8A527C"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14:paraId="178B1A78"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480,467,921.57</w:t>
            </w:r>
          </w:p>
        </w:tc>
      </w:tr>
      <w:tr w:rsidR="0046571D" w:rsidRPr="00473486" w14:paraId="2FAB8536" w14:textId="77777777" w:rsidTr="0046571D">
        <w:trPr>
          <w:trHeight w:val="158"/>
        </w:trPr>
        <w:tc>
          <w:tcPr>
            <w:tcW w:w="3402" w:type="dxa"/>
            <w:vAlign w:val="center"/>
          </w:tcPr>
          <w:p w14:paraId="17D4DE7F"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14:paraId="5C687DB6"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1.0118</w:t>
            </w:r>
          </w:p>
        </w:tc>
      </w:tr>
    </w:tbl>
    <w:p w14:paraId="62223724" w14:textId="77777777" w:rsidR="009442E3" w:rsidRDefault="0046571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55AA47B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08DA640"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552FA14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14:paraId="1F4A9A8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14:paraId="62CA9ECC" w14:textId="77777777">
        <w:tc>
          <w:tcPr>
            <w:tcW w:w="1395" w:type="dxa"/>
            <w:vAlign w:val="center"/>
          </w:tcPr>
          <w:p w14:paraId="0C15FBE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14:paraId="426E0A90"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w:t>
            </w:r>
            <w:r w:rsidRPr="00473486">
              <w:rPr>
                <w:rFonts w:eastAsiaTheme="minorEastAsia"/>
                <w:color w:val="000000" w:themeColor="text1"/>
                <w:szCs w:val="21"/>
              </w:rPr>
              <w:lastRenderedPageBreak/>
              <w:t>率</w:t>
            </w:r>
            <w:r w:rsidRPr="00473486">
              <w:rPr>
                <w:rFonts w:ascii="宋体" w:hAnsi="宋体" w:cs="宋体" w:hint="eastAsia"/>
                <w:color w:val="000000" w:themeColor="text1"/>
                <w:szCs w:val="21"/>
              </w:rPr>
              <w:t>①</w:t>
            </w:r>
          </w:p>
        </w:tc>
        <w:tc>
          <w:tcPr>
            <w:tcW w:w="1161" w:type="dxa"/>
            <w:vAlign w:val="center"/>
          </w:tcPr>
          <w:p w14:paraId="129805E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净值增长</w:t>
            </w:r>
            <w:r w:rsidRPr="00473486">
              <w:rPr>
                <w:rFonts w:eastAsiaTheme="minorEastAsia"/>
                <w:color w:val="000000" w:themeColor="text1"/>
                <w:szCs w:val="21"/>
              </w:rPr>
              <w:lastRenderedPageBreak/>
              <w:t>率标准差</w:t>
            </w:r>
            <w:r w:rsidRPr="00473486">
              <w:rPr>
                <w:rFonts w:ascii="宋体" w:hAnsi="宋体" w:cs="宋体" w:hint="eastAsia"/>
                <w:color w:val="000000" w:themeColor="text1"/>
                <w:szCs w:val="21"/>
              </w:rPr>
              <w:t>②</w:t>
            </w:r>
          </w:p>
        </w:tc>
        <w:tc>
          <w:tcPr>
            <w:tcW w:w="1181" w:type="dxa"/>
            <w:vAlign w:val="center"/>
          </w:tcPr>
          <w:p w14:paraId="6D26AB8E"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业绩比较</w:t>
            </w:r>
            <w:r w:rsidRPr="00473486">
              <w:rPr>
                <w:rFonts w:eastAsiaTheme="minorEastAsia"/>
                <w:color w:val="000000" w:themeColor="text1"/>
                <w:szCs w:val="21"/>
              </w:rPr>
              <w:lastRenderedPageBreak/>
              <w:t>基准收益率</w:t>
            </w:r>
            <w:r w:rsidRPr="00473486">
              <w:rPr>
                <w:rFonts w:ascii="宋体" w:hAnsi="宋体" w:cs="宋体" w:hint="eastAsia"/>
                <w:color w:val="000000" w:themeColor="text1"/>
                <w:szCs w:val="21"/>
              </w:rPr>
              <w:t>③</w:t>
            </w:r>
          </w:p>
        </w:tc>
        <w:tc>
          <w:tcPr>
            <w:tcW w:w="1188" w:type="dxa"/>
            <w:vAlign w:val="center"/>
          </w:tcPr>
          <w:p w14:paraId="7F905B7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业绩比较</w:t>
            </w:r>
            <w:r w:rsidRPr="00473486">
              <w:rPr>
                <w:rFonts w:eastAsiaTheme="minorEastAsia"/>
                <w:color w:val="000000" w:themeColor="text1"/>
                <w:szCs w:val="21"/>
              </w:rPr>
              <w:lastRenderedPageBreak/>
              <w:t>基准收益率标准差</w:t>
            </w:r>
            <w:r w:rsidRPr="00473486">
              <w:rPr>
                <w:rFonts w:ascii="宋体" w:hAnsi="宋体" w:cs="宋体" w:hint="eastAsia"/>
                <w:color w:val="000000" w:themeColor="text1"/>
                <w:szCs w:val="21"/>
              </w:rPr>
              <w:t>④</w:t>
            </w:r>
          </w:p>
        </w:tc>
        <w:tc>
          <w:tcPr>
            <w:tcW w:w="1199" w:type="dxa"/>
            <w:vAlign w:val="center"/>
          </w:tcPr>
          <w:p w14:paraId="60121895"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lastRenderedPageBreak/>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14:paraId="3145EE10"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9442E3" w14:paraId="78CDF97B" w14:textId="77777777">
        <w:tc>
          <w:tcPr>
            <w:tcW w:w="1395" w:type="dxa"/>
            <w:vAlign w:val="center"/>
          </w:tcPr>
          <w:p w14:paraId="123AE0CA" w14:textId="77777777" w:rsidR="009442E3" w:rsidRDefault="0046571D">
            <w:pPr>
              <w:jc w:val="left"/>
            </w:pPr>
            <w:r>
              <w:rPr>
                <w:rFonts w:eastAsiaTheme="minorEastAsia"/>
                <w:color w:val="000000" w:themeColor="text1"/>
                <w:szCs w:val="21"/>
              </w:rPr>
              <w:t>过去三个月</w:t>
            </w:r>
          </w:p>
        </w:tc>
        <w:tc>
          <w:tcPr>
            <w:tcW w:w="1092" w:type="dxa"/>
            <w:vAlign w:val="center"/>
          </w:tcPr>
          <w:p w14:paraId="77CE4F57" w14:textId="77777777" w:rsidR="009442E3" w:rsidRDefault="0046571D">
            <w:pPr>
              <w:jc w:val="center"/>
            </w:pPr>
            <w:r>
              <w:rPr>
                <w:rFonts w:eastAsiaTheme="minorEastAsia"/>
                <w:color w:val="000000" w:themeColor="text1"/>
                <w:szCs w:val="21"/>
              </w:rPr>
              <w:t>0.52%</w:t>
            </w:r>
          </w:p>
        </w:tc>
        <w:tc>
          <w:tcPr>
            <w:tcW w:w="1161" w:type="dxa"/>
            <w:vAlign w:val="center"/>
          </w:tcPr>
          <w:p w14:paraId="40C6B205" w14:textId="77777777" w:rsidR="009442E3" w:rsidRDefault="0046571D">
            <w:pPr>
              <w:jc w:val="center"/>
            </w:pPr>
            <w:r>
              <w:rPr>
                <w:rFonts w:eastAsiaTheme="minorEastAsia"/>
                <w:color w:val="000000" w:themeColor="text1"/>
                <w:szCs w:val="21"/>
              </w:rPr>
              <w:t>0.01%</w:t>
            </w:r>
          </w:p>
        </w:tc>
        <w:tc>
          <w:tcPr>
            <w:tcW w:w="1181" w:type="dxa"/>
            <w:vAlign w:val="center"/>
          </w:tcPr>
          <w:p w14:paraId="21A83592" w14:textId="77777777" w:rsidR="009442E3" w:rsidRDefault="0046571D">
            <w:pPr>
              <w:jc w:val="center"/>
            </w:pPr>
            <w:r>
              <w:rPr>
                <w:rFonts w:eastAsiaTheme="minorEastAsia"/>
                <w:color w:val="000000" w:themeColor="text1"/>
                <w:szCs w:val="21"/>
              </w:rPr>
              <w:t>0.62%</w:t>
            </w:r>
          </w:p>
        </w:tc>
        <w:tc>
          <w:tcPr>
            <w:tcW w:w="1188" w:type="dxa"/>
            <w:vAlign w:val="center"/>
          </w:tcPr>
          <w:p w14:paraId="4D1BEE04" w14:textId="77777777" w:rsidR="009442E3" w:rsidRDefault="0046571D">
            <w:pPr>
              <w:jc w:val="center"/>
            </w:pPr>
            <w:r>
              <w:rPr>
                <w:rFonts w:eastAsiaTheme="minorEastAsia"/>
                <w:color w:val="000000" w:themeColor="text1"/>
                <w:szCs w:val="21"/>
              </w:rPr>
              <w:t>0.01%</w:t>
            </w:r>
          </w:p>
        </w:tc>
        <w:tc>
          <w:tcPr>
            <w:tcW w:w="1199" w:type="dxa"/>
            <w:vAlign w:val="center"/>
          </w:tcPr>
          <w:p w14:paraId="4386F056" w14:textId="77777777" w:rsidR="009442E3" w:rsidRDefault="0046571D">
            <w:pPr>
              <w:jc w:val="center"/>
            </w:pPr>
            <w:r>
              <w:rPr>
                <w:rFonts w:eastAsiaTheme="minorEastAsia"/>
                <w:color w:val="000000" w:themeColor="text1"/>
                <w:szCs w:val="21"/>
              </w:rPr>
              <w:t>-0.10%</w:t>
            </w:r>
          </w:p>
        </w:tc>
        <w:tc>
          <w:tcPr>
            <w:tcW w:w="1204" w:type="dxa"/>
            <w:vAlign w:val="center"/>
          </w:tcPr>
          <w:p w14:paraId="2ABEE7C3" w14:textId="77777777" w:rsidR="009442E3" w:rsidRDefault="0046571D">
            <w:pPr>
              <w:jc w:val="center"/>
            </w:pPr>
            <w:r>
              <w:rPr>
                <w:rFonts w:eastAsiaTheme="minorEastAsia"/>
                <w:color w:val="000000" w:themeColor="text1"/>
                <w:szCs w:val="21"/>
              </w:rPr>
              <w:t>0.00%</w:t>
            </w:r>
          </w:p>
        </w:tc>
      </w:tr>
      <w:tr w:rsidR="009442E3" w14:paraId="1AF75A7D" w14:textId="77777777">
        <w:tc>
          <w:tcPr>
            <w:tcW w:w="1395" w:type="dxa"/>
            <w:vAlign w:val="center"/>
          </w:tcPr>
          <w:p w14:paraId="10E8D521" w14:textId="77777777" w:rsidR="009442E3" w:rsidRDefault="0046571D">
            <w:pPr>
              <w:jc w:val="left"/>
            </w:pPr>
            <w:r>
              <w:rPr>
                <w:rFonts w:eastAsiaTheme="minorEastAsia"/>
                <w:color w:val="000000" w:themeColor="text1"/>
                <w:szCs w:val="21"/>
              </w:rPr>
              <w:t>过去六个月</w:t>
            </w:r>
          </w:p>
        </w:tc>
        <w:tc>
          <w:tcPr>
            <w:tcW w:w="1092" w:type="dxa"/>
            <w:vAlign w:val="center"/>
          </w:tcPr>
          <w:p w14:paraId="4F4506C3" w14:textId="77777777" w:rsidR="009442E3" w:rsidRDefault="0046571D">
            <w:pPr>
              <w:jc w:val="center"/>
            </w:pPr>
            <w:r>
              <w:rPr>
                <w:rFonts w:eastAsiaTheme="minorEastAsia"/>
                <w:color w:val="000000" w:themeColor="text1"/>
                <w:szCs w:val="21"/>
              </w:rPr>
              <w:t>1.09%</w:t>
            </w:r>
          </w:p>
        </w:tc>
        <w:tc>
          <w:tcPr>
            <w:tcW w:w="1161" w:type="dxa"/>
            <w:vAlign w:val="center"/>
          </w:tcPr>
          <w:p w14:paraId="26215463" w14:textId="77777777" w:rsidR="009442E3" w:rsidRDefault="0046571D">
            <w:pPr>
              <w:jc w:val="center"/>
            </w:pPr>
            <w:r>
              <w:rPr>
                <w:rFonts w:eastAsiaTheme="minorEastAsia"/>
                <w:color w:val="000000" w:themeColor="text1"/>
                <w:szCs w:val="21"/>
              </w:rPr>
              <w:t>0.01%</w:t>
            </w:r>
          </w:p>
        </w:tc>
        <w:tc>
          <w:tcPr>
            <w:tcW w:w="1181" w:type="dxa"/>
            <w:vAlign w:val="center"/>
          </w:tcPr>
          <w:p w14:paraId="67AF22DE" w14:textId="77777777" w:rsidR="009442E3" w:rsidRDefault="0046571D">
            <w:pPr>
              <w:jc w:val="center"/>
            </w:pPr>
            <w:r>
              <w:rPr>
                <w:rFonts w:eastAsiaTheme="minorEastAsia"/>
                <w:color w:val="000000" w:themeColor="text1"/>
                <w:szCs w:val="21"/>
              </w:rPr>
              <w:t>1.25%</w:t>
            </w:r>
          </w:p>
        </w:tc>
        <w:tc>
          <w:tcPr>
            <w:tcW w:w="1188" w:type="dxa"/>
            <w:vAlign w:val="center"/>
          </w:tcPr>
          <w:p w14:paraId="44D994BC" w14:textId="77777777" w:rsidR="009442E3" w:rsidRDefault="0046571D">
            <w:pPr>
              <w:jc w:val="center"/>
            </w:pPr>
            <w:r>
              <w:rPr>
                <w:rFonts w:eastAsiaTheme="minorEastAsia"/>
                <w:color w:val="000000" w:themeColor="text1"/>
                <w:szCs w:val="21"/>
              </w:rPr>
              <w:t>0.01%</w:t>
            </w:r>
          </w:p>
        </w:tc>
        <w:tc>
          <w:tcPr>
            <w:tcW w:w="1199" w:type="dxa"/>
            <w:vAlign w:val="center"/>
          </w:tcPr>
          <w:p w14:paraId="6A2BD453" w14:textId="77777777" w:rsidR="009442E3" w:rsidRDefault="0046571D">
            <w:pPr>
              <w:jc w:val="center"/>
            </w:pPr>
            <w:r>
              <w:rPr>
                <w:rFonts w:eastAsiaTheme="minorEastAsia"/>
                <w:color w:val="000000" w:themeColor="text1"/>
                <w:szCs w:val="21"/>
              </w:rPr>
              <w:t>-0.16%</w:t>
            </w:r>
          </w:p>
        </w:tc>
        <w:tc>
          <w:tcPr>
            <w:tcW w:w="1204" w:type="dxa"/>
            <w:vAlign w:val="center"/>
          </w:tcPr>
          <w:p w14:paraId="2E7D60CD" w14:textId="77777777" w:rsidR="009442E3" w:rsidRDefault="0046571D">
            <w:pPr>
              <w:jc w:val="center"/>
            </w:pPr>
            <w:r>
              <w:rPr>
                <w:rFonts w:eastAsiaTheme="minorEastAsia"/>
                <w:color w:val="000000" w:themeColor="text1"/>
                <w:szCs w:val="21"/>
              </w:rPr>
              <w:t>0.00%</w:t>
            </w:r>
          </w:p>
        </w:tc>
      </w:tr>
      <w:tr w:rsidR="009442E3" w14:paraId="5687B507" w14:textId="77777777">
        <w:tc>
          <w:tcPr>
            <w:tcW w:w="1395" w:type="dxa"/>
            <w:vAlign w:val="center"/>
          </w:tcPr>
          <w:p w14:paraId="1E5721DD" w14:textId="77777777" w:rsidR="009442E3" w:rsidRDefault="0046571D">
            <w:pPr>
              <w:jc w:val="left"/>
            </w:pPr>
            <w:r>
              <w:rPr>
                <w:rFonts w:eastAsiaTheme="minorEastAsia"/>
                <w:color w:val="000000" w:themeColor="text1"/>
                <w:szCs w:val="21"/>
              </w:rPr>
              <w:t>过去一年</w:t>
            </w:r>
          </w:p>
        </w:tc>
        <w:tc>
          <w:tcPr>
            <w:tcW w:w="1092" w:type="dxa"/>
            <w:vAlign w:val="center"/>
          </w:tcPr>
          <w:p w14:paraId="0FBAD475" w14:textId="77777777" w:rsidR="009442E3" w:rsidRDefault="0046571D">
            <w:pPr>
              <w:jc w:val="center"/>
            </w:pPr>
            <w:r>
              <w:rPr>
                <w:rFonts w:eastAsiaTheme="minorEastAsia"/>
                <w:color w:val="000000" w:themeColor="text1"/>
                <w:szCs w:val="21"/>
              </w:rPr>
              <w:t>-</w:t>
            </w:r>
          </w:p>
        </w:tc>
        <w:tc>
          <w:tcPr>
            <w:tcW w:w="1161" w:type="dxa"/>
            <w:vAlign w:val="center"/>
          </w:tcPr>
          <w:p w14:paraId="0D7556B0" w14:textId="77777777" w:rsidR="009442E3" w:rsidRDefault="0046571D">
            <w:pPr>
              <w:jc w:val="center"/>
            </w:pPr>
            <w:r>
              <w:rPr>
                <w:rFonts w:eastAsiaTheme="minorEastAsia"/>
                <w:color w:val="000000" w:themeColor="text1"/>
                <w:szCs w:val="21"/>
              </w:rPr>
              <w:t>-</w:t>
            </w:r>
          </w:p>
        </w:tc>
        <w:tc>
          <w:tcPr>
            <w:tcW w:w="1181" w:type="dxa"/>
            <w:vAlign w:val="center"/>
          </w:tcPr>
          <w:p w14:paraId="698B4AAB" w14:textId="77777777" w:rsidR="009442E3" w:rsidRDefault="0046571D">
            <w:pPr>
              <w:jc w:val="center"/>
            </w:pPr>
            <w:r>
              <w:rPr>
                <w:rFonts w:eastAsiaTheme="minorEastAsia"/>
                <w:color w:val="000000" w:themeColor="text1"/>
                <w:szCs w:val="21"/>
              </w:rPr>
              <w:t>-</w:t>
            </w:r>
          </w:p>
        </w:tc>
        <w:tc>
          <w:tcPr>
            <w:tcW w:w="1188" w:type="dxa"/>
            <w:vAlign w:val="center"/>
          </w:tcPr>
          <w:p w14:paraId="1FBC6CD2" w14:textId="77777777" w:rsidR="009442E3" w:rsidRDefault="0046571D">
            <w:pPr>
              <w:jc w:val="center"/>
            </w:pPr>
            <w:r>
              <w:rPr>
                <w:rFonts w:eastAsiaTheme="minorEastAsia"/>
                <w:color w:val="000000" w:themeColor="text1"/>
                <w:szCs w:val="21"/>
              </w:rPr>
              <w:t>-</w:t>
            </w:r>
          </w:p>
        </w:tc>
        <w:tc>
          <w:tcPr>
            <w:tcW w:w="1199" w:type="dxa"/>
            <w:vAlign w:val="center"/>
          </w:tcPr>
          <w:p w14:paraId="1AA780F1" w14:textId="77777777" w:rsidR="009442E3" w:rsidRDefault="0046571D">
            <w:pPr>
              <w:jc w:val="center"/>
            </w:pPr>
            <w:r>
              <w:rPr>
                <w:rFonts w:eastAsiaTheme="minorEastAsia"/>
                <w:color w:val="000000" w:themeColor="text1"/>
                <w:szCs w:val="21"/>
              </w:rPr>
              <w:t>-</w:t>
            </w:r>
          </w:p>
        </w:tc>
        <w:tc>
          <w:tcPr>
            <w:tcW w:w="1204" w:type="dxa"/>
            <w:vAlign w:val="center"/>
          </w:tcPr>
          <w:p w14:paraId="270A706C" w14:textId="77777777" w:rsidR="009442E3" w:rsidRDefault="0046571D">
            <w:pPr>
              <w:jc w:val="center"/>
            </w:pPr>
            <w:r>
              <w:rPr>
                <w:rFonts w:eastAsiaTheme="minorEastAsia"/>
                <w:color w:val="000000" w:themeColor="text1"/>
                <w:szCs w:val="21"/>
              </w:rPr>
              <w:t>-</w:t>
            </w:r>
          </w:p>
        </w:tc>
      </w:tr>
      <w:tr w:rsidR="009442E3" w14:paraId="5E939829" w14:textId="77777777">
        <w:tc>
          <w:tcPr>
            <w:tcW w:w="1395" w:type="dxa"/>
            <w:vAlign w:val="center"/>
          </w:tcPr>
          <w:p w14:paraId="2F38A68F" w14:textId="77777777" w:rsidR="009442E3" w:rsidRDefault="0046571D">
            <w:pPr>
              <w:jc w:val="left"/>
            </w:pPr>
            <w:r>
              <w:rPr>
                <w:rFonts w:eastAsiaTheme="minorEastAsia"/>
                <w:color w:val="000000" w:themeColor="text1"/>
                <w:szCs w:val="21"/>
              </w:rPr>
              <w:t>过去三年</w:t>
            </w:r>
          </w:p>
        </w:tc>
        <w:tc>
          <w:tcPr>
            <w:tcW w:w="1092" w:type="dxa"/>
            <w:vAlign w:val="center"/>
          </w:tcPr>
          <w:p w14:paraId="2B5A8DB3" w14:textId="77777777" w:rsidR="009442E3" w:rsidRDefault="0046571D">
            <w:pPr>
              <w:jc w:val="center"/>
            </w:pPr>
            <w:r>
              <w:rPr>
                <w:rFonts w:eastAsiaTheme="minorEastAsia"/>
                <w:color w:val="000000" w:themeColor="text1"/>
                <w:szCs w:val="21"/>
              </w:rPr>
              <w:t>-</w:t>
            </w:r>
          </w:p>
        </w:tc>
        <w:tc>
          <w:tcPr>
            <w:tcW w:w="1161" w:type="dxa"/>
            <w:vAlign w:val="center"/>
          </w:tcPr>
          <w:p w14:paraId="4BFAC605" w14:textId="77777777" w:rsidR="009442E3" w:rsidRDefault="0046571D">
            <w:pPr>
              <w:jc w:val="center"/>
            </w:pPr>
            <w:r>
              <w:rPr>
                <w:rFonts w:eastAsiaTheme="minorEastAsia"/>
                <w:color w:val="000000" w:themeColor="text1"/>
                <w:szCs w:val="21"/>
              </w:rPr>
              <w:t>-</w:t>
            </w:r>
          </w:p>
        </w:tc>
        <w:tc>
          <w:tcPr>
            <w:tcW w:w="1181" w:type="dxa"/>
            <w:vAlign w:val="center"/>
          </w:tcPr>
          <w:p w14:paraId="6E8B9E48" w14:textId="77777777" w:rsidR="009442E3" w:rsidRDefault="0046571D">
            <w:pPr>
              <w:jc w:val="center"/>
            </w:pPr>
            <w:r>
              <w:rPr>
                <w:rFonts w:eastAsiaTheme="minorEastAsia"/>
                <w:color w:val="000000" w:themeColor="text1"/>
                <w:szCs w:val="21"/>
              </w:rPr>
              <w:t>-</w:t>
            </w:r>
          </w:p>
        </w:tc>
        <w:tc>
          <w:tcPr>
            <w:tcW w:w="1188" w:type="dxa"/>
            <w:vAlign w:val="center"/>
          </w:tcPr>
          <w:p w14:paraId="7D4422A5" w14:textId="77777777" w:rsidR="009442E3" w:rsidRDefault="0046571D">
            <w:pPr>
              <w:jc w:val="center"/>
            </w:pPr>
            <w:r>
              <w:rPr>
                <w:rFonts w:eastAsiaTheme="minorEastAsia"/>
                <w:color w:val="000000" w:themeColor="text1"/>
                <w:szCs w:val="21"/>
              </w:rPr>
              <w:t>-</w:t>
            </w:r>
          </w:p>
        </w:tc>
        <w:tc>
          <w:tcPr>
            <w:tcW w:w="1199" w:type="dxa"/>
            <w:vAlign w:val="center"/>
          </w:tcPr>
          <w:p w14:paraId="39F202C3" w14:textId="77777777" w:rsidR="009442E3" w:rsidRDefault="0046571D">
            <w:pPr>
              <w:jc w:val="center"/>
            </w:pPr>
            <w:r>
              <w:rPr>
                <w:rFonts w:eastAsiaTheme="minorEastAsia"/>
                <w:color w:val="000000" w:themeColor="text1"/>
                <w:szCs w:val="21"/>
              </w:rPr>
              <w:t>-</w:t>
            </w:r>
          </w:p>
        </w:tc>
        <w:tc>
          <w:tcPr>
            <w:tcW w:w="1204" w:type="dxa"/>
            <w:vAlign w:val="center"/>
          </w:tcPr>
          <w:p w14:paraId="1460BF32" w14:textId="77777777" w:rsidR="009442E3" w:rsidRDefault="0046571D">
            <w:pPr>
              <w:jc w:val="center"/>
            </w:pPr>
            <w:r>
              <w:rPr>
                <w:rFonts w:eastAsiaTheme="minorEastAsia"/>
                <w:color w:val="000000" w:themeColor="text1"/>
                <w:szCs w:val="21"/>
              </w:rPr>
              <w:t>-</w:t>
            </w:r>
          </w:p>
        </w:tc>
      </w:tr>
      <w:tr w:rsidR="009442E3" w14:paraId="7057D00F" w14:textId="77777777">
        <w:tc>
          <w:tcPr>
            <w:tcW w:w="1395" w:type="dxa"/>
            <w:vAlign w:val="center"/>
          </w:tcPr>
          <w:p w14:paraId="5F41432C" w14:textId="77777777" w:rsidR="009442E3" w:rsidRDefault="0046571D">
            <w:pPr>
              <w:jc w:val="left"/>
            </w:pPr>
            <w:r>
              <w:rPr>
                <w:rFonts w:eastAsiaTheme="minorEastAsia"/>
                <w:color w:val="000000" w:themeColor="text1"/>
                <w:szCs w:val="21"/>
              </w:rPr>
              <w:t>过去五年</w:t>
            </w:r>
          </w:p>
        </w:tc>
        <w:tc>
          <w:tcPr>
            <w:tcW w:w="1092" w:type="dxa"/>
            <w:vAlign w:val="center"/>
          </w:tcPr>
          <w:p w14:paraId="65BAC680" w14:textId="77777777" w:rsidR="009442E3" w:rsidRDefault="0046571D">
            <w:pPr>
              <w:jc w:val="center"/>
            </w:pPr>
            <w:r>
              <w:rPr>
                <w:rFonts w:eastAsiaTheme="minorEastAsia"/>
                <w:color w:val="000000" w:themeColor="text1"/>
                <w:szCs w:val="21"/>
              </w:rPr>
              <w:t>-</w:t>
            </w:r>
          </w:p>
        </w:tc>
        <w:tc>
          <w:tcPr>
            <w:tcW w:w="1161" w:type="dxa"/>
            <w:vAlign w:val="center"/>
          </w:tcPr>
          <w:p w14:paraId="495DFC55" w14:textId="77777777" w:rsidR="009442E3" w:rsidRDefault="0046571D">
            <w:pPr>
              <w:jc w:val="center"/>
            </w:pPr>
            <w:r>
              <w:rPr>
                <w:rFonts w:eastAsiaTheme="minorEastAsia"/>
                <w:color w:val="000000" w:themeColor="text1"/>
                <w:szCs w:val="21"/>
              </w:rPr>
              <w:t>-</w:t>
            </w:r>
          </w:p>
        </w:tc>
        <w:tc>
          <w:tcPr>
            <w:tcW w:w="1181" w:type="dxa"/>
            <w:vAlign w:val="center"/>
          </w:tcPr>
          <w:p w14:paraId="35A62EEF" w14:textId="77777777" w:rsidR="009442E3" w:rsidRDefault="0046571D">
            <w:pPr>
              <w:jc w:val="center"/>
            </w:pPr>
            <w:r>
              <w:rPr>
                <w:rFonts w:eastAsiaTheme="minorEastAsia"/>
                <w:color w:val="000000" w:themeColor="text1"/>
                <w:szCs w:val="21"/>
              </w:rPr>
              <w:t>-</w:t>
            </w:r>
          </w:p>
        </w:tc>
        <w:tc>
          <w:tcPr>
            <w:tcW w:w="1188" w:type="dxa"/>
            <w:vAlign w:val="center"/>
          </w:tcPr>
          <w:p w14:paraId="43634970" w14:textId="77777777" w:rsidR="009442E3" w:rsidRDefault="0046571D">
            <w:pPr>
              <w:jc w:val="center"/>
            </w:pPr>
            <w:r>
              <w:rPr>
                <w:rFonts w:eastAsiaTheme="minorEastAsia"/>
                <w:color w:val="000000" w:themeColor="text1"/>
                <w:szCs w:val="21"/>
              </w:rPr>
              <w:t>-</w:t>
            </w:r>
          </w:p>
        </w:tc>
        <w:tc>
          <w:tcPr>
            <w:tcW w:w="1199" w:type="dxa"/>
            <w:vAlign w:val="center"/>
          </w:tcPr>
          <w:p w14:paraId="53051385" w14:textId="77777777" w:rsidR="009442E3" w:rsidRDefault="0046571D">
            <w:pPr>
              <w:jc w:val="center"/>
            </w:pPr>
            <w:r>
              <w:rPr>
                <w:rFonts w:eastAsiaTheme="minorEastAsia"/>
                <w:color w:val="000000" w:themeColor="text1"/>
                <w:szCs w:val="21"/>
              </w:rPr>
              <w:t>-</w:t>
            </w:r>
          </w:p>
        </w:tc>
        <w:tc>
          <w:tcPr>
            <w:tcW w:w="1204" w:type="dxa"/>
            <w:vAlign w:val="center"/>
          </w:tcPr>
          <w:p w14:paraId="04CABA40" w14:textId="77777777" w:rsidR="009442E3" w:rsidRDefault="0046571D">
            <w:pPr>
              <w:jc w:val="center"/>
            </w:pPr>
            <w:r>
              <w:rPr>
                <w:rFonts w:eastAsiaTheme="minorEastAsia"/>
                <w:color w:val="000000" w:themeColor="text1"/>
                <w:szCs w:val="21"/>
              </w:rPr>
              <w:t>-</w:t>
            </w:r>
          </w:p>
        </w:tc>
      </w:tr>
      <w:tr w:rsidR="009442E3" w14:paraId="2EFBAC00" w14:textId="77777777">
        <w:tc>
          <w:tcPr>
            <w:tcW w:w="1395" w:type="dxa"/>
            <w:vAlign w:val="center"/>
          </w:tcPr>
          <w:p w14:paraId="73D5D318" w14:textId="77777777" w:rsidR="009442E3" w:rsidRDefault="0046571D">
            <w:pPr>
              <w:jc w:val="left"/>
            </w:pPr>
            <w:r>
              <w:rPr>
                <w:rFonts w:eastAsiaTheme="minorEastAsia"/>
                <w:color w:val="000000" w:themeColor="text1"/>
                <w:szCs w:val="21"/>
              </w:rPr>
              <w:t>自基金合同生效起至今</w:t>
            </w:r>
          </w:p>
        </w:tc>
        <w:tc>
          <w:tcPr>
            <w:tcW w:w="1092" w:type="dxa"/>
            <w:vAlign w:val="center"/>
          </w:tcPr>
          <w:p w14:paraId="6D104577" w14:textId="77777777" w:rsidR="009442E3" w:rsidRDefault="0046571D">
            <w:pPr>
              <w:jc w:val="center"/>
            </w:pPr>
            <w:r>
              <w:rPr>
                <w:rFonts w:eastAsiaTheme="minorEastAsia"/>
                <w:color w:val="000000" w:themeColor="text1"/>
                <w:szCs w:val="21"/>
              </w:rPr>
              <w:t>1.18%</w:t>
            </w:r>
          </w:p>
        </w:tc>
        <w:tc>
          <w:tcPr>
            <w:tcW w:w="1161" w:type="dxa"/>
            <w:vAlign w:val="center"/>
          </w:tcPr>
          <w:p w14:paraId="2445C8EA" w14:textId="77777777" w:rsidR="009442E3" w:rsidRDefault="0046571D">
            <w:pPr>
              <w:jc w:val="center"/>
            </w:pPr>
            <w:r>
              <w:rPr>
                <w:rFonts w:eastAsiaTheme="minorEastAsia"/>
                <w:color w:val="000000" w:themeColor="text1"/>
                <w:szCs w:val="21"/>
              </w:rPr>
              <w:t>0.01%</w:t>
            </w:r>
          </w:p>
        </w:tc>
        <w:tc>
          <w:tcPr>
            <w:tcW w:w="1181" w:type="dxa"/>
            <w:vAlign w:val="center"/>
          </w:tcPr>
          <w:p w14:paraId="24397507" w14:textId="77777777" w:rsidR="009442E3" w:rsidRDefault="0046571D">
            <w:pPr>
              <w:jc w:val="center"/>
            </w:pPr>
            <w:r>
              <w:rPr>
                <w:rFonts w:eastAsiaTheme="minorEastAsia"/>
                <w:color w:val="000000" w:themeColor="text1"/>
                <w:szCs w:val="21"/>
              </w:rPr>
              <w:t>1.45%</w:t>
            </w:r>
          </w:p>
        </w:tc>
        <w:tc>
          <w:tcPr>
            <w:tcW w:w="1188" w:type="dxa"/>
            <w:vAlign w:val="center"/>
          </w:tcPr>
          <w:p w14:paraId="4B4B53FA" w14:textId="77777777" w:rsidR="009442E3" w:rsidRDefault="0046571D">
            <w:pPr>
              <w:jc w:val="center"/>
            </w:pPr>
            <w:r>
              <w:rPr>
                <w:rFonts w:eastAsiaTheme="minorEastAsia"/>
                <w:color w:val="000000" w:themeColor="text1"/>
                <w:szCs w:val="21"/>
              </w:rPr>
              <w:t>0.01%</w:t>
            </w:r>
          </w:p>
        </w:tc>
        <w:tc>
          <w:tcPr>
            <w:tcW w:w="1199" w:type="dxa"/>
            <w:vAlign w:val="center"/>
          </w:tcPr>
          <w:p w14:paraId="23E16DC5" w14:textId="77777777" w:rsidR="009442E3" w:rsidRDefault="0046571D">
            <w:pPr>
              <w:jc w:val="center"/>
            </w:pPr>
            <w:r>
              <w:rPr>
                <w:rFonts w:eastAsiaTheme="minorEastAsia"/>
                <w:color w:val="000000" w:themeColor="text1"/>
                <w:szCs w:val="21"/>
              </w:rPr>
              <w:t>-0.27%</w:t>
            </w:r>
          </w:p>
        </w:tc>
        <w:tc>
          <w:tcPr>
            <w:tcW w:w="1204" w:type="dxa"/>
            <w:vAlign w:val="center"/>
          </w:tcPr>
          <w:p w14:paraId="1A3CF124" w14:textId="77777777" w:rsidR="009442E3" w:rsidRDefault="0046571D">
            <w:pPr>
              <w:jc w:val="center"/>
            </w:pPr>
            <w:r>
              <w:rPr>
                <w:rFonts w:eastAsiaTheme="minorEastAsia"/>
                <w:color w:val="000000" w:themeColor="text1"/>
                <w:szCs w:val="21"/>
              </w:rPr>
              <w:t>0.00%</w:t>
            </w:r>
          </w:p>
        </w:tc>
      </w:tr>
    </w:tbl>
    <w:p w14:paraId="08023F24"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93CF1F6"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14:paraId="121B58D1"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摩根中证同业存单</w:t>
      </w:r>
      <w:r w:rsidRPr="00473486">
        <w:rPr>
          <w:rFonts w:eastAsiaTheme="minorEastAsia"/>
          <w:color w:val="000000" w:themeColor="text1"/>
          <w:szCs w:val="21"/>
        </w:rPr>
        <w:t>AAA</w:t>
      </w:r>
      <w:r w:rsidRPr="00473486">
        <w:rPr>
          <w:rFonts w:eastAsiaTheme="minorEastAsia"/>
          <w:color w:val="000000" w:themeColor="text1"/>
          <w:szCs w:val="21"/>
        </w:rPr>
        <w:t>指数</w:t>
      </w:r>
      <w:r w:rsidRPr="00473486">
        <w:rPr>
          <w:rFonts w:eastAsiaTheme="minorEastAsia"/>
          <w:color w:val="000000" w:themeColor="text1"/>
          <w:szCs w:val="21"/>
        </w:rPr>
        <w:t>7</w:t>
      </w:r>
      <w:r w:rsidRPr="00473486">
        <w:rPr>
          <w:rFonts w:eastAsiaTheme="minorEastAsia"/>
          <w:color w:val="000000" w:themeColor="text1"/>
          <w:szCs w:val="21"/>
        </w:rPr>
        <w:t>天持有期证券投资基金</w:t>
      </w:r>
    </w:p>
    <w:p w14:paraId="3E2AF35D" w14:textId="77777777"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14:paraId="10C6FB6C"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2023</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18</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6</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14:paraId="3CA82066" w14:textId="77777777"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0534FA17" wp14:editId="5C6B035E">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18EFAB72" w14:textId="77777777" w:rsidR="0046571D" w:rsidRDefault="0046571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日，截至本报告期末本基金合同生效未满一年。</w:t>
      </w:r>
    </w:p>
    <w:p w14:paraId="3D90E55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14:paraId="7ABB2BE5" w14:textId="77777777"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14:paraId="798FE29B" w14:textId="77777777" w:rsidR="00881A82" w:rsidRPr="00473486" w:rsidRDefault="00881A82">
      <w:pPr>
        <w:tabs>
          <w:tab w:val="left" w:pos="1800"/>
        </w:tabs>
        <w:spacing w:line="288" w:lineRule="auto"/>
        <w:rPr>
          <w:rFonts w:eastAsiaTheme="minorEastAsia"/>
          <w:color w:val="000000" w:themeColor="text1"/>
          <w:szCs w:val="21"/>
        </w:rPr>
      </w:pPr>
    </w:p>
    <w:p w14:paraId="1FF53C3D"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 xml:space="preserve">§4  </w:t>
      </w:r>
      <w:r w:rsidRPr="00473486">
        <w:rPr>
          <w:rFonts w:eastAsiaTheme="minorEastAsia"/>
          <w:color w:val="000000" w:themeColor="text1"/>
          <w:kern w:val="0"/>
          <w:sz w:val="24"/>
          <w:szCs w:val="24"/>
        </w:rPr>
        <w:t>管理人报告</w:t>
      </w:r>
    </w:p>
    <w:p w14:paraId="1E14A13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14:paraId="65E26E38" w14:textId="77777777">
        <w:trPr>
          <w:cantSplit/>
          <w:trHeight w:val="292"/>
        </w:trPr>
        <w:tc>
          <w:tcPr>
            <w:tcW w:w="851" w:type="dxa"/>
            <w:vMerge w:val="restart"/>
            <w:vAlign w:val="center"/>
          </w:tcPr>
          <w:p w14:paraId="187A7A07"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14:paraId="2DA8225B"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14:paraId="263ABF4C"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14:paraId="36C98FF7"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14:paraId="6DA4C9E6"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14:paraId="2637FC65" w14:textId="77777777">
        <w:trPr>
          <w:cantSplit/>
        </w:trPr>
        <w:tc>
          <w:tcPr>
            <w:tcW w:w="851" w:type="dxa"/>
            <w:vMerge/>
            <w:vAlign w:val="center"/>
          </w:tcPr>
          <w:p w14:paraId="3AAB4950" w14:textId="77777777"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14:paraId="58285C46" w14:textId="77777777"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14:paraId="1F68DDF2"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14:paraId="151751B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14:paraId="3AA61020" w14:textId="77777777"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14:paraId="0FC57C23" w14:textId="77777777" w:rsidR="00881A82" w:rsidRPr="00473486" w:rsidRDefault="00881A82">
            <w:pPr>
              <w:widowControl/>
              <w:spacing w:line="360" w:lineRule="auto"/>
              <w:jc w:val="left"/>
              <w:rPr>
                <w:rFonts w:eastAsiaTheme="minorEastAsia"/>
                <w:color w:val="000000" w:themeColor="text1"/>
                <w:kern w:val="0"/>
                <w:szCs w:val="21"/>
              </w:rPr>
            </w:pPr>
          </w:p>
        </w:tc>
      </w:tr>
      <w:tr w:rsidR="009442E3" w14:paraId="2C00F046" w14:textId="77777777">
        <w:tc>
          <w:tcPr>
            <w:tcW w:w="851" w:type="dxa"/>
            <w:vAlign w:val="center"/>
          </w:tcPr>
          <w:p w14:paraId="4CDA7293" w14:textId="77777777" w:rsidR="009442E3" w:rsidRDefault="0046571D">
            <w:pPr>
              <w:jc w:val="center"/>
            </w:pPr>
            <w:r>
              <w:rPr>
                <w:rFonts w:eastAsiaTheme="minorEastAsia"/>
                <w:color w:val="000000" w:themeColor="text1"/>
                <w:szCs w:val="21"/>
              </w:rPr>
              <w:t>鞠婷</w:t>
            </w:r>
          </w:p>
        </w:tc>
        <w:tc>
          <w:tcPr>
            <w:tcW w:w="850" w:type="dxa"/>
            <w:vAlign w:val="center"/>
          </w:tcPr>
          <w:p w14:paraId="736A60F8" w14:textId="77777777" w:rsidR="009442E3" w:rsidRDefault="0046571D">
            <w:pPr>
              <w:jc w:val="center"/>
            </w:pPr>
            <w:r>
              <w:rPr>
                <w:rFonts w:eastAsiaTheme="minorEastAsia"/>
                <w:color w:val="000000" w:themeColor="text1"/>
                <w:szCs w:val="21"/>
              </w:rPr>
              <w:t>本基金基金经理</w:t>
            </w:r>
          </w:p>
        </w:tc>
        <w:tc>
          <w:tcPr>
            <w:tcW w:w="1560" w:type="dxa"/>
            <w:vAlign w:val="center"/>
          </w:tcPr>
          <w:p w14:paraId="5316F5B1" w14:textId="77777777" w:rsidR="009442E3" w:rsidRDefault="0046571D">
            <w:pPr>
              <w:jc w:val="center"/>
            </w:pPr>
            <w:r>
              <w:rPr>
                <w:rFonts w:eastAsiaTheme="minorEastAsia"/>
                <w:color w:val="000000" w:themeColor="text1"/>
                <w:szCs w:val="21"/>
              </w:rPr>
              <w:t>2023-12-18</w:t>
            </w:r>
          </w:p>
        </w:tc>
        <w:tc>
          <w:tcPr>
            <w:tcW w:w="1559" w:type="dxa"/>
            <w:vAlign w:val="center"/>
          </w:tcPr>
          <w:p w14:paraId="32DC5AD9" w14:textId="77777777" w:rsidR="009442E3" w:rsidRDefault="0046571D">
            <w:pPr>
              <w:jc w:val="center"/>
            </w:pPr>
            <w:r>
              <w:rPr>
                <w:rFonts w:eastAsiaTheme="minorEastAsia"/>
                <w:color w:val="000000" w:themeColor="text1"/>
                <w:szCs w:val="21"/>
              </w:rPr>
              <w:t>-</w:t>
            </w:r>
          </w:p>
        </w:tc>
        <w:tc>
          <w:tcPr>
            <w:tcW w:w="1417" w:type="dxa"/>
            <w:vAlign w:val="center"/>
          </w:tcPr>
          <w:p w14:paraId="4A95FE9D" w14:textId="77777777" w:rsidR="009442E3" w:rsidRDefault="0046571D">
            <w:pPr>
              <w:jc w:val="center"/>
            </w:pPr>
            <w:r>
              <w:rPr>
                <w:rFonts w:eastAsiaTheme="minorEastAsia"/>
                <w:color w:val="000000" w:themeColor="text1"/>
                <w:szCs w:val="21"/>
              </w:rPr>
              <w:t>18</w:t>
            </w:r>
            <w:r>
              <w:rPr>
                <w:rFonts w:eastAsiaTheme="minorEastAsia"/>
                <w:color w:val="000000" w:themeColor="text1"/>
                <w:szCs w:val="21"/>
              </w:rPr>
              <w:t>年</w:t>
            </w:r>
          </w:p>
        </w:tc>
        <w:tc>
          <w:tcPr>
            <w:tcW w:w="2694" w:type="dxa"/>
            <w:vAlign w:val="center"/>
          </w:tcPr>
          <w:p w14:paraId="7755A752" w14:textId="77777777" w:rsidR="009442E3" w:rsidRDefault="0046571D">
            <w:r>
              <w:rPr>
                <w:rFonts w:eastAsiaTheme="minorEastAsia"/>
                <w:color w:val="000000" w:themeColor="text1"/>
                <w:szCs w:val="21"/>
              </w:rPr>
              <w:t>鞠婷女士曾任中国建设银行第一支行助理经济师，瑞穗银行总行总经理助理。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月起加入摩根基金管理（中国）有限公司（原上投摩根基金管理有限公司），历任基金经理助理、基金经理，高级基金经理，现任货币市场投资部副总监兼资深基金经理。</w:t>
            </w:r>
          </w:p>
        </w:tc>
      </w:tr>
      <w:tr w:rsidR="009442E3" w14:paraId="75C31A3C" w14:textId="77777777">
        <w:tc>
          <w:tcPr>
            <w:tcW w:w="851" w:type="dxa"/>
            <w:vAlign w:val="center"/>
          </w:tcPr>
          <w:p w14:paraId="3B0E6E18" w14:textId="77777777" w:rsidR="009442E3" w:rsidRDefault="0046571D">
            <w:pPr>
              <w:jc w:val="center"/>
            </w:pPr>
            <w:r>
              <w:rPr>
                <w:rFonts w:eastAsiaTheme="minorEastAsia"/>
                <w:color w:val="000000" w:themeColor="text1"/>
                <w:szCs w:val="21"/>
              </w:rPr>
              <w:t>邱林晶</w:t>
            </w:r>
          </w:p>
        </w:tc>
        <w:tc>
          <w:tcPr>
            <w:tcW w:w="850" w:type="dxa"/>
            <w:vAlign w:val="center"/>
          </w:tcPr>
          <w:p w14:paraId="33A25F31" w14:textId="77777777" w:rsidR="009442E3" w:rsidRDefault="0046571D">
            <w:pPr>
              <w:jc w:val="center"/>
            </w:pPr>
            <w:r>
              <w:rPr>
                <w:rFonts w:eastAsiaTheme="minorEastAsia"/>
                <w:color w:val="000000" w:themeColor="text1"/>
                <w:szCs w:val="21"/>
              </w:rPr>
              <w:t>本基金基金经理</w:t>
            </w:r>
          </w:p>
        </w:tc>
        <w:tc>
          <w:tcPr>
            <w:tcW w:w="1560" w:type="dxa"/>
            <w:vAlign w:val="center"/>
          </w:tcPr>
          <w:p w14:paraId="772AB7C9" w14:textId="77777777" w:rsidR="009442E3" w:rsidRDefault="0046571D">
            <w:pPr>
              <w:jc w:val="center"/>
            </w:pPr>
            <w:r>
              <w:rPr>
                <w:rFonts w:eastAsiaTheme="minorEastAsia"/>
                <w:color w:val="000000" w:themeColor="text1"/>
                <w:szCs w:val="21"/>
              </w:rPr>
              <w:t>2023-12-22</w:t>
            </w:r>
          </w:p>
        </w:tc>
        <w:tc>
          <w:tcPr>
            <w:tcW w:w="1559" w:type="dxa"/>
            <w:vAlign w:val="center"/>
          </w:tcPr>
          <w:p w14:paraId="3CD983D2" w14:textId="77777777" w:rsidR="009442E3" w:rsidRDefault="0046571D">
            <w:pPr>
              <w:jc w:val="center"/>
            </w:pPr>
            <w:r>
              <w:rPr>
                <w:rFonts w:eastAsiaTheme="minorEastAsia"/>
                <w:color w:val="000000" w:themeColor="text1"/>
                <w:szCs w:val="21"/>
              </w:rPr>
              <w:t>-</w:t>
            </w:r>
          </w:p>
        </w:tc>
        <w:tc>
          <w:tcPr>
            <w:tcW w:w="1417" w:type="dxa"/>
            <w:vAlign w:val="center"/>
          </w:tcPr>
          <w:p w14:paraId="7FA2D50B" w14:textId="77777777" w:rsidR="009442E3" w:rsidRDefault="0046571D">
            <w:pPr>
              <w:jc w:val="center"/>
            </w:pPr>
            <w:r>
              <w:rPr>
                <w:rFonts w:eastAsiaTheme="minorEastAsia"/>
                <w:color w:val="000000" w:themeColor="text1"/>
                <w:szCs w:val="21"/>
              </w:rPr>
              <w:t>10</w:t>
            </w:r>
            <w:r>
              <w:rPr>
                <w:rFonts w:eastAsiaTheme="minorEastAsia"/>
                <w:color w:val="000000" w:themeColor="text1"/>
                <w:szCs w:val="21"/>
              </w:rPr>
              <w:t>年</w:t>
            </w:r>
          </w:p>
        </w:tc>
        <w:tc>
          <w:tcPr>
            <w:tcW w:w="2694" w:type="dxa"/>
            <w:vAlign w:val="center"/>
          </w:tcPr>
          <w:p w14:paraId="24D40B52" w14:textId="77777777" w:rsidR="009442E3" w:rsidRDefault="0046571D">
            <w:r>
              <w:rPr>
                <w:rFonts w:eastAsiaTheme="minorEastAsia"/>
                <w:color w:val="000000" w:themeColor="text1"/>
                <w:szCs w:val="21"/>
              </w:rPr>
              <w:t>邱林晶女士曾任国泰基金管理有限公司风险管理部分析师，平安资产管理有限责任公司固收交易员，中银理财有限责任公司集中交易室高级经理、活期理财产品部投资经理；自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月加入摩根基金管理（中国）有限公司（原上投摩根基金管理有限公司），历任货币市场投资部基金经理助理，现任基金经理。</w:t>
            </w:r>
          </w:p>
        </w:tc>
      </w:tr>
    </w:tbl>
    <w:p w14:paraId="58D25AA5" w14:textId="77777777" w:rsidR="009442E3" w:rsidRDefault="0046571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18EC46AF" w14:textId="77777777" w:rsidR="009442E3" w:rsidRDefault="0046571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鞠婷女士为本基金首任基金经理，其任职日期为本基金基金合同生效之日。</w:t>
      </w:r>
    </w:p>
    <w:p w14:paraId="3B6059C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3.</w:t>
      </w:r>
      <w:r w:rsidRPr="00473486">
        <w:rPr>
          <w:rFonts w:eastAsiaTheme="minorEastAsia"/>
          <w:color w:val="000000" w:themeColor="text1"/>
          <w:szCs w:val="21"/>
        </w:rPr>
        <w:t>证券从业的含义遵从行业协会《证券业从业人员资格管理办法》的相关规定。</w:t>
      </w:r>
    </w:p>
    <w:p w14:paraId="7A60F597"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14:paraId="74BA9AF0"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35D6D768"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E12921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14:paraId="797C3A7F"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14:paraId="2DDD23C8"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7B27D0F"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5747447"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F9D9ABD"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14:paraId="6C46216B"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97D0120"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14:paraId="2BA12130" w14:textId="77777777" w:rsidR="00881A82" w:rsidRPr="00473486" w:rsidRDefault="00881A82">
      <w:pPr>
        <w:spacing w:line="360" w:lineRule="auto"/>
        <w:ind w:firstLineChars="200" w:firstLine="480"/>
        <w:rPr>
          <w:rFonts w:eastAsiaTheme="minorEastAsia"/>
          <w:color w:val="000000" w:themeColor="text1"/>
          <w:sz w:val="24"/>
        </w:rPr>
      </w:pPr>
    </w:p>
    <w:p w14:paraId="5F82EBE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14:paraId="3C9FEE7B"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14:paraId="5E8CB30F"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年二季度，经济延续回升向好态势，运行总体平稳。</w:t>
      </w:r>
      <w:r>
        <w:rPr>
          <w:rFonts w:eastAsiaTheme="minorEastAsia"/>
          <w:color w:val="000000" w:themeColor="text1"/>
          <w:szCs w:val="21"/>
        </w:rPr>
        <w:t>1-5</w:t>
      </w:r>
      <w:r>
        <w:rPr>
          <w:rFonts w:eastAsiaTheme="minorEastAsia"/>
          <w:color w:val="000000" w:themeColor="text1"/>
          <w:szCs w:val="21"/>
        </w:rPr>
        <w:t>月份全国规模以上工业企业利润同比增长</w:t>
      </w:r>
      <w:r>
        <w:rPr>
          <w:rFonts w:eastAsiaTheme="minorEastAsia"/>
          <w:color w:val="000000" w:themeColor="text1"/>
          <w:szCs w:val="21"/>
        </w:rPr>
        <w:t>3.4%</w:t>
      </w:r>
      <w:r>
        <w:rPr>
          <w:rFonts w:eastAsiaTheme="minorEastAsia"/>
          <w:color w:val="000000" w:themeColor="text1"/>
          <w:szCs w:val="21"/>
        </w:rPr>
        <w:t>，延续年初以来的增长态势；</w:t>
      </w:r>
      <w:r>
        <w:rPr>
          <w:rFonts w:eastAsiaTheme="minorEastAsia"/>
          <w:color w:val="000000" w:themeColor="text1"/>
          <w:szCs w:val="21"/>
        </w:rPr>
        <w:t>1-5</w:t>
      </w:r>
      <w:r>
        <w:rPr>
          <w:rFonts w:eastAsiaTheme="minorEastAsia"/>
          <w:color w:val="000000" w:themeColor="text1"/>
          <w:szCs w:val="21"/>
        </w:rPr>
        <w:t>月份全国固定资产投资增长</w:t>
      </w:r>
      <w:r>
        <w:rPr>
          <w:rFonts w:eastAsiaTheme="minorEastAsia"/>
          <w:color w:val="000000" w:themeColor="text1"/>
          <w:szCs w:val="21"/>
        </w:rPr>
        <w:t>4.0%</w:t>
      </w:r>
      <w:r>
        <w:rPr>
          <w:rFonts w:eastAsiaTheme="minorEastAsia"/>
          <w:color w:val="000000" w:themeColor="text1"/>
          <w:szCs w:val="21"/>
        </w:rPr>
        <w:t>，高技术产业投资增速加快</w:t>
      </w:r>
      <w:r>
        <w:rPr>
          <w:rFonts w:eastAsiaTheme="minorEastAsia"/>
          <w:color w:val="000000" w:themeColor="text1"/>
          <w:szCs w:val="21"/>
        </w:rPr>
        <w:t>; 5</w:t>
      </w:r>
      <w:r>
        <w:rPr>
          <w:rFonts w:eastAsiaTheme="minorEastAsia"/>
          <w:color w:val="000000" w:themeColor="text1"/>
          <w:szCs w:val="21"/>
        </w:rPr>
        <w:t>月份社会消费品零售总额增长</w:t>
      </w:r>
      <w:r>
        <w:rPr>
          <w:rFonts w:eastAsiaTheme="minorEastAsia"/>
          <w:color w:val="000000" w:themeColor="text1"/>
          <w:szCs w:val="21"/>
        </w:rPr>
        <w:t>3.7%</w:t>
      </w:r>
      <w:r>
        <w:rPr>
          <w:rFonts w:eastAsiaTheme="minorEastAsia"/>
          <w:color w:val="000000" w:themeColor="text1"/>
          <w:szCs w:val="21"/>
        </w:rPr>
        <w:t>，消费品市场稳中有升；</w:t>
      </w:r>
      <w:r>
        <w:rPr>
          <w:rFonts w:eastAsiaTheme="minorEastAsia"/>
          <w:color w:val="000000" w:themeColor="text1"/>
          <w:szCs w:val="21"/>
        </w:rPr>
        <w:t>6</w:t>
      </w:r>
      <w:r>
        <w:rPr>
          <w:rFonts w:eastAsiaTheme="minorEastAsia"/>
          <w:color w:val="000000" w:themeColor="text1"/>
          <w:szCs w:val="21"/>
        </w:rPr>
        <w:t>月份制造业采购经理人指数（</w:t>
      </w:r>
      <w:r>
        <w:rPr>
          <w:rFonts w:eastAsiaTheme="minorEastAsia"/>
          <w:color w:val="000000" w:themeColor="text1"/>
          <w:szCs w:val="21"/>
        </w:rPr>
        <w:t>PMI</w:t>
      </w:r>
      <w:r>
        <w:rPr>
          <w:rFonts w:eastAsiaTheme="minorEastAsia"/>
          <w:color w:val="000000" w:themeColor="text1"/>
          <w:szCs w:val="21"/>
        </w:rPr>
        <w:t>）为</w:t>
      </w:r>
      <w:r>
        <w:rPr>
          <w:rFonts w:eastAsiaTheme="minorEastAsia"/>
          <w:color w:val="000000" w:themeColor="text1"/>
          <w:szCs w:val="21"/>
        </w:rPr>
        <w:t>49.5%</w:t>
      </w:r>
      <w:r>
        <w:rPr>
          <w:rFonts w:eastAsiaTheme="minorEastAsia"/>
          <w:color w:val="000000" w:themeColor="text1"/>
          <w:szCs w:val="21"/>
        </w:rPr>
        <w:t>，与上月持平</w:t>
      </w:r>
      <w:r>
        <w:rPr>
          <w:rFonts w:eastAsiaTheme="minorEastAsia"/>
          <w:color w:val="000000" w:themeColor="text1"/>
          <w:szCs w:val="21"/>
        </w:rPr>
        <w:t>; 5</w:t>
      </w:r>
      <w:r>
        <w:rPr>
          <w:rFonts w:eastAsiaTheme="minorEastAsia"/>
          <w:color w:val="000000" w:themeColor="text1"/>
          <w:szCs w:val="21"/>
        </w:rPr>
        <w:t>月消费者价格指数</w:t>
      </w:r>
      <w:r>
        <w:rPr>
          <w:rFonts w:eastAsiaTheme="minorEastAsia"/>
          <w:color w:val="000000" w:themeColor="text1"/>
          <w:szCs w:val="21"/>
        </w:rPr>
        <w:t>(CPI)</w:t>
      </w:r>
      <w:r>
        <w:rPr>
          <w:rFonts w:eastAsiaTheme="minorEastAsia"/>
          <w:color w:val="000000" w:themeColor="text1"/>
          <w:szCs w:val="21"/>
        </w:rPr>
        <w:t>当月同比上涨</w:t>
      </w:r>
      <w:r>
        <w:rPr>
          <w:rFonts w:eastAsiaTheme="minorEastAsia"/>
          <w:color w:val="000000" w:themeColor="text1"/>
          <w:szCs w:val="21"/>
        </w:rPr>
        <w:t>0.3%</w:t>
      </w:r>
      <w:r>
        <w:rPr>
          <w:rFonts w:eastAsiaTheme="minorEastAsia"/>
          <w:color w:val="000000" w:themeColor="text1"/>
          <w:szCs w:val="21"/>
        </w:rPr>
        <w:t>，生产者价格指数</w:t>
      </w:r>
      <w:r>
        <w:rPr>
          <w:rFonts w:eastAsiaTheme="minorEastAsia"/>
          <w:color w:val="000000" w:themeColor="text1"/>
          <w:szCs w:val="21"/>
        </w:rPr>
        <w:t>(PPI)</w:t>
      </w:r>
      <w:r>
        <w:rPr>
          <w:rFonts w:eastAsiaTheme="minorEastAsia"/>
          <w:color w:val="000000" w:themeColor="text1"/>
          <w:szCs w:val="21"/>
        </w:rPr>
        <w:t>当月同比下降</w:t>
      </w:r>
      <w:r>
        <w:rPr>
          <w:rFonts w:eastAsiaTheme="minorEastAsia"/>
          <w:color w:val="000000" w:themeColor="text1"/>
          <w:szCs w:val="21"/>
        </w:rPr>
        <w:t>1.4%</w:t>
      </w:r>
      <w:r>
        <w:rPr>
          <w:rFonts w:eastAsiaTheme="minorEastAsia"/>
          <w:color w:val="000000" w:themeColor="text1"/>
          <w:szCs w:val="21"/>
        </w:rPr>
        <w:t>。</w:t>
      </w:r>
    </w:p>
    <w:p w14:paraId="56BE2023"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二季度，稳健的货币政策灵活适度、精准有效，社会融资成本继续下降，保持人民币汇率基本稳定。</w:t>
      </w:r>
      <w:r>
        <w:rPr>
          <w:rFonts w:eastAsiaTheme="minorEastAsia"/>
          <w:color w:val="000000" w:themeColor="text1"/>
          <w:szCs w:val="21"/>
        </w:rPr>
        <w:t>4</w:t>
      </w:r>
      <w:r>
        <w:rPr>
          <w:rFonts w:eastAsiaTheme="minorEastAsia"/>
          <w:color w:val="000000" w:themeColor="text1"/>
          <w:szCs w:val="21"/>
        </w:rPr>
        <w:t>月以来，整顿手工补息、减少资金空转套利有效提升了货币政策传导效率，</w:t>
      </w:r>
      <w:r>
        <w:rPr>
          <w:rFonts w:eastAsiaTheme="minorEastAsia"/>
          <w:color w:val="000000" w:themeColor="text1"/>
          <w:szCs w:val="21"/>
        </w:rPr>
        <w:lastRenderedPageBreak/>
        <w:t>有利于金融高质量服务经济社会发展及金融机构、金融市场健康发展，同业存单市场整体供需两旺。总体来看，二季度同业存单收益率整体下行，</w:t>
      </w:r>
      <w:r>
        <w:rPr>
          <w:rFonts w:eastAsiaTheme="minorEastAsia"/>
          <w:color w:val="000000" w:themeColor="text1"/>
          <w:szCs w:val="21"/>
        </w:rPr>
        <w:t>1</w:t>
      </w:r>
      <w:r>
        <w:rPr>
          <w:rFonts w:eastAsiaTheme="minorEastAsia"/>
          <w:color w:val="000000" w:themeColor="text1"/>
          <w:szCs w:val="21"/>
        </w:rPr>
        <w:t>年期国股行同业存单收益率从</w:t>
      </w:r>
      <w:r>
        <w:rPr>
          <w:rFonts w:eastAsiaTheme="minorEastAsia"/>
          <w:color w:val="000000" w:themeColor="text1"/>
          <w:szCs w:val="21"/>
        </w:rPr>
        <w:t>2.23%</w:t>
      </w:r>
      <w:r>
        <w:rPr>
          <w:rFonts w:eastAsiaTheme="minorEastAsia"/>
          <w:color w:val="000000" w:themeColor="text1"/>
          <w:szCs w:val="21"/>
        </w:rPr>
        <w:t>下行</w:t>
      </w:r>
      <w:r>
        <w:rPr>
          <w:rFonts w:eastAsiaTheme="minorEastAsia"/>
          <w:color w:val="000000" w:themeColor="text1"/>
          <w:szCs w:val="21"/>
        </w:rPr>
        <w:t>28bps</w:t>
      </w:r>
      <w:r>
        <w:rPr>
          <w:rFonts w:eastAsiaTheme="minorEastAsia"/>
          <w:color w:val="000000" w:themeColor="text1"/>
          <w:szCs w:val="21"/>
        </w:rPr>
        <w:t>至</w:t>
      </w:r>
      <w:r>
        <w:rPr>
          <w:rFonts w:eastAsiaTheme="minorEastAsia"/>
          <w:color w:val="000000" w:themeColor="text1"/>
          <w:szCs w:val="21"/>
        </w:rPr>
        <w:t>1.95%</w:t>
      </w:r>
      <w:r>
        <w:rPr>
          <w:rFonts w:eastAsiaTheme="minorEastAsia"/>
          <w:color w:val="000000" w:themeColor="text1"/>
          <w:szCs w:val="21"/>
        </w:rPr>
        <w:t>附近。</w:t>
      </w:r>
    </w:p>
    <w:p w14:paraId="56E3C8D0"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报告期内，本基金采用抽样复制和动态最优化的方法，投资于标的指数中具有代表性和流动性的成份券和备选成份券，或选择非成份券作为替代，以实现对标的指数的有效跟踪，二季度组合整体运行状况良好。</w:t>
      </w:r>
    </w:p>
    <w:p w14:paraId="7B9BB531"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随着设备更新和消费品以旧换新的大规模推开，政策效应将进一步显现；后续中央预算内投资下达和专项债发行加快，有利于实物工作量的增长，有望推动经济持续向好。人民银行预计加大已出台货币政策实施力度，保持流动性合理充裕，促进物价温和回升，同时防范汇率超调风险。</w:t>
      </w:r>
    </w:p>
    <w:p w14:paraId="1F830CA4"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14:paraId="0188C287"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本报告期摩根中证同业存单</w:t>
      </w:r>
      <w:r w:rsidRPr="00473486">
        <w:rPr>
          <w:rFonts w:eastAsiaTheme="minorEastAsia"/>
          <w:color w:val="000000" w:themeColor="text1"/>
          <w:szCs w:val="21"/>
        </w:rPr>
        <w:t>AAA</w:t>
      </w:r>
      <w:r w:rsidRPr="00473486">
        <w:rPr>
          <w:rFonts w:eastAsiaTheme="minorEastAsia"/>
          <w:color w:val="000000" w:themeColor="text1"/>
          <w:szCs w:val="21"/>
        </w:rPr>
        <w:t>指数</w:t>
      </w:r>
      <w:r w:rsidRPr="00473486">
        <w:rPr>
          <w:rFonts w:eastAsiaTheme="minorEastAsia"/>
          <w:color w:val="000000" w:themeColor="text1"/>
          <w:szCs w:val="21"/>
        </w:rPr>
        <w:t>7</w:t>
      </w:r>
      <w:r w:rsidRPr="00473486">
        <w:rPr>
          <w:rFonts w:eastAsiaTheme="minorEastAsia"/>
          <w:color w:val="000000" w:themeColor="text1"/>
          <w:szCs w:val="21"/>
        </w:rPr>
        <w:t>天份额净值增长率为</w:t>
      </w:r>
      <w:r w:rsidRPr="00473486">
        <w:rPr>
          <w:rFonts w:eastAsiaTheme="minorEastAsia"/>
          <w:color w:val="000000" w:themeColor="text1"/>
          <w:szCs w:val="21"/>
        </w:rPr>
        <w:t>:0.52%</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:0.62%</w:t>
      </w:r>
      <w:r w:rsidRPr="00473486">
        <w:rPr>
          <w:rFonts w:eastAsiaTheme="minorEastAsia"/>
          <w:color w:val="000000" w:themeColor="text1"/>
          <w:szCs w:val="21"/>
        </w:rPr>
        <w:t>。</w:t>
      </w:r>
    </w:p>
    <w:p w14:paraId="769B6B70" w14:textId="77777777" w:rsidR="00881A82" w:rsidRPr="00473486" w:rsidRDefault="00881A82">
      <w:pPr>
        <w:spacing w:line="360" w:lineRule="auto"/>
        <w:ind w:firstLineChars="200" w:firstLine="480"/>
        <w:rPr>
          <w:rFonts w:eastAsiaTheme="minorEastAsia"/>
          <w:color w:val="000000" w:themeColor="text1"/>
          <w:sz w:val="24"/>
        </w:rPr>
      </w:pPr>
    </w:p>
    <w:p w14:paraId="4375A2F2" w14:textId="77777777"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14:paraId="12F8FBA7"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14:paraId="74DAF20F"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14:paraId="0E8512BA"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14:paraId="4C21069C" w14:textId="77777777">
        <w:trPr>
          <w:jc w:val="center"/>
        </w:trPr>
        <w:tc>
          <w:tcPr>
            <w:tcW w:w="720" w:type="dxa"/>
            <w:vAlign w:val="center"/>
          </w:tcPr>
          <w:p w14:paraId="222C24F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14:paraId="1293D95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14:paraId="4D050FB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14:paraId="5638625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14:paraId="1C740DAC" w14:textId="77777777">
        <w:trPr>
          <w:jc w:val="center"/>
        </w:trPr>
        <w:tc>
          <w:tcPr>
            <w:tcW w:w="720" w:type="dxa"/>
            <w:vAlign w:val="center"/>
          </w:tcPr>
          <w:p w14:paraId="2A075D3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14:paraId="778F2EC9"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14:paraId="4B02DD3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47EE4FB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42F0929" w14:textId="77777777">
        <w:trPr>
          <w:jc w:val="center"/>
        </w:trPr>
        <w:tc>
          <w:tcPr>
            <w:tcW w:w="720" w:type="dxa"/>
            <w:vAlign w:val="center"/>
          </w:tcPr>
          <w:p w14:paraId="2B3D4731"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68E0F61E"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14:paraId="194EDC8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016E012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E0E2E62" w14:textId="77777777">
        <w:trPr>
          <w:jc w:val="center"/>
        </w:trPr>
        <w:tc>
          <w:tcPr>
            <w:tcW w:w="720" w:type="dxa"/>
            <w:vAlign w:val="center"/>
          </w:tcPr>
          <w:p w14:paraId="4B7F5B7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14:paraId="6FE59782"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14:paraId="55F252E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577,612,356.51</w:t>
            </w:r>
          </w:p>
        </w:tc>
        <w:tc>
          <w:tcPr>
            <w:tcW w:w="1843" w:type="dxa"/>
            <w:vAlign w:val="center"/>
          </w:tcPr>
          <w:p w14:paraId="4C6371B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99.77</w:t>
            </w:r>
          </w:p>
        </w:tc>
      </w:tr>
      <w:tr w:rsidR="00881A82" w:rsidRPr="00473486" w14:paraId="3C9C770B" w14:textId="77777777">
        <w:trPr>
          <w:jc w:val="center"/>
        </w:trPr>
        <w:tc>
          <w:tcPr>
            <w:tcW w:w="720" w:type="dxa"/>
            <w:vAlign w:val="center"/>
          </w:tcPr>
          <w:p w14:paraId="21162239"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692B9628"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14:paraId="482C783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577,612,356.51</w:t>
            </w:r>
          </w:p>
        </w:tc>
        <w:tc>
          <w:tcPr>
            <w:tcW w:w="1843" w:type="dxa"/>
            <w:vAlign w:val="center"/>
          </w:tcPr>
          <w:p w14:paraId="6D0D91B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99.77</w:t>
            </w:r>
          </w:p>
        </w:tc>
      </w:tr>
      <w:tr w:rsidR="00881A82" w:rsidRPr="00473486" w14:paraId="690B9CAE" w14:textId="77777777">
        <w:trPr>
          <w:jc w:val="center"/>
        </w:trPr>
        <w:tc>
          <w:tcPr>
            <w:tcW w:w="720" w:type="dxa"/>
            <w:vAlign w:val="center"/>
          </w:tcPr>
          <w:p w14:paraId="598FBF2E"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7AA62DE9" w14:textId="77777777"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14:paraId="543C3A8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259F3D9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8CEB2E6" w14:textId="77777777">
        <w:trPr>
          <w:jc w:val="center"/>
        </w:trPr>
        <w:tc>
          <w:tcPr>
            <w:tcW w:w="720" w:type="dxa"/>
          </w:tcPr>
          <w:p w14:paraId="7D86A79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14:paraId="31D8004E" w14:textId="77777777"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14:paraId="46908FD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32EC283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29C7BFE" w14:textId="77777777">
        <w:trPr>
          <w:jc w:val="center"/>
        </w:trPr>
        <w:tc>
          <w:tcPr>
            <w:tcW w:w="720" w:type="dxa"/>
            <w:vAlign w:val="center"/>
          </w:tcPr>
          <w:p w14:paraId="1CB1E5E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14:paraId="6FCD287A"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14:paraId="2C96C98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2FBF228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72050DB" w14:textId="77777777">
        <w:trPr>
          <w:jc w:val="center"/>
        </w:trPr>
        <w:tc>
          <w:tcPr>
            <w:tcW w:w="720" w:type="dxa"/>
            <w:vAlign w:val="center"/>
          </w:tcPr>
          <w:p w14:paraId="584DAF2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5</w:t>
            </w:r>
          </w:p>
        </w:tc>
        <w:tc>
          <w:tcPr>
            <w:tcW w:w="3357" w:type="dxa"/>
            <w:vAlign w:val="center"/>
          </w:tcPr>
          <w:p w14:paraId="3744D930"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14:paraId="674CC97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07DAFCC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C5723AE" w14:textId="77777777">
        <w:trPr>
          <w:jc w:val="center"/>
        </w:trPr>
        <w:tc>
          <w:tcPr>
            <w:tcW w:w="720" w:type="dxa"/>
            <w:vAlign w:val="center"/>
          </w:tcPr>
          <w:p w14:paraId="2DCAD759"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59B4397D"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14:paraId="720E472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28CD703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0E995B7" w14:textId="77777777">
        <w:trPr>
          <w:jc w:val="center"/>
        </w:trPr>
        <w:tc>
          <w:tcPr>
            <w:tcW w:w="720" w:type="dxa"/>
            <w:vAlign w:val="center"/>
          </w:tcPr>
          <w:p w14:paraId="6600B66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14:paraId="446298B6"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14:paraId="15894B4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203,901.28</w:t>
            </w:r>
          </w:p>
        </w:tc>
        <w:tc>
          <w:tcPr>
            <w:tcW w:w="1843" w:type="dxa"/>
            <w:vAlign w:val="center"/>
          </w:tcPr>
          <w:p w14:paraId="4F1A598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0.04</w:t>
            </w:r>
          </w:p>
        </w:tc>
      </w:tr>
      <w:tr w:rsidR="00881A82" w:rsidRPr="00473486" w14:paraId="2A7FD780" w14:textId="77777777">
        <w:trPr>
          <w:jc w:val="center"/>
        </w:trPr>
        <w:tc>
          <w:tcPr>
            <w:tcW w:w="720" w:type="dxa"/>
            <w:vAlign w:val="center"/>
          </w:tcPr>
          <w:p w14:paraId="5C21691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14:paraId="08CA835C"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14:paraId="5C1E23A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1,119,830.00</w:t>
            </w:r>
          </w:p>
        </w:tc>
        <w:tc>
          <w:tcPr>
            <w:tcW w:w="1843" w:type="dxa"/>
            <w:vAlign w:val="center"/>
          </w:tcPr>
          <w:p w14:paraId="0B49D51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0.19</w:t>
            </w:r>
          </w:p>
        </w:tc>
      </w:tr>
      <w:tr w:rsidR="00881A82" w:rsidRPr="00473486" w14:paraId="0C67A321" w14:textId="77777777">
        <w:trPr>
          <w:jc w:val="center"/>
        </w:trPr>
        <w:tc>
          <w:tcPr>
            <w:tcW w:w="720" w:type="dxa"/>
            <w:vAlign w:val="center"/>
          </w:tcPr>
          <w:p w14:paraId="057B19A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14:paraId="5E94C2F5"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14:paraId="0C082B4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578,936,087.79</w:t>
            </w:r>
          </w:p>
        </w:tc>
        <w:tc>
          <w:tcPr>
            <w:tcW w:w="1843" w:type="dxa"/>
            <w:vAlign w:val="center"/>
          </w:tcPr>
          <w:p w14:paraId="30717A2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14:paraId="7EE9D99D"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C4E57D0"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14:paraId="148BC977"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14:paraId="51BC9A4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4B7814B3"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p w14:paraId="58BEEE9E"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本基金本报告期末未持有指数投资股票。</w:t>
      </w:r>
    </w:p>
    <w:p w14:paraId="2FD50A34" w14:textId="77777777" w:rsidR="00881A82" w:rsidRPr="00473486" w:rsidRDefault="00881A82">
      <w:pPr>
        <w:autoSpaceDE w:val="0"/>
        <w:autoSpaceDN w:val="0"/>
        <w:adjustRightInd w:val="0"/>
        <w:spacing w:line="360" w:lineRule="auto"/>
        <w:jc w:val="left"/>
        <w:rPr>
          <w:rFonts w:eastAsiaTheme="minorEastAsia"/>
          <w:color w:val="000000" w:themeColor="text1"/>
          <w:sz w:val="24"/>
        </w:rPr>
      </w:pPr>
    </w:p>
    <w:p w14:paraId="1AF5287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14:paraId="4A1DF9DA"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p w14:paraId="7B0708DE" w14:textId="77777777" w:rsidR="00881A82" w:rsidRPr="00473486" w:rsidRDefault="007D1E3A">
      <w:pPr>
        <w:autoSpaceDE w:val="0"/>
        <w:autoSpaceDN w:val="0"/>
        <w:adjustRightInd w:val="0"/>
        <w:spacing w:line="360" w:lineRule="auto"/>
        <w:jc w:val="left"/>
        <w:rPr>
          <w:rFonts w:eastAsiaTheme="minorEastAsia"/>
          <w:color w:val="000000" w:themeColor="text1"/>
          <w:sz w:val="24"/>
        </w:rPr>
      </w:pPr>
      <w:r w:rsidRPr="00473486">
        <w:rPr>
          <w:rFonts w:eastAsiaTheme="minorEastAsia"/>
          <w:color w:val="000000" w:themeColor="text1"/>
          <w:szCs w:val="21"/>
        </w:rPr>
        <w:t>本基金本报告期末未持有股票。</w:t>
      </w:r>
    </w:p>
    <w:p w14:paraId="57EC2355"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14:paraId="1914694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3F182DED" w14:textId="77777777" w:rsidR="00881A82" w:rsidRPr="000A0010" w:rsidRDefault="00881A82">
      <w:pPr>
        <w:autoSpaceDE w:val="0"/>
        <w:autoSpaceDN w:val="0"/>
        <w:adjustRightInd w:val="0"/>
        <w:spacing w:line="360" w:lineRule="auto"/>
        <w:jc w:val="left"/>
        <w:rPr>
          <w:rFonts w:eastAsiaTheme="minorEastAsia"/>
          <w:color w:val="000000" w:themeColor="text1"/>
          <w:szCs w:val="21"/>
        </w:rPr>
      </w:pPr>
    </w:p>
    <w:p w14:paraId="1DA6A21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1757"/>
      </w:tblGrid>
      <w:tr w:rsidR="00881A82" w:rsidRPr="00473486" w14:paraId="671EE933" w14:textId="77777777">
        <w:tc>
          <w:tcPr>
            <w:tcW w:w="1242" w:type="dxa"/>
            <w:shd w:val="clear" w:color="auto" w:fill="auto"/>
            <w:vAlign w:val="center"/>
          </w:tcPr>
          <w:p w14:paraId="1CA5CAD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2835" w:type="dxa"/>
            <w:shd w:val="clear" w:color="auto" w:fill="auto"/>
            <w:vAlign w:val="center"/>
          </w:tcPr>
          <w:p w14:paraId="1F6261B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债券品种</w:t>
            </w:r>
          </w:p>
        </w:tc>
        <w:tc>
          <w:tcPr>
            <w:tcW w:w="2694" w:type="dxa"/>
            <w:shd w:val="clear" w:color="auto" w:fill="auto"/>
            <w:vAlign w:val="center"/>
          </w:tcPr>
          <w:p w14:paraId="1C4B35E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757" w:type="dxa"/>
            <w:shd w:val="clear" w:color="auto" w:fill="auto"/>
            <w:vAlign w:val="center"/>
          </w:tcPr>
          <w:p w14:paraId="0C60580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881A82" w:rsidRPr="00473486" w14:paraId="62677B91" w14:textId="77777777">
        <w:tc>
          <w:tcPr>
            <w:tcW w:w="1242" w:type="dxa"/>
            <w:shd w:val="clear" w:color="auto" w:fill="auto"/>
            <w:vAlign w:val="center"/>
          </w:tcPr>
          <w:p w14:paraId="27E53AB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2835" w:type="dxa"/>
            <w:shd w:val="clear" w:color="auto" w:fill="auto"/>
            <w:vAlign w:val="center"/>
          </w:tcPr>
          <w:p w14:paraId="200B7679"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国家债券</w:t>
            </w:r>
          </w:p>
        </w:tc>
        <w:tc>
          <w:tcPr>
            <w:tcW w:w="2694" w:type="dxa"/>
            <w:shd w:val="clear" w:color="auto" w:fill="auto"/>
            <w:vAlign w:val="center"/>
          </w:tcPr>
          <w:p w14:paraId="72CCC59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34C41BB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36B9DE7" w14:textId="77777777">
        <w:tc>
          <w:tcPr>
            <w:tcW w:w="1242" w:type="dxa"/>
            <w:shd w:val="clear" w:color="auto" w:fill="auto"/>
            <w:vAlign w:val="center"/>
          </w:tcPr>
          <w:p w14:paraId="36FC45D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2835" w:type="dxa"/>
            <w:shd w:val="clear" w:color="auto" w:fill="auto"/>
            <w:vAlign w:val="center"/>
          </w:tcPr>
          <w:p w14:paraId="07100C9F"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央行票据</w:t>
            </w:r>
          </w:p>
        </w:tc>
        <w:tc>
          <w:tcPr>
            <w:tcW w:w="2694" w:type="dxa"/>
            <w:shd w:val="clear" w:color="auto" w:fill="auto"/>
            <w:vAlign w:val="center"/>
          </w:tcPr>
          <w:p w14:paraId="0DC0D62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39E3637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4AB6EDF" w14:textId="77777777">
        <w:tc>
          <w:tcPr>
            <w:tcW w:w="1242" w:type="dxa"/>
            <w:shd w:val="clear" w:color="auto" w:fill="auto"/>
            <w:vAlign w:val="center"/>
          </w:tcPr>
          <w:p w14:paraId="3295804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2835" w:type="dxa"/>
            <w:shd w:val="clear" w:color="auto" w:fill="auto"/>
            <w:vAlign w:val="center"/>
          </w:tcPr>
          <w:p w14:paraId="2C6824ED"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金融债券</w:t>
            </w:r>
          </w:p>
        </w:tc>
        <w:tc>
          <w:tcPr>
            <w:tcW w:w="2694" w:type="dxa"/>
            <w:shd w:val="clear" w:color="auto" w:fill="auto"/>
            <w:vAlign w:val="center"/>
          </w:tcPr>
          <w:p w14:paraId="325D63D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30,350,025.41</w:t>
            </w:r>
          </w:p>
        </w:tc>
        <w:tc>
          <w:tcPr>
            <w:tcW w:w="1757" w:type="dxa"/>
            <w:shd w:val="clear" w:color="auto" w:fill="auto"/>
            <w:vAlign w:val="center"/>
          </w:tcPr>
          <w:p w14:paraId="43CC6E2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6.32</w:t>
            </w:r>
          </w:p>
        </w:tc>
      </w:tr>
      <w:tr w:rsidR="00881A82" w:rsidRPr="00473486" w14:paraId="1A40988D" w14:textId="77777777">
        <w:tc>
          <w:tcPr>
            <w:tcW w:w="1242" w:type="dxa"/>
            <w:shd w:val="clear" w:color="auto" w:fill="auto"/>
            <w:vAlign w:val="center"/>
          </w:tcPr>
          <w:p w14:paraId="0FC90F2C" w14:textId="77777777" w:rsidR="00881A82" w:rsidRPr="00473486" w:rsidRDefault="00881A82">
            <w:pPr>
              <w:spacing w:before="29" w:line="360" w:lineRule="auto"/>
              <w:ind w:left="17"/>
              <w:jc w:val="center"/>
              <w:rPr>
                <w:rFonts w:eastAsiaTheme="minorEastAsia"/>
                <w:color w:val="000000" w:themeColor="text1"/>
                <w:szCs w:val="21"/>
              </w:rPr>
            </w:pPr>
          </w:p>
        </w:tc>
        <w:tc>
          <w:tcPr>
            <w:tcW w:w="2835" w:type="dxa"/>
            <w:shd w:val="clear" w:color="auto" w:fill="auto"/>
            <w:vAlign w:val="center"/>
          </w:tcPr>
          <w:p w14:paraId="2F57BA44"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其中：政策性金融债</w:t>
            </w:r>
          </w:p>
        </w:tc>
        <w:tc>
          <w:tcPr>
            <w:tcW w:w="2694" w:type="dxa"/>
            <w:shd w:val="clear" w:color="auto" w:fill="auto"/>
            <w:vAlign w:val="center"/>
          </w:tcPr>
          <w:p w14:paraId="53918DC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30,350,025.41</w:t>
            </w:r>
          </w:p>
        </w:tc>
        <w:tc>
          <w:tcPr>
            <w:tcW w:w="1757" w:type="dxa"/>
            <w:shd w:val="clear" w:color="auto" w:fill="auto"/>
            <w:vAlign w:val="center"/>
          </w:tcPr>
          <w:p w14:paraId="11F90BA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6.32</w:t>
            </w:r>
          </w:p>
        </w:tc>
      </w:tr>
      <w:tr w:rsidR="00881A82" w:rsidRPr="00473486" w14:paraId="69A0D7F4" w14:textId="77777777">
        <w:tc>
          <w:tcPr>
            <w:tcW w:w="1242" w:type="dxa"/>
            <w:shd w:val="clear" w:color="auto" w:fill="auto"/>
            <w:vAlign w:val="center"/>
          </w:tcPr>
          <w:p w14:paraId="3B292A5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4</w:t>
            </w:r>
          </w:p>
        </w:tc>
        <w:tc>
          <w:tcPr>
            <w:tcW w:w="2835" w:type="dxa"/>
            <w:shd w:val="clear" w:color="auto" w:fill="auto"/>
            <w:vAlign w:val="center"/>
          </w:tcPr>
          <w:p w14:paraId="354B4D7D"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企业债券</w:t>
            </w:r>
          </w:p>
        </w:tc>
        <w:tc>
          <w:tcPr>
            <w:tcW w:w="2694" w:type="dxa"/>
            <w:shd w:val="clear" w:color="auto" w:fill="auto"/>
            <w:vAlign w:val="center"/>
          </w:tcPr>
          <w:p w14:paraId="24E8791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20,546,410.96</w:t>
            </w:r>
          </w:p>
        </w:tc>
        <w:tc>
          <w:tcPr>
            <w:tcW w:w="1757" w:type="dxa"/>
            <w:shd w:val="clear" w:color="auto" w:fill="auto"/>
            <w:vAlign w:val="center"/>
          </w:tcPr>
          <w:p w14:paraId="057B636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4.28</w:t>
            </w:r>
          </w:p>
        </w:tc>
      </w:tr>
      <w:tr w:rsidR="00881A82" w:rsidRPr="00473486" w14:paraId="55A51C6A" w14:textId="77777777">
        <w:tc>
          <w:tcPr>
            <w:tcW w:w="1242" w:type="dxa"/>
            <w:shd w:val="clear" w:color="auto" w:fill="auto"/>
            <w:vAlign w:val="center"/>
          </w:tcPr>
          <w:p w14:paraId="5A89A9A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2835" w:type="dxa"/>
            <w:shd w:val="clear" w:color="auto" w:fill="auto"/>
            <w:vAlign w:val="center"/>
          </w:tcPr>
          <w:p w14:paraId="6E3EF2E3"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企业短期融资券</w:t>
            </w:r>
          </w:p>
        </w:tc>
        <w:tc>
          <w:tcPr>
            <w:tcW w:w="2694" w:type="dxa"/>
            <w:shd w:val="clear" w:color="auto" w:fill="auto"/>
            <w:vAlign w:val="center"/>
          </w:tcPr>
          <w:p w14:paraId="7FF8F2A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20,119,448.77</w:t>
            </w:r>
          </w:p>
        </w:tc>
        <w:tc>
          <w:tcPr>
            <w:tcW w:w="1757" w:type="dxa"/>
            <w:shd w:val="clear" w:color="auto" w:fill="auto"/>
            <w:vAlign w:val="center"/>
          </w:tcPr>
          <w:p w14:paraId="0C8140F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4.19</w:t>
            </w:r>
          </w:p>
        </w:tc>
      </w:tr>
      <w:tr w:rsidR="00881A82" w:rsidRPr="00473486" w14:paraId="36279644" w14:textId="77777777">
        <w:tc>
          <w:tcPr>
            <w:tcW w:w="1242" w:type="dxa"/>
            <w:shd w:val="clear" w:color="auto" w:fill="auto"/>
            <w:vAlign w:val="center"/>
          </w:tcPr>
          <w:p w14:paraId="3A3FF78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2835" w:type="dxa"/>
            <w:shd w:val="clear" w:color="auto" w:fill="auto"/>
            <w:vAlign w:val="center"/>
          </w:tcPr>
          <w:p w14:paraId="4308F5C0"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中期票据</w:t>
            </w:r>
          </w:p>
        </w:tc>
        <w:tc>
          <w:tcPr>
            <w:tcW w:w="2694" w:type="dxa"/>
            <w:shd w:val="clear" w:color="auto" w:fill="auto"/>
            <w:vAlign w:val="center"/>
          </w:tcPr>
          <w:p w14:paraId="49C8A78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30,889,495.08</w:t>
            </w:r>
          </w:p>
        </w:tc>
        <w:tc>
          <w:tcPr>
            <w:tcW w:w="1757" w:type="dxa"/>
            <w:shd w:val="clear" w:color="auto" w:fill="auto"/>
            <w:vAlign w:val="center"/>
          </w:tcPr>
          <w:p w14:paraId="31D0E68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6.43</w:t>
            </w:r>
          </w:p>
        </w:tc>
      </w:tr>
      <w:tr w:rsidR="00881A82" w:rsidRPr="00473486" w14:paraId="1025C4A5" w14:textId="77777777">
        <w:tc>
          <w:tcPr>
            <w:tcW w:w="1242" w:type="dxa"/>
            <w:shd w:val="clear" w:color="auto" w:fill="auto"/>
            <w:vAlign w:val="center"/>
          </w:tcPr>
          <w:p w14:paraId="27BC796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2835" w:type="dxa"/>
            <w:shd w:val="clear" w:color="auto" w:fill="auto"/>
            <w:vAlign w:val="center"/>
          </w:tcPr>
          <w:p w14:paraId="048A684C"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可转债（可交换债）</w:t>
            </w:r>
          </w:p>
        </w:tc>
        <w:tc>
          <w:tcPr>
            <w:tcW w:w="2694" w:type="dxa"/>
            <w:shd w:val="clear" w:color="auto" w:fill="auto"/>
            <w:vAlign w:val="center"/>
          </w:tcPr>
          <w:p w14:paraId="4CCFD31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5BE2355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4093083" w14:textId="77777777">
        <w:tc>
          <w:tcPr>
            <w:tcW w:w="1242" w:type="dxa"/>
            <w:shd w:val="clear" w:color="auto" w:fill="auto"/>
            <w:vAlign w:val="center"/>
          </w:tcPr>
          <w:p w14:paraId="13F5A69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2835" w:type="dxa"/>
            <w:shd w:val="clear" w:color="auto" w:fill="auto"/>
            <w:vAlign w:val="center"/>
          </w:tcPr>
          <w:p w14:paraId="5204AE9E"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同业存单</w:t>
            </w:r>
          </w:p>
        </w:tc>
        <w:tc>
          <w:tcPr>
            <w:tcW w:w="2694" w:type="dxa"/>
            <w:shd w:val="clear" w:color="auto" w:fill="auto"/>
            <w:vAlign w:val="center"/>
          </w:tcPr>
          <w:p w14:paraId="18ABD35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475,706,976.29</w:t>
            </w:r>
          </w:p>
        </w:tc>
        <w:tc>
          <w:tcPr>
            <w:tcW w:w="1757" w:type="dxa"/>
            <w:shd w:val="clear" w:color="auto" w:fill="auto"/>
            <w:vAlign w:val="center"/>
          </w:tcPr>
          <w:p w14:paraId="12D798A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99.01</w:t>
            </w:r>
          </w:p>
        </w:tc>
      </w:tr>
      <w:tr w:rsidR="00881A82" w:rsidRPr="00473486" w14:paraId="454EDAAB" w14:textId="77777777">
        <w:tc>
          <w:tcPr>
            <w:tcW w:w="1242" w:type="dxa"/>
            <w:shd w:val="clear" w:color="auto" w:fill="auto"/>
            <w:vAlign w:val="center"/>
          </w:tcPr>
          <w:p w14:paraId="1F97019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9</w:t>
            </w:r>
          </w:p>
        </w:tc>
        <w:tc>
          <w:tcPr>
            <w:tcW w:w="2835" w:type="dxa"/>
            <w:shd w:val="clear" w:color="auto" w:fill="auto"/>
            <w:vAlign w:val="center"/>
          </w:tcPr>
          <w:p w14:paraId="7F25866C"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其他</w:t>
            </w:r>
          </w:p>
        </w:tc>
        <w:tc>
          <w:tcPr>
            <w:tcW w:w="2694" w:type="dxa"/>
            <w:shd w:val="clear" w:color="auto" w:fill="auto"/>
            <w:vAlign w:val="center"/>
          </w:tcPr>
          <w:p w14:paraId="5DA2EBB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4E3AEAC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9804C15" w14:textId="77777777">
        <w:tc>
          <w:tcPr>
            <w:tcW w:w="1242" w:type="dxa"/>
            <w:shd w:val="clear" w:color="auto" w:fill="auto"/>
            <w:vAlign w:val="center"/>
          </w:tcPr>
          <w:p w14:paraId="7D27B94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10</w:t>
            </w:r>
          </w:p>
        </w:tc>
        <w:tc>
          <w:tcPr>
            <w:tcW w:w="2835" w:type="dxa"/>
            <w:shd w:val="clear" w:color="auto" w:fill="auto"/>
            <w:vAlign w:val="center"/>
          </w:tcPr>
          <w:p w14:paraId="77FC7704"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合计</w:t>
            </w:r>
          </w:p>
        </w:tc>
        <w:tc>
          <w:tcPr>
            <w:tcW w:w="2694" w:type="dxa"/>
            <w:shd w:val="clear" w:color="auto" w:fill="auto"/>
            <w:vAlign w:val="center"/>
          </w:tcPr>
          <w:p w14:paraId="2B6ECF9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577,612,356.51</w:t>
            </w:r>
          </w:p>
        </w:tc>
        <w:tc>
          <w:tcPr>
            <w:tcW w:w="1757" w:type="dxa"/>
            <w:shd w:val="clear" w:color="auto" w:fill="auto"/>
            <w:vAlign w:val="center"/>
          </w:tcPr>
          <w:p w14:paraId="551D8B9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120.22</w:t>
            </w:r>
          </w:p>
        </w:tc>
      </w:tr>
    </w:tbl>
    <w:p w14:paraId="79F3BEFB"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16F29EF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81A82" w:rsidRPr="00473486" w14:paraId="6967F5CD" w14:textId="77777777">
        <w:tc>
          <w:tcPr>
            <w:tcW w:w="1252" w:type="dxa"/>
            <w:shd w:val="clear" w:color="auto" w:fill="auto"/>
            <w:vAlign w:val="center"/>
          </w:tcPr>
          <w:p w14:paraId="74C9464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310" w:type="dxa"/>
            <w:shd w:val="clear" w:color="auto" w:fill="auto"/>
            <w:vAlign w:val="center"/>
          </w:tcPr>
          <w:p w14:paraId="6899850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债券代码</w:t>
            </w:r>
          </w:p>
        </w:tc>
        <w:tc>
          <w:tcPr>
            <w:tcW w:w="1282" w:type="dxa"/>
            <w:shd w:val="clear" w:color="auto" w:fill="auto"/>
            <w:vAlign w:val="center"/>
          </w:tcPr>
          <w:p w14:paraId="649248B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债券名称</w:t>
            </w:r>
          </w:p>
        </w:tc>
        <w:tc>
          <w:tcPr>
            <w:tcW w:w="1426" w:type="dxa"/>
            <w:shd w:val="clear" w:color="auto" w:fill="auto"/>
            <w:vAlign w:val="center"/>
          </w:tcPr>
          <w:p w14:paraId="5AFCA47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张</w:t>
            </w:r>
            <w:r w:rsidRPr="00473486">
              <w:rPr>
                <w:rFonts w:eastAsiaTheme="minorEastAsia"/>
                <w:color w:val="000000" w:themeColor="text1"/>
                <w:szCs w:val="21"/>
              </w:rPr>
              <w:t>)</w:t>
            </w:r>
          </w:p>
        </w:tc>
        <w:tc>
          <w:tcPr>
            <w:tcW w:w="1646" w:type="dxa"/>
            <w:shd w:val="clear" w:color="auto" w:fill="auto"/>
            <w:vAlign w:val="center"/>
          </w:tcPr>
          <w:p w14:paraId="293F53F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2" w:type="dxa"/>
            <w:shd w:val="clear" w:color="auto" w:fill="auto"/>
            <w:vAlign w:val="center"/>
          </w:tcPr>
          <w:p w14:paraId="7D84C43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9442E3" w14:paraId="1AAD9712" w14:textId="77777777">
        <w:tc>
          <w:tcPr>
            <w:tcW w:w="1252" w:type="dxa"/>
            <w:vAlign w:val="center"/>
          </w:tcPr>
          <w:p w14:paraId="544D9D80" w14:textId="77777777" w:rsidR="009442E3" w:rsidRDefault="0046571D">
            <w:pPr>
              <w:jc w:val="center"/>
            </w:pPr>
            <w:r>
              <w:rPr>
                <w:rFonts w:eastAsiaTheme="minorEastAsia"/>
                <w:color w:val="000000" w:themeColor="text1"/>
                <w:szCs w:val="21"/>
              </w:rPr>
              <w:t>1</w:t>
            </w:r>
          </w:p>
        </w:tc>
        <w:tc>
          <w:tcPr>
            <w:tcW w:w="1310" w:type="dxa"/>
            <w:vAlign w:val="center"/>
          </w:tcPr>
          <w:p w14:paraId="40A02425" w14:textId="77777777" w:rsidR="009442E3" w:rsidRDefault="0046571D">
            <w:pPr>
              <w:jc w:val="center"/>
            </w:pPr>
            <w:r>
              <w:rPr>
                <w:rFonts w:eastAsiaTheme="minorEastAsia"/>
                <w:color w:val="000000" w:themeColor="text1"/>
                <w:szCs w:val="21"/>
              </w:rPr>
              <w:t>112317195</w:t>
            </w:r>
          </w:p>
        </w:tc>
        <w:tc>
          <w:tcPr>
            <w:tcW w:w="1282" w:type="dxa"/>
            <w:vAlign w:val="center"/>
          </w:tcPr>
          <w:p w14:paraId="5A9787D1" w14:textId="77777777" w:rsidR="009442E3" w:rsidRDefault="0046571D">
            <w:pPr>
              <w:jc w:val="center"/>
            </w:pPr>
            <w:r>
              <w:rPr>
                <w:rFonts w:eastAsiaTheme="minorEastAsia"/>
                <w:color w:val="000000" w:themeColor="text1"/>
                <w:szCs w:val="21"/>
              </w:rPr>
              <w:t>23</w:t>
            </w:r>
            <w:r>
              <w:rPr>
                <w:rFonts w:eastAsiaTheme="minorEastAsia"/>
                <w:color w:val="000000" w:themeColor="text1"/>
                <w:szCs w:val="21"/>
              </w:rPr>
              <w:t>光大银行</w:t>
            </w:r>
            <w:r>
              <w:rPr>
                <w:rFonts w:eastAsiaTheme="minorEastAsia"/>
                <w:color w:val="000000" w:themeColor="text1"/>
                <w:szCs w:val="21"/>
              </w:rPr>
              <w:t>CD195</w:t>
            </w:r>
          </w:p>
        </w:tc>
        <w:tc>
          <w:tcPr>
            <w:tcW w:w="1426" w:type="dxa"/>
            <w:vAlign w:val="center"/>
          </w:tcPr>
          <w:p w14:paraId="024237BE" w14:textId="77777777" w:rsidR="009442E3" w:rsidRDefault="0046571D">
            <w:pPr>
              <w:jc w:val="right"/>
            </w:pPr>
            <w:r>
              <w:rPr>
                <w:rFonts w:eastAsiaTheme="minorEastAsia"/>
                <w:color w:val="000000" w:themeColor="text1"/>
                <w:szCs w:val="21"/>
              </w:rPr>
              <w:t>500,000</w:t>
            </w:r>
          </w:p>
        </w:tc>
        <w:tc>
          <w:tcPr>
            <w:tcW w:w="1646" w:type="dxa"/>
            <w:vAlign w:val="center"/>
          </w:tcPr>
          <w:p w14:paraId="41612D32" w14:textId="77777777" w:rsidR="009442E3" w:rsidRDefault="0046571D">
            <w:pPr>
              <w:jc w:val="right"/>
            </w:pPr>
            <w:r>
              <w:rPr>
                <w:rFonts w:eastAsiaTheme="minorEastAsia"/>
                <w:color w:val="000000" w:themeColor="text1"/>
                <w:szCs w:val="21"/>
              </w:rPr>
              <w:t>49,856,854.10</w:t>
            </w:r>
          </w:p>
        </w:tc>
        <w:tc>
          <w:tcPr>
            <w:tcW w:w="1612" w:type="dxa"/>
            <w:vAlign w:val="center"/>
          </w:tcPr>
          <w:p w14:paraId="480FA158" w14:textId="77777777" w:rsidR="009442E3" w:rsidRDefault="0046571D">
            <w:pPr>
              <w:jc w:val="right"/>
            </w:pPr>
            <w:r>
              <w:rPr>
                <w:rFonts w:eastAsiaTheme="minorEastAsia"/>
                <w:color w:val="000000" w:themeColor="text1"/>
                <w:szCs w:val="21"/>
              </w:rPr>
              <w:t>10.38</w:t>
            </w:r>
          </w:p>
        </w:tc>
      </w:tr>
      <w:tr w:rsidR="009442E3" w14:paraId="48DC0D67" w14:textId="77777777">
        <w:tc>
          <w:tcPr>
            <w:tcW w:w="1252" w:type="dxa"/>
            <w:vAlign w:val="center"/>
          </w:tcPr>
          <w:p w14:paraId="108948D0" w14:textId="77777777" w:rsidR="009442E3" w:rsidRDefault="0046571D">
            <w:pPr>
              <w:jc w:val="center"/>
            </w:pPr>
            <w:r>
              <w:rPr>
                <w:rFonts w:eastAsiaTheme="minorEastAsia"/>
                <w:color w:val="000000" w:themeColor="text1"/>
                <w:szCs w:val="21"/>
              </w:rPr>
              <w:t>2</w:t>
            </w:r>
          </w:p>
        </w:tc>
        <w:tc>
          <w:tcPr>
            <w:tcW w:w="1310" w:type="dxa"/>
            <w:vAlign w:val="center"/>
          </w:tcPr>
          <w:p w14:paraId="7DBAFAAC" w14:textId="77777777" w:rsidR="009442E3" w:rsidRDefault="0046571D">
            <w:pPr>
              <w:jc w:val="center"/>
            </w:pPr>
            <w:r>
              <w:rPr>
                <w:rFonts w:eastAsiaTheme="minorEastAsia"/>
                <w:color w:val="000000" w:themeColor="text1"/>
                <w:szCs w:val="21"/>
              </w:rPr>
              <w:t>112303197</w:t>
            </w:r>
          </w:p>
        </w:tc>
        <w:tc>
          <w:tcPr>
            <w:tcW w:w="1282" w:type="dxa"/>
            <w:vAlign w:val="center"/>
          </w:tcPr>
          <w:p w14:paraId="092F91A6" w14:textId="77777777" w:rsidR="009442E3" w:rsidRDefault="0046571D">
            <w:pPr>
              <w:jc w:val="center"/>
            </w:pPr>
            <w:r>
              <w:rPr>
                <w:rFonts w:eastAsiaTheme="minorEastAsia"/>
                <w:color w:val="000000" w:themeColor="text1"/>
                <w:szCs w:val="21"/>
              </w:rPr>
              <w:t>23</w:t>
            </w:r>
            <w:r>
              <w:rPr>
                <w:rFonts w:eastAsiaTheme="minorEastAsia"/>
                <w:color w:val="000000" w:themeColor="text1"/>
                <w:szCs w:val="21"/>
              </w:rPr>
              <w:t>农业银行</w:t>
            </w:r>
            <w:r>
              <w:rPr>
                <w:rFonts w:eastAsiaTheme="minorEastAsia"/>
                <w:color w:val="000000" w:themeColor="text1"/>
                <w:szCs w:val="21"/>
              </w:rPr>
              <w:t>CD197</w:t>
            </w:r>
          </w:p>
        </w:tc>
        <w:tc>
          <w:tcPr>
            <w:tcW w:w="1426" w:type="dxa"/>
            <w:vAlign w:val="center"/>
          </w:tcPr>
          <w:p w14:paraId="00F335D8" w14:textId="77777777" w:rsidR="009442E3" w:rsidRDefault="0046571D">
            <w:pPr>
              <w:jc w:val="right"/>
            </w:pPr>
            <w:r>
              <w:rPr>
                <w:rFonts w:eastAsiaTheme="minorEastAsia"/>
                <w:color w:val="000000" w:themeColor="text1"/>
                <w:szCs w:val="21"/>
              </w:rPr>
              <w:t>500,000</w:t>
            </w:r>
          </w:p>
        </w:tc>
        <w:tc>
          <w:tcPr>
            <w:tcW w:w="1646" w:type="dxa"/>
            <w:vAlign w:val="center"/>
          </w:tcPr>
          <w:p w14:paraId="0D655D37" w14:textId="77777777" w:rsidR="009442E3" w:rsidRDefault="0046571D">
            <w:pPr>
              <w:jc w:val="right"/>
            </w:pPr>
            <w:r>
              <w:rPr>
                <w:rFonts w:eastAsiaTheme="minorEastAsia"/>
                <w:color w:val="000000" w:themeColor="text1"/>
                <w:szCs w:val="21"/>
              </w:rPr>
              <w:t>49,821,362.30</w:t>
            </w:r>
          </w:p>
        </w:tc>
        <w:tc>
          <w:tcPr>
            <w:tcW w:w="1612" w:type="dxa"/>
            <w:vAlign w:val="center"/>
          </w:tcPr>
          <w:p w14:paraId="04B5ADE0" w14:textId="77777777" w:rsidR="009442E3" w:rsidRDefault="0046571D">
            <w:pPr>
              <w:jc w:val="right"/>
            </w:pPr>
            <w:r>
              <w:rPr>
                <w:rFonts w:eastAsiaTheme="minorEastAsia"/>
                <w:color w:val="000000" w:themeColor="text1"/>
                <w:szCs w:val="21"/>
              </w:rPr>
              <w:t>10.37</w:t>
            </w:r>
          </w:p>
        </w:tc>
      </w:tr>
      <w:tr w:rsidR="009442E3" w14:paraId="2077431F" w14:textId="77777777">
        <w:tc>
          <w:tcPr>
            <w:tcW w:w="1252" w:type="dxa"/>
            <w:vAlign w:val="center"/>
          </w:tcPr>
          <w:p w14:paraId="3CFB1241" w14:textId="77777777" w:rsidR="009442E3" w:rsidRDefault="0046571D">
            <w:pPr>
              <w:jc w:val="center"/>
            </w:pPr>
            <w:r>
              <w:rPr>
                <w:rFonts w:eastAsiaTheme="minorEastAsia"/>
                <w:color w:val="000000" w:themeColor="text1"/>
                <w:szCs w:val="21"/>
              </w:rPr>
              <w:t>3</w:t>
            </w:r>
          </w:p>
        </w:tc>
        <w:tc>
          <w:tcPr>
            <w:tcW w:w="1310" w:type="dxa"/>
            <w:vAlign w:val="center"/>
          </w:tcPr>
          <w:p w14:paraId="06F82414" w14:textId="77777777" w:rsidR="009442E3" w:rsidRDefault="0046571D">
            <w:pPr>
              <w:jc w:val="center"/>
            </w:pPr>
            <w:r>
              <w:rPr>
                <w:rFonts w:eastAsiaTheme="minorEastAsia"/>
                <w:color w:val="000000" w:themeColor="text1"/>
                <w:szCs w:val="21"/>
              </w:rPr>
              <w:t>112308261</w:t>
            </w:r>
          </w:p>
        </w:tc>
        <w:tc>
          <w:tcPr>
            <w:tcW w:w="1282" w:type="dxa"/>
            <w:vAlign w:val="center"/>
          </w:tcPr>
          <w:p w14:paraId="788CCC48" w14:textId="77777777" w:rsidR="009442E3" w:rsidRDefault="0046571D">
            <w:pPr>
              <w:jc w:val="center"/>
            </w:pPr>
            <w:r>
              <w:rPr>
                <w:rFonts w:eastAsiaTheme="minorEastAsia"/>
                <w:color w:val="000000" w:themeColor="text1"/>
                <w:szCs w:val="21"/>
              </w:rPr>
              <w:t>23</w:t>
            </w:r>
            <w:r>
              <w:rPr>
                <w:rFonts w:eastAsiaTheme="minorEastAsia"/>
                <w:color w:val="000000" w:themeColor="text1"/>
                <w:szCs w:val="21"/>
              </w:rPr>
              <w:t>中信银行</w:t>
            </w:r>
            <w:r>
              <w:rPr>
                <w:rFonts w:eastAsiaTheme="minorEastAsia"/>
                <w:color w:val="000000" w:themeColor="text1"/>
                <w:szCs w:val="21"/>
              </w:rPr>
              <w:t>CD261</w:t>
            </w:r>
          </w:p>
        </w:tc>
        <w:tc>
          <w:tcPr>
            <w:tcW w:w="1426" w:type="dxa"/>
            <w:vAlign w:val="center"/>
          </w:tcPr>
          <w:p w14:paraId="4C85EF20" w14:textId="77777777" w:rsidR="009442E3" w:rsidRDefault="0046571D">
            <w:pPr>
              <w:jc w:val="right"/>
            </w:pPr>
            <w:r>
              <w:rPr>
                <w:rFonts w:eastAsiaTheme="minorEastAsia"/>
                <w:color w:val="000000" w:themeColor="text1"/>
                <w:szCs w:val="21"/>
              </w:rPr>
              <w:t>500,000</w:t>
            </w:r>
          </w:p>
        </w:tc>
        <w:tc>
          <w:tcPr>
            <w:tcW w:w="1646" w:type="dxa"/>
            <w:vAlign w:val="center"/>
          </w:tcPr>
          <w:p w14:paraId="493379F6" w14:textId="77777777" w:rsidR="009442E3" w:rsidRDefault="0046571D">
            <w:pPr>
              <w:jc w:val="right"/>
            </w:pPr>
            <w:r>
              <w:rPr>
                <w:rFonts w:eastAsiaTheme="minorEastAsia"/>
                <w:color w:val="000000" w:themeColor="text1"/>
                <w:szCs w:val="21"/>
              </w:rPr>
              <w:t>49,674,662.30</w:t>
            </w:r>
          </w:p>
        </w:tc>
        <w:tc>
          <w:tcPr>
            <w:tcW w:w="1612" w:type="dxa"/>
            <w:vAlign w:val="center"/>
          </w:tcPr>
          <w:p w14:paraId="56DABC51" w14:textId="77777777" w:rsidR="009442E3" w:rsidRDefault="0046571D">
            <w:pPr>
              <w:jc w:val="right"/>
            </w:pPr>
            <w:r>
              <w:rPr>
                <w:rFonts w:eastAsiaTheme="minorEastAsia"/>
                <w:color w:val="000000" w:themeColor="text1"/>
                <w:szCs w:val="21"/>
              </w:rPr>
              <w:t>10.34</w:t>
            </w:r>
          </w:p>
        </w:tc>
      </w:tr>
      <w:tr w:rsidR="009442E3" w14:paraId="4E4FC84A" w14:textId="77777777">
        <w:tc>
          <w:tcPr>
            <w:tcW w:w="1252" w:type="dxa"/>
            <w:vAlign w:val="center"/>
          </w:tcPr>
          <w:p w14:paraId="1A56D1FB" w14:textId="77777777" w:rsidR="009442E3" w:rsidRDefault="0046571D">
            <w:pPr>
              <w:jc w:val="center"/>
            </w:pPr>
            <w:r>
              <w:rPr>
                <w:rFonts w:eastAsiaTheme="minorEastAsia"/>
                <w:color w:val="000000" w:themeColor="text1"/>
                <w:szCs w:val="21"/>
              </w:rPr>
              <w:t>4</w:t>
            </w:r>
          </w:p>
        </w:tc>
        <w:tc>
          <w:tcPr>
            <w:tcW w:w="1310" w:type="dxa"/>
            <w:vAlign w:val="center"/>
          </w:tcPr>
          <w:p w14:paraId="0FC25C3C" w14:textId="77777777" w:rsidR="009442E3" w:rsidRDefault="0046571D">
            <w:pPr>
              <w:jc w:val="center"/>
            </w:pPr>
            <w:r>
              <w:rPr>
                <w:rFonts w:eastAsiaTheme="minorEastAsia"/>
                <w:color w:val="000000" w:themeColor="text1"/>
                <w:szCs w:val="21"/>
              </w:rPr>
              <w:t>112415069</w:t>
            </w:r>
          </w:p>
        </w:tc>
        <w:tc>
          <w:tcPr>
            <w:tcW w:w="1282" w:type="dxa"/>
            <w:vAlign w:val="center"/>
          </w:tcPr>
          <w:p w14:paraId="2E59194E" w14:textId="77777777" w:rsidR="009442E3" w:rsidRDefault="0046571D">
            <w:pPr>
              <w:jc w:val="center"/>
            </w:pPr>
            <w:r>
              <w:rPr>
                <w:rFonts w:eastAsiaTheme="minorEastAsia"/>
                <w:color w:val="000000" w:themeColor="text1"/>
                <w:szCs w:val="21"/>
              </w:rPr>
              <w:t>24</w:t>
            </w:r>
            <w:r>
              <w:rPr>
                <w:rFonts w:eastAsiaTheme="minorEastAsia"/>
                <w:color w:val="000000" w:themeColor="text1"/>
                <w:szCs w:val="21"/>
              </w:rPr>
              <w:t>民生银行</w:t>
            </w:r>
            <w:r>
              <w:rPr>
                <w:rFonts w:eastAsiaTheme="minorEastAsia"/>
                <w:color w:val="000000" w:themeColor="text1"/>
                <w:szCs w:val="21"/>
              </w:rPr>
              <w:t>CD069</w:t>
            </w:r>
          </w:p>
        </w:tc>
        <w:tc>
          <w:tcPr>
            <w:tcW w:w="1426" w:type="dxa"/>
            <w:vAlign w:val="center"/>
          </w:tcPr>
          <w:p w14:paraId="2B2C7EF5" w14:textId="77777777" w:rsidR="009442E3" w:rsidRDefault="0046571D">
            <w:pPr>
              <w:jc w:val="right"/>
            </w:pPr>
            <w:r>
              <w:rPr>
                <w:rFonts w:eastAsiaTheme="minorEastAsia"/>
                <w:color w:val="000000" w:themeColor="text1"/>
                <w:szCs w:val="21"/>
              </w:rPr>
              <w:t>500,000</w:t>
            </w:r>
          </w:p>
        </w:tc>
        <w:tc>
          <w:tcPr>
            <w:tcW w:w="1646" w:type="dxa"/>
            <w:vAlign w:val="center"/>
          </w:tcPr>
          <w:p w14:paraId="650F4AA1" w14:textId="77777777" w:rsidR="009442E3" w:rsidRDefault="0046571D">
            <w:pPr>
              <w:jc w:val="right"/>
            </w:pPr>
            <w:r>
              <w:rPr>
                <w:rFonts w:eastAsiaTheme="minorEastAsia"/>
                <w:color w:val="000000" w:themeColor="text1"/>
                <w:szCs w:val="21"/>
              </w:rPr>
              <w:t>49,628,113.14</w:t>
            </w:r>
          </w:p>
        </w:tc>
        <w:tc>
          <w:tcPr>
            <w:tcW w:w="1612" w:type="dxa"/>
            <w:vAlign w:val="center"/>
          </w:tcPr>
          <w:p w14:paraId="16AEE339" w14:textId="77777777" w:rsidR="009442E3" w:rsidRDefault="0046571D">
            <w:pPr>
              <w:jc w:val="right"/>
            </w:pPr>
            <w:r>
              <w:rPr>
                <w:rFonts w:eastAsiaTheme="minorEastAsia"/>
                <w:color w:val="000000" w:themeColor="text1"/>
                <w:szCs w:val="21"/>
              </w:rPr>
              <w:t>10.33</w:t>
            </w:r>
          </w:p>
        </w:tc>
      </w:tr>
      <w:tr w:rsidR="009442E3" w14:paraId="1F0D9E70" w14:textId="77777777">
        <w:tc>
          <w:tcPr>
            <w:tcW w:w="1252" w:type="dxa"/>
            <w:vAlign w:val="center"/>
          </w:tcPr>
          <w:p w14:paraId="65C39CC4" w14:textId="77777777" w:rsidR="009442E3" w:rsidRDefault="0046571D">
            <w:pPr>
              <w:jc w:val="center"/>
            </w:pPr>
            <w:r>
              <w:rPr>
                <w:rFonts w:eastAsiaTheme="minorEastAsia"/>
                <w:color w:val="000000" w:themeColor="text1"/>
                <w:szCs w:val="21"/>
              </w:rPr>
              <w:t>5</w:t>
            </w:r>
          </w:p>
        </w:tc>
        <w:tc>
          <w:tcPr>
            <w:tcW w:w="1310" w:type="dxa"/>
            <w:vAlign w:val="center"/>
          </w:tcPr>
          <w:p w14:paraId="1C61FBE6" w14:textId="77777777" w:rsidR="009442E3" w:rsidRDefault="0046571D">
            <w:pPr>
              <w:jc w:val="center"/>
            </w:pPr>
            <w:r>
              <w:rPr>
                <w:rFonts w:eastAsiaTheme="minorEastAsia"/>
                <w:color w:val="000000" w:themeColor="text1"/>
                <w:szCs w:val="21"/>
              </w:rPr>
              <w:t>112407016</w:t>
            </w:r>
          </w:p>
        </w:tc>
        <w:tc>
          <w:tcPr>
            <w:tcW w:w="1282" w:type="dxa"/>
            <w:vAlign w:val="center"/>
          </w:tcPr>
          <w:p w14:paraId="76096138" w14:textId="77777777" w:rsidR="009442E3" w:rsidRDefault="0046571D">
            <w:pPr>
              <w:jc w:val="center"/>
            </w:pPr>
            <w:r>
              <w:rPr>
                <w:rFonts w:eastAsiaTheme="minorEastAsia"/>
                <w:color w:val="000000" w:themeColor="text1"/>
                <w:szCs w:val="21"/>
              </w:rPr>
              <w:t>24</w:t>
            </w:r>
            <w:r>
              <w:rPr>
                <w:rFonts w:eastAsiaTheme="minorEastAsia"/>
                <w:color w:val="000000" w:themeColor="text1"/>
                <w:szCs w:val="21"/>
              </w:rPr>
              <w:t>招商银行</w:t>
            </w:r>
            <w:r>
              <w:rPr>
                <w:rFonts w:eastAsiaTheme="minorEastAsia"/>
                <w:color w:val="000000" w:themeColor="text1"/>
                <w:szCs w:val="21"/>
              </w:rPr>
              <w:t>CD016</w:t>
            </w:r>
          </w:p>
        </w:tc>
        <w:tc>
          <w:tcPr>
            <w:tcW w:w="1426" w:type="dxa"/>
            <w:vAlign w:val="center"/>
          </w:tcPr>
          <w:p w14:paraId="60E3AA29" w14:textId="77777777" w:rsidR="009442E3" w:rsidRDefault="0046571D">
            <w:pPr>
              <w:jc w:val="right"/>
            </w:pPr>
            <w:r>
              <w:rPr>
                <w:rFonts w:eastAsiaTheme="minorEastAsia"/>
                <w:color w:val="000000" w:themeColor="text1"/>
                <w:szCs w:val="21"/>
              </w:rPr>
              <w:t>500,000</w:t>
            </w:r>
          </w:p>
        </w:tc>
        <w:tc>
          <w:tcPr>
            <w:tcW w:w="1646" w:type="dxa"/>
            <w:vAlign w:val="center"/>
          </w:tcPr>
          <w:p w14:paraId="1903DAD0" w14:textId="77777777" w:rsidR="009442E3" w:rsidRDefault="0046571D">
            <w:pPr>
              <w:jc w:val="right"/>
            </w:pPr>
            <w:r>
              <w:rPr>
                <w:rFonts w:eastAsiaTheme="minorEastAsia"/>
                <w:color w:val="000000" w:themeColor="text1"/>
                <w:szCs w:val="21"/>
              </w:rPr>
              <w:t>49,585,542.55</w:t>
            </w:r>
          </w:p>
        </w:tc>
        <w:tc>
          <w:tcPr>
            <w:tcW w:w="1612" w:type="dxa"/>
            <w:vAlign w:val="center"/>
          </w:tcPr>
          <w:p w14:paraId="43EE10F7" w14:textId="77777777" w:rsidR="009442E3" w:rsidRDefault="0046571D">
            <w:pPr>
              <w:jc w:val="right"/>
            </w:pPr>
            <w:r>
              <w:rPr>
                <w:rFonts w:eastAsiaTheme="minorEastAsia"/>
                <w:color w:val="000000" w:themeColor="text1"/>
                <w:szCs w:val="21"/>
              </w:rPr>
              <w:t>10.32</w:t>
            </w:r>
          </w:p>
        </w:tc>
      </w:tr>
    </w:tbl>
    <w:p w14:paraId="6883E5D5"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715109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14:paraId="6E2A667E"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14:paraId="6BAAD05B"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3081225" w14:textId="77777777"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14:paraId="37ACDC40" w14:textId="77777777"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14:paraId="7D8A4FAC"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E1F842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14:paraId="5A1E949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14:paraId="6236D0A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BEE6250"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14:paraId="333E8F40"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14:paraId="020A4B38" w14:textId="77777777" w:rsidR="00881A82" w:rsidRPr="00473486" w:rsidRDefault="00881A82">
      <w:pPr>
        <w:adjustRightInd w:val="0"/>
        <w:snapToGrid w:val="0"/>
        <w:spacing w:line="360" w:lineRule="exact"/>
        <w:rPr>
          <w:rFonts w:eastAsiaTheme="minorEastAsia"/>
          <w:color w:val="000000" w:themeColor="text1"/>
          <w:sz w:val="24"/>
        </w:rPr>
      </w:pPr>
    </w:p>
    <w:p w14:paraId="5FF442F6"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14:paraId="38B9CA3C"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14:paraId="4A903BB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14:paraId="1A507045"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中，招商银行股份有限公司在报告编制日前一年内曾受到国家金融监督管理总局、国家金融监督管理总局深圳监管局、国家外汇管理局深圳市分局的处罚。中国民生银行股份有限公司在报告编制日前一年内曾受到国家金融监督管理总局的处罚。平安银行股份有限公司在报告编制日前一年内曾受到国家金融监督管理总局、国家金融监督管理总局深圳监管局、央行的处罚。中国光大银行股份有限公司在报告编制日前一年内曾受到国家金融监督管理总局的处罚。中国农业银行股份有限公司在报告编制日前一年内曾受到国家外汇管理局北京市分局、国家金融监督管理总局的处罚。中信银行股份有限公司在报告编制日前一年内曾受到国家金融监督管理总局的处罚。交通银行股份有限公司在报告编制日前一年内曾受到国家金融监督管理总局的处罚。本基金对上述主体所发行证券的投资决策程序符合相关法律法规、基金合同及公司投资制度的要求。</w:t>
      </w:r>
    </w:p>
    <w:p w14:paraId="1AEFB9CC" w14:textId="77777777" w:rsidR="009442E3" w:rsidRDefault="0046571D">
      <w:pPr>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14:paraId="79B77975"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14:paraId="0EBB801B"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14:paraId="7780FE8D" w14:textId="77777777">
        <w:trPr>
          <w:trHeight w:val="567"/>
        </w:trPr>
        <w:tc>
          <w:tcPr>
            <w:tcW w:w="944" w:type="dxa"/>
            <w:vAlign w:val="center"/>
          </w:tcPr>
          <w:p w14:paraId="4A2E565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14:paraId="6EB3FD5B"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14:paraId="0A0B8885"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14:paraId="603FC914" w14:textId="77777777">
        <w:trPr>
          <w:trHeight w:val="567"/>
        </w:trPr>
        <w:tc>
          <w:tcPr>
            <w:tcW w:w="944" w:type="dxa"/>
            <w:vAlign w:val="center"/>
          </w:tcPr>
          <w:p w14:paraId="2AB255D2"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14:paraId="169310AA"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14:paraId="22F3062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2C998F92" w14:textId="77777777">
        <w:trPr>
          <w:trHeight w:val="567"/>
        </w:trPr>
        <w:tc>
          <w:tcPr>
            <w:tcW w:w="944" w:type="dxa"/>
            <w:vAlign w:val="center"/>
          </w:tcPr>
          <w:p w14:paraId="0A11E5FA"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14:paraId="6BB055E6"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14:paraId="66DC4D9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68215648" w14:textId="77777777">
        <w:trPr>
          <w:trHeight w:val="567"/>
        </w:trPr>
        <w:tc>
          <w:tcPr>
            <w:tcW w:w="944" w:type="dxa"/>
            <w:vAlign w:val="center"/>
          </w:tcPr>
          <w:p w14:paraId="1A25953B"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14:paraId="2EDAACF6"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14:paraId="162A1982"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220AA42B" w14:textId="77777777">
        <w:trPr>
          <w:trHeight w:val="567"/>
        </w:trPr>
        <w:tc>
          <w:tcPr>
            <w:tcW w:w="944" w:type="dxa"/>
            <w:vAlign w:val="center"/>
          </w:tcPr>
          <w:p w14:paraId="61F801FD"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14:paraId="02712E17"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14:paraId="4B01E06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602D04BD" w14:textId="77777777">
        <w:trPr>
          <w:trHeight w:val="567"/>
        </w:trPr>
        <w:tc>
          <w:tcPr>
            <w:tcW w:w="944" w:type="dxa"/>
            <w:vAlign w:val="center"/>
          </w:tcPr>
          <w:p w14:paraId="0D48BA73"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14:paraId="3A25836D"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14:paraId="4C2FC889"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1,119,830.00</w:t>
            </w:r>
          </w:p>
        </w:tc>
      </w:tr>
      <w:tr w:rsidR="00881A82" w:rsidRPr="00473486" w14:paraId="36A03C13" w14:textId="77777777">
        <w:trPr>
          <w:trHeight w:val="567"/>
        </w:trPr>
        <w:tc>
          <w:tcPr>
            <w:tcW w:w="944" w:type="dxa"/>
            <w:vAlign w:val="center"/>
          </w:tcPr>
          <w:p w14:paraId="3A1B9FC0"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14:paraId="50CC6177"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14:paraId="4BC3EE78"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761F16AC" w14:textId="77777777">
        <w:trPr>
          <w:trHeight w:val="567"/>
        </w:trPr>
        <w:tc>
          <w:tcPr>
            <w:tcW w:w="944" w:type="dxa"/>
          </w:tcPr>
          <w:p w14:paraId="3C2D6D82"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lastRenderedPageBreak/>
              <w:t>7</w:t>
            </w:r>
          </w:p>
        </w:tc>
        <w:tc>
          <w:tcPr>
            <w:tcW w:w="2761" w:type="dxa"/>
          </w:tcPr>
          <w:p w14:paraId="35CEEE71"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14:paraId="5E9E3333"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EF94292" w14:textId="77777777">
        <w:trPr>
          <w:trHeight w:val="567"/>
        </w:trPr>
        <w:tc>
          <w:tcPr>
            <w:tcW w:w="944" w:type="dxa"/>
            <w:vAlign w:val="center"/>
          </w:tcPr>
          <w:p w14:paraId="21B5BAF3"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14:paraId="53D1B67F"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14:paraId="2F530526"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1AAA8FFF" w14:textId="77777777">
        <w:trPr>
          <w:trHeight w:val="567"/>
        </w:trPr>
        <w:tc>
          <w:tcPr>
            <w:tcW w:w="944" w:type="dxa"/>
            <w:vAlign w:val="center"/>
          </w:tcPr>
          <w:p w14:paraId="5B7BA49E"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14:paraId="3167297A"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14:paraId="5DAEEC42"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1,119,830.00</w:t>
            </w:r>
          </w:p>
        </w:tc>
      </w:tr>
    </w:tbl>
    <w:p w14:paraId="1C62F252"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14:paraId="1AF6EE9C"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14:paraId="0E2CA0B4"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14:paraId="611DDE8C"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14:paraId="51EF93CC"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14:paraId="6F05EB5F"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14:paraId="51239BCA"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14:paraId="5E1C6D05" w14:textId="77777777" w:rsidR="00881A82" w:rsidRPr="00473486" w:rsidRDefault="00881A82">
      <w:pPr>
        <w:spacing w:line="360" w:lineRule="auto"/>
        <w:rPr>
          <w:rFonts w:eastAsiaTheme="minorEastAsia"/>
          <w:bCs/>
          <w:color w:val="000000" w:themeColor="text1"/>
          <w:szCs w:val="21"/>
        </w:rPr>
      </w:pPr>
    </w:p>
    <w:p w14:paraId="038F5474"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14:paraId="2CA78E61"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14:paraId="330DE778" w14:textId="77777777" w:rsidR="00881A82" w:rsidRPr="00473486" w:rsidRDefault="00881A82">
      <w:pPr>
        <w:spacing w:line="360" w:lineRule="auto"/>
        <w:ind w:firstLineChars="200" w:firstLine="420"/>
        <w:rPr>
          <w:rFonts w:eastAsiaTheme="minorEastAsia"/>
          <w:color w:val="000000" w:themeColor="text1"/>
          <w:szCs w:val="21"/>
        </w:rPr>
      </w:pPr>
    </w:p>
    <w:p w14:paraId="3775C454"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14:paraId="3BF9AD46"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14:paraId="4DEED182"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74791956"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4CE004F"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1,790,270,471.90</w:t>
            </w:r>
          </w:p>
        </w:tc>
      </w:tr>
      <w:tr w:rsidR="00881A82" w:rsidRPr="00473486" w14:paraId="7AAA5782"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5DE836E6"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08F0B1E"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188,412,695.48</w:t>
            </w:r>
          </w:p>
        </w:tc>
      </w:tr>
      <w:tr w:rsidR="00881A82" w:rsidRPr="00473486" w14:paraId="72F189A0"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73EC1FB8"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489BBAC"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1,503,813,268.40</w:t>
            </w:r>
          </w:p>
        </w:tc>
      </w:tr>
      <w:tr w:rsidR="00881A82" w:rsidRPr="00473486" w14:paraId="57A4D08D"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3739BEA7"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D53EC80"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7151A5A"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8E19A32"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1E55C5D"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474,869,898.98</w:t>
            </w:r>
          </w:p>
        </w:tc>
      </w:tr>
    </w:tbl>
    <w:p w14:paraId="0FA0BBE0" w14:textId="77777777"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14:paraId="2454374D"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14:paraId="4DDA3DE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48863C02"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0B8F82F"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14:paraId="33160CA6"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lastRenderedPageBreak/>
        <w:t>无。</w:t>
      </w:r>
    </w:p>
    <w:p w14:paraId="6FF01385"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§8</w:t>
      </w:r>
      <w:r w:rsidRPr="00473486">
        <w:rPr>
          <w:rFonts w:eastAsiaTheme="minorEastAsia"/>
          <w:color w:val="000000" w:themeColor="text1"/>
          <w:kern w:val="0"/>
          <w:sz w:val="24"/>
          <w:szCs w:val="24"/>
        </w:rPr>
        <w:t>备查文件目录</w:t>
      </w:r>
    </w:p>
    <w:p w14:paraId="6829BFA3"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8.1 </w:t>
      </w:r>
      <w:r w:rsidRPr="00473486">
        <w:rPr>
          <w:rFonts w:eastAsiaTheme="minorEastAsia"/>
          <w:b/>
          <w:color w:val="000000" w:themeColor="text1"/>
          <w:sz w:val="24"/>
        </w:rPr>
        <w:t>备查文件目录</w:t>
      </w:r>
    </w:p>
    <w:p w14:paraId="24A9C6D4"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天持有期证券投资基金募集注册的文件</w:t>
      </w:r>
    </w:p>
    <w:p w14:paraId="203D7B19"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天持有期证券投资基金基金合同</w:t>
      </w:r>
    </w:p>
    <w:p w14:paraId="71A83DE1"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天持有期证券投资基金托管协议</w:t>
      </w:r>
    </w:p>
    <w:p w14:paraId="5E5ACBBC"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5C46D3D2"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2439080A"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3AF63EED" w14:textId="77777777" w:rsidR="009442E3" w:rsidRDefault="0046571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13D8D507"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14:paraId="00713999" w14:textId="77777777" w:rsidR="00881A82" w:rsidRPr="00473486" w:rsidRDefault="00881A82">
      <w:pPr>
        <w:spacing w:line="360" w:lineRule="auto"/>
        <w:ind w:firstLineChars="200" w:firstLine="480"/>
        <w:rPr>
          <w:rFonts w:eastAsiaTheme="minorEastAsia"/>
          <w:color w:val="000000" w:themeColor="text1"/>
          <w:sz w:val="24"/>
        </w:rPr>
      </w:pPr>
    </w:p>
    <w:p w14:paraId="12BB6413"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8.2 </w:t>
      </w:r>
      <w:r w:rsidRPr="00473486">
        <w:rPr>
          <w:rFonts w:eastAsiaTheme="minorEastAsia"/>
          <w:b/>
          <w:color w:val="000000" w:themeColor="text1"/>
          <w:sz w:val="24"/>
        </w:rPr>
        <w:t>存放地点</w:t>
      </w:r>
    </w:p>
    <w:p w14:paraId="39FAD6F0"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14:paraId="671496B4" w14:textId="77777777" w:rsidR="00881A82" w:rsidRPr="00473486" w:rsidRDefault="00881A82">
      <w:pPr>
        <w:spacing w:line="360" w:lineRule="auto"/>
        <w:ind w:firstLineChars="200" w:firstLine="480"/>
        <w:rPr>
          <w:rFonts w:eastAsiaTheme="minorEastAsia"/>
          <w:color w:val="000000" w:themeColor="text1"/>
          <w:sz w:val="24"/>
        </w:rPr>
      </w:pPr>
    </w:p>
    <w:p w14:paraId="1BE673ED"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8.3 </w:t>
      </w:r>
      <w:r w:rsidRPr="00473486">
        <w:rPr>
          <w:rFonts w:eastAsiaTheme="minorEastAsia"/>
          <w:b/>
          <w:color w:val="000000" w:themeColor="text1"/>
          <w:sz w:val="24"/>
        </w:rPr>
        <w:t>查阅方式</w:t>
      </w:r>
    </w:p>
    <w:p w14:paraId="72F9FA3A"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14:paraId="7B016692" w14:textId="77777777" w:rsidR="00881A82" w:rsidRPr="00473486" w:rsidRDefault="00881A82">
      <w:pPr>
        <w:spacing w:line="360" w:lineRule="auto"/>
        <w:ind w:left="840"/>
        <w:jc w:val="right"/>
        <w:rPr>
          <w:rFonts w:eastAsiaTheme="minorEastAsia"/>
          <w:color w:val="000000" w:themeColor="text1"/>
          <w:sz w:val="24"/>
        </w:rPr>
      </w:pPr>
    </w:p>
    <w:p w14:paraId="7FC8F7A1" w14:textId="77777777" w:rsidR="00881A82" w:rsidRPr="00473486" w:rsidRDefault="00881A82">
      <w:pPr>
        <w:spacing w:line="360" w:lineRule="auto"/>
        <w:ind w:left="840"/>
        <w:jc w:val="right"/>
        <w:rPr>
          <w:rFonts w:eastAsiaTheme="minorEastAsia"/>
          <w:color w:val="000000" w:themeColor="text1"/>
          <w:sz w:val="24"/>
        </w:rPr>
      </w:pPr>
    </w:p>
    <w:p w14:paraId="5BD0E0C9" w14:textId="77777777" w:rsidR="00881A82" w:rsidRPr="00473486" w:rsidRDefault="00881A82">
      <w:pPr>
        <w:spacing w:line="360" w:lineRule="auto"/>
        <w:ind w:left="840"/>
        <w:jc w:val="right"/>
        <w:rPr>
          <w:rFonts w:eastAsiaTheme="minorEastAsia"/>
          <w:color w:val="000000" w:themeColor="text1"/>
          <w:sz w:val="24"/>
        </w:rPr>
      </w:pPr>
    </w:p>
    <w:p w14:paraId="774C5E40" w14:textId="77777777" w:rsidR="00881A82" w:rsidRPr="00473486" w:rsidRDefault="00881A82">
      <w:pPr>
        <w:spacing w:line="360" w:lineRule="auto"/>
        <w:ind w:left="840"/>
        <w:jc w:val="right"/>
        <w:rPr>
          <w:rFonts w:eastAsiaTheme="minorEastAsia"/>
          <w:color w:val="000000" w:themeColor="text1"/>
          <w:sz w:val="24"/>
        </w:rPr>
      </w:pPr>
    </w:p>
    <w:p w14:paraId="47C8B848" w14:textId="77777777" w:rsidR="00881A82" w:rsidRPr="00473486" w:rsidRDefault="00881A82">
      <w:pPr>
        <w:spacing w:line="360" w:lineRule="auto"/>
        <w:ind w:left="840"/>
        <w:jc w:val="right"/>
        <w:rPr>
          <w:rFonts w:eastAsiaTheme="minorEastAsia"/>
          <w:color w:val="000000" w:themeColor="text1"/>
          <w:sz w:val="24"/>
        </w:rPr>
      </w:pPr>
    </w:p>
    <w:p w14:paraId="7A5285E2"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14:paraId="4AE7263D"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二〇二四年七月十九日</w:t>
      </w:r>
    </w:p>
    <w:p w14:paraId="20B2C4CF" w14:textId="77777777"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10DE" w14:textId="77777777" w:rsidR="007F3EDF" w:rsidRDefault="007F3EDF">
      <w:r>
        <w:separator/>
      </w:r>
    </w:p>
  </w:endnote>
  <w:endnote w:type="continuationSeparator" w:id="0">
    <w:p w14:paraId="0E688CCD" w14:textId="77777777"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920E" w14:textId="77777777"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6571D">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46571D">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4A91"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EE37026" w14:textId="77777777"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E5CE"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46571D">
      <w:rPr>
        <w:rStyle w:val="af5"/>
        <w:noProof/>
      </w:rPr>
      <w:t>2</w:t>
    </w:r>
    <w:r>
      <w:rPr>
        <w:rStyle w:val="af5"/>
      </w:rPr>
      <w:fldChar w:fldCharType="end"/>
    </w:r>
  </w:p>
  <w:p w14:paraId="6BAB0AF1" w14:textId="77777777"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D2423" w14:textId="77777777" w:rsidR="007F3EDF" w:rsidRDefault="007F3EDF">
      <w:r>
        <w:separator/>
      </w:r>
    </w:p>
  </w:footnote>
  <w:footnote w:type="continuationSeparator" w:id="0">
    <w:p w14:paraId="7259B9FC" w14:textId="77777777"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F877" w14:textId="77777777" w:rsidR="00881A82" w:rsidRDefault="007D1E3A">
    <w:pPr>
      <w:pStyle w:val="af"/>
      <w:pBdr>
        <w:bottom w:val="single" w:sz="6" w:space="0" w:color="auto"/>
      </w:pBdr>
      <w:jc w:val="right"/>
    </w:pPr>
    <w:r>
      <w:t>摩根中证同业存单</w:t>
    </w:r>
    <w:r>
      <w:t>AAA</w:t>
    </w:r>
    <w:r>
      <w:t>指数</w:t>
    </w:r>
    <w:r>
      <w:t>7</w:t>
    </w:r>
    <w:r>
      <w:t>天持有期证券投资基金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571D"/>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A05"/>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42E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840B8D"/>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1098</Words>
  <Characters>6259</Characters>
  <Application>Microsoft Office Word</Application>
  <DocSecurity>0</DocSecurity>
  <Lines>52</Lines>
  <Paragraphs>14</Paragraphs>
  <ScaleCrop>false</ScaleCrop>
  <Company>TRT. Ltd. Co.</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159</cp:revision>
  <cp:lastPrinted>2007-07-19T00:46:00Z</cp:lastPrinted>
  <dcterms:created xsi:type="dcterms:W3CDTF">2012-11-21T04:46:00Z</dcterms:created>
  <dcterms:modified xsi:type="dcterms:W3CDTF">2024-07-18T06:24:00Z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