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2DD459" w14:textId="77777777" w:rsidR="00A51E0B" w:rsidRDefault="00A51E0B">
      <w:pPr>
        <w:spacing w:line="360" w:lineRule="auto"/>
        <w:rPr>
          <w:rFonts w:ascii="宋体" w:hAnsi="宋体" w:hint="eastAsia"/>
          <w:sz w:val="48"/>
        </w:rPr>
      </w:pPr>
      <w:r>
        <w:rPr>
          <w:rFonts w:ascii="宋体" w:hAnsi="宋体" w:hint="eastAsia"/>
          <w:sz w:val="48"/>
        </w:rPr>
        <w:t xml:space="preserve">　 </w:t>
      </w:r>
    </w:p>
    <w:p w14:paraId="22382C15" w14:textId="77777777" w:rsidR="00A51E0B" w:rsidRDefault="00A51E0B">
      <w:pPr>
        <w:spacing w:line="360" w:lineRule="auto"/>
        <w:rPr>
          <w:rFonts w:ascii="宋体" w:hAnsi="宋体" w:hint="eastAsia"/>
          <w:sz w:val="48"/>
        </w:rPr>
      </w:pPr>
      <w:r>
        <w:rPr>
          <w:rFonts w:ascii="宋体" w:hAnsi="宋体" w:hint="eastAsia"/>
          <w:sz w:val="48"/>
        </w:rPr>
        <w:t xml:space="preserve">　 </w:t>
      </w:r>
    </w:p>
    <w:p w14:paraId="5FFFDB9F" w14:textId="77777777" w:rsidR="00A51E0B" w:rsidRDefault="00A51E0B">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摩根中证同业存单AAA指数7天持有期证券投资基金</w:t>
      </w:r>
      <w:r>
        <w:rPr>
          <w:rFonts w:ascii="宋体" w:hAnsi="宋体" w:hint="eastAsia"/>
          <w:b/>
          <w:bCs/>
          <w:color w:val="000000" w:themeColor="text1"/>
          <w:sz w:val="48"/>
          <w:szCs w:val="30"/>
        </w:rPr>
        <w:br/>
        <w:t>2025年第4季度报告</w:t>
      </w:r>
    </w:p>
    <w:p w14:paraId="7599533A"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161ACA90" w14:textId="77777777" w:rsidR="00A51E0B" w:rsidRDefault="00A51E0B">
      <w:pPr>
        <w:spacing w:line="360" w:lineRule="auto"/>
        <w:jc w:val="center"/>
      </w:pPr>
      <w:r>
        <w:rPr>
          <w:rFonts w:ascii="宋体" w:hAnsi="宋体" w:hint="eastAsia"/>
          <w:b/>
          <w:bCs/>
          <w:sz w:val="28"/>
          <w:szCs w:val="30"/>
        </w:rPr>
        <w:t>2025年12月31日</w:t>
      </w:r>
    </w:p>
    <w:p w14:paraId="1CD9BEC5"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687857D7"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6BCECFDC"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78091551" w14:textId="77777777" w:rsidR="00A51E0B" w:rsidRDefault="00A51E0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F83C1EF"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4CB3AAE4"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23AFC818"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299BFD56"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6052A40E"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5D6CA8CB"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2C944951" w14:textId="77777777" w:rsidR="00A51E0B" w:rsidRDefault="00A51E0B">
      <w:pPr>
        <w:spacing w:line="360" w:lineRule="auto"/>
        <w:jc w:val="center"/>
        <w:rPr>
          <w:rFonts w:ascii="宋体" w:hAnsi="宋体" w:hint="eastAsia"/>
          <w:sz w:val="28"/>
          <w:szCs w:val="30"/>
        </w:rPr>
      </w:pPr>
      <w:r>
        <w:rPr>
          <w:rFonts w:ascii="宋体" w:hAnsi="宋体" w:hint="eastAsia"/>
          <w:sz w:val="28"/>
          <w:szCs w:val="30"/>
        </w:rPr>
        <w:t xml:space="preserve">　 </w:t>
      </w:r>
    </w:p>
    <w:p w14:paraId="4FCD6C89" w14:textId="77777777" w:rsidR="00A51E0B" w:rsidRDefault="00A51E0B">
      <w:pPr>
        <w:spacing w:line="360" w:lineRule="auto"/>
        <w:ind w:firstLineChars="800" w:firstLine="2249"/>
        <w:jc w:val="left"/>
      </w:pPr>
      <w:r>
        <w:rPr>
          <w:rFonts w:ascii="宋体" w:hAnsi="宋体" w:hint="eastAsia"/>
          <w:b/>
          <w:bCs/>
          <w:sz w:val="28"/>
          <w:szCs w:val="30"/>
        </w:rPr>
        <w:t>基金管理人：摩根基金管理（中国）有限公司</w:t>
      </w:r>
    </w:p>
    <w:p w14:paraId="16C9A1E2" w14:textId="77777777" w:rsidR="00A51E0B" w:rsidRDefault="00A51E0B">
      <w:pPr>
        <w:spacing w:line="360" w:lineRule="auto"/>
        <w:ind w:firstLineChars="800" w:firstLine="2249"/>
        <w:jc w:val="left"/>
      </w:pPr>
      <w:r>
        <w:rPr>
          <w:rFonts w:ascii="宋体" w:hAnsi="宋体" w:hint="eastAsia"/>
          <w:b/>
          <w:bCs/>
          <w:sz w:val="28"/>
          <w:szCs w:val="30"/>
        </w:rPr>
        <w:t>基金托管人：交通银行股份有限公司</w:t>
      </w:r>
    </w:p>
    <w:p w14:paraId="505413F9" w14:textId="77777777" w:rsidR="00A51E0B" w:rsidRDefault="00A51E0B">
      <w:pPr>
        <w:spacing w:line="360" w:lineRule="auto"/>
        <w:ind w:firstLineChars="800" w:firstLine="2249"/>
        <w:jc w:val="left"/>
      </w:pPr>
      <w:r>
        <w:rPr>
          <w:rFonts w:ascii="宋体" w:hAnsi="宋体" w:hint="eastAsia"/>
          <w:b/>
          <w:bCs/>
          <w:sz w:val="28"/>
          <w:szCs w:val="30"/>
        </w:rPr>
        <w:t>报告送出日期：2026年1月22日</w:t>
      </w:r>
    </w:p>
    <w:p w14:paraId="448F0C20" w14:textId="77777777" w:rsidR="00A51E0B" w:rsidRDefault="00A51E0B">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3ED10B35" w14:textId="77777777" w:rsidR="00A51E0B" w:rsidRDefault="00A51E0B">
      <w:pPr>
        <w:spacing w:line="360" w:lineRule="auto"/>
        <w:ind w:firstLineChars="200" w:firstLine="420"/>
        <w:divId w:val="448356277"/>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4A7B316" w14:textId="77777777" w:rsidR="00A51E0B" w:rsidRDefault="00A51E0B">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043967" w14:paraId="709D9FB0" w14:textId="77777777">
        <w:trPr>
          <w:divId w:val="123929044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5418" w14:textId="77777777" w:rsidR="00A51E0B" w:rsidRDefault="00A51E0B">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F3CF55C" w14:textId="77777777" w:rsidR="00A51E0B" w:rsidRDefault="00A51E0B">
            <w:pPr>
              <w:widowControl/>
              <w:spacing w:line="315" w:lineRule="atLeast"/>
              <w:jc w:val="left"/>
            </w:pPr>
            <w:r>
              <w:rPr>
                <w:rFonts w:asciiTheme="minorEastAsia" w:eastAsiaTheme="minorEastAsia" w:hAnsiTheme="minorEastAsia" w:hint="eastAsia"/>
              </w:rPr>
              <w:t>摩根中证同业存单AAA指数7天持有期</w:t>
            </w:r>
          </w:p>
        </w:tc>
      </w:tr>
      <w:tr w:rsidR="00043967" w14:paraId="6FA28C68"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0417E6" w14:textId="77777777" w:rsidR="00A51E0B" w:rsidRDefault="00A51E0B">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A15C139" w14:textId="77777777" w:rsidR="00A51E0B" w:rsidRDefault="00A51E0B">
            <w:pPr>
              <w:widowControl/>
              <w:spacing w:line="315" w:lineRule="atLeast"/>
              <w:jc w:val="left"/>
            </w:pPr>
            <w:r>
              <w:rPr>
                <w:rFonts w:asciiTheme="minorEastAsia" w:eastAsiaTheme="minorEastAsia" w:hAnsiTheme="minorEastAsia" w:hint="eastAsia"/>
              </w:rPr>
              <w:t>019683</w:t>
            </w:r>
          </w:p>
        </w:tc>
      </w:tr>
      <w:tr w:rsidR="00043967" w14:paraId="2E2F709C"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9F176C7" w14:textId="77777777" w:rsidR="00A51E0B" w:rsidRDefault="00A51E0B">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669A04" w14:textId="77777777" w:rsidR="00A51E0B" w:rsidRDefault="00A51E0B">
            <w:pPr>
              <w:widowControl/>
              <w:spacing w:line="315" w:lineRule="atLeast"/>
              <w:jc w:val="left"/>
            </w:pPr>
            <w:r>
              <w:rPr>
                <w:rFonts w:asciiTheme="minorEastAsia" w:eastAsiaTheme="minorEastAsia" w:hAnsiTheme="minorEastAsia" w:hint="eastAsia"/>
              </w:rPr>
              <w:t>契约型开放式</w:t>
            </w:r>
          </w:p>
        </w:tc>
      </w:tr>
      <w:tr w:rsidR="00043967" w14:paraId="37111CAF"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CFFCC63" w14:textId="77777777" w:rsidR="00A51E0B" w:rsidRDefault="00A51E0B">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C50E941" w14:textId="77777777" w:rsidR="00A51E0B" w:rsidRDefault="00A51E0B">
            <w:pPr>
              <w:widowControl/>
              <w:spacing w:line="315" w:lineRule="atLeast"/>
              <w:jc w:val="left"/>
            </w:pPr>
            <w:r>
              <w:rPr>
                <w:rFonts w:asciiTheme="minorEastAsia" w:eastAsiaTheme="minorEastAsia" w:hAnsiTheme="minorEastAsia" w:hint="eastAsia"/>
              </w:rPr>
              <w:t>2023年12月18日</w:t>
            </w:r>
          </w:p>
        </w:tc>
      </w:tr>
      <w:tr w:rsidR="00043967" w14:paraId="2DF533E5" w14:textId="77777777">
        <w:trPr>
          <w:divId w:val="123929044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8636A6" w14:textId="77777777" w:rsidR="00A51E0B" w:rsidRDefault="00A51E0B">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EB4651" w14:textId="77777777" w:rsidR="00A51E0B" w:rsidRDefault="00A51E0B">
            <w:pPr>
              <w:widowControl/>
              <w:spacing w:line="315" w:lineRule="atLeast"/>
              <w:jc w:val="left"/>
            </w:pPr>
            <w:r>
              <w:rPr>
                <w:rFonts w:asciiTheme="minorEastAsia" w:eastAsiaTheme="minorEastAsia" w:hAnsiTheme="minorEastAsia" w:hint="eastAsia"/>
              </w:rPr>
              <w:t xml:space="preserve">109,546,238.04份 </w:t>
            </w:r>
          </w:p>
        </w:tc>
      </w:tr>
      <w:tr w:rsidR="00043967" w14:paraId="0B85EE16" w14:textId="77777777">
        <w:trPr>
          <w:divId w:val="123929044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D4A0F3" w14:textId="77777777" w:rsidR="00A51E0B" w:rsidRDefault="00A51E0B">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22F4C11" w14:textId="77777777" w:rsidR="00A51E0B" w:rsidRDefault="00A51E0B">
            <w:pPr>
              <w:widowControl/>
              <w:spacing w:line="315" w:lineRule="atLeast"/>
              <w:jc w:val="left"/>
            </w:pPr>
            <w:r>
              <w:rPr>
                <w:rFonts w:asciiTheme="minorEastAsia" w:eastAsiaTheme="minorEastAsia" w:hAnsiTheme="minorEastAsia" w:hint="eastAsia"/>
              </w:rPr>
              <w:t>本基金通过指数化投资，争取在扣除各项费用之前获得与标的指数相似的总回报，追求跟踪偏离度及跟踪误差的最小化。</w:t>
            </w:r>
          </w:p>
        </w:tc>
      </w:tr>
      <w:tr w:rsidR="00043967" w14:paraId="2D5F0FBE" w14:textId="77777777">
        <w:trPr>
          <w:divId w:val="123929044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0B8787" w14:textId="77777777" w:rsidR="00A51E0B" w:rsidRDefault="00A51E0B">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15B0F19" w14:textId="77777777" w:rsidR="00A51E0B" w:rsidRDefault="00A51E0B">
            <w:pPr>
              <w:widowControl/>
              <w:spacing w:line="315" w:lineRule="atLeast"/>
              <w:jc w:val="left"/>
            </w:pPr>
            <w:r>
              <w:rPr>
                <w:rFonts w:asciiTheme="minorEastAsia" w:eastAsiaTheme="minorEastAsia" w:hAnsiTheme="minorEastAsia" w:hint="eastAsia"/>
              </w:rPr>
              <w:t>(</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)资产配置策略</w:t>
            </w:r>
            <w:r>
              <w:rPr>
                <w:rFonts w:asciiTheme="minorEastAsia" w:eastAsiaTheme="minorEastAsia" w:hAnsiTheme="minorEastAsia" w:hint="eastAsia"/>
              </w:rPr>
              <w:br/>
              <w:t>本基金将在降低跟踪误差和控制流动性风险的前提下</w:t>
            </w:r>
            <w:proofErr w:type="gramStart"/>
            <w:r>
              <w:rPr>
                <w:rFonts w:asciiTheme="minorEastAsia" w:eastAsiaTheme="minorEastAsia" w:hAnsiTheme="minorEastAsia" w:hint="eastAsia"/>
              </w:rPr>
              <w:t>构建指数</w:t>
            </w:r>
            <w:proofErr w:type="gramEnd"/>
            <w:r>
              <w:rPr>
                <w:rFonts w:asciiTheme="minorEastAsia" w:eastAsiaTheme="minorEastAsia" w:hAnsiTheme="minorEastAsia" w:hint="eastAsia"/>
              </w:rPr>
              <w:t>化的投资组合。本基金投资于同业存单的比例不低于基金资产的80%，投资于标的指数成份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的比例不低于非现金基金资产的80%。</w:t>
            </w:r>
            <w:r>
              <w:rPr>
                <w:rFonts w:asciiTheme="minorEastAsia" w:eastAsiaTheme="minorEastAsia" w:hAnsiTheme="minorEastAsia" w:hint="eastAsia"/>
              </w:rPr>
              <w:br/>
              <w:t>(二)抽样复制策略</w:t>
            </w:r>
            <w:r>
              <w:rPr>
                <w:rFonts w:asciiTheme="minorEastAsia" w:eastAsiaTheme="minorEastAsia" w:hAnsiTheme="minorEastAsia" w:hint="eastAsia"/>
              </w:rPr>
              <w:br/>
              <w:t>本基金按待偿期将可投资同业存单进行分层，综合考虑同业存单发行人的信用资质、存单流动性及可获得性，在每个分层中选取一定数量</w:t>
            </w:r>
            <w:proofErr w:type="gramStart"/>
            <w:r>
              <w:rPr>
                <w:rFonts w:asciiTheme="minorEastAsia" w:eastAsiaTheme="minorEastAsia" w:hAnsiTheme="minorEastAsia" w:hint="eastAsia"/>
              </w:rPr>
              <w:t>个券</w:t>
            </w:r>
            <w:proofErr w:type="gramEnd"/>
            <w:r>
              <w:rPr>
                <w:rFonts w:asciiTheme="minorEastAsia" w:eastAsiaTheme="minorEastAsia" w:hAnsiTheme="minorEastAsia" w:hint="eastAsia"/>
              </w:rPr>
              <w:t>，分配权重，使得组合每个分层的权重占比与指数保持一致。本基金将定期对投资组合进行调整，以确保组合总体特征与标的指数相似，并缩小跟踪误差。当发生较大的申购赎回、组合中同业存单派息、存单到期以及市场波动剧烈等情况，导致投资组合与标的指数出现偏离，本基金将综合考虑市场流动性、交易成本、偏离程度等因素，对投资组合进行不定期的动态调整以缩小跟踪误差。</w:t>
            </w:r>
            <w:r>
              <w:rPr>
                <w:rFonts w:asciiTheme="minorEastAsia" w:eastAsiaTheme="minorEastAsia" w:hAnsiTheme="minorEastAsia" w:hint="eastAsia"/>
              </w:rPr>
              <w:br/>
              <w:t>(三)替代性策略</w:t>
            </w:r>
            <w:r>
              <w:rPr>
                <w:rFonts w:asciiTheme="minorEastAsia" w:eastAsiaTheme="minorEastAsia" w:hAnsiTheme="minorEastAsia" w:hint="eastAsia"/>
              </w:rPr>
              <w:br/>
              <w:t>基金管理人可以在成份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外寻找其他存单和债券构</w:t>
            </w:r>
            <w:r>
              <w:rPr>
                <w:rFonts w:asciiTheme="minorEastAsia" w:eastAsiaTheme="minorEastAsia" w:hAnsiTheme="minorEastAsia" w:hint="eastAsia"/>
              </w:rPr>
              <w:lastRenderedPageBreak/>
              <w:t>建替代组合，本基金将选取与成份</w:t>
            </w:r>
            <w:proofErr w:type="gramStart"/>
            <w:r>
              <w:rPr>
                <w:rFonts w:asciiTheme="minorEastAsia" w:eastAsiaTheme="minorEastAsia" w:hAnsiTheme="minorEastAsia" w:hint="eastAsia"/>
              </w:rPr>
              <w:t>券久期</w:t>
            </w:r>
            <w:proofErr w:type="gramEnd"/>
            <w:r>
              <w:rPr>
                <w:rFonts w:asciiTheme="minorEastAsia" w:eastAsiaTheme="minorEastAsia" w:hAnsiTheme="minorEastAsia" w:hint="eastAsia"/>
              </w:rPr>
              <w:t>相近、剩余期限基本匹配的存单和债券进行替代。在力求跟踪误差最小化的前提下，本基金可采取适当方法，</w:t>
            </w:r>
            <w:proofErr w:type="gramStart"/>
            <w:r>
              <w:rPr>
                <w:rFonts w:asciiTheme="minorEastAsia" w:eastAsiaTheme="minorEastAsia" w:hAnsiTheme="minorEastAsia" w:hint="eastAsia"/>
              </w:rPr>
              <w:t>如久期管理</w:t>
            </w:r>
            <w:proofErr w:type="gramEnd"/>
            <w:r>
              <w:rPr>
                <w:rFonts w:asciiTheme="minorEastAsia" w:eastAsiaTheme="minorEastAsia" w:hAnsiTheme="minorEastAsia" w:hint="eastAsia"/>
              </w:rPr>
              <w:t>、期限结构配置、类别配置、骑乘、息差等优化策略对基金资产进行调整，降低交易成本，以期在规定的风险承受限度之内，尽量缩小跟踪误差。</w:t>
            </w:r>
            <w:r>
              <w:rPr>
                <w:rFonts w:asciiTheme="minorEastAsia" w:eastAsiaTheme="minorEastAsia" w:hAnsiTheme="minorEastAsia" w:hint="eastAsia"/>
              </w:rPr>
              <w:br/>
              <w:t>(四)资产支持证券投资策略</w:t>
            </w:r>
            <w:r>
              <w:rPr>
                <w:rFonts w:asciiTheme="minorEastAsia" w:eastAsiaTheme="minorEastAsia" w:hAnsiTheme="minorEastAsia" w:hint="eastAsia"/>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tc>
      </w:tr>
      <w:tr w:rsidR="00043967" w14:paraId="0610D18E"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EBC7D0" w14:textId="77777777" w:rsidR="00A51E0B" w:rsidRDefault="00A51E0B">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A5D3D99" w14:textId="77777777" w:rsidR="00A51E0B" w:rsidRDefault="00A51E0B">
            <w:pPr>
              <w:widowControl/>
              <w:spacing w:line="315" w:lineRule="atLeast"/>
              <w:jc w:val="left"/>
            </w:pPr>
            <w:r>
              <w:rPr>
                <w:rFonts w:asciiTheme="minorEastAsia" w:eastAsiaTheme="minorEastAsia" w:hAnsiTheme="minorEastAsia" w:hint="eastAsia"/>
              </w:rPr>
              <w:t>中证同业存单AAA指数收益率×95%+银行人民币一年定期存款利率(税后)×5%</w:t>
            </w:r>
          </w:p>
        </w:tc>
      </w:tr>
      <w:tr w:rsidR="00043967" w14:paraId="1A893A2C"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E43E630" w14:textId="77777777" w:rsidR="00A51E0B" w:rsidRDefault="00A51E0B">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DE2A2B8" w14:textId="77777777" w:rsidR="00A51E0B" w:rsidRDefault="00A51E0B">
            <w:pPr>
              <w:widowControl/>
              <w:spacing w:line="315" w:lineRule="atLeast"/>
              <w:jc w:val="left"/>
            </w:pPr>
            <w:r>
              <w:rPr>
                <w:rFonts w:asciiTheme="minorEastAsia" w:eastAsiaTheme="minorEastAsia" w:hAnsiTheme="minorEastAsia" w:hint="eastAsia"/>
              </w:rPr>
              <w:t>本基金预期风险与预期收益低于股票型基金、</w:t>
            </w:r>
            <w:proofErr w:type="gramStart"/>
            <w:r>
              <w:rPr>
                <w:rFonts w:asciiTheme="minorEastAsia" w:eastAsiaTheme="minorEastAsia" w:hAnsiTheme="minorEastAsia" w:hint="eastAsia"/>
              </w:rPr>
              <w:t>偏股混合型</w:t>
            </w:r>
            <w:proofErr w:type="gramEnd"/>
            <w:r>
              <w:rPr>
                <w:rFonts w:asciiTheme="minorEastAsia" w:eastAsiaTheme="minorEastAsia" w:hAnsiTheme="minorEastAsia" w:hint="eastAsia"/>
              </w:rPr>
              <w:t>基金，高于货币市场基金。</w:t>
            </w:r>
            <w:r>
              <w:rPr>
                <w:rFonts w:asciiTheme="minorEastAsia" w:eastAsiaTheme="minorEastAsia" w:hAnsiTheme="minorEastAsia" w:hint="eastAsia"/>
              </w:rPr>
              <w:br/>
              <w:t>本基金为指数型基金，主要采用抽样复制和动态最优化的方法跟踪标的指数的表现，具有与标的指数以及标的指数所代表的市场相似的风险收益特征。</w:t>
            </w:r>
          </w:p>
        </w:tc>
      </w:tr>
      <w:tr w:rsidR="00043967" w14:paraId="69890327"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896ED9" w14:textId="77777777" w:rsidR="00A51E0B" w:rsidRDefault="00A51E0B">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C6E2B89" w14:textId="77777777" w:rsidR="00A51E0B" w:rsidRDefault="00A51E0B">
            <w:pPr>
              <w:widowControl/>
              <w:spacing w:line="315" w:lineRule="atLeast"/>
              <w:jc w:val="left"/>
            </w:pPr>
            <w:r>
              <w:rPr>
                <w:rFonts w:asciiTheme="minorEastAsia" w:eastAsiaTheme="minorEastAsia" w:hAnsiTheme="minorEastAsia" w:hint="eastAsia"/>
              </w:rPr>
              <w:t>摩根基金管理（中国）有限公司</w:t>
            </w:r>
          </w:p>
        </w:tc>
      </w:tr>
      <w:tr w:rsidR="00043967" w14:paraId="2F0AC58B" w14:textId="77777777">
        <w:trPr>
          <w:divId w:val="123929044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84AEDF2" w14:textId="77777777" w:rsidR="00A51E0B" w:rsidRDefault="00A51E0B">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D9743A3" w14:textId="77777777" w:rsidR="00A51E0B" w:rsidRDefault="00A51E0B">
            <w:pPr>
              <w:widowControl/>
              <w:spacing w:line="315" w:lineRule="atLeast"/>
              <w:jc w:val="left"/>
            </w:pPr>
            <w:r>
              <w:rPr>
                <w:rFonts w:asciiTheme="minorEastAsia" w:eastAsiaTheme="minorEastAsia" w:hAnsiTheme="minorEastAsia" w:hint="eastAsia"/>
              </w:rPr>
              <w:t>交通银行股份有限公司</w:t>
            </w:r>
          </w:p>
        </w:tc>
      </w:tr>
    </w:tbl>
    <w:p w14:paraId="4B492CC1" w14:textId="77777777" w:rsidR="00A51E0B" w:rsidRDefault="00A51E0B">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5146B7FC" w14:textId="77777777" w:rsidR="00A51E0B" w:rsidRDefault="00A51E0B">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210D3084" w14:textId="77777777" w:rsidR="00A51E0B" w:rsidRDefault="00A51E0B">
      <w:pPr>
        <w:jc w:val="right"/>
        <w:divId w:val="194645147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043967" w14:paraId="1A11EED4" w14:textId="77777777">
        <w:trPr>
          <w:divId w:val="194645147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0AF5FF" w14:textId="77777777" w:rsidR="00A51E0B" w:rsidRDefault="00A51E0B">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8BFA66" w14:textId="77777777" w:rsidR="00A51E0B" w:rsidRDefault="00A51E0B">
            <w:pPr>
              <w:pStyle w:val="a5"/>
              <w:jc w:val="center"/>
              <w:rPr>
                <w:rFonts w:hint="eastAsia"/>
              </w:rPr>
            </w:pPr>
            <w:r>
              <w:rPr>
                <w:rFonts w:hint="eastAsia"/>
                <w:kern w:val="2"/>
                <w:sz w:val="21"/>
                <w:szCs w:val="24"/>
                <w:lang w:eastAsia="zh-Hans"/>
              </w:rPr>
              <w:t>报告期（2025年10月1日-2025年12月31日）</w:t>
            </w:r>
          </w:p>
        </w:tc>
      </w:tr>
      <w:tr w:rsidR="00043967" w14:paraId="69738BA6" w14:textId="77777777">
        <w:trPr>
          <w:divId w:val="19464514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3F157" w14:textId="77777777" w:rsidR="00A51E0B" w:rsidRDefault="00A51E0B">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E6488" w14:textId="77777777" w:rsidR="00A51E0B" w:rsidRDefault="00A51E0B">
            <w:pPr>
              <w:jc w:val="right"/>
            </w:pPr>
            <w:r>
              <w:rPr>
                <w:rFonts w:ascii="宋体" w:hAnsi="宋体" w:hint="eastAsia"/>
                <w:szCs w:val="24"/>
                <w:lang w:eastAsia="zh-Hans"/>
              </w:rPr>
              <w:t>262,314.39</w:t>
            </w:r>
          </w:p>
        </w:tc>
      </w:tr>
      <w:tr w:rsidR="00043967" w14:paraId="13F6361A" w14:textId="77777777">
        <w:trPr>
          <w:divId w:val="19464514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C13BC5" w14:textId="77777777" w:rsidR="00A51E0B" w:rsidRDefault="00A51E0B">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1EAD96" w14:textId="77777777" w:rsidR="00A51E0B" w:rsidRDefault="00A51E0B">
            <w:pPr>
              <w:jc w:val="right"/>
            </w:pPr>
            <w:r>
              <w:rPr>
                <w:rFonts w:ascii="宋体" w:hAnsi="宋体" w:hint="eastAsia"/>
                <w:szCs w:val="24"/>
                <w:lang w:eastAsia="zh-Hans"/>
              </w:rPr>
              <w:t>314,831.79</w:t>
            </w:r>
          </w:p>
        </w:tc>
      </w:tr>
      <w:tr w:rsidR="00043967" w14:paraId="68562DFB" w14:textId="77777777">
        <w:trPr>
          <w:divId w:val="19464514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6386B" w14:textId="77777777" w:rsidR="00A51E0B" w:rsidRDefault="00A51E0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F4AD2" w14:textId="77777777" w:rsidR="00A51E0B" w:rsidRDefault="00A51E0B">
            <w:pPr>
              <w:jc w:val="right"/>
            </w:pPr>
            <w:r>
              <w:rPr>
                <w:rFonts w:ascii="宋体" w:hAnsi="宋体" w:hint="eastAsia"/>
                <w:szCs w:val="24"/>
                <w:lang w:eastAsia="zh-Hans"/>
              </w:rPr>
              <w:t>0.0028</w:t>
            </w:r>
          </w:p>
        </w:tc>
      </w:tr>
      <w:tr w:rsidR="00043967" w14:paraId="2D57579F" w14:textId="77777777">
        <w:trPr>
          <w:divId w:val="19464514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EF244" w14:textId="77777777" w:rsidR="00A51E0B" w:rsidRDefault="00A51E0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10ECC1" w14:textId="77777777" w:rsidR="00A51E0B" w:rsidRDefault="00A51E0B">
            <w:pPr>
              <w:jc w:val="right"/>
            </w:pPr>
            <w:r>
              <w:rPr>
                <w:rFonts w:ascii="宋体" w:hAnsi="宋体" w:hint="eastAsia"/>
                <w:szCs w:val="24"/>
                <w:lang w:eastAsia="zh-Hans"/>
              </w:rPr>
              <w:t>113,010,228.43</w:t>
            </w:r>
          </w:p>
        </w:tc>
      </w:tr>
      <w:tr w:rsidR="00043967" w14:paraId="5B1862CD" w14:textId="77777777">
        <w:trPr>
          <w:divId w:val="194645147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92863" w14:textId="77777777" w:rsidR="00A51E0B" w:rsidRDefault="00A51E0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F053A" w14:textId="77777777" w:rsidR="00A51E0B" w:rsidRDefault="00A51E0B">
            <w:pPr>
              <w:jc w:val="right"/>
            </w:pPr>
            <w:r>
              <w:rPr>
                <w:rFonts w:ascii="宋体" w:hAnsi="宋体" w:hint="eastAsia"/>
                <w:szCs w:val="24"/>
                <w:lang w:eastAsia="zh-Hans"/>
              </w:rPr>
              <w:t>1.0316</w:t>
            </w:r>
          </w:p>
        </w:tc>
      </w:tr>
    </w:tbl>
    <w:p w14:paraId="51933F6B" w14:textId="77777777" w:rsidR="00A51E0B" w:rsidRDefault="00A51E0B">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18F4C9C2" w14:textId="77777777" w:rsidR="00A51E0B" w:rsidRDefault="00A51E0B">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01ECE1CF" w14:textId="77777777" w:rsidR="00A51E0B" w:rsidRDefault="00A51E0B">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043967" w14:paraId="2BBE8F67" w14:textId="77777777">
        <w:trPr>
          <w:divId w:val="921062268"/>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F7CDD" w14:textId="77777777" w:rsidR="00A51E0B" w:rsidRDefault="00A51E0B">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86331B" w14:textId="77777777" w:rsidR="00A51E0B" w:rsidRDefault="00A51E0B">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63774B" w14:textId="77777777" w:rsidR="00A51E0B" w:rsidRDefault="00A51E0B">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E41B9D" w14:textId="77777777" w:rsidR="00A51E0B" w:rsidRDefault="00A51E0B">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0425AF" w14:textId="77777777" w:rsidR="00A51E0B" w:rsidRDefault="00A51E0B">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687A3" w14:textId="77777777" w:rsidR="00A51E0B" w:rsidRDefault="00A51E0B">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2E429F" w14:textId="77777777" w:rsidR="00A51E0B" w:rsidRDefault="00A51E0B">
            <w:pPr>
              <w:spacing w:line="360" w:lineRule="auto"/>
              <w:jc w:val="center"/>
            </w:pPr>
            <w:r>
              <w:rPr>
                <w:rFonts w:ascii="宋体" w:hAnsi="宋体" w:hint="eastAsia"/>
              </w:rPr>
              <w:t xml:space="preserve">②－④ </w:t>
            </w:r>
          </w:p>
        </w:tc>
      </w:tr>
      <w:tr w:rsidR="00043967" w14:paraId="7BB02B93" w14:textId="77777777">
        <w:trPr>
          <w:divId w:val="92106226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8901A64" w14:textId="77777777" w:rsidR="00A51E0B" w:rsidRDefault="00A51E0B">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513C1A" w14:textId="77777777" w:rsidR="00A51E0B" w:rsidRDefault="00A51E0B">
            <w:pPr>
              <w:spacing w:line="360" w:lineRule="auto"/>
              <w:jc w:val="right"/>
            </w:pPr>
            <w:r>
              <w:rPr>
                <w:rFonts w:ascii="宋体" w:hAnsi="宋体" w:hint="eastAsia"/>
              </w:rPr>
              <w:t>0.26%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7BA01D"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BA5D3D" w14:textId="77777777" w:rsidR="00A51E0B" w:rsidRDefault="00A51E0B">
            <w:pPr>
              <w:spacing w:line="360" w:lineRule="auto"/>
              <w:jc w:val="right"/>
            </w:pPr>
            <w:r>
              <w:rPr>
                <w:rFonts w:ascii="宋体" w:hAnsi="宋体" w:hint="eastAsia"/>
              </w:rPr>
              <w:t xml:space="preserve">0.42%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B97CBCC"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721465" w14:textId="77777777" w:rsidR="00A51E0B" w:rsidRDefault="00A51E0B">
            <w:pPr>
              <w:spacing w:line="360" w:lineRule="auto"/>
              <w:jc w:val="right"/>
            </w:pPr>
            <w:r>
              <w:rPr>
                <w:rFonts w:ascii="宋体" w:hAnsi="宋体" w:hint="eastAsia"/>
              </w:rPr>
              <w:t>-0.16%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8544E1" w14:textId="77777777" w:rsidR="00A51E0B" w:rsidRDefault="00A51E0B">
            <w:pPr>
              <w:spacing w:line="360" w:lineRule="auto"/>
              <w:jc w:val="right"/>
            </w:pPr>
            <w:r>
              <w:rPr>
                <w:rFonts w:ascii="宋体" w:hAnsi="宋体" w:hint="eastAsia"/>
              </w:rPr>
              <w:t>0.00%</w:t>
            </w:r>
          </w:p>
        </w:tc>
      </w:tr>
      <w:tr w:rsidR="00043967" w14:paraId="0438AAD0" w14:textId="77777777">
        <w:trPr>
          <w:divId w:val="92106226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0849D51" w14:textId="77777777" w:rsidR="00A51E0B" w:rsidRDefault="00A51E0B">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93EA17" w14:textId="77777777" w:rsidR="00A51E0B" w:rsidRDefault="00A51E0B">
            <w:pPr>
              <w:spacing w:line="360" w:lineRule="auto"/>
              <w:jc w:val="right"/>
            </w:pPr>
            <w:r>
              <w:rPr>
                <w:rFonts w:ascii="宋体" w:hAnsi="宋体" w:hint="eastAsia"/>
              </w:rPr>
              <w:t>0.53%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886100"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FE2560" w14:textId="77777777" w:rsidR="00A51E0B" w:rsidRDefault="00A51E0B">
            <w:pPr>
              <w:spacing w:line="360" w:lineRule="auto"/>
              <w:jc w:val="right"/>
            </w:pPr>
            <w:r>
              <w:rPr>
                <w:rFonts w:ascii="宋体" w:hAnsi="宋体" w:hint="eastAsia"/>
              </w:rPr>
              <w:t xml:space="preserve">0.84%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ECAEB1"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F67579" w14:textId="77777777" w:rsidR="00A51E0B" w:rsidRDefault="00A51E0B">
            <w:pPr>
              <w:spacing w:line="360" w:lineRule="auto"/>
              <w:jc w:val="right"/>
            </w:pPr>
            <w:r>
              <w:rPr>
                <w:rFonts w:ascii="宋体" w:hAnsi="宋体" w:hint="eastAsia"/>
              </w:rPr>
              <w:t>-0.31%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056D22" w14:textId="77777777" w:rsidR="00A51E0B" w:rsidRDefault="00A51E0B">
            <w:pPr>
              <w:spacing w:line="360" w:lineRule="auto"/>
              <w:jc w:val="right"/>
            </w:pPr>
            <w:r>
              <w:rPr>
                <w:rFonts w:ascii="宋体" w:hAnsi="宋体" w:hint="eastAsia"/>
              </w:rPr>
              <w:t>0.00%</w:t>
            </w:r>
          </w:p>
        </w:tc>
      </w:tr>
      <w:tr w:rsidR="00043967" w14:paraId="1C34497F" w14:textId="77777777">
        <w:trPr>
          <w:divId w:val="92106226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CFDB1FA" w14:textId="77777777" w:rsidR="00A51E0B" w:rsidRDefault="00A51E0B">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A17113" w14:textId="77777777" w:rsidR="00A51E0B" w:rsidRDefault="00A51E0B">
            <w:pPr>
              <w:spacing w:line="360" w:lineRule="auto"/>
              <w:jc w:val="right"/>
            </w:pPr>
            <w:r>
              <w:rPr>
                <w:rFonts w:ascii="宋体" w:hAnsi="宋体" w:hint="eastAsia"/>
              </w:rPr>
              <w:t>1.10%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7BDB03"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8DFEB2" w14:textId="77777777" w:rsidR="00A51E0B" w:rsidRDefault="00A51E0B">
            <w:pPr>
              <w:spacing w:line="360" w:lineRule="auto"/>
              <w:jc w:val="right"/>
            </w:pPr>
            <w:r>
              <w:rPr>
                <w:rFonts w:ascii="宋体" w:hAnsi="宋体" w:hint="eastAsia"/>
              </w:rPr>
              <w:t xml:space="preserve">1.70%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70CF34"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C9BDE0" w14:textId="77777777" w:rsidR="00A51E0B" w:rsidRDefault="00A51E0B">
            <w:pPr>
              <w:spacing w:line="360" w:lineRule="auto"/>
              <w:jc w:val="right"/>
            </w:pPr>
            <w:r>
              <w:rPr>
                <w:rFonts w:ascii="宋体" w:hAnsi="宋体" w:hint="eastAsia"/>
              </w:rPr>
              <w:t>-0.60%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863F39" w14:textId="77777777" w:rsidR="00A51E0B" w:rsidRDefault="00A51E0B">
            <w:pPr>
              <w:spacing w:line="360" w:lineRule="auto"/>
              <w:jc w:val="right"/>
            </w:pPr>
            <w:r>
              <w:rPr>
                <w:rFonts w:ascii="宋体" w:hAnsi="宋体" w:hint="eastAsia"/>
              </w:rPr>
              <w:t>0.00%</w:t>
            </w:r>
          </w:p>
        </w:tc>
      </w:tr>
      <w:tr w:rsidR="00043967" w14:paraId="14653A38" w14:textId="77777777">
        <w:trPr>
          <w:divId w:val="92106226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CF4542C" w14:textId="77777777" w:rsidR="00A51E0B" w:rsidRDefault="00A51E0B">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4DD6F3" w14:textId="77777777" w:rsidR="00A51E0B" w:rsidRDefault="00A51E0B">
            <w:pPr>
              <w:spacing w:line="360" w:lineRule="auto"/>
              <w:jc w:val="right"/>
            </w:pPr>
            <w:r>
              <w:rPr>
                <w:rFonts w:ascii="宋体" w:hAnsi="宋体" w:hint="eastAsia"/>
              </w:rPr>
              <w:t>3.16%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3C269C"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A1EB97" w14:textId="77777777" w:rsidR="00A51E0B" w:rsidRDefault="00A51E0B">
            <w:pPr>
              <w:spacing w:line="360" w:lineRule="auto"/>
              <w:jc w:val="right"/>
            </w:pPr>
            <w:r>
              <w:rPr>
                <w:rFonts w:ascii="宋体" w:hAnsi="宋体" w:hint="eastAsia"/>
              </w:rPr>
              <w:t xml:space="preserve">4.30%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D7CD2E" w14:textId="77777777" w:rsidR="00A51E0B" w:rsidRDefault="00A51E0B">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E748EF" w14:textId="77777777" w:rsidR="00A51E0B" w:rsidRDefault="00A51E0B">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E5CFE5" w14:textId="77777777" w:rsidR="00A51E0B" w:rsidRDefault="00A51E0B">
            <w:pPr>
              <w:spacing w:line="360" w:lineRule="auto"/>
              <w:jc w:val="right"/>
            </w:pPr>
            <w:r>
              <w:rPr>
                <w:rFonts w:ascii="宋体" w:hAnsi="宋体" w:hint="eastAsia"/>
              </w:rPr>
              <w:t>0.00%</w:t>
            </w:r>
          </w:p>
        </w:tc>
      </w:tr>
    </w:tbl>
    <w:p w14:paraId="0A772866" w14:textId="77777777" w:rsidR="00A51E0B" w:rsidRDefault="00A51E0B">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1855916C" w14:textId="77777777" w:rsidR="00A51E0B" w:rsidRDefault="00A51E0B">
      <w:pPr>
        <w:spacing w:line="360" w:lineRule="auto"/>
        <w:jc w:val="left"/>
        <w:divId w:val="1980378249"/>
      </w:pPr>
      <w:bookmarkStart w:id="51" w:name="m07_04_07_09_tab"/>
      <w:bookmarkStart w:id="52" w:name="m07_04_07_09"/>
      <w:bookmarkStart w:id="53" w:name="m01_01"/>
      <w:r>
        <w:rPr>
          <w:rFonts w:ascii="宋体" w:hAnsi="宋体" w:hint="eastAsia"/>
          <w:noProof/>
        </w:rPr>
        <w:drawing>
          <wp:inline distT="0" distB="0" distL="0" distR="0" wp14:anchorId="4F455083" wp14:editId="312EA428">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25B890D6" w14:textId="77777777" w:rsidR="00A51E0B" w:rsidRDefault="00A51E0B">
      <w:pPr>
        <w:spacing w:line="360" w:lineRule="auto"/>
        <w:divId w:val="1980378249"/>
      </w:pPr>
      <w:r>
        <w:rPr>
          <w:rFonts w:ascii="宋体" w:hAnsi="宋体" w:hint="eastAsia"/>
        </w:rPr>
        <w:t>注：</w:t>
      </w:r>
      <w:r>
        <w:rPr>
          <w:rFonts w:ascii="宋体" w:hAnsi="宋体" w:hint="eastAsia"/>
          <w:lang w:eastAsia="zh-Hans"/>
        </w:rPr>
        <w:t>本基金合同生效日为2023年12月18日，图示的时间段为合同生效日至本报告期末。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349928DA" w14:textId="77777777" w:rsidR="00A51E0B" w:rsidRDefault="00A51E0B">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2C0F521" w14:textId="77777777" w:rsidR="00A51E0B" w:rsidRDefault="00A51E0B">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43967" w14:paraId="464C9E30" w14:textId="77777777">
        <w:trPr>
          <w:divId w:val="141809034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8ED32" w14:textId="77777777" w:rsidR="00A51E0B" w:rsidRDefault="00A51E0B">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07AE4" w14:textId="77777777" w:rsidR="00A51E0B" w:rsidRDefault="00A51E0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77409" w14:textId="77777777" w:rsidR="00A51E0B" w:rsidRDefault="00A51E0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B7D2D" w14:textId="77777777" w:rsidR="00A51E0B" w:rsidRDefault="00A51E0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DDD39" w14:textId="77777777" w:rsidR="00A51E0B" w:rsidRDefault="00A51E0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43967" w14:paraId="5E3B24A7" w14:textId="77777777">
        <w:trPr>
          <w:divId w:val="141809034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D600C" w14:textId="77777777" w:rsidR="00A51E0B" w:rsidRDefault="00A51E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A6037" w14:textId="77777777" w:rsidR="00A51E0B" w:rsidRDefault="00A51E0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9C5C5" w14:textId="77777777" w:rsidR="00A51E0B" w:rsidRDefault="00A51E0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4DB5A" w14:textId="77777777" w:rsidR="00A51E0B" w:rsidRDefault="00A51E0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FDBCB" w14:textId="77777777" w:rsidR="00A51E0B" w:rsidRDefault="00A51E0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FDB42" w14:textId="77777777" w:rsidR="00A51E0B" w:rsidRDefault="00A51E0B">
            <w:pPr>
              <w:widowControl/>
              <w:jc w:val="left"/>
            </w:pPr>
          </w:p>
        </w:tc>
      </w:tr>
      <w:tr w:rsidR="00043967" w14:paraId="5F4DE773" w14:textId="77777777">
        <w:trPr>
          <w:divId w:val="14180903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A04EB" w14:textId="77777777" w:rsidR="00A51E0B" w:rsidRDefault="00A51E0B">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B800B" w14:textId="77777777" w:rsidR="00A51E0B" w:rsidRDefault="00A51E0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BE337" w14:textId="77777777" w:rsidR="00A51E0B" w:rsidRDefault="00A51E0B">
            <w:pPr>
              <w:jc w:val="center"/>
            </w:pPr>
            <w:r>
              <w:rPr>
                <w:rFonts w:ascii="宋体" w:hAnsi="宋体" w:hint="eastAsia"/>
                <w:szCs w:val="24"/>
                <w:lang w:eastAsia="zh-Hans"/>
              </w:rPr>
              <w:t>2023年12月18日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877D2" w14:textId="77777777" w:rsidR="00A51E0B" w:rsidRDefault="00A51E0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967AA" w14:textId="77777777" w:rsidR="00A51E0B" w:rsidRDefault="00A51E0B">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ABD53" w14:textId="77777777" w:rsidR="00A51E0B" w:rsidRDefault="00A51E0B">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043967" w14:paraId="3EE37829" w14:textId="77777777">
        <w:trPr>
          <w:divId w:val="14180903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51FDC" w14:textId="77777777" w:rsidR="00A51E0B" w:rsidRDefault="00A51E0B">
            <w:pPr>
              <w:jc w:val="center"/>
            </w:pPr>
            <w:r>
              <w:rPr>
                <w:rFonts w:ascii="宋体" w:hAnsi="宋体" w:hint="eastAsia"/>
                <w:szCs w:val="24"/>
                <w:lang w:eastAsia="zh-Hans"/>
              </w:rPr>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42925" w14:textId="77777777" w:rsidR="00A51E0B" w:rsidRDefault="00A51E0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B2B56" w14:textId="77777777" w:rsidR="00A51E0B" w:rsidRDefault="00A51E0B">
            <w:pPr>
              <w:jc w:val="center"/>
            </w:pPr>
            <w:r>
              <w:rPr>
                <w:rFonts w:ascii="宋体" w:hAnsi="宋体" w:hint="eastAsia"/>
                <w:szCs w:val="24"/>
                <w:lang w:eastAsia="zh-Hans"/>
              </w:rPr>
              <w:t>2023年12月22日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A533C" w14:textId="77777777" w:rsidR="00A51E0B" w:rsidRDefault="00A51E0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8328F" w14:textId="77777777" w:rsidR="00A51E0B" w:rsidRDefault="00A51E0B">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88B43" w14:textId="77777777" w:rsidR="00A51E0B" w:rsidRDefault="00A51E0B">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3785893F" w14:textId="77777777" w:rsidR="00A51E0B" w:rsidRDefault="00A51E0B">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8EF1340" w14:textId="77777777" w:rsidR="00A51E0B" w:rsidRDefault="00A51E0B">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26C23E2A" w14:textId="77777777" w:rsidR="00A51E0B" w:rsidRDefault="00A51E0B">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4D7A8C7" w14:textId="77777777" w:rsidR="00A51E0B" w:rsidRDefault="00A51E0B">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607293C3" w14:textId="77777777" w:rsidR="00A51E0B" w:rsidRDefault="00A51E0B">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269B85E5" w14:textId="77777777" w:rsidR="00A51E0B" w:rsidRDefault="00A51E0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76C64CE" w14:textId="77777777" w:rsidR="00A51E0B" w:rsidRDefault="00A51E0B">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5463F8AB" w14:textId="77777777" w:rsidR="00A51E0B" w:rsidRDefault="00A51E0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A479D0D" w14:textId="77777777" w:rsidR="00A51E0B" w:rsidRDefault="00A51E0B">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4860C8E6" w14:textId="77777777" w:rsidR="00A51E0B" w:rsidRDefault="00A51E0B">
      <w:pPr>
        <w:spacing w:line="360" w:lineRule="auto"/>
        <w:ind w:firstLineChars="200" w:firstLine="420"/>
        <w:jc w:val="left"/>
      </w:pPr>
      <w:r>
        <w:rPr>
          <w:rFonts w:ascii="宋体" w:hAnsi="宋体" w:cs="宋体" w:hint="eastAsia"/>
          <w:color w:val="000000"/>
          <w:kern w:val="0"/>
        </w:rPr>
        <w:t>2025年四季度，经济运行延续总体平稳、稳中有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态势。1-11月份全国规模以上工业企业利润同比增长0.1%，以装备制造业、高技术制造业为代表的新动能行业保持较快增长；1-11月份全国固定资产投资同比下降2.6%，设备购置投资持续发挥作用; 11月份社会消费品零售总额同比增长1.3%，增速比上月回落1.6个百分点，主要受到“双十一”促销提前等因素影响；12月份制造业采购经理人指数（PMI）为50.1%，比上月上升0.9个百分点，升至扩张区间; 11月消费者价格指数(CPI)当月同比上升0.7%，生产者价格指数(PPI)当月同比下降2.2%。</w:t>
      </w:r>
      <w:r>
        <w:rPr>
          <w:rFonts w:ascii="宋体" w:hAnsi="宋体" w:cs="宋体" w:hint="eastAsia"/>
          <w:color w:val="000000"/>
          <w:kern w:val="0"/>
        </w:rPr>
        <w:br/>
        <w:t xml:space="preserve">　　四季度，货币政策保持适度宽松，央行综合运用多种货币政策工具，为经济稳中向好创造适宜的货币金融环境。具体来看，本季度央行恢复公开市场国债买卖操作，通过公开市场操作、买断式逆回购、中期借贷便利（MLF）向市场注入流动性，资金利率水平低位运行，缓解了银行的负债压力。本季度资金利率平稳，短端债券利率窄幅波动，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同业存单下行4bps至1.62%，1年期国开收益率下行5bps至1.55%。</w:t>
      </w:r>
      <w:r>
        <w:rPr>
          <w:rFonts w:ascii="宋体" w:hAnsi="宋体" w:cs="宋体" w:hint="eastAsia"/>
          <w:color w:val="000000"/>
          <w:kern w:val="0"/>
        </w:rPr>
        <w:br/>
        <w:t xml:space="preserve">　　报告期内，本基金采用抽样复制和动态最优化的方法，投资于标的指数中具有代表性和流动性的成份</w:t>
      </w:r>
      <w:proofErr w:type="gramStart"/>
      <w:r>
        <w:rPr>
          <w:rFonts w:ascii="宋体" w:hAnsi="宋体" w:cs="宋体" w:hint="eastAsia"/>
          <w:color w:val="000000"/>
          <w:kern w:val="0"/>
        </w:rPr>
        <w:t>券</w:t>
      </w:r>
      <w:proofErr w:type="gramEnd"/>
      <w:r>
        <w:rPr>
          <w:rFonts w:ascii="宋体" w:hAnsi="宋体" w:cs="宋体" w:hint="eastAsia"/>
          <w:color w:val="000000"/>
          <w:kern w:val="0"/>
        </w:rPr>
        <w:t>和备选成份</w:t>
      </w:r>
      <w:proofErr w:type="gramStart"/>
      <w:r>
        <w:rPr>
          <w:rFonts w:ascii="宋体" w:hAnsi="宋体" w:cs="宋体" w:hint="eastAsia"/>
          <w:color w:val="000000"/>
          <w:kern w:val="0"/>
        </w:rPr>
        <w:t>券</w:t>
      </w:r>
      <w:proofErr w:type="gramEnd"/>
      <w:r>
        <w:rPr>
          <w:rFonts w:ascii="宋体" w:hAnsi="宋体" w:cs="宋体" w:hint="eastAsia"/>
          <w:color w:val="000000"/>
          <w:kern w:val="0"/>
        </w:rPr>
        <w:t>，或选择非成份</w:t>
      </w:r>
      <w:proofErr w:type="gramStart"/>
      <w:r>
        <w:rPr>
          <w:rFonts w:ascii="宋体" w:hAnsi="宋体" w:cs="宋体" w:hint="eastAsia"/>
          <w:color w:val="000000"/>
          <w:kern w:val="0"/>
        </w:rPr>
        <w:t>券</w:t>
      </w:r>
      <w:proofErr w:type="gramEnd"/>
      <w:r>
        <w:rPr>
          <w:rFonts w:ascii="宋体" w:hAnsi="宋体" w:cs="宋体" w:hint="eastAsia"/>
          <w:color w:val="000000"/>
          <w:kern w:val="0"/>
        </w:rPr>
        <w:t>作为替代，以实现对标的指数的有效跟踪，本季度组合整体运行状况良好。</w:t>
      </w:r>
      <w:r>
        <w:rPr>
          <w:rFonts w:ascii="宋体" w:hAnsi="宋体" w:cs="宋体" w:hint="eastAsia"/>
          <w:color w:val="000000"/>
          <w:kern w:val="0"/>
        </w:rPr>
        <w:br/>
        <w:t xml:space="preserve">　　展望下季度，预计央行将继续实施适度宽松的货币政策，加大逆周期和跨周期调节力度，保持流动性充裕，促进社会综合融资成本低位运行。银行负债成本预计将稳中有降，同业存单收益边际下行空间仍旧存在。</w:t>
      </w:r>
    </w:p>
    <w:p w14:paraId="4407FCD7" w14:textId="77777777" w:rsidR="00A51E0B" w:rsidRDefault="00A51E0B">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017BA36B" w14:textId="77777777" w:rsidR="00A51E0B" w:rsidRDefault="00A51E0B">
      <w:pPr>
        <w:spacing w:line="360" w:lineRule="auto"/>
        <w:ind w:firstLineChars="200" w:firstLine="420"/>
        <w:divId w:val="380136289"/>
      </w:pPr>
      <w:r>
        <w:rPr>
          <w:rFonts w:ascii="宋体" w:hAnsi="宋体" w:hint="eastAsia"/>
        </w:rPr>
        <w:t>本报告期摩根中证同业存单AAA指数7天持有期份额净值增长率为:0.26%，同期业绩比较基准收益率为:0.42%。</w:t>
      </w:r>
    </w:p>
    <w:p w14:paraId="7F38F524" w14:textId="77777777" w:rsidR="00A51E0B" w:rsidRDefault="00A51E0B">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47216BE7" w14:textId="77777777" w:rsidR="00A51E0B" w:rsidRDefault="00A51E0B">
      <w:pPr>
        <w:spacing w:line="360" w:lineRule="auto"/>
        <w:ind w:firstLineChars="200" w:firstLine="420"/>
        <w:jc w:val="left"/>
      </w:pPr>
      <w:r>
        <w:rPr>
          <w:rFonts w:ascii="宋体" w:hAnsi="宋体" w:hint="eastAsia"/>
        </w:rPr>
        <w:t>无。</w:t>
      </w:r>
    </w:p>
    <w:p w14:paraId="68354BAA" w14:textId="77777777" w:rsidR="00A51E0B" w:rsidRDefault="00A51E0B">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5FA4B549" w14:textId="77777777" w:rsidR="00A51E0B" w:rsidRDefault="00A51E0B">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43967" w14:paraId="32510A55"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CBAD60" w14:textId="77777777" w:rsidR="00A51E0B" w:rsidRDefault="00A51E0B">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CC71F61" w14:textId="77777777" w:rsidR="00A51E0B" w:rsidRDefault="00A51E0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E0BAE78" w14:textId="77777777" w:rsidR="00A51E0B" w:rsidRDefault="00A51E0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1311074" w14:textId="77777777" w:rsidR="00A51E0B" w:rsidRDefault="00A51E0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43967" w14:paraId="1E00A083"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0630B3" w14:textId="77777777" w:rsidR="00A51E0B" w:rsidRDefault="00A51E0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A872A5B" w14:textId="77777777" w:rsidR="00A51E0B" w:rsidRDefault="00A51E0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70AB0A"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5E917F" w14:textId="77777777" w:rsidR="00A51E0B" w:rsidRDefault="00A51E0B">
            <w:pPr>
              <w:jc w:val="right"/>
            </w:pPr>
            <w:r>
              <w:rPr>
                <w:rFonts w:ascii="宋体" w:hAnsi="宋体" w:hint="eastAsia"/>
                <w:szCs w:val="24"/>
                <w:lang w:eastAsia="zh-Hans"/>
              </w:rPr>
              <w:t>-</w:t>
            </w:r>
          </w:p>
        </w:tc>
      </w:tr>
      <w:tr w:rsidR="00043967" w14:paraId="624512A1"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1A803C" w14:textId="77777777" w:rsidR="00A51E0B" w:rsidRDefault="00A51E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B62B94" w14:textId="77777777" w:rsidR="00A51E0B" w:rsidRDefault="00A51E0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B2A5ED"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947B25" w14:textId="77777777" w:rsidR="00A51E0B" w:rsidRDefault="00A51E0B">
            <w:pPr>
              <w:jc w:val="right"/>
            </w:pPr>
            <w:r>
              <w:rPr>
                <w:rFonts w:ascii="宋体" w:hAnsi="宋体" w:hint="eastAsia"/>
                <w:szCs w:val="24"/>
                <w:lang w:eastAsia="zh-Hans"/>
              </w:rPr>
              <w:t>-</w:t>
            </w:r>
          </w:p>
        </w:tc>
      </w:tr>
      <w:tr w:rsidR="00043967" w14:paraId="6A5ADBB8"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8A2AD" w14:textId="77777777" w:rsidR="00A51E0B" w:rsidRDefault="00A51E0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DB587D0" w14:textId="77777777" w:rsidR="00A51E0B" w:rsidRDefault="00A51E0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27FC8D"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10535E" w14:textId="77777777" w:rsidR="00A51E0B" w:rsidRDefault="00A51E0B">
            <w:pPr>
              <w:jc w:val="right"/>
            </w:pPr>
            <w:r>
              <w:rPr>
                <w:rFonts w:ascii="宋体" w:hAnsi="宋体" w:hint="eastAsia"/>
                <w:szCs w:val="24"/>
                <w:lang w:eastAsia="zh-Hans"/>
              </w:rPr>
              <w:t>-</w:t>
            </w:r>
          </w:p>
        </w:tc>
      </w:tr>
      <w:tr w:rsidR="00043967" w14:paraId="5A30FCFF"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ABFFE1" w14:textId="77777777" w:rsidR="00A51E0B" w:rsidRDefault="00A51E0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843E77" w14:textId="77777777" w:rsidR="00A51E0B" w:rsidRDefault="00A51E0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5D525E" w14:textId="77777777" w:rsidR="00A51E0B" w:rsidRDefault="00A51E0B">
            <w:pPr>
              <w:jc w:val="right"/>
            </w:pPr>
            <w:r>
              <w:rPr>
                <w:rFonts w:ascii="宋体" w:hAnsi="宋体" w:hint="eastAsia"/>
                <w:szCs w:val="24"/>
                <w:lang w:eastAsia="zh-Hans"/>
              </w:rPr>
              <w:t>109,523,565.77</w:t>
            </w:r>
          </w:p>
        </w:tc>
        <w:tc>
          <w:tcPr>
            <w:tcW w:w="1333" w:type="pct"/>
            <w:tcBorders>
              <w:top w:val="single" w:sz="4" w:space="0" w:color="auto"/>
              <w:left w:val="nil"/>
              <w:bottom w:val="single" w:sz="4" w:space="0" w:color="auto"/>
              <w:right w:val="single" w:sz="4" w:space="0" w:color="auto"/>
            </w:tcBorders>
            <w:vAlign w:val="center"/>
            <w:hideMark/>
          </w:tcPr>
          <w:p w14:paraId="1E2DB2CC" w14:textId="77777777" w:rsidR="00A51E0B" w:rsidRDefault="00A51E0B">
            <w:pPr>
              <w:jc w:val="right"/>
            </w:pPr>
            <w:r>
              <w:rPr>
                <w:rFonts w:ascii="宋体" w:hAnsi="宋体" w:hint="eastAsia"/>
                <w:szCs w:val="24"/>
                <w:lang w:eastAsia="zh-Hans"/>
              </w:rPr>
              <w:t>96.66</w:t>
            </w:r>
          </w:p>
        </w:tc>
      </w:tr>
      <w:tr w:rsidR="00043967" w14:paraId="5A10B320"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66A804" w14:textId="77777777" w:rsidR="00A51E0B" w:rsidRDefault="00A51E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487214" w14:textId="77777777" w:rsidR="00A51E0B" w:rsidRDefault="00A51E0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4D2DD4" w14:textId="77777777" w:rsidR="00A51E0B" w:rsidRDefault="00A51E0B">
            <w:pPr>
              <w:jc w:val="right"/>
            </w:pPr>
            <w:r>
              <w:rPr>
                <w:rFonts w:ascii="宋体" w:hAnsi="宋体" w:hint="eastAsia"/>
                <w:szCs w:val="24"/>
                <w:lang w:eastAsia="zh-Hans"/>
              </w:rPr>
              <w:t>109,523,565.77</w:t>
            </w:r>
          </w:p>
        </w:tc>
        <w:tc>
          <w:tcPr>
            <w:tcW w:w="1333" w:type="pct"/>
            <w:tcBorders>
              <w:top w:val="single" w:sz="4" w:space="0" w:color="auto"/>
              <w:left w:val="nil"/>
              <w:bottom w:val="single" w:sz="4" w:space="0" w:color="auto"/>
              <w:right w:val="single" w:sz="4" w:space="0" w:color="auto"/>
            </w:tcBorders>
            <w:vAlign w:val="center"/>
            <w:hideMark/>
          </w:tcPr>
          <w:p w14:paraId="62E3D935" w14:textId="77777777" w:rsidR="00A51E0B" w:rsidRDefault="00A51E0B">
            <w:pPr>
              <w:jc w:val="right"/>
            </w:pPr>
            <w:r>
              <w:rPr>
                <w:rFonts w:ascii="宋体" w:hAnsi="宋体" w:hint="eastAsia"/>
                <w:szCs w:val="24"/>
                <w:lang w:eastAsia="zh-Hans"/>
              </w:rPr>
              <w:t>96.66</w:t>
            </w:r>
          </w:p>
        </w:tc>
      </w:tr>
      <w:tr w:rsidR="00043967" w14:paraId="32182D89"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B4A98B" w14:textId="77777777" w:rsidR="00A51E0B" w:rsidRDefault="00A51E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D907F3" w14:textId="77777777" w:rsidR="00A51E0B" w:rsidRDefault="00A51E0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12AF92"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E65A04" w14:textId="77777777" w:rsidR="00A51E0B" w:rsidRDefault="00A51E0B">
            <w:pPr>
              <w:jc w:val="right"/>
            </w:pPr>
            <w:r>
              <w:rPr>
                <w:rFonts w:ascii="宋体" w:hAnsi="宋体" w:hint="eastAsia"/>
                <w:szCs w:val="24"/>
                <w:lang w:eastAsia="zh-Hans"/>
              </w:rPr>
              <w:t>-</w:t>
            </w:r>
          </w:p>
        </w:tc>
      </w:tr>
      <w:tr w:rsidR="00043967" w14:paraId="79044F25"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97B1B1" w14:textId="77777777" w:rsidR="00A51E0B" w:rsidRDefault="00A51E0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A88B3BC" w14:textId="77777777" w:rsidR="00A51E0B" w:rsidRDefault="00A51E0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64045E"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087884" w14:textId="77777777" w:rsidR="00A51E0B" w:rsidRDefault="00A51E0B">
            <w:pPr>
              <w:jc w:val="right"/>
            </w:pPr>
            <w:r>
              <w:rPr>
                <w:rFonts w:ascii="宋体" w:hAnsi="宋体" w:hint="eastAsia"/>
                <w:szCs w:val="24"/>
                <w:lang w:eastAsia="zh-Hans"/>
              </w:rPr>
              <w:t>-</w:t>
            </w:r>
          </w:p>
        </w:tc>
      </w:tr>
      <w:tr w:rsidR="00043967" w14:paraId="70D55679"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5D2D90" w14:textId="77777777" w:rsidR="00A51E0B" w:rsidRDefault="00A51E0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2A9AF2C" w14:textId="77777777" w:rsidR="00A51E0B" w:rsidRDefault="00A51E0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B21E39"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3E587C" w14:textId="77777777" w:rsidR="00A51E0B" w:rsidRDefault="00A51E0B">
            <w:pPr>
              <w:jc w:val="right"/>
            </w:pPr>
            <w:r>
              <w:rPr>
                <w:rFonts w:ascii="宋体" w:hAnsi="宋体" w:hint="eastAsia"/>
                <w:szCs w:val="24"/>
                <w:lang w:eastAsia="zh-Hans"/>
              </w:rPr>
              <w:t>-</w:t>
            </w:r>
          </w:p>
        </w:tc>
      </w:tr>
      <w:tr w:rsidR="00043967" w14:paraId="2F95FCDA"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636076" w14:textId="77777777" w:rsidR="00A51E0B" w:rsidRDefault="00A51E0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678561F" w14:textId="77777777" w:rsidR="00A51E0B" w:rsidRDefault="00A51E0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8CD97F" w14:textId="77777777" w:rsidR="00A51E0B" w:rsidRDefault="00A51E0B">
            <w:pPr>
              <w:jc w:val="right"/>
            </w:pPr>
            <w:r>
              <w:rPr>
                <w:rFonts w:ascii="宋体" w:hAnsi="宋体" w:hint="eastAsia"/>
                <w:szCs w:val="24"/>
                <w:lang w:eastAsia="zh-Hans"/>
              </w:rPr>
              <w:t>2,400,246.83</w:t>
            </w:r>
          </w:p>
        </w:tc>
        <w:tc>
          <w:tcPr>
            <w:tcW w:w="1333" w:type="pct"/>
            <w:tcBorders>
              <w:top w:val="single" w:sz="4" w:space="0" w:color="auto"/>
              <w:left w:val="nil"/>
              <w:bottom w:val="single" w:sz="4" w:space="0" w:color="auto"/>
              <w:right w:val="single" w:sz="4" w:space="0" w:color="auto"/>
            </w:tcBorders>
            <w:vAlign w:val="center"/>
            <w:hideMark/>
          </w:tcPr>
          <w:p w14:paraId="7380CF1A" w14:textId="77777777" w:rsidR="00A51E0B" w:rsidRDefault="00A51E0B">
            <w:pPr>
              <w:jc w:val="right"/>
            </w:pPr>
            <w:r>
              <w:rPr>
                <w:rFonts w:ascii="宋体" w:hAnsi="宋体" w:hint="eastAsia"/>
                <w:szCs w:val="24"/>
                <w:lang w:eastAsia="zh-Hans"/>
              </w:rPr>
              <w:t>2.12</w:t>
            </w:r>
          </w:p>
        </w:tc>
      </w:tr>
      <w:tr w:rsidR="00043967" w14:paraId="200BB866"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11F9F5" w14:textId="77777777" w:rsidR="00A51E0B" w:rsidRDefault="00A51E0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AEFFC6" w14:textId="77777777" w:rsidR="00A51E0B" w:rsidRDefault="00A51E0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972B9D" w14:textId="77777777" w:rsidR="00A51E0B" w:rsidRDefault="00A51E0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711A53" w14:textId="77777777" w:rsidR="00A51E0B" w:rsidRDefault="00A51E0B">
            <w:pPr>
              <w:jc w:val="right"/>
            </w:pPr>
            <w:r>
              <w:rPr>
                <w:rFonts w:ascii="宋体" w:hAnsi="宋体" w:hint="eastAsia"/>
                <w:szCs w:val="24"/>
                <w:lang w:eastAsia="zh-Hans"/>
              </w:rPr>
              <w:t>-</w:t>
            </w:r>
          </w:p>
        </w:tc>
      </w:tr>
      <w:tr w:rsidR="00043967" w14:paraId="46056589"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ADD726" w14:textId="77777777" w:rsidR="00A51E0B" w:rsidRDefault="00A51E0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423D28E" w14:textId="77777777" w:rsidR="00A51E0B" w:rsidRDefault="00A51E0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514DE7" w14:textId="77777777" w:rsidR="00A51E0B" w:rsidRDefault="00A51E0B">
            <w:pPr>
              <w:jc w:val="right"/>
            </w:pPr>
            <w:r>
              <w:rPr>
                <w:rFonts w:ascii="宋体" w:hAnsi="宋体" w:hint="eastAsia"/>
                <w:szCs w:val="24"/>
                <w:lang w:eastAsia="zh-Hans"/>
              </w:rPr>
              <w:t>256,202.95</w:t>
            </w:r>
          </w:p>
        </w:tc>
        <w:tc>
          <w:tcPr>
            <w:tcW w:w="1333" w:type="pct"/>
            <w:tcBorders>
              <w:top w:val="single" w:sz="4" w:space="0" w:color="auto"/>
              <w:left w:val="nil"/>
              <w:bottom w:val="single" w:sz="4" w:space="0" w:color="auto"/>
              <w:right w:val="single" w:sz="4" w:space="0" w:color="auto"/>
            </w:tcBorders>
            <w:vAlign w:val="center"/>
            <w:hideMark/>
          </w:tcPr>
          <w:p w14:paraId="1326793A" w14:textId="77777777" w:rsidR="00A51E0B" w:rsidRDefault="00A51E0B">
            <w:pPr>
              <w:jc w:val="right"/>
            </w:pPr>
            <w:r>
              <w:rPr>
                <w:rFonts w:ascii="宋体" w:hAnsi="宋体" w:hint="eastAsia"/>
                <w:szCs w:val="24"/>
                <w:lang w:eastAsia="zh-Hans"/>
              </w:rPr>
              <w:t>0.23</w:t>
            </w:r>
          </w:p>
        </w:tc>
      </w:tr>
      <w:tr w:rsidR="00043967" w14:paraId="47247CA5"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150CD7" w14:textId="77777777" w:rsidR="00A51E0B" w:rsidRDefault="00A51E0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A9A664D" w14:textId="77777777" w:rsidR="00A51E0B" w:rsidRDefault="00A51E0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537BC7" w14:textId="77777777" w:rsidR="00A51E0B" w:rsidRDefault="00A51E0B">
            <w:pPr>
              <w:jc w:val="right"/>
            </w:pPr>
            <w:r>
              <w:rPr>
                <w:rFonts w:ascii="宋体" w:hAnsi="宋体" w:hint="eastAsia"/>
                <w:szCs w:val="24"/>
                <w:lang w:eastAsia="zh-Hans"/>
              </w:rPr>
              <w:t>1,130,084.33</w:t>
            </w:r>
          </w:p>
        </w:tc>
        <w:tc>
          <w:tcPr>
            <w:tcW w:w="1333" w:type="pct"/>
            <w:tcBorders>
              <w:top w:val="single" w:sz="4" w:space="0" w:color="auto"/>
              <w:left w:val="nil"/>
              <w:bottom w:val="single" w:sz="4" w:space="0" w:color="auto"/>
              <w:right w:val="single" w:sz="4" w:space="0" w:color="auto"/>
            </w:tcBorders>
            <w:vAlign w:val="center"/>
            <w:hideMark/>
          </w:tcPr>
          <w:p w14:paraId="2DC05909" w14:textId="77777777" w:rsidR="00A51E0B" w:rsidRDefault="00A51E0B">
            <w:pPr>
              <w:jc w:val="right"/>
            </w:pPr>
            <w:r>
              <w:rPr>
                <w:rFonts w:ascii="宋体" w:hAnsi="宋体" w:hint="eastAsia"/>
                <w:szCs w:val="24"/>
                <w:lang w:eastAsia="zh-Hans"/>
              </w:rPr>
              <w:t>1.00</w:t>
            </w:r>
          </w:p>
        </w:tc>
      </w:tr>
      <w:tr w:rsidR="00043967" w14:paraId="680C8A3D" w14:textId="77777777">
        <w:trPr>
          <w:divId w:val="1854419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CE9FA1" w14:textId="77777777" w:rsidR="00A51E0B" w:rsidRDefault="00A51E0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ACECD96" w14:textId="77777777" w:rsidR="00A51E0B" w:rsidRDefault="00A51E0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B1D520" w14:textId="77777777" w:rsidR="00A51E0B" w:rsidRDefault="00A51E0B">
            <w:pPr>
              <w:jc w:val="right"/>
            </w:pPr>
            <w:r>
              <w:rPr>
                <w:rFonts w:ascii="宋体" w:hAnsi="宋体" w:hint="eastAsia"/>
                <w:szCs w:val="24"/>
                <w:lang w:eastAsia="zh-Hans"/>
              </w:rPr>
              <w:t>113,310,099.88</w:t>
            </w:r>
          </w:p>
        </w:tc>
        <w:tc>
          <w:tcPr>
            <w:tcW w:w="1333" w:type="pct"/>
            <w:tcBorders>
              <w:top w:val="single" w:sz="4" w:space="0" w:color="auto"/>
              <w:left w:val="nil"/>
              <w:bottom w:val="single" w:sz="4" w:space="0" w:color="auto"/>
              <w:right w:val="single" w:sz="4" w:space="0" w:color="auto"/>
            </w:tcBorders>
            <w:vAlign w:val="center"/>
            <w:hideMark/>
          </w:tcPr>
          <w:p w14:paraId="2349FA1A" w14:textId="77777777" w:rsidR="00A51E0B" w:rsidRDefault="00A51E0B">
            <w:pPr>
              <w:jc w:val="right"/>
            </w:pPr>
            <w:r>
              <w:rPr>
                <w:rFonts w:ascii="宋体" w:hAnsi="宋体" w:hint="eastAsia"/>
                <w:szCs w:val="24"/>
                <w:lang w:eastAsia="zh-Hans"/>
              </w:rPr>
              <w:t>100.00</w:t>
            </w:r>
          </w:p>
        </w:tc>
      </w:tr>
    </w:tbl>
    <w:p w14:paraId="44203B59" w14:textId="77777777" w:rsidR="00A51E0B" w:rsidRDefault="00A51E0B">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2391A278" w14:textId="77777777" w:rsidR="00A51E0B" w:rsidRDefault="00A51E0B">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2512A6F8" w14:textId="77777777" w:rsidR="00A51E0B" w:rsidRDefault="00A51E0B">
      <w:pPr>
        <w:spacing w:line="360" w:lineRule="auto"/>
        <w:ind w:firstLineChars="200" w:firstLine="420"/>
      </w:pPr>
      <w:r>
        <w:rPr>
          <w:rFonts w:ascii="宋体" w:hAnsi="宋体" w:hint="eastAsia"/>
          <w:szCs w:val="21"/>
          <w:lang w:eastAsia="zh-Hans"/>
        </w:rPr>
        <w:t>本基金本报告期末未持有指数投资股票。</w:t>
      </w:r>
    </w:p>
    <w:p w14:paraId="579C359C" w14:textId="77777777" w:rsidR="00A51E0B" w:rsidRDefault="00A51E0B">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p>
    <w:bookmarkEnd w:id="122"/>
    <w:bookmarkEnd w:id="123"/>
    <w:bookmarkEnd w:id="124"/>
    <w:p w14:paraId="1EC18062" w14:textId="77777777" w:rsidR="00A51E0B" w:rsidRDefault="00A51E0B">
      <w:pPr>
        <w:spacing w:line="360" w:lineRule="auto"/>
        <w:ind w:firstLineChars="200" w:firstLine="420"/>
      </w:pPr>
      <w:r>
        <w:rPr>
          <w:rFonts w:ascii="宋体" w:hAnsi="宋体" w:hint="eastAsia"/>
          <w:szCs w:val="21"/>
          <w:lang w:eastAsia="zh-Hans"/>
        </w:rPr>
        <w:t>本基金本报告期末未持有积极投资股票。</w:t>
      </w:r>
    </w:p>
    <w:p w14:paraId="0066F9DC" w14:textId="77777777" w:rsidR="00A51E0B" w:rsidRDefault="00A51E0B">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p w14:paraId="098C20A0" w14:textId="77777777" w:rsidR="00A51E0B" w:rsidRDefault="00A51E0B">
      <w:pPr>
        <w:spacing w:line="360" w:lineRule="auto"/>
        <w:ind w:firstLineChars="200" w:firstLine="420"/>
      </w:pPr>
      <w:r>
        <w:rPr>
          <w:rFonts w:ascii="宋体" w:hAnsi="宋体" w:hint="eastAsia"/>
          <w:szCs w:val="21"/>
          <w:lang w:eastAsia="zh-Hans"/>
        </w:rPr>
        <w:t>本基金本报告期末未持有港股通股票　。</w:t>
      </w:r>
    </w:p>
    <w:p w14:paraId="5FCC5A57" w14:textId="77777777" w:rsidR="00A51E0B" w:rsidRDefault="00A51E0B">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3DB29702" w14:textId="77777777" w:rsidR="00A51E0B" w:rsidRDefault="00A51E0B">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p w14:paraId="0758095D" w14:textId="77777777" w:rsidR="00A51E0B" w:rsidRDefault="00A51E0B">
      <w:pPr>
        <w:spacing w:line="360" w:lineRule="auto"/>
        <w:ind w:firstLineChars="200" w:firstLine="420"/>
        <w:jc w:val="left"/>
        <w:divId w:val="755858768"/>
      </w:pPr>
      <w:r>
        <w:rPr>
          <w:rFonts w:ascii="宋体" w:hAnsi="宋体" w:hint="eastAsia"/>
          <w:color w:val="000000"/>
          <w:szCs w:val="21"/>
          <w:lang w:eastAsia="zh-Hans"/>
        </w:rPr>
        <w:t>本基金本报告期末未持有股票。</w:t>
      </w:r>
    </w:p>
    <w:p w14:paraId="576BDBE6" w14:textId="77777777" w:rsidR="00A51E0B" w:rsidRDefault="00A51E0B">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5FDFD959" w14:textId="77777777" w:rsidR="00A51E0B" w:rsidRDefault="00A51E0B">
      <w:pPr>
        <w:spacing w:line="360" w:lineRule="auto"/>
        <w:ind w:firstLineChars="200" w:firstLine="420"/>
        <w:jc w:val="left"/>
        <w:divId w:val="364865429"/>
      </w:pPr>
      <w:r>
        <w:rPr>
          <w:rFonts w:ascii="宋体" w:hAnsi="宋体" w:hint="eastAsia"/>
          <w:color w:val="000000"/>
          <w:szCs w:val="21"/>
          <w:lang w:eastAsia="zh-Hans"/>
        </w:rPr>
        <w:t>本基金本报告期末未持有积极投资股票。</w:t>
      </w:r>
    </w:p>
    <w:p w14:paraId="29A22086" w14:textId="77777777" w:rsidR="00A51E0B" w:rsidRDefault="00A51E0B">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43967" w14:paraId="4DDC7397"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C66B74" w14:textId="77777777" w:rsidR="00A51E0B" w:rsidRDefault="00A51E0B">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151284" w14:textId="77777777" w:rsidR="00A51E0B" w:rsidRDefault="00A51E0B">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740F78" w14:textId="77777777" w:rsidR="00A51E0B" w:rsidRDefault="00A51E0B">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824D4E" w14:textId="77777777" w:rsidR="00A51E0B" w:rsidRDefault="00A51E0B">
            <w:pPr>
              <w:jc w:val="center"/>
            </w:pPr>
            <w:r>
              <w:rPr>
                <w:rFonts w:ascii="宋体" w:hAnsi="宋体" w:hint="eastAsia"/>
                <w:color w:val="000000"/>
              </w:rPr>
              <w:t xml:space="preserve">占基金资产净值比例（%） </w:t>
            </w:r>
          </w:p>
        </w:tc>
      </w:tr>
      <w:tr w:rsidR="00043967" w14:paraId="25561521"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4B41EC" w14:textId="77777777" w:rsidR="00A51E0B" w:rsidRDefault="00A51E0B">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2CBAF2" w14:textId="77777777" w:rsidR="00A51E0B" w:rsidRDefault="00A51E0B">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0CC94E"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9384B0" w14:textId="77777777" w:rsidR="00A51E0B" w:rsidRDefault="00A51E0B">
            <w:pPr>
              <w:jc w:val="right"/>
            </w:pPr>
            <w:r>
              <w:rPr>
                <w:rFonts w:ascii="宋体" w:hAnsi="宋体" w:hint="eastAsia"/>
                <w:szCs w:val="24"/>
                <w:lang w:eastAsia="zh-Hans"/>
              </w:rPr>
              <w:t>-</w:t>
            </w:r>
          </w:p>
        </w:tc>
      </w:tr>
      <w:tr w:rsidR="00043967" w14:paraId="50987E04"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754783" w14:textId="77777777" w:rsidR="00A51E0B" w:rsidRDefault="00A51E0B">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455318" w14:textId="77777777" w:rsidR="00A51E0B" w:rsidRDefault="00A51E0B">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9185C7"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C5F6C4" w14:textId="77777777" w:rsidR="00A51E0B" w:rsidRDefault="00A51E0B">
            <w:pPr>
              <w:jc w:val="right"/>
            </w:pPr>
            <w:r>
              <w:rPr>
                <w:rFonts w:ascii="宋体" w:hAnsi="宋体" w:hint="eastAsia"/>
                <w:szCs w:val="24"/>
                <w:lang w:eastAsia="zh-Hans"/>
              </w:rPr>
              <w:t>-</w:t>
            </w:r>
          </w:p>
        </w:tc>
      </w:tr>
      <w:tr w:rsidR="00043967" w14:paraId="089A9371"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273DDE" w14:textId="77777777" w:rsidR="00A51E0B" w:rsidRDefault="00A51E0B">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7D1C07" w14:textId="77777777" w:rsidR="00A51E0B" w:rsidRDefault="00A51E0B">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A92317" w14:textId="77777777" w:rsidR="00A51E0B" w:rsidRDefault="00A51E0B">
            <w:pPr>
              <w:jc w:val="right"/>
            </w:pPr>
            <w:r>
              <w:rPr>
                <w:rFonts w:ascii="宋体" w:hAnsi="宋体" w:hint="eastAsia"/>
                <w:szCs w:val="24"/>
                <w:lang w:eastAsia="zh-Hans"/>
              </w:rPr>
              <w:t>10,125,769.86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AB40E70" w14:textId="77777777" w:rsidR="00A51E0B" w:rsidRDefault="00A51E0B">
            <w:pPr>
              <w:jc w:val="right"/>
            </w:pPr>
            <w:r>
              <w:rPr>
                <w:rFonts w:ascii="宋体" w:hAnsi="宋体" w:hint="eastAsia"/>
                <w:szCs w:val="24"/>
                <w:lang w:eastAsia="zh-Hans"/>
              </w:rPr>
              <w:t>8.96</w:t>
            </w:r>
          </w:p>
        </w:tc>
      </w:tr>
      <w:tr w:rsidR="00043967" w14:paraId="29228F4C"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1704BC" w14:textId="77777777" w:rsidR="00A51E0B" w:rsidRDefault="00A51E0B">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1D59FD" w14:textId="77777777" w:rsidR="00A51E0B" w:rsidRDefault="00A51E0B">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1239DD" w14:textId="77777777" w:rsidR="00A51E0B" w:rsidRDefault="00A51E0B">
            <w:pPr>
              <w:jc w:val="right"/>
            </w:pPr>
            <w:r>
              <w:rPr>
                <w:rFonts w:ascii="宋体" w:hAnsi="宋体" w:hint="eastAsia"/>
                <w:szCs w:val="24"/>
                <w:lang w:eastAsia="zh-Hans"/>
              </w:rPr>
              <w:t>10,125,769.86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42D643" w14:textId="77777777" w:rsidR="00A51E0B" w:rsidRDefault="00A51E0B">
            <w:pPr>
              <w:jc w:val="right"/>
            </w:pPr>
            <w:r>
              <w:rPr>
                <w:rFonts w:ascii="宋体" w:hAnsi="宋体" w:hint="eastAsia"/>
                <w:szCs w:val="24"/>
                <w:lang w:eastAsia="zh-Hans"/>
              </w:rPr>
              <w:t>8.96</w:t>
            </w:r>
          </w:p>
        </w:tc>
      </w:tr>
      <w:tr w:rsidR="00043967" w14:paraId="0620052C"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E030F9" w14:textId="77777777" w:rsidR="00A51E0B" w:rsidRDefault="00A51E0B">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C39C8C" w14:textId="77777777" w:rsidR="00A51E0B" w:rsidRDefault="00A51E0B">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596367"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473744" w14:textId="77777777" w:rsidR="00A51E0B" w:rsidRDefault="00A51E0B">
            <w:pPr>
              <w:jc w:val="right"/>
            </w:pPr>
            <w:r>
              <w:rPr>
                <w:rFonts w:ascii="宋体" w:hAnsi="宋体" w:hint="eastAsia"/>
                <w:szCs w:val="24"/>
                <w:lang w:eastAsia="zh-Hans"/>
              </w:rPr>
              <w:t>-</w:t>
            </w:r>
          </w:p>
        </w:tc>
      </w:tr>
      <w:tr w:rsidR="00043967" w14:paraId="3290BC1A"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7317D1" w14:textId="77777777" w:rsidR="00A51E0B" w:rsidRDefault="00A51E0B">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65748E" w14:textId="77777777" w:rsidR="00A51E0B" w:rsidRDefault="00A51E0B">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355E4C"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6F8D68" w14:textId="77777777" w:rsidR="00A51E0B" w:rsidRDefault="00A51E0B">
            <w:pPr>
              <w:jc w:val="right"/>
            </w:pPr>
            <w:r>
              <w:rPr>
                <w:rFonts w:ascii="宋体" w:hAnsi="宋体" w:hint="eastAsia"/>
                <w:szCs w:val="24"/>
                <w:lang w:eastAsia="zh-Hans"/>
              </w:rPr>
              <w:t>-</w:t>
            </w:r>
          </w:p>
        </w:tc>
      </w:tr>
      <w:tr w:rsidR="00043967" w14:paraId="5A5131C5"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8D0BCE" w14:textId="77777777" w:rsidR="00A51E0B" w:rsidRDefault="00A51E0B">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0AE049" w14:textId="77777777" w:rsidR="00A51E0B" w:rsidRDefault="00A51E0B">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4B3381"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038D51" w14:textId="77777777" w:rsidR="00A51E0B" w:rsidRDefault="00A51E0B">
            <w:pPr>
              <w:jc w:val="right"/>
            </w:pPr>
            <w:r>
              <w:rPr>
                <w:rFonts w:ascii="宋体" w:hAnsi="宋体" w:hint="eastAsia"/>
                <w:szCs w:val="24"/>
                <w:lang w:eastAsia="zh-Hans"/>
              </w:rPr>
              <w:t>-</w:t>
            </w:r>
          </w:p>
        </w:tc>
      </w:tr>
      <w:tr w:rsidR="00043967" w14:paraId="3AEBDD76"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EF2822" w14:textId="77777777" w:rsidR="00A51E0B" w:rsidRDefault="00A51E0B">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E38AD3" w14:textId="77777777" w:rsidR="00A51E0B" w:rsidRDefault="00A51E0B">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519ED7"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475DF2" w14:textId="77777777" w:rsidR="00A51E0B" w:rsidRDefault="00A51E0B">
            <w:pPr>
              <w:jc w:val="right"/>
            </w:pPr>
            <w:r>
              <w:rPr>
                <w:rFonts w:ascii="宋体" w:hAnsi="宋体" w:hint="eastAsia"/>
                <w:szCs w:val="24"/>
                <w:lang w:eastAsia="zh-Hans"/>
              </w:rPr>
              <w:t>-</w:t>
            </w:r>
          </w:p>
        </w:tc>
      </w:tr>
      <w:tr w:rsidR="00043967" w14:paraId="6DDBE95B"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9BDBD3" w14:textId="77777777" w:rsidR="00A51E0B" w:rsidRDefault="00A51E0B">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4CECF7" w14:textId="77777777" w:rsidR="00A51E0B" w:rsidRDefault="00A51E0B">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2BAC39" w14:textId="77777777" w:rsidR="00A51E0B" w:rsidRDefault="00A51E0B">
            <w:pPr>
              <w:jc w:val="right"/>
            </w:pPr>
            <w:r>
              <w:rPr>
                <w:rFonts w:ascii="宋体" w:hAnsi="宋体" w:hint="eastAsia"/>
                <w:szCs w:val="24"/>
                <w:lang w:eastAsia="zh-Hans"/>
              </w:rPr>
              <w:t>99,397,795.91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7B0782" w14:textId="77777777" w:rsidR="00A51E0B" w:rsidRDefault="00A51E0B">
            <w:pPr>
              <w:jc w:val="right"/>
            </w:pPr>
            <w:r>
              <w:rPr>
                <w:rFonts w:ascii="宋体" w:hAnsi="宋体" w:hint="eastAsia"/>
                <w:szCs w:val="24"/>
                <w:lang w:eastAsia="zh-Hans"/>
              </w:rPr>
              <w:t>87.95</w:t>
            </w:r>
          </w:p>
        </w:tc>
      </w:tr>
      <w:tr w:rsidR="00043967" w14:paraId="3F25E98C"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942DD0" w14:textId="77777777" w:rsidR="00A51E0B" w:rsidRDefault="00A51E0B">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AE51D0" w14:textId="77777777" w:rsidR="00A51E0B" w:rsidRDefault="00A51E0B">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857CD1" w14:textId="77777777" w:rsidR="00A51E0B" w:rsidRDefault="00A51E0B">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12391C" w14:textId="77777777" w:rsidR="00A51E0B" w:rsidRDefault="00A51E0B">
            <w:pPr>
              <w:jc w:val="right"/>
            </w:pPr>
            <w:r>
              <w:rPr>
                <w:rFonts w:ascii="宋体" w:hAnsi="宋体" w:hint="eastAsia"/>
                <w:szCs w:val="24"/>
                <w:lang w:eastAsia="zh-Hans"/>
              </w:rPr>
              <w:t>-</w:t>
            </w:r>
          </w:p>
        </w:tc>
      </w:tr>
      <w:tr w:rsidR="00043967" w14:paraId="00333D2C" w14:textId="77777777">
        <w:trPr>
          <w:divId w:val="172466964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7D7BCC" w14:textId="77777777" w:rsidR="00A51E0B" w:rsidRDefault="00A51E0B">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031613" w14:textId="77777777" w:rsidR="00A51E0B" w:rsidRDefault="00A51E0B">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72D65B" w14:textId="77777777" w:rsidR="00A51E0B" w:rsidRDefault="00A51E0B">
            <w:pPr>
              <w:jc w:val="right"/>
            </w:pPr>
            <w:r>
              <w:rPr>
                <w:rFonts w:ascii="宋体" w:hAnsi="宋体" w:hint="eastAsia"/>
                <w:szCs w:val="24"/>
                <w:lang w:eastAsia="zh-Hans"/>
              </w:rPr>
              <w:t>109,523,565.77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9639C6" w14:textId="77777777" w:rsidR="00A51E0B" w:rsidRDefault="00A51E0B">
            <w:pPr>
              <w:jc w:val="right"/>
            </w:pPr>
            <w:r>
              <w:rPr>
                <w:rFonts w:ascii="宋体" w:hAnsi="宋体" w:hint="eastAsia"/>
                <w:szCs w:val="24"/>
                <w:lang w:eastAsia="zh-Hans"/>
              </w:rPr>
              <w:t>96.91</w:t>
            </w:r>
          </w:p>
        </w:tc>
      </w:tr>
    </w:tbl>
    <w:p w14:paraId="48BE651A" w14:textId="77777777" w:rsidR="00A51E0B" w:rsidRDefault="00A51E0B">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43967" w14:paraId="5B3793FA" w14:textId="77777777">
        <w:trPr>
          <w:divId w:val="6746530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395F0D" w14:textId="77777777" w:rsidR="00A51E0B" w:rsidRDefault="00A51E0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005E52" w14:textId="77777777" w:rsidR="00A51E0B" w:rsidRDefault="00A51E0B">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2F5F81" w14:textId="77777777" w:rsidR="00A51E0B" w:rsidRDefault="00A51E0B">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6FD178" w14:textId="77777777" w:rsidR="00A51E0B" w:rsidRDefault="00A51E0B">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C3E14E" w14:textId="77777777" w:rsidR="00A51E0B" w:rsidRDefault="00A51E0B">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738B6" w14:textId="77777777" w:rsidR="00A51E0B" w:rsidRDefault="00A51E0B">
            <w:pPr>
              <w:jc w:val="center"/>
            </w:pPr>
            <w:r>
              <w:rPr>
                <w:rFonts w:ascii="宋体" w:hAnsi="宋体" w:hint="eastAsia"/>
                <w:color w:val="000000"/>
              </w:rPr>
              <w:t xml:space="preserve">占基金资产净值比例（%） </w:t>
            </w:r>
          </w:p>
        </w:tc>
      </w:tr>
      <w:tr w:rsidR="00043967" w14:paraId="5A89181D" w14:textId="77777777">
        <w:trPr>
          <w:divId w:val="6746530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4D34E" w14:textId="77777777" w:rsidR="00A51E0B" w:rsidRDefault="00A51E0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B5058" w14:textId="77777777" w:rsidR="00A51E0B" w:rsidRDefault="00A51E0B">
            <w:pPr>
              <w:jc w:val="center"/>
            </w:pPr>
            <w:r>
              <w:rPr>
                <w:rFonts w:ascii="宋体" w:hAnsi="宋体" w:hint="eastAsia"/>
                <w:szCs w:val="24"/>
                <w:lang w:eastAsia="zh-Hans"/>
              </w:rPr>
              <w:t>09240412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6274C" w14:textId="77777777" w:rsidR="00A51E0B" w:rsidRDefault="00A51E0B">
            <w:pPr>
              <w:jc w:val="center"/>
            </w:pPr>
            <w:r>
              <w:rPr>
                <w:rFonts w:ascii="宋体" w:hAnsi="宋体" w:hint="eastAsia"/>
                <w:szCs w:val="24"/>
                <w:lang w:eastAsia="zh-Hans"/>
              </w:rPr>
              <w:t>24农发清发12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E5499" w14:textId="77777777" w:rsidR="00A51E0B" w:rsidRDefault="00A51E0B">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017B8" w14:textId="77777777" w:rsidR="00A51E0B" w:rsidRDefault="00A51E0B">
            <w:pPr>
              <w:jc w:val="right"/>
            </w:pPr>
            <w:r>
              <w:rPr>
                <w:rFonts w:ascii="宋体" w:hAnsi="宋体" w:hint="eastAsia"/>
                <w:szCs w:val="24"/>
                <w:lang w:eastAsia="zh-Hans"/>
              </w:rPr>
              <w:t>10,125,769.86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AD925" w14:textId="77777777" w:rsidR="00A51E0B" w:rsidRDefault="00A51E0B">
            <w:pPr>
              <w:jc w:val="right"/>
            </w:pPr>
            <w:r>
              <w:rPr>
                <w:rFonts w:ascii="宋体" w:hAnsi="宋体" w:hint="eastAsia"/>
                <w:szCs w:val="24"/>
                <w:lang w:eastAsia="zh-Hans"/>
              </w:rPr>
              <w:t>8.96</w:t>
            </w:r>
          </w:p>
        </w:tc>
      </w:tr>
      <w:tr w:rsidR="00043967" w14:paraId="18422861" w14:textId="77777777">
        <w:trPr>
          <w:divId w:val="6746530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EE8CD" w14:textId="77777777" w:rsidR="00A51E0B" w:rsidRDefault="00A51E0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5D944" w14:textId="77777777" w:rsidR="00A51E0B" w:rsidRDefault="00A51E0B">
            <w:pPr>
              <w:jc w:val="center"/>
            </w:pPr>
            <w:r>
              <w:rPr>
                <w:rFonts w:ascii="宋体" w:hAnsi="宋体" w:hint="eastAsia"/>
                <w:szCs w:val="24"/>
                <w:lang w:eastAsia="zh-Hans"/>
              </w:rPr>
              <w:t>112505059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CC28B" w14:textId="77777777" w:rsidR="00A51E0B" w:rsidRDefault="00A51E0B">
            <w:pPr>
              <w:jc w:val="center"/>
            </w:pPr>
            <w:r>
              <w:rPr>
                <w:rFonts w:ascii="宋体" w:hAnsi="宋体" w:hint="eastAsia"/>
                <w:szCs w:val="24"/>
                <w:lang w:eastAsia="zh-Hans"/>
              </w:rPr>
              <w:t>25建设银行CD059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03B38" w14:textId="77777777" w:rsidR="00A51E0B" w:rsidRDefault="00A51E0B">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C9C52" w14:textId="77777777" w:rsidR="00A51E0B" w:rsidRDefault="00A51E0B">
            <w:pPr>
              <w:jc w:val="right"/>
            </w:pPr>
            <w:r>
              <w:rPr>
                <w:rFonts w:ascii="宋体" w:hAnsi="宋体" w:hint="eastAsia"/>
                <w:szCs w:val="24"/>
                <w:lang w:eastAsia="zh-Hans"/>
              </w:rPr>
              <w:t>9,981,728.16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5F2D8" w14:textId="77777777" w:rsidR="00A51E0B" w:rsidRDefault="00A51E0B">
            <w:pPr>
              <w:jc w:val="right"/>
            </w:pPr>
            <w:r>
              <w:rPr>
                <w:rFonts w:ascii="宋体" w:hAnsi="宋体" w:hint="eastAsia"/>
                <w:szCs w:val="24"/>
                <w:lang w:eastAsia="zh-Hans"/>
              </w:rPr>
              <w:t>8.83</w:t>
            </w:r>
          </w:p>
        </w:tc>
      </w:tr>
      <w:tr w:rsidR="00043967" w14:paraId="5026A19D" w14:textId="77777777">
        <w:trPr>
          <w:divId w:val="6746530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3D7E5" w14:textId="77777777" w:rsidR="00A51E0B" w:rsidRDefault="00A51E0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E510C" w14:textId="77777777" w:rsidR="00A51E0B" w:rsidRDefault="00A51E0B">
            <w:pPr>
              <w:jc w:val="center"/>
            </w:pPr>
            <w:r>
              <w:rPr>
                <w:rFonts w:ascii="宋体" w:hAnsi="宋体" w:hint="eastAsia"/>
                <w:szCs w:val="24"/>
                <w:lang w:eastAsia="zh-Hans"/>
              </w:rPr>
              <w:t>112502123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7FF92" w14:textId="77777777" w:rsidR="00A51E0B" w:rsidRDefault="00A51E0B">
            <w:pPr>
              <w:jc w:val="center"/>
            </w:pPr>
            <w:r>
              <w:rPr>
                <w:rFonts w:ascii="宋体" w:hAnsi="宋体" w:hint="eastAsia"/>
                <w:szCs w:val="24"/>
                <w:lang w:eastAsia="zh-Hans"/>
              </w:rPr>
              <w:t>25工商银行CD123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43F14" w14:textId="77777777" w:rsidR="00A51E0B" w:rsidRDefault="00A51E0B">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E791" w14:textId="77777777" w:rsidR="00A51E0B" w:rsidRDefault="00A51E0B">
            <w:pPr>
              <w:jc w:val="right"/>
            </w:pPr>
            <w:r>
              <w:rPr>
                <w:rFonts w:ascii="宋体" w:hAnsi="宋体" w:hint="eastAsia"/>
                <w:szCs w:val="24"/>
                <w:lang w:eastAsia="zh-Hans"/>
              </w:rPr>
              <w:t>9,965,026.79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46A15" w14:textId="77777777" w:rsidR="00A51E0B" w:rsidRDefault="00A51E0B">
            <w:pPr>
              <w:jc w:val="right"/>
            </w:pPr>
            <w:r>
              <w:rPr>
                <w:rFonts w:ascii="宋体" w:hAnsi="宋体" w:hint="eastAsia"/>
                <w:szCs w:val="24"/>
                <w:lang w:eastAsia="zh-Hans"/>
              </w:rPr>
              <w:t>8.82</w:t>
            </w:r>
          </w:p>
        </w:tc>
      </w:tr>
      <w:tr w:rsidR="00043967" w14:paraId="1CDF9B47" w14:textId="77777777">
        <w:trPr>
          <w:divId w:val="6746530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2D2C8" w14:textId="77777777" w:rsidR="00A51E0B" w:rsidRDefault="00A51E0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D3F2F" w14:textId="77777777" w:rsidR="00A51E0B" w:rsidRDefault="00A51E0B">
            <w:pPr>
              <w:jc w:val="center"/>
            </w:pPr>
            <w:r>
              <w:rPr>
                <w:rFonts w:ascii="宋体" w:hAnsi="宋体" w:hint="eastAsia"/>
                <w:szCs w:val="24"/>
                <w:lang w:eastAsia="zh-Hans"/>
              </w:rPr>
              <w:t>112520268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DEA14" w14:textId="77777777" w:rsidR="00A51E0B" w:rsidRDefault="00A51E0B">
            <w:pPr>
              <w:jc w:val="center"/>
            </w:pPr>
            <w:r>
              <w:rPr>
                <w:rFonts w:ascii="宋体" w:hAnsi="宋体" w:hint="eastAsia"/>
                <w:szCs w:val="24"/>
                <w:lang w:eastAsia="zh-Hans"/>
              </w:rPr>
              <w:t>25广发银行CD268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9F2C8" w14:textId="77777777" w:rsidR="00A51E0B" w:rsidRDefault="00A51E0B">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3C39C" w14:textId="77777777" w:rsidR="00A51E0B" w:rsidRDefault="00A51E0B">
            <w:pPr>
              <w:jc w:val="right"/>
            </w:pPr>
            <w:r>
              <w:rPr>
                <w:rFonts w:ascii="宋体" w:hAnsi="宋体" w:hint="eastAsia"/>
                <w:szCs w:val="24"/>
                <w:lang w:eastAsia="zh-Hans"/>
              </w:rPr>
              <w:t>9,955,551.43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43985" w14:textId="77777777" w:rsidR="00A51E0B" w:rsidRDefault="00A51E0B">
            <w:pPr>
              <w:jc w:val="right"/>
            </w:pPr>
            <w:r>
              <w:rPr>
                <w:rFonts w:ascii="宋体" w:hAnsi="宋体" w:hint="eastAsia"/>
                <w:szCs w:val="24"/>
                <w:lang w:eastAsia="zh-Hans"/>
              </w:rPr>
              <w:t>8.81</w:t>
            </w:r>
          </w:p>
        </w:tc>
      </w:tr>
      <w:tr w:rsidR="00043967" w14:paraId="0A8254C7" w14:textId="77777777">
        <w:trPr>
          <w:divId w:val="6746530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4C537" w14:textId="77777777" w:rsidR="00A51E0B" w:rsidRDefault="00A51E0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EA153" w14:textId="77777777" w:rsidR="00A51E0B" w:rsidRDefault="00A51E0B">
            <w:pPr>
              <w:jc w:val="center"/>
            </w:pPr>
            <w:r>
              <w:rPr>
                <w:rFonts w:ascii="宋体" w:hAnsi="宋体" w:hint="eastAsia"/>
                <w:szCs w:val="24"/>
                <w:lang w:eastAsia="zh-Hans"/>
              </w:rPr>
              <w:t>112519115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FDEE5" w14:textId="77777777" w:rsidR="00A51E0B" w:rsidRDefault="00A51E0B">
            <w:pPr>
              <w:jc w:val="center"/>
            </w:pPr>
            <w:r>
              <w:rPr>
                <w:rFonts w:ascii="宋体" w:hAnsi="宋体" w:hint="eastAsia"/>
                <w:szCs w:val="24"/>
                <w:lang w:eastAsia="zh-Hans"/>
              </w:rPr>
              <w:t>25恒丰银行CD115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6C6B0" w14:textId="77777777" w:rsidR="00A51E0B" w:rsidRDefault="00A51E0B">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1436D" w14:textId="77777777" w:rsidR="00A51E0B" w:rsidRDefault="00A51E0B">
            <w:pPr>
              <w:jc w:val="right"/>
            </w:pPr>
            <w:r>
              <w:rPr>
                <w:rFonts w:ascii="宋体" w:hAnsi="宋体" w:hint="eastAsia"/>
                <w:szCs w:val="24"/>
                <w:lang w:eastAsia="zh-Hans"/>
              </w:rPr>
              <w:t>9,954,520.25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47F3E" w14:textId="77777777" w:rsidR="00A51E0B" w:rsidRDefault="00A51E0B">
            <w:pPr>
              <w:jc w:val="right"/>
            </w:pPr>
            <w:r>
              <w:rPr>
                <w:rFonts w:ascii="宋体" w:hAnsi="宋体" w:hint="eastAsia"/>
                <w:szCs w:val="24"/>
                <w:lang w:eastAsia="zh-Hans"/>
              </w:rPr>
              <w:t>8.81</w:t>
            </w:r>
          </w:p>
        </w:tc>
      </w:tr>
    </w:tbl>
    <w:p w14:paraId="44FB154F" w14:textId="77777777" w:rsidR="00A51E0B" w:rsidRDefault="00A51E0B">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6F6D4852" w14:textId="77777777" w:rsidR="00A51E0B" w:rsidRDefault="00A51E0B">
      <w:pPr>
        <w:spacing w:line="360" w:lineRule="auto"/>
        <w:ind w:firstLineChars="200" w:firstLine="420"/>
        <w:jc w:val="left"/>
        <w:divId w:val="1776821922"/>
      </w:pPr>
      <w:r>
        <w:rPr>
          <w:rFonts w:ascii="宋体" w:hAnsi="宋体" w:hint="eastAsia"/>
          <w:color w:val="000000"/>
          <w:szCs w:val="21"/>
          <w:lang w:eastAsia="zh-Hans"/>
        </w:rPr>
        <w:t>本基金本报告期末未持有资产支持证券。</w:t>
      </w:r>
    </w:p>
    <w:p w14:paraId="4E7C5CB6" w14:textId="77777777" w:rsidR="00A51E0B" w:rsidRDefault="00A51E0B">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13FD93C0" w14:textId="77777777" w:rsidR="00A51E0B" w:rsidRDefault="00A51E0B">
      <w:pPr>
        <w:spacing w:line="360" w:lineRule="auto"/>
        <w:ind w:firstLineChars="200" w:firstLine="420"/>
      </w:pPr>
      <w:r>
        <w:rPr>
          <w:rFonts w:ascii="宋体" w:hAnsi="宋体" w:hint="eastAsia"/>
          <w:szCs w:val="21"/>
          <w:lang w:eastAsia="zh-Hans"/>
        </w:rPr>
        <w:t>本基金本报告期末未持有贵金属。</w:t>
      </w:r>
    </w:p>
    <w:p w14:paraId="0219FA3B" w14:textId="77777777" w:rsidR="00A51E0B" w:rsidRDefault="00A51E0B">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39A155DE" w14:textId="77777777" w:rsidR="00A51E0B" w:rsidRDefault="00A51E0B">
      <w:pPr>
        <w:spacing w:line="360" w:lineRule="auto"/>
        <w:ind w:firstLineChars="200" w:firstLine="420"/>
      </w:pPr>
      <w:r>
        <w:rPr>
          <w:rFonts w:ascii="宋体" w:hAnsi="宋体" w:hint="eastAsia"/>
          <w:szCs w:val="21"/>
          <w:lang w:eastAsia="zh-Hans"/>
        </w:rPr>
        <w:t>本基金本报告期末未持有权证。</w:t>
      </w:r>
    </w:p>
    <w:p w14:paraId="7D67F479" w14:textId="77777777" w:rsidR="00A51E0B" w:rsidRDefault="00A51E0B">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p>
    <w:bookmarkEnd w:id="169"/>
    <w:p w14:paraId="181ABA19" w14:textId="77777777" w:rsidR="00A51E0B" w:rsidRDefault="00A51E0B">
      <w:pPr>
        <w:spacing w:line="360" w:lineRule="auto"/>
        <w:ind w:firstLineChars="200" w:firstLine="420"/>
      </w:pPr>
      <w:r>
        <w:rPr>
          <w:rFonts w:ascii="宋体" w:hAnsi="宋体" w:hint="eastAsia"/>
          <w:szCs w:val="21"/>
          <w:lang w:eastAsia="zh-Hans"/>
        </w:rPr>
        <w:t>本基金本报告期末未持有股指期货。</w:t>
      </w:r>
    </w:p>
    <w:p w14:paraId="54621989" w14:textId="77777777" w:rsidR="00A51E0B" w:rsidRDefault="00A51E0B">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527A8F69" w14:textId="77777777" w:rsidR="00A51E0B" w:rsidRDefault="00A51E0B">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42DC8589" w14:textId="77777777" w:rsidR="00A51E0B" w:rsidRDefault="00A51E0B">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t>投资组合报告附注</w:t>
      </w:r>
      <w:bookmarkEnd w:id="181"/>
      <w:bookmarkEnd w:id="182"/>
      <w:bookmarkEnd w:id="183"/>
      <w:bookmarkEnd w:id="184"/>
      <w:proofErr w:type="spellEnd"/>
      <w:r>
        <w:rPr>
          <w:rFonts w:hAnsi="宋体" w:hint="eastAsia"/>
        </w:rPr>
        <w:t xml:space="preserve"> </w:t>
      </w:r>
    </w:p>
    <w:p w14:paraId="20FBC32C" w14:textId="77777777" w:rsidR="00A51E0B" w:rsidRDefault="00A51E0B">
      <w:pPr>
        <w:pStyle w:val="XBRLTitle3"/>
        <w:spacing w:before="156"/>
        <w:ind w:left="0"/>
      </w:pPr>
      <w:bookmarkStart w:id="185" w:name="_Toc512519515"/>
      <w:bookmarkStart w:id="186" w:name="_Toc481075083"/>
      <w:bookmarkStart w:id="187" w:name="_Toc490050036"/>
      <w:bookmarkStart w:id="188" w:name="_Toc513295927"/>
      <w:r>
        <w:rPr>
          <w:rFonts w:hint="eastAsia"/>
          <w:lang w:eastAsia="zh-CN"/>
        </w:rPr>
        <w:t xml:space="preserve"> </w:t>
      </w:r>
      <w:bookmarkStart w:id="189" w:name="_Toc514507543"/>
      <w:bookmarkEnd w:id="185"/>
      <w:bookmarkEnd w:id="186"/>
      <w:bookmarkEnd w:id="187"/>
      <w:bookmarkEnd w:id="188"/>
      <w:bookmarkEnd w:id="189"/>
    </w:p>
    <w:p w14:paraId="757B1FC2" w14:textId="77777777" w:rsidR="00A51E0B" w:rsidRDefault="00A51E0B">
      <w:pPr>
        <w:spacing w:line="360" w:lineRule="auto"/>
        <w:ind w:firstLineChars="200" w:firstLine="420"/>
      </w:pPr>
      <w:r>
        <w:rPr>
          <w:rFonts w:ascii="宋体" w:hAnsi="宋体" w:hint="eastAsia"/>
        </w:rPr>
        <w:t>本基金投资的前十名证券的发行主体中，广发银行股份有限公司报告编制日前一年内曾受到国家外汇管理局广东省分局、国家金融监督管理总局的处罚，恒丰银行股份有限公司报告编制日前一年内曾受到国家金融监督管理总局的处罚，交通银行股份有限公司报告编制日前一年内曾受到央行的处罚，中信银行股份有限公司报告编制日前一年内曾受到央行、国家金融监督管理总局的处罚，中国银行股份有限公司报告编制日前一年内曾受到国家金融监督管理总局的处罚，中国农业银行股份有限公司报告编制日前一年内曾受到国家金融监督管理总局的处罚，中国农业发展银行报告编制日前一年内曾受到国家金融监督管理总局的处罚，中国建设银行股份有限公司报告编制日前一年内曾受到国家金融监督管理总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F7E5F33" w14:textId="77777777" w:rsidR="00A51E0B" w:rsidRDefault="00A51E0B">
      <w:pPr>
        <w:pStyle w:val="XBRLTitle3"/>
        <w:spacing w:before="156"/>
        <w:ind w:left="0"/>
      </w:pPr>
      <w:bookmarkStart w:id="190" w:name="_Toc512519516"/>
      <w:bookmarkStart w:id="191" w:name="_Toc481075084"/>
      <w:bookmarkStart w:id="192" w:name="_Toc490050037"/>
      <w:bookmarkStart w:id="193" w:name="_Toc513295928"/>
      <w:r>
        <w:rPr>
          <w:rFonts w:hint="eastAsia"/>
          <w:lang w:eastAsia="zh-CN"/>
        </w:rPr>
        <w:t xml:space="preserve"> </w:t>
      </w:r>
      <w:bookmarkStart w:id="194" w:name="_Toc514507544"/>
      <w:bookmarkEnd w:id="190"/>
      <w:bookmarkEnd w:id="191"/>
      <w:bookmarkEnd w:id="192"/>
      <w:bookmarkEnd w:id="193"/>
      <w:bookmarkEnd w:id="194"/>
    </w:p>
    <w:p w14:paraId="7E16D59B" w14:textId="77777777" w:rsidR="00A51E0B" w:rsidRDefault="00A51E0B">
      <w:pPr>
        <w:spacing w:line="360" w:lineRule="auto"/>
        <w:ind w:firstLineChars="200" w:firstLine="420"/>
      </w:pPr>
      <w:r>
        <w:rPr>
          <w:rFonts w:ascii="宋体" w:hAnsi="宋体" w:hint="eastAsia"/>
        </w:rPr>
        <w:t>报告期内本基金投资的前十名股票中没有在基金合同规定备选股票库之外的股票。</w:t>
      </w:r>
    </w:p>
    <w:p w14:paraId="4D0D9059" w14:textId="77777777" w:rsidR="00A51E0B" w:rsidRDefault="00A51E0B">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43967" w14:paraId="26DD4013" w14:textId="77777777">
        <w:trPr>
          <w:divId w:val="152948803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775AF" w14:textId="77777777" w:rsidR="00A51E0B" w:rsidRDefault="00A51E0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A7BC3" w14:textId="77777777" w:rsidR="00A51E0B" w:rsidRDefault="00A51E0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AC2BA" w14:textId="77777777" w:rsidR="00A51E0B" w:rsidRDefault="00A51E0B">
            <w:pPr>
              <w:jc w:val="center"/>
            </w:pPr>
            <w:r>
              <w:rPr>
                <w:rFonts w:ascii="宋体" w:hAnsi="宋体" w:hint="eastAsia"/>
              </w:rPr>
              <w:t>金额（元）</w:t>
            </w:r>
            <w:r>
              <w:t xml:space="preserve"> </w:t>
            </w:r>
          </w:p>
        </w:tc>
      </w:tr>
      <w:tr w:rsidR="00043967" w14:paraId="3468B3C8"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FDEF7" w14:textId="77777777" w:rsidR="00A51E0B" w:rsidRDefault="00A51E0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56D6" w14:textId="77777777" w:rsidR="00A51E0B" w:rsidRDefault="00A51E0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536EB" w14:textId="77777777" w:rsidR="00A51E0B" w:rsidRDefault="00A51E0B">
            <w:pPr>
              <w:jc w:val="right"/>
            </w:pPr>
            <w:r>
              <w:rPr>
                <w:rFonts w:ascii="宋体" w:hAnsi="宋体" w:hint="eastAsia"/>
              </w:rPr>
              <w:t>-</w:t>
            </w:r>
          </w:p>
        </w:tc>
      </w:tr>
      <w:tr w:rsidR="00043967" w14:paraId="2E5D654B"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5D467" w14:textId="77777777" w:rsidR="00A51E0B" w:rsidRDefault="00A51E0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2379A" w14:textId="77777777" w:rsidR="00A51E0B" w:rsidRDefault="00A51E0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BF406" w14:textId="77777777" w:rsidR="00A51E0B" w:rsidRDefault="00A51E0B">
            <w:pPr>
              <w:jc w:val="right"/>
            </w:pPr>
            <w:r>
              <w:rPr>
                <w:rFonts w:ascii="宋体" w:hAnsi="宋体" w:hint="eastAsia"/>
              </w:rPr>
              <w:t>-</w:t>
            </w:r>
          </w:p>
        </w:tc>
      </w:tr>
      <w:tr w:rsidR="00043967" w14:paraId="799F470D"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3C34A" w14:textId="77777777" w:rsidR="00A51E0B" w:rsidRDefault="00A51E0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7CDF1" w14:textId="77777777" w:rsidR="00A51E0B" w:rsidRDefault="00A51E0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46B26" w14:textId="77777777" w:rsidR="00A51E0B" w:rsidRDefault="00A51E0B">
            <w:pPr>
              <w:jc w:val="right"/>
            </w:pPr>
            <w:r>
              <w:rPr>
                <w:rFonts w:ascii="宋体" w:hAnsi="宋体" w:hint="eastAsia"/>
              </w:rPr>
              <w:t>-</w:t>
            </w:r>
          </w:p>
        </w:tc>
      </w:tr>
      <w:tr w:rsidR="00043967" w14:paraId="505C6FE4"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5AB0A" w14:textId="77777777" w:rsidR="00A51E0B" w:rsidRDefault="00A51E0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9F70" w14:textId="77777777" w:rsidR="00A51E0B" w:rsidRDefault="00A51E0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44874" w14:textId="77777777" w:rsidR="00A51E0B" w:rsidRDefault="00A51E0B">
            <w:pPr>
              <w:jc w:val="right"/>
            </w:pPr>
            <w:r>
              <w:rPr>
                <w:rFonts w:ascii="宋体" w:hAnsi="宋体" w:hint="eastAsia"/>
              </w:rPr>
              <w:t>-</w:t>
            </w:r>
          </w:p>
        </w:tc>
      </w:tr>
      <w:tr w:rsidR="00043967" w14:paraId="0AC1AF4A"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D714C" w14:textId="77777777" w:rsidR="00A51E0B" w:rsidRDefault="00A51E0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02091" w14:textId="77777777" w:rsidR="00A51E0B" w:rsidRDefault="00A51E0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E17BE" w14:textId="77777777" w:rsidR="00A51E0B" w:rsidRDefault="00A51E0B">
            <w:pPr>
              <w:jc w:val="right"/>
            </w:pPr>
            <w:r>
              <w:rPr>
                <w:rFonts w:ascii="宋体" w:hAnsi="宋体" w:hint="eastAsia"/>
              </w:rPr>
              <w:t>1,130,084.33</w:t>
            </w:r>
          </w:p>
        </w:tc>
      </w:tr>
      <w:tr w:rsidR="00043967" w14:paraId="35772736"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E6680" w14:textId="77777777" w:rsidR="00A51E0B" w:rsidRDefault="00A51E0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F1450" w14:textId="77777777" w:rsidR="00A51E0B" w:rsidRDefault="00A51E0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B3CC5" w14:textId="77777777" w:rsidR="00A51E0B" w:rsidRDefault="00A51E0B">
            <w:pPr>
              <w:jc w:val="right"/>
            </w:pPr>
            <w:r>
              <w:rPr>
                <w:rFonts w:ascii="宋体" w:hAnsi="宋体" w:hint="eastAsia"/>
              </w:rPr>
              <w:t>-</w:t>
            </w:r>
          </w:p>
        </w:tc>
      </w:tr>
      <w:tr w:rsidR="00043967" w14:paraId="26E679F1"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80DB2" w14:textId="77777777" w:rsidR="00A51E0B" w:rsidRDefault="00A51E0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23FA8" w14:textId="77777777" w:rsidR="00A51E0B" w:rsidRDefault="00A51E0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0C946" w14:textId="77777777" w:rsidR="00A51E0B" w:rsidRDefault="00A51E0B">
            <w:pPr>
              <w:jc w:val="right"/>
            </w:pPr>
            <w:r>
              <w:rPr>
                <w:rFonts w:ascii="宋体" w:hAnsi="宋体" w:hint="eastAsia"/>
              </w:rPr>
              <w:t>-</w:t>
            </w:r>
          </w:p>
        </w:tc>
      </w:tr>
      <w:tr w:rsidR="00043967" w14:paraId="75756C05" w14:textId="77777777">
        <w:trPr>
          <w:divId w:val="15294880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0E186" w14:textId="77777777" w:rsidR="00A51E0B" w:rsidRDefault="00A51E0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8BCC1" w14:textId="77777777" w:rsidR="00A51E0B" w:rsidRDefault="00A51E0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E0151" w14:textId="77777777" w:rsidR="00A51E0B" w:rsidRDefault="00A51E0B">
            <w:pPr>
              <w:jc w:val="right"/>
            </w:pPr>
            <w:r>
              <w:rPr>
                <w:rFonts w:ascii="宋体" w:hAnsi="宋体" w:hint="eastAsia"/>
              </w:rPr>
              <w:t>1,130,084.33</w:t>
            </w:r>
          </w:p>
        </w:tc>
      </w:tr>
    </w:tbl>
    <w:p w14:paraId="34BDF5BA" w14:textId="77777777" w:rsidR="00A51E0B" w:rsidRDefault="00A51E0B">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7688A86C" w14:textId="77777777" w:rsidR="00A51E0B" w:rsidRDefault="00A51E0B">
      <w:pPr>
        <w:spacing w:line="360" w:lineRule="auto"/>
        <w:ind w:firstLineChars="200" w:firstLine="420"/>
        <w:jc w:val="left"/>
        <w:divId w:val="1905144273"/>
      </w:pPr>
      <w:r>
        <w:rPr>
          <w:rFonts w:ascii="宋体" w:hAnsi="宋体" w:hint="eastAsia"/>
        </w:rPr>
        <w:t xml:space="preserve">本基金本报告期末未持有处于转股期的可转换债券。 </w:t>
      </w:r>
    </w:p>
    <w:p w14:paraId="73B23EDA" w14:textId="77777777" w:rsidR="00A51E0B" w:rsidRDefault="00A51E0B">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182228B5" w14:textId="77777777" w:rsidR="00A51E0B" w:rsidRDefault="00A51E0B">
      <w:pPr>
        <w:pStyle w:val="XBRLTitle4"/>
        <w:spacing w:before="156"/>
        <w:ind w:left="794"/>
      </w:pPr>
      <w:bookmarkStart w:id="210" w:name="_Toc513386625"/>
      <w:r>
        <w:rPr>
          <w:rFonts w:eastAsia="宋体" w:hint="eastAsia"/>
          <w:lang w:eastAsia="zh-CN"/>
        </w:rPr>
        <w:t>报告期末指数投资前十名股票中存在流通受限情况的说明</w:t>
      </w:r>
      <w:bookmarkEnd w:id="210"/>
      <w:r>
        <w:rPr>
          <w:rFonts w:eastAsia="宋体" w:hint="eastAsia"/>
          <w:lang w:eastAsia="zh-CN"/>
        </w:rPr>
        <w:t xml:space="preserve"> </w:t>
      </w:r>
    </w:p>
    <w:p w14:paraId="718076CD" w14:textId="77777777" w:rsidR="00A51E0B" w:rsidRDefault="00A51E0B">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685A8883" w14:textId="77777777" w:rsidR="00A51E0B" w:rsidRDefault="00A51E0B">
      <w:pPr>
        <w:pStyle w:val="XBRLTitle4"/>
        <w:spacing w:before="156"/>
        <w:ind w:left="794"/>
      </w:pPr>
      <w:bookmarkStart w:id="211" w:name="_Toc513386626"/>
      <w:r>
        <w:rPr>
          <w:rFonts w:eastAsia="宋体" w:hint="eastAsia"/>
          <w:lang w:eastAsia="zh-CN"/>
        </w:rPr>
        <w:t>报告期末积极投资前五名股票中存在流通受限情况的说明</w:t>
      </w:r>
      <w:bookmarkEnd w:id="211"/>
      <w:r>
        <w:rPr>
          <w:rFonts w:eastAsia="宋体" w:hint="eastAsia"/>
          <w:lang w:eastAsia="zh-CN"/>
        </w:rPr>
        <w:t xml:space="preserve"> </w:t>
      </w:r>
    </w:p>
    <w:p w14:paraId="7433F51C" w14:textId="77777777" w:rsidR="00A51E0B" w:rsidRDefault="00A51E0B">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084F261E" w14:textId="77777777" w:rsidR="00A51E0B" w:rsidRDefault="00A51E0B">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5F75F296" w14:textId="77777777" w:rsidR="00A51E0B" w:rsidRDefault="00A51E0B">
      <w:pPr>
        <w:spacing w:line="360" w:lineRule="auto"/>
        <w:ind w:firstLineChars="200" w:firstLine="420"/>
        <w:jc w:val="left"/>
      </w:pPr>
      <w:r>
        <w:rPr>
          <w:rFonts w:ascii="宋体" w:hAnsi="宋体" w:hint="eastAsia"/>
        </w:rPr>
        <w:t>因四舍五入原因，投资组合报告中分项之和与合计可能存在尾差。</w:t>
      </w:r>
    </w:p>
    <w:p w14:paraId="4AE84C58" w14:textId="77777777" w:rsidR="00A51E0B" w:rsidRDefault="00A51E0B">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216"/>
      <w:bookmarkEnd w:id="130"/>
      <w:proofErr w:type="spellStart"/>
      <w:r>
        <w:rPr>
          <w:rFonts w:hAnsi="宋体" w:hint="eastAsia"/>
        </w:rPr>
        <w:t>开放式基金份额变动</w:t>
      </w:r>
      <w:bookmarkStart w:id="223" w:name="m601_tab"/>
      <w:bookmarkEnd w:id="217"/>
      <w:bookmarkEnd w:id="218"/>
      <w:bookmarkEnd w:id="219"/>
      <w:bookmarkEnd w:id="220"/>
      <w:bookmarkEnd w:id="221"/>
      <w:bookmarkEnd w:id="12"/>
      <w:proofErr w:type="spellEnd"/>
    </w:p>
    <w:p w14:paraId="4CC59C5E" w14:textId="77777777" w:rsidR="00A51E0B" w:rsidRDefault="00A51E0B">
      <w:pPr>
        <w:wordWrap w:val="0"/>
        <w:spacing w:line="360" w:lineRule="auto"/>
        <w:jc w:val="right"/>
      </w:pPr>
      <w:bookmarkStart w:id="22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043967" w14:paraId="7DA0B71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540C982A" w14:textId="77777777" w:rsidR="00A51E0B" w:rsidRDefault="00A51E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6712F" w14:textId="77777777" w:rsidR="00A51E0B" w:rsidRDefault="00A51E0B">
            <w:pPr>
              <w:jc w:val="right"/>
            </w:pPr>
            <w:r>
              <w:rPr>
                <w:rFonts w:ascii="宋体" w:hAnsi="宋体" w:hint="eastAsia"/>
                <w:kern w:val="0"/>
                <w:szCs w:val="24"/>
                <w:lang w:eastAsia="zh-Hans"/>
              </w:rPr>
              <w:t>119,919,998.24</w:t>
            </w:r>
          </w:p>
        </w:tc>
      </w:tr>
      <w:tr w:rsidR="00043967" w14:paraId="499F4E4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9CF535" w14:textId="77777777" w:rsidR="00A51E0B" w:rsidRDefault="00A51E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7A26F" w14:textId="77777777" w:rsidR="00A51E0B" w:rsidRDefault="00A51E0B">
            <w:pPr>
              <w:jc w:val="right"/>
            </w:pPr>
            <w:r>
              <w:rPr>
                <w:rFonts w:ascii="宋体" w:hAnsi="宋体" w:hint="eastAsia"/>
                <w:lang w:eastAsia="zh-Hans"/>
              </w:rPr>
              <w:t>92,582,908.51</w:t>
            </w:r>
          </w:p>
        </w:tc>
      </w:tr>
      <w:tr w:rsidR="00043967" w14:paraId="63EBD52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B8881" w14:textId="77777777" w:rsidR="00A51E0B" w:rsidRDefault="00A51E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0C755" w14:textId="77777777" w:rsidR="00A51E0B" w:rsidRDefault="00A51E0B">
            <w:pPr>
              <w:jc w:val="right"/>
            </w:pPr>
            <w:r>
              <w:rPr>
                <w:rFonts w:ascii="宋体" w:hAnsi="宋体" w:hint="eastAsia"/>
                <w:lang w:eastAsia="zh-Hans"/>
              </w:rPr>
              <w:t>102,956,668.71</w:t>
            </w:r>
          </w:p>
        </w:tc>
      </w:tr>
      <w:tr w:rsidR="00043967" w14:paraId="12B3C22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C373D" w14:textId="77777777" w:rsidR="00A51E0B" w:rsidRDefault="00A51E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020B7" w14:textId="77777777" w:rsidR="00A51E0B" w:rsidRDefault="00A51E0B">
            <w:pPr>
              <w:jc w:val="right"/>
            </w:pPr>
            <w:r>
              <w:rPr>
                <w:rFonts w:ascii="宋体" w:hAnsi="宋体" w:hint="eastAsia"/>
                <w:lang w:eastAsia="zh-Hans"/>
              </w:rPr>
              <w:t>-</w:t>
            </w:r>
          </w:p>
        </w:tc>
      </w:tr>
      <w:tr w:rsidR="00043967" w14:paraId="343B794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2B47EE" w14:textId="77777777" w:rsidR="00A51E0B" w:rsidRDefault="00A51E0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732411" w14:textId="77777777" w:rsidR="00A51E0B" w:rsidRDefault="00A51E0B">
            <w:pPr>
              <w:jc w:val="right"/>
            </w:pPr>
            <w:r>
              <w:rPr>
                <w:rFonts w:ascii="宋体" w:hAnsi="宋体" w:hint="eastAsia"/>
                <w:szCs w:val="24"/>
                <w:lang w:eastAsia="zh-Hans"/>
              </w:rPr>
              <w:t>109,546,238.04</w:t>
            </w:r>
            <w:r>
              <w:rPr>
                <w:rFonts w:ascii="宋体" w:hAnsi="宋体" w:hint="eastAsia"/>
                <w:lang w:eastAsia="zh-Hans"/>
              </w:rPr>
              <w:t xml:space="preserve"> </w:t>
            </w:r>
          </w:p>
        </w:tc>
      </w:tr>
    </w:tbl>
    <w:p w14:paraId="68A7FE6B" w14:textId="77777777" w:rsidR="00A51E0B" w:rsidRDefault="00A51E0B">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FD82B1C" w14:textId="77777777" w:rsidR="00A51E0B" w:rsidRDefault="00A51E0B">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72FA9BA6" w14:textId="77777777" w:rsidR="00A51E0B" w:rsidRDefault="00A51E0B">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13321E47" w14:textId="77777777" w:rsidR="00A51E0B" w:rsidRDefault="00A51E0B">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04C03DB9" w14:textId="77777777" w:rsidR="00A51E0B" w:rsidRDefault="00A51E0B">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5E0C90F6" w14:textId="77777777" w:rsidR="00A51E0B" w:rsidRDefault="00A51E0B">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3221465" w14:textId="77777777" w:rsidR="00A51E0B" w:rsidRDefault="00A51E0B">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6D753729" w14:textId="77777777" w:rsidR="00A51E0B" w:rsidRDefault="00A51E0B">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bookmarkEnd w:id="31"/>
    <w:bookmarkEnd w:id="32"/>
    <w:bookmarkEnd w:id="18"/>
    <w:p w14:paraId="44D2233E" w14:textId="77777777" w:rsidR="00A51E0B" w:rsidRDefault="00A51E0B">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C9EEB66" w14:textId="77777777" w:rsidR="00A51E0B" w:rsidRDefault="00A51E0B">
      <w:pPr>
        <w:pStyle w:val="XBRLTitle1"/>
        <w:spacing w:before="156" w:line="360" w:lineRule="auto"/>
        <w:ind w:left="425"/>
      </w:pPr>
      <w:bookmarkStart w:id="251" w:name="_Toc513386635"/>
      <w:bookmarkStart w:id="252" w:name="_Toc438646481"/>
      <w:bookmarkStart w:id="253" w:name="_Toc481075097"/>
      <w:bookmarkStart w:id="254" w:name="_Toc490050049"/>
      <w:bookmarkStart w:id="255" w:name="_Toc512519529"/>
      <w:bookmarkEnd w:id="246"/>
      <w:proofErr w:type="spellStart"/>
      <w:r>
        <w:rPr>
          <w:rFonts w:hAnsi="宋体" w:hint="eastAsia"/>
        </w:rPr>
        <w:t>备查文件目录</w:t>
      </w:r>
      <w:bookmarkEnd w:id="251"/>
      <w:bookmarkEnd w:id="252"/>
      <w:bookmarkEnd w:id="253"/>
      <w:bookmarkEnd w:id="254"/>
      <w:bookmarkEnd w:id="255"/>
      <w:proofErr w:type="spellEnd"/>
      <w:r>
        <w:rPr>
          <w:rFonts w:hAnsi="宋体" w:hint="eastAsia"/>
        </w:rPr>
        <w:t xml:space="preserve"> </w:t>
      </w:r>
    </w:p>
    <w:p w14:paraId="07B974C9" w14:textId="77777777" w:rsidR="00A51E0B" w:rsidRDefault="00A51E0B">
      <w:pPr>
        <w:pStyle w:val="XBRLTitle2"/>
        <w:spacing w:before="156" w:line="360" w:lineRule="auto"/>
        <w:ind w:left="454"/>
      </w:pPr>
      <w:bookmarkStart w:id="256" w:name="_Toc438646482"/>
      <w:bookmarkStart w:id="257" w:name="_Toc513386636"/>
      <w:bookmarkStart w:id="258" w:name="_Toc490050050"/>
      <w:bookmarkStart w:id="259" w:name="_Toc481075098"/>
      <w:bookmarkStart w:id="260" w:name="_Toc512519530"/>
      <w:bookmarkStart w:id="261" w:name="m801_01_1733"/>
      <w:proofErr w:type="spellStart"/>
      <w:r>
        <w:rPr>
          <w:rFonts w:hAnsi="宋体" w:hint="eastAsia"/>
        </w:rPr>
        <w:t>备查文件目录</w:t>
      </w:r>
      <w:bookmarkEnd w:id="256"/>
      <w:bookmarkEnd w:id="257"/>
      <w:bookmarkEnd w:id="258"/>
      <w:bookmarkEnd w:id="259"/>
      <w:bookmarkEnd w:id="260"/>
      <w:proofErr w:type="spellEnd"/>
      <w:r>
        <w:rPr>
          <w:rFonts w:hAnsi="宋体" w:hint="eastAsia"/>
        </w:rPr>
        <w:t xml:space="preserve"> </w:t>
      </w:r>
    </w:p>
    <w:p w14:paraId="70C1F67E" w14:textId="77777777" w:rsidR="00A51E0B" w:rsidRDefault="00A51E0B">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)中国证监会准予摩根中证同业存单AAA指数7天持有期证券投资基金募集注册的文件</w:t>
      </w:r>
      <w:r>
        <w:rPr>
          <w:rFonts w:ascii="宋体" w:hAnsi="宋体" w:cs="宋体" w:hint="eastAsia"/>
          <w:color w:val="000000"/>
          <w:kern w:val="0"/>
        </w:rPr>
        <w:br/>
        <w:t xml:space="preserve">　　(二)摩根中证同业存单AAA指数7天持有期证券投资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(三)摩根中证同业存单AAA指数7天持有期证券投资基金托管协议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C1A37CF" w14:textId="77777777" w:rsidR="00A51E0B" w:rsidRDefault="00A51E0B">
      <w:pPr>
        <w:pStyle w:val="XBRLTitle2"/>
        <w:spacing w:before="156" w:line="360" w:lineRule="auto"/>
        <w:ind w:left="454"/>
      </w:pPr>
      <w:bookmarkStart w:id="262" w:name="_Toc438646483"/>
      <w:bookmarkStart w:id="263" w:name="_Toc513386637"/>
      <w:bookmarkStart w:id="264" w:name="_Toc490050051"/>
      <w:bookmarkStart w:id="265" w:name="_Toc481075099"/>
      <w:bookmarkStart w:id="266" w:name="_Toc512519531"/>
      <w:bookmarkStart w:id="267" w:name="m801_01_1734"/>
      <w:bookmarkEnd w:id="261"/>
      <w:proofErr w:type="spellStart"/>
      <w:r>
        <w:rPr>
          <w:rFonts w:hAnsi="宋体" w:hint="eastAsia"/>
        </w:rPr>
        <w:t>存放地点</w:t>
      </w:r>
      <w:bookmarkEnd w:id="262"/>
      <w:bookmarkEnd w:id="263"/>
      <w:bookmarkEnd w:id="264"/>
      <w:bookmarkEnd w:id="265"/>
      <w:bookmarkEnd w:id="266"/>
      <w:proofErr w:type="spellEnd"/>
      <w:r>
        <w:rPr>
          <w:rFonts w:hAnsi="宋体" w:hint="eastAsia"/>
        </w:rPr>
        <w:t xml:space="preserve"> </w:t>
      </w:r>
    </w:p>
    <w:p w14:paraId="74DBD9BC" w14:textId="77777777" w:rsidR="00A51E0B" w:rsidRDefault="00A51E0B">
      <w:pPr>
        <w:spacing w:line="360" w:lineRule="auto"/>
        <w:ind w:firstLineChars="200" w:firstLine="420"/>
        <w:jc w:val="left"/>
      </w:pPr>
      <w:r>
        <w:rPr>
          <w:rFonts w:ascii="宋体" w:hAnsi="宋体" w:cs="宋体" w:hint="eastAsia"/>
          <w:color w:val="000000"/>
          <w:kern w:val="0"/>
        </w:rPr>
        <w:t>基金管理人或基金托管人住所。</w:t>
      </w:r>
    </w:p>
    <w:p w14:paraId="313D03D3" w14:textId="77777777" w:rsidR="00A51E0B" w:rsidRDefault="00A51E0B">
      <w:pPr>
        <w:pStyle w:val="XBRLTitle2"/>
        <w:spacing w:before="156" w:line="360" w:lineRule="auto"/>
        <w:ind w:left="454"/>
      </w:pPr>
      <w:bookmarkStart w:id="268" w:name="_Toc438646484"/>
      <w:bookmarkStart w:id="269" w:name="_Toc513386638"/>
      <w:bookmarkStart w:id="270" w:name="_Toc490050052"/>
      <w:bookmarkStart w:id="271" w:name="_Toc481075100"/>
      <w:bookmarkStart w:id="272" w:name="_Toc512519532"/>
      <w:bookmarkStart w:id="273" w:name="m801_01_1735"/>
      <w:bookmarkEnd w:id="267"/>
      <w:proofErr w:type="spellStart"/>
      <w:r>
        <w:rPr>
          <w:rFonts w:hAnsi="宋体" w:hint="eastAsia"/>
        </w:rPr>
        <w:t>查阅方式</w:t>
      </w:r>
      <w:bookmarkEnd w:id="268"/>
      <w:bookmarkEnd w:id="269"/>
      <w:bookmarkEnd w:id="270"/>
      <w:bookmarkEnd w:id="271"/>
      <w:bookmarkEnd w:id="272"/>
      <w:proofErr w:type="spellEnd"/>
      <w:r>
        <w:rPr>
          <w:rFonts w:hAnsi="宋体" w:hint="eastAsia"/>
        </w:rPr>
        <w:t xml:space="preserve"> </w:t>
      </w:r>
    </w:p>
    <w:p w14:paraId="0CC87951" w14:textId="77777777" w:rsidR="00A51E0B" w:rsidRDefault="00A51E0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3"/>
    <w:p w14:paraId="01E2CCBB" w14:textId="77777777" w:rsidR="00A51E0B" w:rsidRDefault="00A51E0B">
      <w:pPr>
        <w:spacing w:line="360" w:lineRule="auto"/>
        <w:ind w:firstLineChars="600" w:firstLine="1687"/>
        <w:jc w:val="left"/>
      </w:pPr>
      <w:r>
        <w:rPr>
          <w:rFonts w:ascii="宋体" w:hAnsi="宋体" w:hint="eastAsia"/>
          <w:b/>
          <w:bCs/>
          <w:sz w:val="28"/>
          <w:szCs w:val="30"/>
        </w:rPr>
        <w:t xml:space="preserve">　 </w:t>
      </w:r>
    </w:p>
    <w:p w14:paraId="74D4CD2A" w14:textId="77777777" w:rsidR="00A51E0B" w:rsidRDefault="00A51E0B">
      <w:pPr>
        <w:spacing w:line="360" w:lineRule="auto"/>
        <w:ind w:firstLineChars="600" w:firstLine="1687"/>
        <w:jc w:val="left"/>
      </w:pPr>
      <w:r>
        <w:rPr>
          <w:rFonts w:ascii="宋体" w:hAnsi="宋体" w:hint="eastAsia"/>
          <w:b/>
          <w:bCs/>
          <w:sz w:val="28"/>
          <w:szCs w:val="30"/>
        </w:rPr>
        <w:t xml:space="preserve">　 </w:t>
      </w:r>
    </w:p>
    <w:p w14:paraId="22CFBD0C" w14:textId="77777777" w:rsidR="00A51E0B" w:rsidRDefault="00A51E0B">
      <w:pPr>
        <w:spacing w:line="360" w:lineRule="auto"/>
        <w:ind w:firstLineChars="600" w:firstLine="1446"/>
        <w:jc w:val="right"/>
      </w:pPr>
      <w:r>
        <w:rPr>
          <w:rFonts w:ascii="宋体" w:hAnsi="宋体" w:hint="eastAsia"/>
          <w:b/>
          <w:bCs/>
          <w:sz w:val="24"/>
          <w:szCs w:val="24"/>
        </w:rPr>
        <w:t>摩根基金管理（中国）有限公司</w:t>
      </w:r>
    </w:p>
    <w:p w14:paraId="1694386C" w14:textId="77777777" w:rsidR="00A51E0B" w:rsidRDefault="00A51E0B">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19"/>
    </w:p>
    <w:sectPr w:rsidR="00A51E0B">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98D5" w14:textId="77777777" w:rsidR="00A51E0B" w:rsidRDefault="00A51E0B">
      <w:pPr>
        <w:rPr>
          <w:szCs w:val="21"/>
        </w:rPr>
      </w:pPr>
      <w:r>
        <w:rPr>
          <w:szCs w:val="21"/>
        </w:rPr>
        <w:separator/>
      </w:r>
      <w:r>
        <w:rPr>
          <w:szCs w:val="21"/>
        </w:rPr>
        <w:t xml:space="preserve"> </w:t>
      </w:r>
    </w:p>
  </w:endnote>
  <w:endnote w:type="continuationSeparator" w:id="0">
    <w:p w14:paraId="59F90A3D" w14:textId="77777777" w:rsidR="00A51E0B" w:rsidRDefault="00A51E0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55F0" w14:textId="77777777" w:rsidR="00A51E0B" w:rsidRDefault="00A51E0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BC29" w14:textId="77777777" w:rsidR="00A51E0B" w:rsidRDefault="00A51E0B">
      <w:pPr>
        <w:rPr>
          <w:szCs w:val="21"/>
        </w:rPr>
      </w:pPr>
      <w:r>
        <w:rPr>
          <w:szCs w:val="21"/>
        </w:rPr>
        <w:separator/>
      </w:r>
      <w:r>
        <w:rPr>
          <w:szCs w:val="21"/>
        </w:rPr>
        <w:t xml:space="preserve"> </w:t>
      </w:r>
    </w:p>
  </w:footnote>
  <w:footnote w:type="continuationSeparator" w:id="0">
    <w:p w14:paraId="01830546" w14:textId="77777777" w:rsidR="00A51E0B" w:rsidRDefault="00A51E0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8B14" w14:textId="77777777" w:rsidR="00A51E0B" w:rsidRDefault="00A51E0B">
    <w:pPr>
      <w:pStyle w:val="a8"/>
      <w:jc w:val="right"/>
    </w:pPr>
    <w:r>
      <w:rPr>
        <w:rFonts w:ascii="宋体" w:hAnsi="宋体" w:hint="eastAsia"/>
      </w:rPr>
      <w:t>摩根中证同业存单AAA指数7天持有期证券投资基金2025年第4季度报告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2111415">
    <w:abstractNumId w:val="0"/>
  </w:num>
  <w:num w:numId="2" w16cid:durableId="1459956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0B"/>
    <w:rsid w:val="00043967"/>
    <w:rsid w:val="003656C5"/>
    <w:rsid w:val="00437413"/>
    <w:rsid w:val="005D1151"/>
    <w:rsid w:val="00A5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DB946A"/>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5429">
      <w:marLeft w:val="0"/>
      <w:marRight w:val="0"/>
      <w:marTop w:val="0"/>
      <w:marBottom w:val="0"/>
      <w:divBdr>
        <w:top w:val="none" w:sz="0" w:space="0" w:color="auto"/>
        <w:left w:val="none" w:sz="0" w:space="0" w:color="auto"/>
        <w:bottom w:val="none" w:sz="0" w:space="0" w:color="auto"/>
        <w:right w:val="none" w:sz="0" w:space="0" w:color="auto"/>
      </w:divBdr>
    </w:div>
    <w:div w:id="380136289">
      <w:marLeft w:val="0"/>
      <w:marRight w:val="0"/>
      <w:marTop w:val="0"/>
      <w:marBottom w:val="0"/>
      <w:divBdr>
        <w:top w:val="none" w:sz="0" w:space="0" w:color="auto"/>
        <w:left w:val="none" w:sz="0" w:space="0" w:color="auto"/>
        <w:bottom w:val="none" w:sz="0" w:space="0" w:color="auto"/>
        <w:right w:val="none" w:sz="0" w:space="0" w:color="auto"/>
      </w:divBdr>
    </w:div>
    <w:div w:id="448356277">
      <w:marLeft w:val="0"/>
      <w:marRight w:val="0"/>
      <w:marTop w:val="0"/>
      <w:marBottom w:val="0"/>
      <w:divBdr>
        <w:top w:val="none" w:sz="0" w:space="0" w:color="auto"/>
        <w:left w:val="none" w:sz="0" w:space="0" w:color="auto"/>
        <w:bottom w:val="none" w:sz="0" w:space="0" w:color="auto"/>
        <w:right w:val="none" w:sz="0" w:space="0" w:color="auto"/>
      </w:divBdr>
    </w:div>
    <w:div w:id="755858768">
      <w:marLeft w:val="0"/>
      <w:marRight w:val="0"/>
      <w:marTop w:val="0"/>
      <w:marBottom w:val="0"/>
      <w:divBdr>
        <w:top w:val="none" w:sz="0" w:space="0" w:color="auto"/>
        <w:left w:val="none" w:sz="0" w:space="0" w:color="auto"/>
        <w:bottom w:val="none" w:sz="0" w:space="0" w:color="auto"/>
        <w:right w:val="none" w:sz="0" w:space="0" w:color="auto"/>
      </w:divBdr>
    </w:div>
    <w:div w:id="921062268">
      <w:marLeft w:val="0"/>
      <w:marRight w:val="0"/>
      <w:marTop w:val="0"/>
      <w:marBottom w:val="0"/>
      <w:divBdr>
        <w:top w:val="none" w:sz="0" w:space="0" w:color="auto"/>
        <w:left w:val="none" w:sz="0" w:space="0" w:color="auto"/>
        <w:bottom w:val="none" w:sz="0" w:space="0" w:color="auto"/>
        <w:right w:val="none" w:sz="0" w:space="0" w:color="auto"/>
      </w:divBdr>
    </w:div>
    <w:div w:id="1269002096">
      <w:marLeft w:val="0"/>
      <w:marRight w:val="0"/>
      <w:marTop w:val="0"/>
      <w:marBottom w:val="0"/>
      <w:divBdr>
        <w:top w:val="none" w:sz="0" w:space="0" w:color="auto"/>
        <w:left w:val="none" w:sz="0" w:space="0" w:color="auto"/>
        <w:bottom w:val="none" w:sz="0" w:space="0" w:color="auto"/>
        <w:right w:val="none" w:sz="0" w:space="0" w:color="auto"/>
      </w:divBdr>
      <w:divsChild>
        <w:div w:id="1239290449">
          <w:marLeft w:val="0"/>
          <w:marRight w:val="0"/>
          <w:marTop w:val="0"/>
          <w:marBottom w:val="0"/>
          <w:divBdr>
            <w:top w:val="none" w:sz="0" w:space="0" w:color="auto"/>
            <w:left w:val="none" w:sz="0" w:space="0" w:color="auto"/>
            <w:bottom w:val="none" w:sz="0" w:space="0" w:color="auto"/>
            <w:right w:val="none" w:sz="0" w:space="0" w:color="auto"/>
          </w:divBdr>
        </w:div>
      </w:divsChild>
    </w:div>
    <w:div w:id="1418090349">
      <w:marLeft w:val="0"/>
      <w:marRight w:val="0"/>
      <w:marTop w:val="0"/>
      <w:marBottom w:val="0"/>
      <w:divBdr>
        <w:top w:val="none" w:sz="0" w:space="0" w:color="auto"/>
        <w:left w:val="none" w:sz="0" w:space="0" w:color="auto"/>
        <w:bottom w:val="none" w:sz="0" w:space="0" w:color="auto"/>
        <w:right w:val="none" w:sz="0" w:space="0" w:color="auto"/>
      </w:divBdr>
    </w:div>
    <w:div w:id="1529488036">
      <w:marLeft w:val="0"/>
      <w:marRight w:val="0"/>
      <w:marTop w:val="0"/>
      <w:marBottom w:val="0"/>
      <w:divBdr>
        <w:top w:val="none" w:sz="0" w:space="0" w:color="auto"/>
        <w:left w:val="none" w:sz="0" w:space="0" w:color="auto"/>
        <w:bottom w:val="none" w:sz="0" w:space="0" w:color="auto"/>
        <w:right w:val="none" w:sz="0" w:space="0" w:color="auto"/>
      </w:divBdr>
    </w:div>
    <w:div w:id="1713072668">
      <w:marLeft w:val="0"/>
      <w:marRight w:val="0"/>
      <w:marTop w:val="0"/>
      <w:marBottom w:val="0"/>
      <w:divBdr>
        <w:top w:val="none" w:sz="0" w:space="0" w:color="auto"/>
        <w:left w:val="none" w:sz="0" w:space="0" w:color="auto"/>
        <w:bottom w:val="none" w:sz="0" w:space="0" w:color="auto"/>
        <w:right w:val="none" w:sz="0" w:space="0" w:color="auto"/>
      </w:divBdr>
      <w:divsChild>
        <w:div w:id="674653040">
          <w:marLeft w:val="0"/>
          <w:marRight w:val="0"/>
          <w:marTop w:val="0"/>
          <w:marBottom w:val="0"/>
          <w:divBdr>
            <w:top w:val="none" w:sz="0" w:space="0" w:color="auto"/>
            <w:left w:val="none" w:sz="0" w:space="0" w:color="auto"/>
            <w:bottom w:val="none" w:sz="0" w:space="0" w:color="auto"/>
            <w:right w:val="none" w:sz="0" w:space="0" w:color="auto"/>
          </w:divBdr>
        </w:div>
      </w:divsChild>
    </w:div>
    <w:div w:id="1776821922">
      <w:marLeft w:val="0"/>
      <w:marRight w:val="0"/>
      <w:marTop w:val="0"/>
      <w:marBottom w:val="0"/>
      <w:divBdr>
        <w:top w:val="none" w:sz="0" w:space="0" w:color="auto"/>
        <w:left w:val="none" w:sz="0" w:space="0" w:color="auto"/>
        <w:bottom w:val="none" w:sz="0" w:space="0" w:color="auto"/>
        <w:right w:val="none" w:sz="0" w:space="0" w:color="auto"/>
      </w:divBdr>
    </w:div>
    <w:div w:id="1854419726">
      <w:marLeft w:val="0"/>
      <w:marRight w:val="0"/>
      <w:marTop w:val="0"/>
      <w:marBottom w:val="0"/>
      <w:divBdr>
        <w:top w:val="none" w:sz="0" w:space="0" w:color="auto"/>
        <w:left w:val="none" w:sz="0" w:space="0" w:color="auto"/>
        <w:bottom w:val="none" w:sz="0" w:space="0" w:color="auto"/>
        <w:right w:val="none" w:sz="0" w:space="0" w:color="auto"/>
      </w:divBdr>
    </w:div>
    <w:div w:id="1905144273">
      <w:marLeft w:val="0"/>
      <w:marRight w:val="0"/>
      <w:marTop w:val="0"/>
      <w:marBottom w:val="0"/>
      <w:divBdr>
        <w:top w:val="none" w:sz="0" w:space="0" w:color="auto"/>
        <w:left w:val="none" w:sz="0" w:space="0" w:color="auto"/>
        <w:bottom w:val="none" w:sz="0" w:space="0" w:color="auto"/>
        <w:right w:val="none" w:sz="0" w:space="0" w:color="auto"/>
      </w:divBdr>
    </w:div>
    <w:div w:id="1946451479">
      <w:marLeft w:val="0"/>
      <w:marRight w:val="0"/>
      <w:marTop w:val="0"/>
      <w:marBottom w:val="0"/>
      <w:divBdr>
        <w:top w:val="none" w:sz="0" w:space="0" w:color="auto"/>
        <w:left w:val="none" w:sz="0" w:space="0" w:color="auto"/>
        <w:bottom w:val="none" w:sz="0" w:space="0" w:color="auto"/>
        <w:right w:val="none" w:sz="0" w:space="0" w:color="auto"/>
      </w:divBdr>
    </w:div>
    <w:div w:id="1980378249">
      <w:marLeft w:val="0"/>
      <w:marRight w:val="0"/>
      <w:marTop w:val="0"/>
      <w:marBottom w:val="0"/>
      <w:divBdr>
        <w:top w:val="none" w:sz="0" w:space="0" w:color="auto"/>
        <w:left w:val="none" w:sz="0" w:space="0" w:color="auto"/>
        <w:bottom w:val="none" w:sz="0" w:space="0" w:color="auto"/>
        <w:right w:val="none" w:sz="0" w:space="0" w:color="auto"/>
      </w:divBdr>
    </w:div>
    <w:div w:id="1987658349">
      <w:marLeft w:val="0"/>
      <w:marRight w:val="0"/>
      <w:marTop w:val="0"/>
      <w:marBottom w:val="0"/>
      <w:divBdr>
        <w:top w:val="none" w:sz="0" w:space="0" w:color="auto"/>
        <w:left w:val="none" w:sz="0" w:space="0" w:color="auto"/>
        <w:bottom w:val="none" w:sz="0" w:space="0" w:color="auto"/>
        <w:right w:val="none" w:sz="0" w:space="0" w:color="auto"/>
      </w:divBdr>
      <w:divsChild>
        <w:div w:id="17246696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5875</Words>
  <Characters>1407</Characters>
  <Application>Microsoft Office Word</Application>
  <DocSecurity>0</DocSecurity>
  <Lines>11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2026-01-14T13:55:00Z</dcterms:created>
  <dcterms:modified xsi:type="dcterms:W3CDTF">2026-01-21T07:18:00Z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