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摩根悦享回报</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摩根悦享回报</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019718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1,108,686,047.15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并结合本基金的投资目标、投资策略，综合制定基金在各类资产中的配置比例、配置中枢和调整范围。未来随着宏观经济、市场环境以及投资者</w:t>
            </w:r>
            <w:r>
              <w:rPr>
                <w:rFonts w:eastAsiaTheme="minorEastAsia"/>
                <w:color w:val="000000" w:themeColor="text1"/>
                <w:kern w:val="0"/>
                <w:szCs w:val="21"/>
              </w:rPr>
              <w:lastRenderedPageBreak/>
              <w:t>结构的变化等因素，可能会对基金的资产配置中枢进行调整，以实现基金的长期稳定收益目标。</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的个股精选策略，基于公司内部研究团队对于个股的基本面的深入研究和细致的实地调研，有效挖掘价值低</w:t>
            </w:r>
            <w:r>
              <w:rPr>
                <w:rFonts w:eastAsiaTheme="minorEastAsia"/>
                <w:color w:val="000000" w:themeColor="text1"/>
                <w:kern w:val="0"/>
                <w:szCs w:val="21"/>
              </w:rPr>
              <w:t>估及具有增长潜力的个股，为投资者获得超过业绩比较基准的收益。</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8F79DA" w:rsidRDefault="00E450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若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019718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019719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296,743,395.26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811,942,651.89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1,170,309.07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2,382,368.12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-216,943.47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-1,409,269.69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296,711,738.25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810,880,609.83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0.9987</w:t>
            </w:r>
          </w:p>
        </w:tc>
      </w:tr>
    </w:tbl>
    <w:p w:rsidR="008F79DA" w:rsidRDefault="00E450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摩根悦享回报</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9DA">
        <w:tc>
          <w:tcPr>
            <w:tcW w:w="1290" w:type="dxa"/>
            <w:vAlign w:val="center"/>
          </w:tcPr>
          <w:p w:rsidR="008F79DA" w:rsidRDefault="00E45023">
            <w:pPr>
              <w:jc w:val="left"/>
            </w:pPr>
            <w:r>
              <w:rPr>
                <w:rFonts w:eastAsiaTheme="minorEastAsia"/>
                <w:color w:val="000000" w:themeColor="text1"/>
                <w:szCs w:val="21"/>
              </w:rPr>
              <w:t>过去三个月</w:t>
            </w:r>
          </w:p>
        </w:tc>
        <w:tc>
          <w:tcPr>
            <w:tcW w:w="1291" w:type="dxa"/>
            <w:vAlign w:val="center"/>
          </w:tcPr>
          <w:p w:rsidR="008F79DA" w:rsidRDefault="00E45023">
            <w:pPr>
              <w:jc w:val="right"/>
            </w:pPr>
            <w:r>
              <w:rPr>
                <w:rFonts w:eastAsiaTheme="minorEastAsia"/>
                <w:color w:val="000000" w:themeColor="text1"/>
                <w:szCs w:val="21"/>
              </w:rPr>
              <w:t>-0.07%</w:t>
            </w:r>
          </w:p>
        </w:tc>
        <w:tc>
          <w:tcPr>
            <w:tcW w:w="1291" w:type="dxa"/>
            <w:vAlign w:val="center"/>
          </w:tcPr>
          <w:p w:rsidR="008F79DA" w:rsidRDefault="00E45023">
            <w:pPr>
              <w:jc w:val="right"/>
            </w:pPr>
            <w:r>
              <w:rPr>
                <w:rFonts w:eastAsiaTheme="minorEastAsia"/>
                <w:color w:val="000000" w:themeColor="text1"/>
                <w:szCs w:val="21"/>
              </w:rPr>
              <w:t>0.04%</w:t>
            </w:r>
          </w:p>
        </w:tc>
        <w:tc>
          <w:tcPr>
            <w:tcW w:w="1291" w:type="dxa"/>
            <w:vAlign w:val="center"/>
          </w:tcPr>
          <w:p w:rsidR="008F79DA" w:rsidRDefault="00E45023">
            <w:pPr>
              <w:jc w:val="right"/>
            </w:pPr>
            <w:r>
              <w:rPr>
                <w:rFonts w:eastAsiaTheme="minorEastAsia"/>
                <w:color w:val="000000" w:themeColor="text1"/>
                <w:szCs w:val="21"/>
              </w:rPr>
              <w:t>3.28%</w:t>
            </w:r>
          </w:p>
        </w:tc>
        <w:tc>
          <w:tcPr>
            <w:tcW w:w="1291" w:type="dxa"/>
            <w:vAlign w:val="center"/>
          </w:tcPr>
          <w:p w:rsidR="008F79DA" w:rsidRDefault="00E45023">
            <w:pPr>
              <w:jc w:val="right"/>
            </w:pPr>
            <w:r>
              <w:rPr>
                <w:rFonts w:eastAsiaTheme="minorEastAsia"/>
                <w:color w:val="000000" w:themeColor="text1"/>
                <w:szCs w:val="21"/>
              </w:rPr>
              <w:t>0.27%</w:t>
            </w:r>
          </w:p>
        </w:tc>
        <w:tc>
          <w:tcPr>
            <w:tcW w:w="1291" w:type="dxa"/>
            <w:vAlign w:val="center"/>
          </w:tcPr>
          <w:p w:rsidR="008F79DA" w:rsidRDefault="00E45023">
            <w:pPr>
              <w:jc w:val="right"/>
            </w:pPr>
            <w:r>
              <w:rPr>
                <w:rFonts w:eastAsiaTheme="minorEastAsia"/>
                <w:color w:val="000000" w:themeColor="text1"/>
                <w:szCs w:val="21"/>
              </w:rPr>
              <w:t>-3.35%</w:t>
            </w:r>
          </w:p>
        </w:tc>
        <w:tc>
          <w:tcPr>
            <w:tcW w:w="1291" w:type="dxa"/>
            <w:vAlign w:val="center"/>
          </w:tcPr>
          <w:p w:rsidR="008F79DA" w:rsidRDefault="00E45023">
            <w:pPr>
              <w:jc w:val="right"/>
            </w:pPr>
            <w:r>
              <w:rPr>
                <w:rFonts w:eastAsiaTheme="minorEastAsia"/>
                <w:color w:val="000000" w:themeColor="text1"/>
                <w:szCs w:val="21"/>
              </w:rPr>
              <w:t>-0.23%</w:t>
            </w:r>
          </w:p>
        </w:tc>
      </w:tr>
      <w:tr w:rsidR="008F79DA">
        <w:tc>
          <w:tcPr>
            <w:tcW w:w="1290" w:type="dxa"/>
            <w:vAlign w:val="center"/>
          </w:tcPr>
          <w:p w:rsidR="008F79DA" w:rsidRDefault="00E45023">
            <w:pPr>
              <w:jc w:val="left"/>
            </w:pPr>
            <w:r>
              <w:rPr>
                <w:rFonts w:eastAsiaTheme="minorEastAsia"/>
                <w:color w:val="000000" w:themeColor="text1"/>
                <w:szCs w:val="21"/>
              </w:rPr>
              <w:t>过去六个月</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过去一年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过去三年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过去五年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自基金合同生效起至今</w:t>
            </w:r>
          </w:p>
        </w:tc>
        <w:tc>
          <w:tcPr>
            <w:tcW w:w="1291" w:type="dxa"/>
            <w:vAlign w:val="center"/>
          </w:tcPr>
          <w:p w:rsidR="008F79DA" w:rsidRDefault="00E45023">
            <w:pPr>
              <w:jc w:val="right"/>
            </w:pPr>
            <w:r>
              <w:rPr>
                <w:rFonts w:eastAsiaTheme="minorEastAsia"/>
                <w:color w:val="000000" w:themeColor="text1"/>
                <w:szCs w:val="21"/>
              </w:rPr>
              <w:t>-0.01%</w:t>
            </w:r>
          </w:p>
        </w:tc>
        <w:tc>
          <w:tcPr>
            <w:tcW w:w="1291" w:type="dxa"/>
            <w:vAlign w:val="center"/>
          </w:tcPr>
          <w:p w:rsidR="008F79DA" w:rsidRDefault="00E45023">
            <w:pPr>
              <w:jc w:val="right"/>
            </w:pPr>
            <w:r>
              <w:rPr>
                <w:rFonts w:eastAsiaTheme="minorEastAsia"/>
                <w:color w:val="000000" w:themeColor="text1"/>
                <w:szCs w:val="21"/>
              </w:rPr>
              <w:t>0.04%</w:t>
            </w:r>
          </w:p>
        </w:tc>
        <w:tc>
          <w:tcPr>
            <w:tcW w:w="1291" w:type="dxa"/>
            <w:vAlign w:val="center"/>
          </w:tcPr>
          <w:p w:rsidR="008F79DA" w:rsidRDefault="00E45023">
            <w:pPr>
              <w:jc w:val="right"/>
            </w:pPr>
            <w:r>
              <w:rPr>
                <w:rFonts w:eastAsiaTheme="minorEastAsia"/>
                <w:color w:val="000000" w:themeColor="text1"/>
                <w:szCs w:val="21"/>
              </w:rPr>
              <w:t>2.96%</w:t>
            </w:r>
          </w:p>
        </w:tc>
        <w:tc>
          <w:tcPr>
            <w:tcW w:w="1291" w:type="dxa"/>
            <w:vAlign w:val="center"/>
          </w:tcPr>
          <w:p w:rsidR="008F79DA" w:rsidRDefault="00E45023">
            <w:pPr>
              <w:jc w:val="right"/>
            </w:pPr>
            <w:r>
              <w:rPr>
                <w:rFonts w:eastAsiaTheme="minorEastAsia"/>
                <w:color w:val="000000" w:themeColor="text1"/>
                <w:szCs w:val="21"/>
              </w:rPr>
              <w:t>0.25%</w:t>
            </w:r>
          </w:p>
        </w:tc>
        <w:tc>
          <w:tcPr>
            <w:tcW w:w="1291" w:type="dxa"/>
            <w:vAlign w:val="center"/>
          </w:tcPr>
          <w:p w:rsidR="008F79DA" w:rsidRDefault="00E45023">
            <w:pPr>
              <w:jc w:val="right"/>
            </w:pPr>
            <w:r>
              <w:rPr>
                <w:rFonts w:eastAsiaTheme="minorEastAsia"/>
                <w:color w:val="000000" w:themeColor="text1"/>
                <w:szCs w:val="21"/>
              </w:rPr>
              <w:t>-2.97%</w:t>
            </w:r>
          </w:p>
        </w:tc>
        <w:tc>
          <w:tcPr>
            <w:tcW w:w="1291" w:type="dxa"/>
            <w:vAlign w:val="center"/>
          </w:tcPr>
          <w:p w:rsidR="008F79DA" w:rsidRDefault="00E45023">
            <w:pPr>
              <w:jc w:val="right"/>
            </w:pPr>
            <w:r>
              <w:rPr>
                <w:rFonts w:eastAsiaTheme="minorEastAsia"/>
                <w:color w:val="000000" w:themeColor="text1"/>
                <w:szCs w:val="21"/>
              </w:rPr>
              <w:t>-0.21%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摩根悦享回报</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9DA">
        <w:tc>
          <w:tcPr>
            <w:tcW w:w="1290" w:type="dxa"/>
            <w:vAlign w:val="center"/>
          </w:tcPr>
          <w:p w:rsidR="008F79DA" w:rsidRDefault="00E45023">
            <w:pPr>
              <w:jc w:val="left"/>
            </w:pPr>
            <w:r>
              <w:rPr>
                <w:rFonts w:eastAsiaTheme="minorEastAsia"/>
                <w:color w:val="000000" w:themeColor="text1"/>
                <w:szCs w:val="21"/>
              </w:rPr>
              <w:t>过去三个月</w:t>
            </w:r>
          </w:p>
        </w:tc>
        <w:tc>
          <w:tcPr>
            <w:tcW w:w="1291" w:type="dxa"/>
            <w:vAlign w:val="center"/>
          </w:tcPr>
          <w:p w:rsidR="008F79DA" w:rsidRDefault="00E45023">
            <w:pPr>
              <w:jc w:val="right"/>
            </w:pPr>
            <w:r>
              <w:rPr>
                <w:rFonts w:eastAsiaTheme="minorEastAsia"/>
                <w:color w:val="000000" w:themeColor="text1"/>
                <w:szCs w:val="21"/>
              </w:rPr>
              <w:t>-0.17%</w:t>
            </w:r>
          </w:p>
        </w:tc>
        <w:tc>
          <w:tcPr>
            <w:tcW w:w="1291" w:type="dxa"/>
            <w:vAlign w:val="center"/>
          </w:tcPr>
          <w:p w:rsidR="008F79DA" w:rsidRDefault="00E45023">
            <w:pPr>
              <w:jc w:val="right"/>
            </w:pPr>
            <w:r>
              <w:rPr>
                <w:rFonts w:eastAsiaTheme="minorEastAsia"/>
                <w:color w:val="000000" w:themeColor="text1"/>
                <w:szCs w:val="21"/>
              </w:rPr>
              <w:t>0.04%</w:t>
            </w:r>
          </w:p>
        </w:tc>
        <w:tc>
          <w:tcPr>
            <w:tcW w:w="1291" w:type="dxa"/>
            <w:vAlign w:val="center"/>
          </w:tcPr>
          <w:p w:rsidR="008F79DA" w:rsidRDefault="00E45023">
            <w:pPr>
              <w:jc w:val="right"/>
            </w:pPr>
            <w:r>
              <w:rPr>
                <w:rFonts w:eastAsiaTheme="minorEastAsia"/>
                <w:color w:val="000000" w:themeColor="text1"/>
                <w:szCs w:val="21"/>
              </w:rPr>
              <w:t>3.28%</w:t>
            </w:r>
          </w:p>
        </w:tc>
        <w:tc>
          <w:tcPr>
            <w:tcW w:w="1291" w:type="dxa"/>
            <w:vAlign w:val="center"/>
          </w:tcPr>
          <w:p w:rsidR="008F79DA" w:rsidRDefault="00E45023">
            <w:pPr>
              <w:jc w:val="right"/>
            </w:pPr>
            <w:r>
              <w:rPr>
                <w:rFonts w:eastAsiaTheme="minorEastAsia"/>
                <w:color w:val="000000" w:themeColor="text1"/>
                <w:szCs w:val="21"/>
              </w:rPr>
              <w:t>0.27%</w:t>
            </w:r>
          </w:p>
        </w:tc>
        <w:tc>
          <w:tcPr>
            <w:tcW w:w="1291" w:type="dxa"/>
            <w:vAlign w:val="center"/>
          </w:tcPr>
          <w:p w:rsidR="008F79DA" w:rsidRDefault="00E45023">
            <w:pPr>
              <w:jc w:val="right"/>
            </w:pPr>
            <w:r>
              <w:rPr>
                <w:rFonts w:eastAsiaTheme="minorEastAsia"/>
                <w:color w:val="000000" w:themeColor="text1"/>
                <w:szCs w:val="21"/>
              </w:rPr>
              <w:t>-3.45%</w:t>
            </w:r>
          </w:p>
        </w:tc>
        <w:tc>
          <w:tcPr>
            <w:tcW w:w="1291" w:type="dxa"/>
            <w:vAlign w:val="center"/>
          </w:tcPr>
          <w:p w:rsidR="008F79DA" w:rsidRDefault="00E45023">
            <w:pPr>
              <w:jc w:val="right"/>
            </w:pPr>
            <w:r>
              <w:rPr>
                <w:rFonts w:eastAsiaTheme="minorEastAsia"/>
                <w:color w:val="000000" w:themeColor="text1"/>
                <w:szCs w:val="21"/>
              </w:rPr>
              <w:t>-0.23%</w:t>
            </w:r>
          </w:p>
        </w:tc>
      </w:tr>
      <w:tr w:rsidR="008F79DA">
        <w:tc>
          <w:tcPr>
            <w:tcW w:w="1290" w:type="dxa"/>
            <w:vAlign w:val="center"/>
          </w:tcPr>
          <w:p w:rsidR="008F79DA" w:rsidRDefault="00E45023">
            <w:pPr>
              <w:jc w:val="left"/>
            </w:pPr>
            <w:r>
              <w:rPr>
                <w:rFonts w:eastAsiaTheme="minorEastAsia"/>
                <w:color w:val="000000" w:themeColor="text1"/>
                <w:szCs w:val="21"/>
              </w:rPr>
              <w:t>过去六个月</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过去一年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过去三年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过去五年</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c>
          <w:tcPr>
            <w:tcW w:w="1291" w:type="dxa"/>
            <w:vAlign w:val="center"/>
          </w:tcPr>
          <w:p w:rsidR="008F79DA" w:rsidRDefault="00E45023">
            <w:pPr>
              <w:jc w:val="right"/>
            </w:pPr>
            <w:r>
              <w:rPr>
                <w:rFonts w:eastAsiaTheme="minorEastAsia"/>
                <w:color w:val="000000" w:themeColor="text1"/>
                <w:szCs w:val="21"/>
              </w:rPr>
              <w:t>-</w:t>
            </w:r>
          </w:p>
        </w:tc>
      </w:tr>
      <w:tr w:rsidR="008F79DA">
        <w:tc>
          <w:tcPr>
            <w:tcW w:w="1290" w:type="dxa"/>
            <w:vAlign w:val="center"/>
          </w:tcPr>
          <w:p w:rsidR="008F79DA" w:rsidRDefault="00E45023">
            <w:pPr>
              <w:jc w:val="left"/>
            </w:pPr>
            <w:r>
              <w:rPr>
                <w:rFonts w:eastAsiaTheme="minorEastAsia"/>
                <w:color w:val="000000" w:themeColor="text1"/>
                <w:szCs w:val="21"/>
              </w:rPr>
              <w:t>自基金合同生效起至今</w:t>
            </w:r>
          </w:p>
        </w:tc>
        <w:tc>
          <w:tcPr>
            <w:tcW w:w="1291" w:type="dxa"/>
            <w:vAlign w:val="center"/>
          </w:tcPr>
          <w:p w:rsidR="008F79DA" w:rsidRDefault="00E45023">
            <w:pPr>
              <w:jc w:val="right"/>
            </w:pPr>
            <w:r>
              <w:rPr>
                <w:rFonts w:eastAsiaTheme="minorEastAsia"/>
                <w:color w:val="000000" w:themeColor="text1"/>
                <w:szCs w:val="21"/>
              </w:rPr>
              <w:t>-0.13%</w:t>
            </w:r>
          </w:p>
        </w:tc>
        <w:tc>
          <w:tcPr>
            <w:tcW w:w="1291" w:type="dxa"/>
            <w:vAlign w:val="center"/>
          </w:tcPr>
          <w:p w:rsidR="008F79DA" w:rsidRDefault="00E45023">
            <w:pPr>
              <w:jc w:val="right"/>
            </w:pPr>
            <w:r>
              <w:rPr>
                <w:rFonts w:eastAsiaTheme="minorEastAsia"/>
                <w:color w:val="000000" w:themeColor="text1"/>
                <w:szCs w:val="21"/>
              </w:rPr>
              <w:t>0.04%</w:t>
            </w:r>
          </w:p>
        </w:tc>
        <w:tc>
          <w:tcPr>
            <w:tcW w:w="1291" w:type="dxa"/>
            <w:vAlign w:val="center"/>
          </w:tcPr>
          <w:p w:rsidR="008F79DA" w:rsidRDefault="00E45023">
            <w:pPr>
              <w:jc w:val="right"/>
            </w:pPr>
            <w:r>
              <w:rPr>
                <w:rFonts w:eastAsiaTheme="minorEastAsia"/>
                <w:color w:val="000000" w:themeColor="text1"/>
                <w:szCs w:val="21"/>
              </w:rPr>
              <w:t>2.96%</w:t>
            </w:r>
          </w:p>
        </w:tc>
        <w:tc>
          <w:tcPr>
            <w:tcW w:w="1291" w:type="dxa"/>
            <w:vAlign w:val="center"/>
          </w:tcPr>
          <w:p w:rsidR="008F79DA" w:rsidRDefault="00E45023">
            <w:pPr>
              <w:jc w:val="right"/>
            </w:pPr>
            <w:r>
              <w:rPr>
                <w:rFonts w:eastAsiaTheme="minorEastAsia"/>
                <w:color w:val="000000" w:themeColor="text1"/>
                <w:szCs w:val="21"/>
              </w:rPr>
              <w:t>0.25%</w:t>
            </w:r>
          </w:p>
        </w:tc>
        <w:tc>
          <w:tcPr>
            <w:tcW w:w="1291" w:type="dxa"/>
            <w:vAlign w:val="center"/>
          </w:tcPr>
          <w:p w:rsidR="008F79DA" w:rsidRDefault="00E45023">
            <w:pPr>
              <w:jc w:val="right"/>
            </w:pPr>
            <w:r>
              <w:rPr>
                <w:rFonts w:eastAsiaTheme="minorEastAsia"/>
                <w:color w:val="000000" w:themeColor="text1"/>
                <w:szCs w:val="21"/>
              </w:rPr>
              <w:t>-3.09%</w:t>
            </w:r>
          </w:p>
        </w:tc>
        <w:tc>
          <w:tcPr>
            <w:tcW w:w="1291" w:type="dxa"/>
            <w:vAlign w:val="center"/>
          </w:tcPr>
          <w:p w:rsidR="008F79DA" w:rsidRDefault="00E45023">
            <w:pPr>
              <w:jc w:val="right"/>
            </w:pPr>
            <w:r>
              <w:rPr>
                <w:rFonts w:eastAsiaTheme="minorEastAsia"/>
                <w:color w:val="000000" w:themeColor="text1"/>
                <w:szCs w:val="21"/>
              </w:rPr>
              <w:t>-0.21%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F79DA">
        <w:tc>
          <w:tcPr>
            <w:tcW w:w="952" w:type="dxa"/>
            <w:vAlign w:val="center"/>
          </w:tcPr>
          <w:p w:rsidR="008F79DA" w:rsidRDefault="00E45023">
            <w:pPr>
              <w:jc w:val="center"/>
            </w:pPr>
            <w:r>
              <w:rPr>
                <w:rFonts w:eastAsiaTheme="minorEastAsia"/>
                <w:color w:val="000000" w:themeColor="text1"/>
                <w:szCs w:val="21"/>
              </w:rPr>
              <w:t>陈圆明</w:t>
            </w:r>
          </w:p>
        </w:tc>
        <w:tc>
          <w:tcPr>
            <w:tcW w:w="930" w:type="dxa"/>
            <w:vAlign w:val="center"/>
          </w:tcPr>
          <w:p w:rsidR="008F79DA" w:rsidRDefault="00E45023">
            <w:pPr>
              <w:jc w:val="center"/>
            </w:pPr>
            <w:r>
              <w:rPr>
                <w:rFonts w:eastAsiaTheme="minorEastAsia"/>
                <w:color w:val="000000" w:themeColor="text1"/>
                <w:szCs w:val="21"/>
              </w:rPr>
              <w:t>本基金基金经理、绝对收益投资部总监</w:t>
            </w:r>
          </w:p>
        </w:tc>
        <w:tc>
          <w:tcPr>
            <w:tcW w:w="1210" w:type="dxa"/>
            <w:vAlign w:val="center"/>
          </w:tcPr>
          <w:p w:rsidR="008F79DA" w:rsidRDefault="00E45023">
            <w:pPr>
              <w:jc w:val="center"/>
            </w:pPr>
            <w:r>
              <w:rPr>
                <w:rFonts w:eastAsiaTheme="minorEastAsia"/>
                <w:color w:val="000000" w:themeColor="text1"/>
                <w:szCs w:val="21"/>
              </w:rPr>
              <w:t>2024-06-12</w:t>
            </w:r>
          </w:p>
        </w:tc>
        <w:tc>
          <w:tcPr>
            <w:tcW w:w="1309" w:type="dxa"/>
            <w:vAlign w:val="center"/>
          </w:tcPr>
          <w:p w:rsidR="008F79DA" w:rsidRDefault="00E45023">
            <w:pPr>
              <w:jc w:val="center"/>
            </w:pPr>
            <w:r>
              <w:rPr>
                <w:rFonts w:eastAsiaTheme="minorEastAsia"/>
                <w:color w:val="000000" w:themeColor="text1"/>
                <w:szCs w:val="21"/>
              </w:rPr>
              <w:t>-</w:t>
            </w:r>
          </w:p>
        </w:tc>
        <w:tc>
          <w:tcPr>
            <w:tcW w:w="1254" w:type="dxa"/>
            <w:vAlign w:val="center"/>
          </w:tcPr>
          <w:p w:rsidR="008F79DA" w:rsidRDefault="00E4502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8F79DA" w:rsidRDefault="00E45023">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8F79DA">
        <w:tc>
          <w:tcPr>
            <w:tcW w:w="952" w:type="dxa"/>
            <w:vAlign w:val="center"/>
          </w:tcPr>
          <w:p w:rsidR="008F79DA" w:rsidRDefault="00E45023">
            <w:pPr>
              <w:jc w:val="center"/>
            </w:pPr>
            <w:r>
              <w:rPr>
                <w:rFonts w:eastAsiaTheme="minorEastAsia"/>
                <w:color w:val="000000" w:themeColor="text1"/>
                <w:szCs w:val="21"/>
              </w:rPr>
              <w:t>文雪婷</w:t>
            </w:r>
          </w:p>
        </w:tc>
        <w:tc>
          <w:tcPr>
            <w:tcW w:w="930" w:type="dxa"/>
            <w:vAlign w:val="center"/>
          </w:tcPr>
          <w:p w:rsidR="008F79DA" w:rsidRDefault="00E45023">
            <w:pPr>
              <w:jc w:val="center"/>
            </w:pPr>
            <w:r>
              <w:rPr>
                <w:rFonts w:eastAsiaTheme="minorEastAsia"/>
                <w:color w:val="000000" w:themeColor="text1"/>
                <w:szCs w:val="21"/>
              </w:rPr>
              <w:t>本基金基金经理</w:t>
            </w:r>
          </w:p>
        </w:tc>
        <w:tc>
          <w:tcPr>
            <w:tcW w:w="1210" w:type="dxa"/>
            <w:vAlign w:val="center"/>
          </w:tcPr>
          <w:p w:rsidR="008F79DA" w:rsidRDefault="00E45023">
            <w:pPr>
              <w:jc w:val="center"/>
            </w:pPr>
            <w:r>
              <w:rPr>
                <w:rFonts w:eastAsiaTheme="minorEastAsia"/>
                <w:color w:val="000000" w:themeColor="text1"/>
                <w:szCs w:val="21"/>
              </w:rPr>
              <w:t>2024-07-05</w:t>
            </w:r>
          </w:p>
        </w:tc>
        <w:tc>
          <w:tcPr>
            <w:tcW w:w="1309" w:type="dxa"/>
            <w:vAlign w:val="center"/>
          </w:tcPr>
          <w:p w:rsidR="008F79DA" w:rsidRDefault="00E45023">
            <w:pPr>
              <w:jc w:val="center"/>
            </w:pPr>
            <w:r>
              <w:rPr>
                <w:rFonts w:eastAsiaTheme="minorEastAsia"/>
                <w:color w:val="000000" w:themeColor="text1"/>
                <w:szCs w:val="21"/>
              </w:rPr>
              <w:t>-</w:t>
            </w:r>
          </w:p>
        </w:tc>
        <w:tc>
          <w:tcPr>
            <w:tcW w:w="1254" w:type="dxa"/>
            <w:vAlign w:val="center"/>
          </w:tcPr>
          <w:p w:rsidR="008F79DA" w:rsidRDefault="00E45023">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8F79DA" w:rsidRDefault="00E45023">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w:t>
            </w:r>
            <w:r>
              <w:rPr>
                <w:rFonts w:eastAsiaTheme="minorEastAsia"/>
                <w:color w:val="000000" w:themeColor="text1"/>
                <w:szCs w:val="21"/>
              </w:rPr>
              <w:lastRenderedPageBreak/>
              <w:t>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bl>
    <w:p w:rsidR="008F79DA" w:rsidRDefault="00E450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F79DA" w:rsidRDefault="00E450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，超出市场预期，但经济数据及宽财政趋</w:t>
      </w:r>
      <w:r>
        <w:rPr>
          <w:rFonts w:eastAsiaTheme="minorEastAsia"/>
          <w:color w:val="000000" w:themeColor="text1"/>
          <w:szCs w:val="21"/>
        </w:rPr>
        <w:t>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力度均超出市场预期，有力地向市场传递出活跃资本市场的积极信号，权益市场的政策底或已基本确立。</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稳增长基调更为明确。往后看，更多增量政策正在路上，财政方面将会安排扩赤字</w:t>
      </w:r>
      <w:r>
        <w:rPr>
          <w:rFonts w:eastAsiaTheme="minorEastAsia"/>
          <w:color w:val="000000" w:themeColor="text1"/>
          <w:szCs w:val="21"/>
        </w:rPr>
        <w:t>、增发国债，化债等长效资金，投向也转向民生保障和地方政府基层三保等效率更高的部门。后续还有若干兑现财政力度的时间窗口，包括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w:t>
      </w:r>
      <w:r>
        <w:rPr>
          <w:rFonts w:eastAsiaTheme="minorEastAsia"/>
          <w:color w:val="000000" w:themeColor="text1"/>
          <w:szCs w:val="21"/>
        </w:rPr>
        <w:t>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在央行进一步宽松之前，长债利率已快速下行，后续宽松落地时可能是利多出尽时间窗口。考虑到基本面修复节奏以及资金面逐步转向平衡等因素，中期视角债市宽幅震荡的概率较大，对债市维持谨慎观点，策略上关注久期和高信用等级品种。</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本报告期摩根悦享回报</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:-0.07%</w:t>
      </w:r>
      <w:r>
        <w:rPr>
          <w:rFonts w:eastAsiaTheme="minorEastAsia"/>
          <w:color w:val="000000" w:themeColor="text1"/>
          <w:szCs w:val="21"/>
        </w:rPr>
        <w:t>，同期业绩比较基准收益率为</w:t>
      </w:r>
      <w:r>
        <w:rPr>
          <w:rFonts w:eastAsiaTheme="minorEastAsia"/>
          <w:color w:val="000000" w:themeColor="text1"/>
          <w:szCs w:val="21"/>
        </w:rPr>
        <w:t>:3.28%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1,076,748,039.14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1,076,748,039.14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-1,986.84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28,133,577.81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4,004,028.45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1,108,883,658.56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20,495,369.86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576,438,363.91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72,396,189.05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111,337,497.28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171,395,863.44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197,080,944.65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1,076,748,039.14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F79DA">
        <w:tc>
          <w:tcPr>
            <w:tcW w:w="1504" w:type="dxa"/>
            <w:vAlign w:val="center"/>
          </w:tcPr>
          <w:p w:rsidR="008F79DA" w:rsidRDefault="00E45023">
            <w:pPr>
              <w:jc w:val="center"/>
            </w:pPr>
            <w:r>
              <w:rPr>
                <w:rFonts w:eastAsiaTheme="minorEastAsia"/>
                <w:color w:val="000000" w:themeColor="text1"/>
                <w:szCs w:val="21"/>
              </w:rPr>
              <w:t>1</w:t>
            </w:r>
          </w:p>
        </w:tc>
        <w:tc>
          <w:tcPr>
            <w:tcW w:w="1504" w:type="dxa"/>
            <w:vAlign w:val="center"/>
          </w:tcPr>
          <w:p w:rsidR="008F79DA" w:rsidRDefault="00E45023">
            <w:pPr>
              <w:jc w:val="center"/>
            </w:pPr>
            <w:r>
              <w:rPr>
                <w:rFonts w:eastAsiaTheme="minorEastAsia"/>
                <w:color w:val="000000" w:themeColor="text1"/>
                <w:szCs w:val="21"/>
              </w:rPr>
              <w:t>112415230</w:t>
            </w:r>
          </w:p>
        </w:tc>
        <w:tc>
          <w:tcPr>
            <w:tcW w:w="1504" w:type="dxa"/>
            <w:vAlign w:val="center"/>
          </w:tcPr>
          <w:p w:rsidR="008F79DA" w:rsidRDefault="00E45023">
            <w:pPr>
              <w:jc w:val="center"/>
            </w:pPr>
            <w:r>
              <w:rPr>
                <w:rFonts w:eastAsiaTheme="minorEastAsia"/>
                <w:color w:val="000000" w:themeColor="text1"/>
                <w:szCs w:val="21"/>
              </w:rPr>
              <w:t>24</w:t>
            </w:r>
            <w:r>
              <w:rPr>
                <w:rFonts w:eastAsiaTheme="minorEastAsia"/>
                <w:color w:val="000000" w:themeColor="text1"/>
                <w:szCs w:val="21"/>
              </w:rPr>
              <w:t>民生银行</w:t>
            </w:r>
            <w:r>
              <w:rPr>
                <w:rFonts w:eastAsiaTheme="minorEastAsia"/>
                <w:color w:val="000000" w:themeColor="text1"/>
                <w:szCs w:val="21"/>
              </w:rPr>
              <w:t>CD230</w:t>
            </w:r>
          </w:p>
        </w:tc>
        <w:tc>
          <w:tcPr>
            <w:tcW w:w="1503" w:type="dxa"/>
            <w:vAlign w:val="center"/>
          </w:tcPr>
          <w:p w:rsidR="008F79DA" w:rsidRDefault="00E45023">
            <w:pPr>
              <w:jc w:val="right"/>
            </w:pPr>
            <w:r>
              <w:rPr>
                <w:rFonts w:eastAsiaTheme="minorEastAsia"/>
                <w:color w:val="000000" w:themeColor="text1"/>
                <w:szCs w:val="21"/>
              </w:rPr>
              <w:t>1,000,000</w:t>
            </w:r>
          </w:p>
        </w:tc>
        <w:tc>
          <w:tcPr>
            <w:tcW w:w="1503" w:type="dxa"/>
            <w:vAlign w:val="center"/>
          </w:tcPr>
          <w:p w:rsidR="008F79DA" w:rsidRDefault="00E45023">
            <w:pPr>
              <w:jc w:val="right"/>
            </w:pPr>
            <w:r>
              <w:rPr>
                <w:rFonts w:eastAsiaTheme="minorEastAsia"/>
                <w:color w:val="000000" w:themeColor="text1"/>
                <w:szCs w:val="21"/>
              </w:rPr>
              <w:t>98,699,303.01</w:t>
            </w:r>
          </w:p>
        </w:tc>
        <w:tc>
          <w:tcPr>
            <w:tcW w:w="1503" w:type="dxa"/>
            <w:vAlign w:val="center"/>
          </w:tcPr>
          <w:p w:rsidR="008F79DA" w:rsidRDefault="00E45023">
            <w:pPr>
              <w:jc w:val="right"/>
            </w:pPr>
            <w:r>
              <w:rPr>
                <w:rFonts w:eastAsiaTheme="minorEastAsia"/>
                <w:color w:val="000000" w:themeColor="text1"/>
                <w:szCs w:val="21"/>
              </w:rPr>
              <w:t>8.91</w:t>
            </w:r>
          </w:p>
        </w:tc>
      </w:tr>
      <w:tr w:rsidR="008F79DA">
        <w:tc>
          <w:tcPr>
            <w:tcW w:w="1504" w:type="dxa"/>
            <w:vAlign w:val="center"/>
          </w:tcPr>
          <w:p w:rsidR="008F79DA" w:rsidRDefault="00E45023">
            <w:pPr>
              <w:jc w:val="center"/>
            </w:pPr>
            <w:r>
              <w:rPr>
                <w:rFonts w:eastAsiaTheme="minorEastAsia"/>
                <w:color w:val="000000" w:themeColor="text1"/>
                <w:szCs w:val="21"/>
              </w:rPr>
              <w:t>2</w:t>
            </w:r>
          </w:p>
        </w:tc>
        <w:tc>
          <w:tcPr>
            <w:tcW w:w="1504" w:type="dxa"/>
            <w:vAlign w:val="center"/>
          </w:tcPr>
          <w:p w:rsidR="008F79DA" w:rsidRDefault="00E45023">
            <w:pPr>
              <w:jc w:val="center"/>
            </w:pPr>
            <w:r>
              <w:rPr>
                <w:rFonts w:eastAsiaTheme="minorEastAsia"/>
                <w:color w:val="000000" w:themeColor="text1"/>
                <w:szCs w:val="21"/>
              </w:rPr>
              <w:t>112415306</w:t>
            </w:r>
          </w:p>
        </w:tc>
        <w:tc>
          <w:tcPr>
            <w:tcW w:w="1504" w:type="dxa"/>
            <w:vAlign w:val="center"/>
          </w:tcPr>
          <w:p w:rsidR="008F79DA" w:rsidRDefault="00E45023">
            <w:pPr>
              <w:jc w:val="center"/>
            </w:pPr>
            <w:r>
              <w:rPr>
                <w:rFonts w:eastAsiaTheme="minorEastAsia"/>
                <w:color w:val="000000" w:themeColor="text1"/>
                <w:szCs w:val="21"/>
              </w:rPr>
              <w:t>24</w:t>
            </w:r>
            <w:r>
              <w:rPr>
                <w:rFonts w:eastAsiaTheme="minorEastAsia"/>
                <w:color w:val="000000" w:themeColor="text1"/>
                <w:szCs w:val="21"/>
              </w:rPr>
              <w:t>民生银行</w:t>
            </w:r>
            <w:r>
              <w:rPr>
                <w:rFonts w:eastAsiaTheme="minorEastAsia"/>
                <w:color w:val="000000" w:themeColor="text1"/>
                <w:szCs w:val="21"/>
              </w:rPr>
              <w:t>CD306</w:t>
            </w:r>
          </w:p>
        </w:tc>
        <w:tc>
          <w:tcPr>
            <w:tcW w:w="1503" w:type="dxa"/>
            <w:vAlign w:val="center"/>
          </w:tcPr>
          <w:p w:rsidR="008F79DA" w:rsidRDefault="00E45023">
            <w:pPr>
              <w:jc w:val="right"/>
            </w:pPr>
            <w:r>
              <w:rPr>
                <w:rFonts w:eastAsiaTheme="minorEastAsia"/>
                <w:color w:val="000000" w:themeColor="text1"/>
                <w:szCs w:val="21"/>
              </w:rPr>
              <w:t>1,000,000</w:t>
            </w:r>
          </w:p>
        </w:tc>
        <w:tc>
          <w:tcPr>
            <w:tcW w:w="1503" w:type="dxa"/>
            <w:vAlign w:val="center"/>
          </w:tcPr>
          <w:p w:rsidR="008F79DA" w:rsidRDefault="00E45023">
            <w:pPr>
              <w:jc w:val="right"/>
            </w:pPr>
            <w:r>
              <w:rPr>
                <w:rFonts w:eastAsiaTheme="minorEastAsia"/>
                <w:color w:val="000000" w:themeColor="text1"/>
                <w:szCs w:val="21"/>
              </w:rPr>
              <w:t>98,381,641.64</w:t>
            </w:r>
          </w:p>
        </w:tc>
        <w:tc>
          <w:tcPr>
            <w:tcW w:w="1503" w:type="dxa"/>
            <w:vAlign w:val="center"/>
          </w:tcPr>
          <w:p w:rsidR="008F79DA" w:rsidRDefault="00E45023">
            <w:pPr>
              <w:jc w:val="right"/>
            </w:pPr>
            <w:r>
              <w:rPr>
                <w:rFonts w:eastAsiaTheme="minorEastAsia"/>
                <w:color w:val="000000" w:themeColor="text1"/>
                <w:szCs w:val="21"/>
              </w:rPr>
              <w:t>8.88</w:t>
            </w:r>
          </w:p>
        </w:tc>
      </w:tr>
      <w:tr w:rsidR="008F79DA">
        <w:tc>
          <w:tcPr>
            <w:tcW w:w="1504" w:type="dxa"/>
            <w:vAlign w:val="center"/>
          </w:tcPr>
          <w:p w:rsidR="008F79DA" w:rsidRDefault="00E45023">
            <w:pPr>
              <w:jc w:val="center"/>
            </w:pPr>
            <w:r>
              <w:rPr>
                <w:rFonts w:eastAsiaTheme="minorEastAsia"/>
                <w:color w:val="000000" w:themeColor="text1"/>
                <w:szCs w:val="21"/>
              </w:rPr>
              <w:t>3</w:t>
            </w:r>
          </w:p>
        </w:tc>
        <w:tc>
          <w:tcPr>
            <w:tcW w:w="1504" w:type="dxa"/>
            <w:vAlign w:val="center"/>
          </w:tcPr>
          <w:p w:rsidR="008F79DA" w:rsidRDefault="00E45023">
            <w:pPr>
              <w:jc w:val="center"/>
            </w:pPr>
            <w:r>
              <w:rPr>
                <w:rFonts w:eastAsiaTheme="minorEastAsia"/>
                <w:color w:val="000000" w:themeColor="text1"/>
                <w:szCs w:val="21"/>
              </w:rPr>
              <w:t>150210</w:t>
            </w:r>
          </w:p>
        </w:tc>
        <w:tc>
          <w:tcPr>
            <w:tcW w:w="1504" w:type="dxa"/>
            <w:vAlign w:val="center"/>
          </w:tcPr>
          <w:p w:rsidR="008F79DA" w:rsidRDefault="00E45023">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8F79DA" w:rsidRDefault="00E45023">
            <w:pPr>
              <w:jc w:val="right"/>
            </w:pPr>
            <w:r>
              <w:rPr>
                <w:rFonts w:eastAsiaTheme="minorEastAsia"/>
                <w:color w:val="000000" w:themeColor="text1"/>
                <w:szCs w:val="21"/>
              </w:rPr>
              <w:t>600,000</w:t>
            </w:r>
          </w:p>
        </w:tc>
        <w:tc>
          <w:tcPr>
            <w:tcW w:w="1503" w:type="dxa"/>
            <w:vAlign w:val="center"/>
          </w:tcPr>
          <w:p w:rsidR="008F79DA" w:rsidRDefault="00E45023">
            <w:pPr>
              <w:jc w:val="right"/>
            </w:pPr>
            <w:r>
              <w:rPr>
                <w:rFonts w:eastAsiaTheme="minorEastAsia"/>
                <w:color w:val="000000" w:themeColor="text1"/>
                <w:szCs w:val="21"/>
              </w:rPr>
              <w:t>61,969,413.70</w:t>
            </w:r>
          </w:p>
        </w:tc>
        <w:tc>
          <w:tcPr>
            <w:tcW w:w="1503" w:type="dxa"/>
            <w:vAlign w:val="center"/>
          </w:tcPr>
          <w:p w:rsidR="008F79DA" w:rsidRDefault="00E45023">
            <w:pPr>
              <w:jc w:val="right"/>
            </w:pPr>
            <w:r>
              <w:rPr>
                <w:rFonts w:eastAsiaTheme="minorEastAsia"/>
                <w:color w:val="000000" w:themeColor="text1"/>
                <w:szCs w:val="21"/>
              </w:rPr>
              <w:t>5.59</w:t>
            </w:r>
          </w:p>
        </w:tc>
      </w:tr>
      <w:tr w:rsidR="008F79DA">
        <w:tc>
          <w:tcPr>
            <w:tcW w:w="1504" w:type="dxa"/>
            <w:vAlign w:val="center"/>
          </w:tcPr>
          <w:p w:rsidR="008F79DA" w:rsidRDefault="00E45023">
            <w:pPr>
              <w:jc w:val="center"/>
            </w:pPr>
            <w:r>
              <w:rPr>
                <w:rFonts w:eastAsiaTheme="minorEastAsia"/>
                <w:color w:val="000000" w:themeColor="text1"/>
                <w:szCs w:val="21"/>
              </w:rPr>
              <w:t>4</w:t>
            </w:r>
          </w:p>
        </w:tc>
        <w:tc>
          <w:tcPr>
            <w:tcW w:w="1504" w:type="dxa"/>
            <w:vAlign w:val="center"/>
          </w:tcPr>
          <w:p w:rsidR="008F79DA" w:rsidRDefault="00E45023">
            <w:pPr>
              <w:jc w:val="center"/>
            </w:pPr>
            <w:r>
              <w:rPr>
                <w:rFonts w:eastAsiaTheme="minorEastAsia"/>
                <w:color w:val="000000" w:themeColor="text1"/>
                <w:szCs w:val="21"/>
              </w:rPr>
              <w:t>2028003</w:t>
            </w:r>
          </w:p>
        </w:tc>
        <w:tc>
          <w:tcPr>
            <w:tcW w:w="1504" w:type="dxa"/>
            <w:vAlign w:val="center"/>
          </w:tcPr>
          <w:p w:rsidR="008F79DA" w:rsidRDefault="00E45023">
            <w:pPr>
              <w:jc w:val="center"/>
            </w:pPr>
            <w:r>
              <w:rPr>
                <w:rFonts w:eastAsiaTheme="minorEastAsia"/>
                <w:color w:val="000000" w:themeColor="text1"/>
                <w:szCs w:val="21"/>
              </w:rPr>
              <w:t>20</w:t>
            </w:r>
            <w:r>
              <w:rPr>
                <w:rFonts w:eastAsiaTheme="minorEastAsia"/>
                <w:color w:val="000000" w:themeColor="text1"/>
                <w:szCs w:val="21"/>
              </w:rPr>
              <w:t>平安银行永续债</w:t>
            </w:r>
            <w:r>
              <w:rPr>
                <w:rFonts w:eastAsiaTheme="minorEastAsia"/>
                <w:color w:val="000000" w:themeColor="text1"/>
                <w:szCs w:val="21"/>
              </w:rPr>
              <w:t>01</w:t>
            </w:r>
          </w:p>
        </w:tc>
        <w:tc>
          <w:tcPr>
            <w:tcW w:w="1503" w:type="dxa"/>
            <w:vAlign w:val="center"/>
          </w:tcPr>
          <w:p w:rsidR="008F79DA" w:rsidRDefault="00E45023">
            <w:pPr>
              <w:jc w:val="right"/>
            </w:pPr>
            <w:r>
              <w:rPr>
                <w:rFonts w:eastAsiaTheme="minorEastAsia"/>
                <w:color w:val="000000" w:themeColor="text1"/>
                <w:szCs w:val="21"/>
              </w:rPr>
              <w:t>500,000</w:t>
            </w:r>
          </w:p>
        </w:tc>
        <w:tc>
          <w:tcPr>
            <w:tcW w:w="1503" w:type="dxa"/>
            <w:vAlign w:val="center"/>
          </w:tcPr>
          <w:p w:rsidR="008F79DA" w:rsidRDefault="00E45023">
            <w:pPr>
              <w:jc w:val="right"/>
            </w:pPr>
            <w:r>
              <w:rPr>
                <w:rFonts w:eastAsiaTheme="minorEastAsia"/>
                <w:color w:val="000000" w:themeColor="text1"/>
                <w:szCs w:val="21"/>
              </w:rPr>
              <w:t>51,486,475.41</w:t>
            </w:r>
          </w:p>
        </w:tc>
        <w:tc>
          <w:tcPr>
            <w:tcW w:w="1503" w:type="dxa"/>
            <w:vAlign w:val="center"/>
          </w:tcPr>
          <w:p w:rsidR="008F79DA" w:rsidRDefault="00E45023">
            <w:pPr>
              <w:jc w:val="right"/>
            </w:pPr>
            <w:r>
              <w:rPr>
                <w:rFonts w:eastAsiaTheme="minorEastAsia"/>
                <w:color w:val="000000" w:themeColor="text1"/>
                <w:szCs w:val="21"/>
              </w:rPr>
              <w:t>4.65</w:t>
            </w:r>
          </w:p>
        </w:tc>
      </w:tr>
      <w:tr w:rsidR="008F79DA">
        <w:tc>
          <w:tcPr>
            <w:tcW w:w="1504" w:type="dxa"/>
            <w:vAlign w:val="center"/>
          </w:tcPr>
          <w:p w:rsidR="008F79DA" w:rsidRDefault="00E45023">
            <w:pPr>
              <w:jc w:val="center"/>
            </w:pPr>
            <w:r>
              <w:rPr>
                <w:rFonts w:eastAsiaTheme="minorEastAsia"/>
                <w:color w:val="000000" w:themeColor="text1"/>
                <w:szCs w:val="21"/>
              </w:rPr>
              <w:t>5</w:t>
            </w:r>
          </w:p>
        </w:tc>
        <w:tc>
          <w:tcPr>
            <w:tcW w:w="1504" w:type="dxa"/>
            <w:vAlign w:val="center"/>
          </w:tcPr>
          <w:p w:rsidR="008F79DA" w:rsidRDefault="00E45023">
            <w:pPr>
              <w:jc w:val="center"/>
            </w:pPr>
            <w:r>
              <w:rPr>
                <w:rFonts w:eastAsiaTheme="minorEastAsia"/>
                <w:color w:val="000000" w:themeColor="text1"/>
                <w:szCs w:val="21"/>
              </w:rPr>
              <w:t>232400014</w:t>
            </w:r>
          </w:p>
        </w:tc>
        <w:tc>
          <w:tcPr>
            <w:tcW w:w="1504" w:type="dxa"/>
            <w:vAlign w:val="center"/>
          </w:tcPr>
          <w:p w:rsidR="008F79DA" w:rsidRDefault="00E45023">
            <w:pPr>
              <w:jc w:val="center"/>
            </w:pPr>
            <w:r>
              <w:rPr>
                <w:rFonts w:eastAsiaTheme="minorEastAsia"/>
                <w:color w:val="000000" w:themeColor="text1"/>
                <w:szCs w:val="21"/>
              </w:rPr>
              <w:t>24</w:t>
            </w:r>
            <w:r>
              <w:rPr>
                <w:rFonts w:eastAsiaTheme="minorEastAsia"/>
                <w:color w:val="000000" w:themeColor="text1"/>
                <w:szCs w:val="21"/>
              </w:rPr>
              <w:t>民生银行二级资本债</w:t>
            </w:r>
            <w:r>
              <w:rPr>
                <w:rFonts w:eastAsiaTheme="minorEastAsia"/>
                <w:color w:val="000000" w:themeColor="text1"/>
                <w:szCs w:val="21"/>
              </w:rPr>
              <w:t>01</w:t>
            </w:r>
          </w:p>
        </w:tc>
        <w:tc>
          <w:tcPr>
            <w:tcW w:w="1503" w:type="dxa"/>
            <w:vAlign w:val="center"/>
          </w:tcPr>
          <w:p w:rsidR="008F79DA" w:rsidRDefault="00E45023">
            <w:pPr>
              <w:jc w:val="right"/>
            </w:pPr>
            <w:r>
              <w:rPr>
                <w:rFonts w:eastAsiaTheme="minorEastAsia"/>
                <w:color w:val="000000" w:themeColor="text1"/>
                <w:szCs w:val="21"/>
              </w:rPr>
              <w:t>500,000</w:t>
            </w:r>
          </w:p>
        </w:tc>
        <w:tc>
          <w:tcPr>
            <w:tcW w:w="1503" w:type="dxa"/>
            <w:vAlign w:val="center"/>
          </w:tcPr>
          <w:p w:rsidR="008F79DA" w:rsidRDefault="00E45023">
            <w:pPr>
              <w:jc w:val="right"/>
            </w:pPr>
            <w:r>
              <w:rPr>
                <w:rFonts w:eastAsiaTheme="minorEastAsia"/>
                <w:color w:val="000000" w:themeColor="text1"/>
                <w:szCs w:val="21"/>
              </w:rPr>
              <w:t>50,119,657.53</w:t>
            </w:r>
          </w:p>
        </w:tc>
        <w:tc>
          <w:tcPr>
            <w:tcW w:w="1503" w:type="dxa"/>
            <w:vAlign w:val="center"/>
          </w:tcPr>
          <w:p w:rsidR="008F79DA" w:rsidRDefault="00E45023">
            <w:pPr>
              <w:jc w:val="right"/>
            </w:pPr>
            <w:r>
              <w:rPr>
                <w:rFonts w:eastAsiaTheme="minorEastAsia"/>
                <w:color w:val="000000" w:themeColor="text1"/>
                <w:szCs w:val="21"/>
              </w:rPr>
              <w:t>4.53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平安银行股份有限公司报告编制日前一年内曾受到国家金融监督管理总局、国家金融监督管理总局深圳监管局的处罚，杭州银行股份有限公司报告编制日前一年内曾受到国家金融监督管理总局浙江监管局的处罚，中信银行股份有限公司报告编制日前一年内曾受到国家金融监督管理总局的处罚，中国银行股份有限公司报告编制日前一年内曾受到国家外汇管理局北京市分局、国家金融监督管理总局、央行的处罚，中国建设银行股份有限公司报告编制日前一年内曾受到国家金融监督管理总局的处罚。</w:t>
      </w:r>
    </w:p>
    <w:p w:rsidR="008F79DA" w:rsidRDefault="00E45023">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1,728.01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4,002,270.68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4,004,028.45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296,740,259.92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811,903,642.69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3,135.34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39,009.20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296,743,395.26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811,942,651.89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（一）中国证监会准予摩根悦享回报</w:t>
      </w:r>
      <w:r>
        <w:rPr>
          <w:rFonts w:eastAsiaTheme="minorEastAsia"/>
          <w:color w:val="000000" w:themeColor="text1"/>
          <w:szCs w:val="21"/>
        </w:rPr>
        <w:t>6</w:t>
      </w:r>
      <w:r>
        <w:rPr>
          <w:rFonts w:eastAsiaTheme="minorEastAsia"/>
          <w:color w:val="000000" w:themeColor="text1"/>
          <w:szCs w:val="21"/>
        </w:rPr>
        <w:t>个月持有期混合型证券投资基金募集注册的文件</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（二）摩根悦享回报</w:t>
      </w:r>
      <w:r>
        <w:rPr>
          <w:rFonts w:eastAsiaTheme="minorEastAsia"/>
          <w:color w:val="000000" w:themeColor="text1"/>
          <w:szCs w:val="21"/>
        </w:rPr>
        <w:t>6</w:t>
      </w:r>
      <w:r>
        <w:rPr>
          <w:rFonts w:eastAsiaTheme="minorEastAsia"/>
          <w:color w:val="000000" w:themeColor="text1"/>
          <w:szCs w:val="21"/>
        </w:rPr>
        <w:t>个月持有期混合型证券投资基金基金合同</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（三）摩根悦享回报</w:t>
      </w:r>
      <w:r>
        <w:rPr>
          <w:rFonts w:eastAsiaTheme="minorEastAsia"/>
          <w:color w:val="000000" w:themeColor="text1"/>
          <w:szCs w:val="21"/>
        </w:rPr>
        <w:t>6</w:t>
      </w:r>
      <w:r>
        <w:rPr>
          <w:rFonts w:eastAsiaTheme="minorEastAsia"/>
          <w:color w:val="000000" w:themeColor="text1"/>
          <w:szCs w:val="21"/>
        </w:rPr>
        <w:t>个月持有期混合型证券投资基金托管协议</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8F79DA" w:rsidRDefault="00E4502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502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502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4502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摩根悦享回报</w:t>
    </w:r>
    <w:r>
      <w:t>6</w:t>
    </w:r>
    <w:r>
      <w:t>个月持有期混合型证券投资基金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8F79DA"/>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5023"/>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6BA67-A31F-41AD-A892-70F5E34F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1111</Words>
  <Characters>6333</Characters>
  <Application>Microsoft Office Word</Application>
  <DocSecurity>0</DocSecurity>
  <Lines>52</Lines>
  <Paragraphs>14</Paragraphs>
  <ScaleCrop>false</ScaleCrop>
  <Company>TRT. Ltd. Co.</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