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摩根中证</w:t>
      </w:r>
      <w:r w:rsidRPr="00D97CD7">
        <w:rPr>
          <w:rFonts w:eastAsiaTheme="minorEastAsia"/>
          <w:b/>
          <w:color w:val="000000" w:themeColor="text1"/>
          <w:sz w:val="36"/>
          <w:szCs w:val="36"/>
        </w:rPr>
        <w:t>A50</w:t>
      </w:r>
      <w:r w:rsidRPr="00D97CD7">
        <w:rPr>
          <w:rFonts w:eastAsiaTheme="minorEastAsia"/>
          <w:b/>
          <w:color w:val="000000" w:themeColor="text1"/>
          <w:sz w:val="36"/>
          <w:szCs w:val="36"/>
        </w:rPr>
        <w:t>交易型开放式指数证券投资基金发起式联接基金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3</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9</w:t>
      </w:r>
      <w:r w:rsidRPr="00D97CD7">
        <w:rPr>
          <w:rFonts w:eastAsiaTheme="minorEastAsia"/>
          <w:b/>
          <w:color w:val="000000" w:themeColor="text1"/>
          <w:sz w:val="36"/>
          <w:szCs w:val="36"/>
        </w:rPr>
        <w:t>月</w:t>
      </w:r>
      <w:r w:rsidRPr="00D97CD7">
        <w:rPr>
          <w:rFonts w:eastAsiaTheme="minorEastAsia"/>
          <w:b/>
          <w:color w:val="000000" w:themeColor="text1"/>
          <w:sz w:val="36"/>
          <w:szCs w:val="36"/>
        </w:rPr>
        <w:t>30</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基金托管人：招商证券股份有限公司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报告送出日期：二〇二四年十月二十五日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7</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9</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bookmarkStart w:id="2" w:name="_Hlk91495099"/>
            <w:r w:rsidRPr="0073597F">
              <w:rPr>
                <w:rFonts w:eastAsiaTheme="minorEastAsia"/>
                <w:color w:val="000000" w:themeColor="text1"/>
                <w:kern w:val="0"/>
                <w:szCs w:val="21"/>
              </w:rPr>
              <w:t>基金简称</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摩根中证</w:t>
            </w:r>
            <w:r w:rsidRPr="0073597F">
              <w:rPr>
                <w:rFonts w:eastAsiaTheme="minorEastAsia"/>
                <w:color w:val="000000" w:themeColor="text1"/>
                <w:kern w:val="0"/>
                <w:szCs w:val="21"/>
              </w:rPr>
              <w:t>A50ETF</w:t>
            </w:r>
            <w:r w:rsidRPr="0073597F">
              <w:rPr>
                <w:rFonts w:eastAsiaTheme="minorEastAsia"/>
                <w:color w:val="000000" w:themeColor="text1"/>
                <w:kern w:val="0"/>
                <w:szCs w:val="21"/>
              </w:rPr>
              <w:t>发起式联接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021177</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2024</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3</w:t>
            </w:r>
            <w:r w:rsidRPr="0073597F">
              <w:rPr>
                <w:rFonts w:eastAsiaTheme="minorEastAsia"/>
                <w:color w:val="000000" w:themeColor="text1"/>
                <w:kern w:val="0"/>
                <w:szCs w:val="21"/>
              </w:rPr>
              <w:t>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380,251,763.81</w:t>
            </w:r>
            <w:r w:rsidRPr="0073597F">
              <w:rPr>
                <w:rFonts w:eastAsiaTheme="minorEastAsia"/>
                <w:color w:val="000000" w:themeColor="text1"/>
                <w:kern w:val="0"/>
                <w:szCs w:val="21"/>
              </w:rPr>
              <w:t>份</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通过对目标</w:t>
            </w:r>
            <w:r w:rsidRPr="0073597F">
              <w:rPr>
                <w:rFonts w:eastAsiaTheme="minorEastAsia"/>
                <w:color w:val="000000" w:themeColor="text1"/>
                <w:kern w:val="0"/>
                <w:szCs w:val="21"/>
              </w:rPr>
              <w:t>ETF</w:t>
            </w:r>
            <w:r w:rsidRPr="0073597F">
              <w:rPr>
                <w:rFonts w:eastAsiaTheme="minorEastAsia"/>
                <w:color w:val="000000" w:themeColor="text1"/>
                <w:kern w:val="0"/>
                <w:szCs w:val="21"/>
              </w:rPr>
              <w:t>的投资，追求跟踪标的指数，获得与指数收益相似的回报。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E147B7" w:rsidRDefault="0014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本基金为摩根中证</w:t>
            </w:r>
            <w:r>
              <w:rPr>
                <w:rFonts w:eastAsiaTheme="minorEastAsia"/>
                <w:color w:val="000000" w:themeColor="text1"/>
                <w:kern w:val="0"/>
                <w:szCs w:val="21"/>
              </w:rPr>
              <w:t>A50</w:t>
            </w:r>
            <w:r>
              <w:rPr>
                <w:rFonts w:eastAsiaTheme="minorEastAsia"/>
                <w:color w:val="000000" w:themeColor="text1"/>
                <w:kern w:val="0"/>
                <w:szCs w:val="21"/>
              </w:rPr>
              <w:t>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。如因标的指数编制规则调整或其他因素导致跟踪误差超过上述范围，基金管理人应采取合理措施避免跟踪误差进一步</w:t>
            </w:r>
            <w:r>
              <w:rPr>
                <w:rFonts w:eastAsiaTheme="minorEastAsia"/>
                <w:color w:val="000000" w:themeColor="text1"/>
                <w:kern w:val="0"/>
                <w:szCs w:val="21"/>
              </w:rPr>
              <w:lastRenderedPageBreak/>
              <w:t>扩大。</w:t>
            </w:r>
          </w:p>
          <w:p w:rsidR="00E147B7" w:rsidRDefault="0014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E147B7" w:rsidRDefault="0014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E147B7" w:rsidRDefault="001452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w:t>
            </w:r>
            <w:r>
              <w:rPr>
                <w:rFonts w:eastAsiaTheme="minorEastAsia"/>
                <w:color w:val="000000" w:themeColor="text1"/>
                <w:kern w:val="0"/>
                <w:szCs w:val="21"/>
              </w:rPr>
              <w:t>本基金投资于目标</w:t>
            </w:r>
            <w:r>
              <w:rPr>
                <w:rFonts w:eastAsiaTheme="minorEastAsia"/>
                <w:color w:val="000000" w:themeColor="text1"/>
                <w:kern w:val="0"/>
                <w:szCs w:val="21"/>
              </w:rPr>
              <w:t>ETF</w:t>
            </w:r>
            <w:r>
              <w:rPr>
                <w:rFonts w:eastAsiaTheme="minorEastAsia"/>
                <w:color w:val="000000" w:themeColor="text1"/>
                <w:kern w:val="0"/>
                <w:szCs w:val="21"/>
              </w:rPr>
              <w:t>的资产不低于基金资产净值的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需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w:t>
            </w:r>
            <w:r w:rsidRPr="0073597F">
              <w:rPr>
                <w:rFonts w:eastAsiaTheme="minorEastAsia"/>
                <w:color w:val="000000" w:themeColor="text1"/>
                <w:kern w:val="0"/>
                <w:szCs w:val="21"/>
              </w:rPr>
              <w:t>、其他投资策略包括股票投资策略、金融衍生品投资策略、债券投资策略、融资及转融通证券出借策略、存托凭证投资策略。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w:t>
            </w:r>
            <w:r w:rsidRPr="0073597F">
              <w:rPr>
                <w:rFonts w:eastAsiaTheme="minorEastAsia"/>
                <w:color w:val="000000" w:themeColor="text1"/>
                <w:kern w:val="0"/>
                <w:szCs w:val="21"/>
              </w:rPr>
              <w:t>A50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×95%+</w:t>
            </w:r>
            <w:r w:rsidRPr="0073597F">
              <w:rPr>
                <w:rFonts w:eastAsiaTheme="minorEastAsia"/>
                <w:color w:val="000000" w:themeColor="text1"/>
                <w:kern w:val="0"/>
                <w:szCs w:val="21"/>
              </w:rPr>
              <w:t>银行活期存款利率（税后）</w:t>
            </w:r>
            <w:r w:rsidRPr="0073597F">
              <w:rPr>
                <w:rFonts w:eastAsiaTheme="minorEastAsia"/>
                <w:color w:val="000000" w:themeColor="text1"/>
                <w:kern w:val="0"/>
                <w:szCs w:val="21"/>
              </w:rPr>
              <w:t>×5%</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本基金为</w:t>
            </w:r>
            <w:r w:rsidRPr="0073597F">
              <w:rPr>
                <w:rFonts w:eastAsiaTheme="minorEastAsia"/>
                <w:color w:val="000000" w:themeColor="text1"/>
                <w:kern w:val="0"/>
                <w:szCs w:val="21"/>
              </w:rPr>
              <w:t>ETF</w:t>
            </w:r>
            <w:r w:rsidRPr="0073597F">
              <w:rPr>
                <w:rFonts w:eastAsiaTheme="minorEastAsia"/>
                <w:color w:val="000000" w:themeColor="text1"/>
                <w:kern w:val="0"/>
                <w:szCs w:val="21"/>
              </w:rPr>
              <w:t>联接基金，具有与目标</w:t>
            </w:r>
            <w:r w:rsidRPr="0073597F">
              <w:rPr>
                <w:rFonts w:eastAsiaTheme="minorEastAsia"/>
                <w:color w:val="000000" w:themeColor="text1"/>
                <w:kern w:val="0"/>
                <w:szCs w:val="21"/>
              </w:rPr>
              <w:t>ETF</w:t>
            </w:r>
            <w:r w:rsidRPr="0073597F">
              <w:rPr>
                <w:rFonts w:eastAsiaTheme="minorEastAsia"/>
                <w:color w:val="000000" w:themeColor="text1"/>
                <w:kern w:val="0"/>
                <w:szCs w:val="21"/>
              </w:rPr>
              <w:t>相似的风险收益特征。目标</w:t>
            </w:r>
            <w:r w:rsidRPr="0073597F">
              <w:rPr>
                <w:rFonts w:eastAsiaTheme="minorEastAsia"/>
                <w:color w:val="000000" w:themeColor="text1"/>
                <w:kern w:val="0"/>
                <w:szCs w:val="21"/>
              </w:rPr>
              <w:t>ETF</w:t>
            </w:r>
            <w:r w:rsidRPr="0073597F">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招商证券股份有限公司</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077" w:type="dxa"/>
            <w:vAlign w:val="center"/>
          </w:tcPr>
          <w:p w:rsidR="00816795" w:rsidRPr="0073597F" w:rsidRDefault="00816795" w:rsidP="00681E3D">
            <w:pP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816795" w:rsidRPr="0073597F" w:rsidRDefault="00816795" w:rsidP="00681E3D">
            <w:pPr>
              <w:rPr>
                <w:rFonts w:eastAsiaTheme="minorEastAsia"/>
                <w:color w:val="000000" w:themeColor="text1"/>
                <w:kern w:val="0"/>
                <w:szCs w:val="21"/>
              </w:rPr>
            </w:pPr>
            <w:r w:rsidRPr="0073597F">
              <w:rPr>
                <w:rFonts w:eastAsiaTheme="minorEastAsia"/>
                <w:color w:val="000000" w:themeColor="text1"/>
                <w:szCs w:val="21"/>
              </w:rPr>
              <w:t>021177</w:t>
            </w:r>
          </w:p>
        </w:tc>
        <w:tc>
          <w:tcPr>
            <w:tcW w:w="2126" w:type="dxa"/>
            <w:vAlign w:val="center"/>
          </w:tcPr>
          <w:p w:rsidR="00816795" w:rsidRPr="0073597F" w:rsidRDefault="00816795" w:rsidP="00681E3D">
            <w:pPr>
              <w:rPr>
                <w:rFonts w:eastAsiaTheme="minorEastAsia"/>
                <w:color w:val="000000" w:themeColor="text1"/>
                <w:kern w:val="0"/>
                <w:szCs w:val="21"/>
              </w:rPr>
            </w:pPr>
            <w:r w:rsidRPr="0073597F">
              <w:rPr>
                <w:rFonts w:eastAsiaTheme="minorEastAsia"/>
                <w:color w:val="000000" w:themeColor="text1"/>
                <w:szCs w:val="21"/>
              </w:rPr>
              <w:t>021178</w:t>
            </w:r>
          </w:p>
        </w:tc>
        <w:tc>
          <w:tcPr>
            <w:tcW w:w="2077" w:type="dxa"/>
            <w:vAlign w:val="center"/>
          </w:tcPr>
          <w:p w:rsidR="00816795" w:rsidRPr="0073597F" w:rsidRDefault="00816795" w:rsidP="00681E3D">
            <w:pPr>
              <w:rPr>
                <w:rFonts w:eastAsiaTheme="minorEastAsia"/>
                <w:color w:val="000000" w:themeColor="text1"/>
                <w:kern w:val="0"/>
                <w:szCs w:val="21"/>
              </w:rPr>
            </w:pPr>
            <w:r>
              <w:rPr>
                <w:rFonts w:eastAsiaTheme="minorEastAsia" w:hint="eastAsia"/>
                <w:color w:val="000000" w:themeColor="text1"/>
                <w:szCs w:val="21"/>
              </w:rPr>
              <w:t>022110</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137,628,485.11</w:t>
            </w:r>
            <w:r w:rsidRPr="0073597F">
              <w:rPr>
                <w:rFonts w:eastAsiaTheme="minorEastAsia"/>
                <w:color w:val="000000" w:themeColor="text1"/>
                <w:kern w:val="0"/>
                <w:szCs w:val="21"/>
              </w:rPr>
              <w:t>份</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225,945,412.68</w:t>
            </w:r>
            <w:r w:rsidRPr="0073597F">
              <w:rPr>
                <w:rFonts w:eastAsiaTheme="minorEastAsia"/>
                <w:color w:val="000000" w:themeColor="text1"/>
                <w:kern w:val="0"/>
                <w:szCs w:val="21"/>
              </w:rPr>
              <w:t>份</w:t>
            </w:r>
          </w:p>
        </w:tc>
        <w:tc>
          <w:tcPr>
            <w:tcW w:w="2077" w:type="dxa"/>
            <w:vAlign w:val="center"/>
          </w:tcPr>
          <w:p w:rsidR="00816795" w:rsidRPr="0073597F" w:rsidRDefault="00816795" w:rsidP="00681E3D">
            <w:pPr>
              <w:rPr>
                <w:rFonts w:eastAsiaTheme="minorEastAsia"/>
                <w:color w:val="000000" w:themeColor="text1"/>
                <w:szCs w:val="21"/>
              </w:rPr>
            </w:pPr>
            <w:r>
              <w:rPr>
                <w:rFonts w:eastAsiaTheme="minorEastAsia"/>
                <w:color w:val="000000" w:themeColor="text1"/>
                <w:szCs w:val="21"/>
              </w:rPr>
              <w:t>16,677,866.02</w:t>
            </w:r>
            <w:r w:rsidRPr="0073597F">
              <w:rPr>
                <w:rFonts w:eastAsiaTheme="minorEastAsia"/>
                <w:color w:val="000000" w:themeColor="text1"/>
                <w:kern w:val="0"/>
                <w:szCs w:val="21"/>
              </w:rPr>
              <w:t>份</w:t>
            </w:r>
          </w:p>
        </w:tc>
      </w:tr>
    </w:tbl>
    <w:bookmarkEnd w:id="2"/>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摩根中证</w:t>
            </w:r>
            <w:r w:rsidRPr="00D97CD7">
              <w:rPr>
                <w:rFonts w:eastAsiaTheme="minorEastAsia"/>
                <w:color w:val="000000" w:themeColor="text1"/>
                <w:szCs w:val="21"/>
              </w:rPr>
              <w:t>A50</w:t>
            </w:r>
            <w:r w:rsidRPr="00D97CD7">
              <w:rPr>
                <w:rFonts w:eastAsiaTheme="minorEastAsia"/>
                <w:color w:val="000000" w:themeColor="text1"/>
                <w:szCs w:val="21"/>
              </w:rPr>
              <w:t>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560350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5</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12</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招商证券股份有限公司</w:t>
            </w:r>
            <w:r w:rsidRPr="00D97CD7">
              <w:rPr>
                <w:rFonts w:eastAsiaTheme="minorEastAsia"/>
                <w:color w:val="000000" w:themeColor="text1"/>
                <w:szCs w:val="21"/>
              </w:rPr>
              <w:t xml:space="preserve"> </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本基金主要采用复制策略、替代策略及其他适当的策略以更好地跟踪标的指数，实现基金投资目标。本基金力争日均跟踪偏离度的绝对值不超过</w:t>
            </w:r>
            <w:r w:rsidRPr="00D97CD7">
              <w:rPr>
                <w:rFonts w:eastAsiaTheme="minorEastAsia"/>
                <w:color w:val="000000" w:themeColor="text1"/>
                <w:szCs w:val="21"/>
              </w:rPr>
              <w:t>0.2%</w:t>
            </w:r>
            <w:r w:rsidRPr="00D97CD7">
              <w:rPr>
                <w:rFonts w:eastAsiaTheme="minorEastAsia"/>
                <w:color w:val="000000" w:themeColor="text1"/>
                <w:szCs w:val="21"/>
              </w:rPr>
              <w:t>，年跟踪误差不超过</w:t>
            </w:r>
            <w:r w:rsidRPr="00D97CD7">
              <w:rPr>
                <w:rFonts w:eastAsiaTheme="minorEastAsia"/>
                <w:color w:val="000000" w:themeColor="text1"/>
                <w:szCs w:val="21"/>
              </w:rPr>
              <w:t>2%</w:t>
            </w:r>
            <w:r w:rsidRPr="00D97CD7">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本基金的业绩比较基准为标的指数，即中证</w:t>
            </w:r>
            <w:r w:rsidRPr="00D97CD7">
              <w:rPr>
                <w:rFonts w:eastAsiaTheme="minorEastAsia"/>
                <w:color w:val="000000" w:themeColor="text1"/>
                <w:szCs w:val="21"/>
              </w:rPr>
              <w:t>A50</w:t>
            </w:r>
            <w:r w:rsidRPr="00D97CD7">
              <w:rPr>
                <w:rFonts w:eastAsiaTheme="minorEastAsia"/>
                <w:color w:val="000000" w:themeColor="text1"/>
                <w:szCs w:val="21"/>
              </w:rPr>
              <w:t>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本基金为股票型指数基金，其预期风险和预期收益高于货币市场基金、债券型基金和混合型基金。本基金主要采用完全复制法跟踪标的指数的表现，具有与标的指数相似的风险收益特征。</w:t>
            </w:r>
          </w:p>
        </w:tc>
      </w:tr>
    </w:tbl>
    <w:p w:rsidR="00816795" w:rsidRPr="0073597F" w:rsidRDefault="00816795" w:rsidP="00816795">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816795" w:rsidRPr="0073597F" w:rsidRDefault="00816795" w:rsidP="00816795">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816795" w:rsidRPr="0073597F" w:rsidRDefault="00816795" w:rsidP="00816795">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816795" w:rsidRPr="0073597F" w:rsidTr="00681E3D">
        <w:tc>
          <w:tcPr>
            <w:tcW w:w="1843" w:type="dxa"/>
            <w:vMerge w:val="restart"/>
            <w:vAlign w:val="center"/>
          </w:tcPr>
          <w:p w:rsidR="00816795" w:rsidRPr="0073597F" w:rsidRDefault="00816795" w:rsidP="00681E3D">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816795" w:rsidRPr="0073597F" w:rsidRDefault="00816795" w:rsidP="00681E3D">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816795" w:rsidRPr="0073597F" w:rsidTr="00681E3D">
        <w:tc>
          <w:tcPr>
            <w:tcW w:w="1843" w:type="dxa"/>
            <w:vMerge/>
            <w:vAlign w:val="center"/>
          </w:tcPr>
          <w:p w:rsidR="00816795" w:rsidRPr="0073597F" w:rsidRDefault="00816795" w:rsidP="00681E3D">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w:t>
            </w:r>
            <w:r w:rsidRPr="0073597F">
              <w:rPr>
                <w:rFonts w:eastAsiaTheme="minorEastAsia"/>
                <w:color w:val="000000" w:themeColor="text1"/>
                <w:szCs w:val="21"/>
              </w:rPr>
              <w:lastRenderedPageBreak/>
              <w:t>起式联接</w:t>
            </w:r>
            <w:r w:rsidRPr="0073597F">
              <w:rPr>
                <w:rFonts w:eastAsiaTheme="minorEastAsia"/>
                <w:color w:val="000000" w:themeColor="text1"/>
                <w:szCs w:val="21"/>
              </w:rPr>
              <w:t>A</w:t>
            </w:r>
          </w:p>
        </w:tc>
        <w:tc>
          <w:tcPr>
            <w:tcW w:w="2127"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摩根中证</w:t>
            </w:r>
            <w:r w:rsidRPr="0073597F">
              <w:rPr>
                <w:rFonts w:eastAsiaTheme="minorEastAsia"/>
                <w:color w:val="000000" w:themeColor="text1"/>
                <w:szCs w:val="21"/>
              </w:rPr>
              <w:t>A50ETF</w:t>
            </w:r>
            <w:r w:rsidRPr="0073597F">
              <w:rPr>
                <w:rFonts w:eastAsiaTheme="minorEastAsia"/>
                <w:color w:val="000000" w:themeColor="text1"/>
                <w:szCs w:val="21"/>
              </w:rPr>
              <w:t>发</w:t>
            </w:r>
            <w:r w:rsidRPr="0073597F">
              <w:rPr>
                <w:rFonts w:eastAsiaTheme="minorEastAsia"/>
                <w:color w:val="000000" w:themeColor="text1"/>
                <w:szCs w:val="21"/>
              </w:rPr>
              <w:lastRenderedPageBreak/>
              <w:t>起式联接</w:t>
            </w:r>
            <w:r w:rsidRPr="0073597F">
              <w:rPr>
                <w:rFonts w:eastAsiaTheme="minorEastAsia"/>
                <w:color w:val="000000" w:themeColor="text1"/>
                <w:szCs w:val="21"/>
              </w:rPr>
              <w:t>C</w:t>
            </w:r>
          </w:p>
        </w:tc>
        <w:tc>
          <w:tcPr>
            <w:tcW w:w="2268"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摩根中证</w:t>
            </w:r>
            <w:r>
              <w:rPr>
                <w:rFonts w:eastAsiaTheme="minorEastAsia"/>
                <w:color w:val="000000" w:themeColor="text1"/>
                <w:szCs w:val="21"/>
              </w:rPr>
              <w:t>A50ETF</w:t>
            </w:r>
            <w:r>
              <w:rPr>
                <w:rFonts w:eastAsiaTheme="minorEastAsia"/>
                <w:color w:val="000000" w:themeColor="text1"/>
                <w:szCs w:val="21"/>
              </w:rPr>
              <w:t>发</w:t>
            </w:r>
            <w:r>
              <w:rPr>
                <w:rFonts w:eastAsiaTheme="minorEastAsia"/>
                <w:color w:val="000000" w:themeColor="text1"/>
                <w:szCs w:val="21"/>
              </w:rPr>
              <w:lastRenderedPageBreak/>
              <w:t>起式联接</w:t>
            </w:r>
            <w:r>
              <w:rPr>
                <w:rFonts w:eastAsiaTheme="minorEastAsia"/>
                <w:color w:val="000000" w:themeColor="text1"/>
                <w:szCs w:val="21"/>
              </w:rPr>
              <w:t>E</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lastRenderedPageBreak/>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568,454.59</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678,037.20</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-217.26</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20,978,658.58</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30,335,949.03</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1,702,481.96</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0.2002</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0.2155</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1.0673</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158,621,247.71</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260,165,426.59</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19,207,593.25</w:t>
            </w:r>
          </w:p>
        </w:tc>
      </w:tr>
      <w:tr w:rsidR="00816795" w:rsidRPr="0073597F" w:rsidTr="00681E3D">
        <w:trPr>
          <w:trHeight w:val="158"/>
        </w:trPr>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1.1525</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1.1515</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1.1517</w:t>
            </w:r>
          </w:p>
        </w:tc>
      </w:tr>
    </w:tbl>
    <w:p w:rsidR="00E147B7" w:rsidRDefault="0014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16795" w:rsidRPr="0073597F" w:rsidRDefault="00816795" w:rsidP="00816795">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16795" w:rsidRPr="0073597F" w:rsidRDefault="00816795" w:rsidP="00816795">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816795" w:rsidRPr="0073597F" w:rsidRDefault="00816795" w:rsidP="00816795">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816795" w:rsidRPr="0073597F" w:rsidRDefault="00816795" w:rsidP="00816795">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摩根中证</w:t>
      </w:r>
      <w:r w:rsidRPr="0073597F">
        <w:rPr>
          <w:rFonts w:eastAsiaTheme="minorEastAsia"/>
          <w:b/>
          <w:color w:val="000000" w:themeColor="text1"/>
          <w:kern w:val="0"/>
          <w:szCs w:val="21"/>
        </w:rPr>
        <w:t>A50ETF</w:t>
      </w:r>
      <w:r w:rsidRPr="0073597F">
        <w:rPr>
          <w:rFonts w:eastAsiaTheme="minorEastAsia"/>
          <w:b/>
          <w:color w:val="000000" w:themeColor="text1"/>
          <w:kern w:val="0"/>
          <w:szCs w:val="21"/>
        </w:rPr>
        <w:t>发起式联接</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147B7">
        <w:tc>
          <w:tcPr>
            <w:tcW w:w="1290" w:type="dxa"/>
            <w:vAlign w:val="center"/>
          </w:tcPr>
          <w:p w:rsidR="00E147B7" w:rsidRDefault="00145252">
            <w:pPr>
              <w:jc w:val="left"/>
            </w:pPr>
            <w:r>
              <w:rPr>
                <w:rFonts w:eastAsiaTheme="minorEastAsia"/>
                <w:color w:val="000000" w:themeColor="text1"/>
                <w:szCs w:val="21"/>
              </w:rPr>
              <w:t>过去三个月</w:t>
            </w:r>
          </w:p>
        </w:tc>
        <w:tc>
          <w:tcPr>
            <w:tcW w:w="1291" w:type="dxa"/>
            <w:vAlign w:val="center"/>
          </w:tcPr>
          <w:p w:rsidR="00E147B7" w:rsidRDefault="00145252">
            <w:pPr>
              <w:jc w:val="right"/>
            </w:pPr>
            <w:r>
              <w:rPr>
                <w:rFonts w:eastAsiaTheme="minorEastAsia"/>
                <w:color w:val="000000" w:themeColor="text1"/>
                <w:szCs w:val="21"/>
              </w:rPr>
              <w:t>17.14%</w:t>
            </w:r>
          </w:p>
        </w:tc>
        <w:tc>
          <w:tcPr>
            <w:tcW w:w="1291" w:type="dxa"/>
            <w:vAlign w:val="center"/>
          </w:tcPr>
          <w:p w:rsidR="00E147B7" w:rsidRDefault="00145252">
            <w:pPr>
              <w:jc w:val="right"/>
            </w:pPr>
            <w:r>
              <w:rPr>
                <w:rFonts w:eastAsiaTheme="minorEastAsia"/>
                <w:color w:val="000000" w:themeColor="text1"/>
                <w:szCs w:val="21"/>
              </w:rPr>
              <w:t>1.37%</w:t>
            </w:r>
          </w:p>
        </w:tc>
        <w:tc>
          <w:tcPr>
            <w:tcW w:w="1291" w:type="dxa"/>
            <w:vAlign w:val="center"/>
          </w:tcPr>
          <w:p w:rsidR="00E147B7" w:rsidRDefault="00145252">
            <w:pPr>
              <w:jc w:val="right"/>
            </w:pPr>
            <w:r>
              <w:rPr>
                <w:rFonts w:eastAsiaTheme="minorEastAsia"/>
                <w:color w:val="000000" w:themeColor="text1"/>
                <w:szCs w:val="21"/>
              </w:rPr>
              <w:t>17.73%</w:t>
            </w:r>
          </w:p>
        </w:tc>
        <w:tc>
          <w:tcPr>
            <w:tcW w:w="1291" w:type="dxa"/>
            <w:vAlign w:val="center"/>
          </w:tcPr>
          <w:p w:rsidR="00E147B7" w:rsidRDefault="00145252">
            <w:pPr>
              <w:jc w:val="right"/>
            </w:pPr>
            <w:r>
              <w:rPr>
                <w:rFonts w:eastAsiaTheme="minorEastAsia"/>
                <w:color w:val="000000" w:themeColor="text1"/>
                <w:szCs w:val="21"/>
              </w:rPr>
              <w:t>1.51%</w:t>
            </w:r>
          </w:p>
        </w:tc>
        <w:tc>
          <w:tcPr>
            <w:tcW w:w="1291" w:type="dxa"/>
            <w:vAlign w:val="center"/>
          </w:tcPr>
          <w:p w:rsidR="00E147B7" w:rsidRDefault="00145252">
            <w:pPr>
              <w:jc w:val="right"/>
            </w:pPr>
            <w:r>
              <w:rPr>
                <w:rFonts w:eastAsiaTheme="minorEastAsia"/>
                <w:color w:val="000000" w:themeColor="text1"/>
                <w:szCs w:val="21"/>
              </w:rPr>
              <w:t>-0.59%</w:t>
            </w:r>
          </w:p>
        </w:tc>
        <w:tc>
          <w:tcPr>
            <w:tcW w:w="1291" w:type="dxa"/>
            <w:vAlign w:val="center"/>
          </w:tcPr>
          <w:p w:rsidR="00E147B7" w:rsidRDefault="00145252">
            <w:pPr>
              <w:jc w:val="right"/>
            </w:pPr>
            <w:r>
              <w:rPr>
                <w:rFonts w:eastAsiaTheme="minorEastAsia"/>
                <w:color w:val="000000" w:themeColor="text1"/>
                <w:szCs w:val="21"/>
              </w:rPr>
              <w:t>-0.14%</w:t>
            </w:r>
          </w:p>
        </w:tc>
      </w:tr>
      <w:tr w:rsidR="00E147B7">
        <w:tc>
          <w:tcPr>
            <w:tcW w:w="1290" w:type="dxa"/>
            <w:vAlign w:val="center"/>
          </w:tcPr>
          <w:p w:rsidR="00E147B7" w:rsidRDefault="00145252">
            <w:pPr>
              <w:jc w:val="left"/>
            </w:pPr>
            <w:r>
              <w:rPr>
                <w:rFonts w:eastAsiaTheme="minorEastAsia"/>
                <w:color w:val="000000" w:themeColor="text1"/>
                <w:szCs w:val="21"/>
              </w:rPr>
              <w:t>过去六个月</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过去一年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过去三年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过去五年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自基金合同生效起至今</w:t>
            </w:r>
          </w:p>
        </w:tc>
        <w:tc>
          <w:tcPr>
            <w:tcW w:w="1291" w:type="dxa"/>
            <w:vAlign w:val="center"/>
          </w:tcPr>
          <w:p w:rsidR="00E147B7" w:rsidRDefault="00145252">
            <w:pPr>
              <w:jc w:val="right"/>
            </w:pPr>
            <w:r>
              <w:rPr>
                <w:rFonts w:eastAsiaTheme="minorEastAsia"/>
                <w:color w:val="000000" w:themeColor="text1"/>
                <w:szCs w:val="21"/>
              </w:rPr>
              <w:t>15.25%</w:t>
            </w:r>
          </w:p>
        </w:tc>
        <w:tc>
          <w:tcPr>
            <w:tcW w:w="1291" w:type="dxa"/>
            <w:vAlign w:val="center"/>
          </w:tcPr>
          <w:p w:rsidR="00E147B7" w:rsidRDefault="00145252">
            <w:pPr>
              <w:jc w:val="right"/>
            </w:pPr>
            <w:r>
              <w:rPr>
                <w:rFonts w:eastAsiaTheme="minorEastAsia"/>
                <w:color w:val="000000" w:themeColor="text1"/>
                <w:szCs w:val="21"/>
              </w:rPr>
              <w:t>1.09%</w:t>
            </w:r>
          </w:p>
        </w:tc>
        <w:tc>
          <w:tcPr>
            <w:tcW w:w="1291" w:type="dxa"/>
            <w:vAlign w:val="center"/>
          </w:tcPr>
          <w:p w:rsidR="00E147B7" w:rsidRDefault="00145252">
            <w:pPr>
              <w:jc w:val="right"/>
            </w:pPr>
            <w:r>
              <w:rPr>
                <w:rFonts w:eastAsiaTheme="minorEastAsia"/>
                <w:color w:val="000000" w:themeColor="text1"/>
                <w:szCs w:val="21"/>
              </w:rPr>
              <w:t>13.44%</w:t>
            </w:r>
          </w:p>
        </w:tc>
        <w:tc>
          <w:tcPr>
            <w:tcW w:w="1291" w:type="dxa"/>
            <w:vAlign w:val="center"/>
          </w:tcPr>
          <w:p w:rsidR="00E147B7" w:rsidRDefault="00145252">
            <w:pPr>
              <w:jc w:val="right"/>
            </w:pPr>
            <w:r>
              <w:rPr>
                <w:rFonts w:eastAsiaTheme="minorEastAsia"/>
                <w:color w:val="000000" w:themeColor="text1"/>
                <w:szCs w:val="21"/>
              </w:rPr>
              <w:t>1.21%</w:t>
            </w:r>
          </w:p>
        </w:tc>
        <w:tc>
          <w:tcPr>
            <w:tcW w:w="1291" w:type="dxa"/>
            <w:vAlign w:val="center"/>
          </w:tcPr>
          <w:p w:rsidR="00E147B7" w:rsidRDefault="00145252">
            <w:pPr>
              <w:jc w:val="right"/>
            </w:pPr>
            <w:r>
              <w:rPr>
                <w:rFonts w:eastAsiaTheme="minorEastAsia"/>
                <w:color w:val="000000" w:themeColor="text1"/>
                <w:szCs w:val="21"/>
              </w:rPr>
              <w:t>1.81%</w:t>
            </w:r>
          </w:p>
        </w:tc>
        <w:tc>
          <w:tcPr>
            <w:tcW w:w="1291" w:type="dxa"/>
            <w:vAlign w:val="center"/>
          </w:tcPr>
          <w:p w:rsidR="00E147B7" w:rsidRDefault="00145252">
            <w:pPr>
              <w:jc w:val="right"/>
            </w:pPr>
            <w:r>
              <w:rPr>
                <w:rFonts w:eastAsiaTheme="minorEastAsia"/>
                <w:color w:val="000000" w:themeColor="text1"/>
                <w:szCs w:val="21"/>
              </w:rPr>
              <w:t>-0.12%</w:t>
            </w:r>
          </w:p>
        </w:tc>
      </w:tr>
    </w:tbl>
    <w:p w:rsidR="00816795" w:rsidRPr="0073597F" w:rsidRDefault="00816795" w:rsidP="00816795">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摩根中证</w:t>
      </w:r>
      <w:r w:rsidRPr="0073597F">
        <w:rPr>
          <w:rFonts w:eastAsiaTheme="minorEastAsia"/>
          <w:b/>
          <w:color w:val="000000" w:themeColor="text1"/>
          <w:kern w:val="0"/>
          <w:szCs w:val="21"/>
        </w:rPr>
        <w:t>A50ETF</w:t>
      </w:r>
      <w:r w:rsidRPr="0073597F">
        <w:rPr>
          <w:rFonts w:eastAsiaTheme="minorEastAsia"/>
          <w:b/>
          <w:color w:val="000000" w:themeColor="text1"/>
          <w:kern w:val="0"/>
          <w:szCs w:val="21"/>
        </w:rPr>
        <w:t>发起式联接</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147B7">
        <w:tc>
          <w:tcPr>
            <w:tcW w:w="1290" w:type="dxa"/>
            <w:vAlign w:val="center"/>
          </w:tcPr>
          <w:p w:rsidR="00E147B7" w:rsidRDefault="00145252">
            <w:pPr>
              <w:jc w:val="left"/>
            </w:pPr>
            <w:r>
              <w:rPr>
                <w:rFonts w:eastAsiaTheme="minorEastAsia"/>
                <w:color w:val="000000" w:themeColor="text1"/>
                <w:szCs w:val="21"/>
              </w:rPr>
              <w:t>过去三个月</w:t>
            </w:r>
          </w:p>
        </w:tc>
        <w:tc>
          <w:tcPr>
            <w:tcW w:w="1291" w:type="dxa"/>
            <w:vAlign w:val="center"/>
          </w:tcPr>
          <w:p w:rsidR="00E147B7" w:rsidRDefault="00145252">
            <w:pPr>
              <w:jc w:val="right"/>
            </w:pPr>
            <w:r>
              <w:rPr>
                <w:rFonts w:eastAsiaTheme="minorEastAsia"/>
                <w:color w:val="000000" w:themeColor="text1"/>
                <w:szCs w:val="21"/>
              </w:rPr>
              <w:t>17.08%</w:t>
            </w:r>
          </w:p>
        </w:tc>
        <w:tc>
          <w:tcPr>
            <w:tcW w:w="1291" w:type="dxa"/>
            <w:vAlign w:val="center"/>
          </w:tcPr>
          <w:p w:rsidR="00E147B7" w:rsidRDefault="00145252">
            <w:pPr>
              <w:jc w:val="right"/>
            </w:pPr>
            <w:r>
              <w:rPr>
                <w:rFonts w:eastAsiaTheme="minorEastAsia"/>
                <w:color w:val="000000" w:themeColor="text1"/>
                <w:szCs w:val="21"/>
              </w:rPr>
              <w:t>1.37%</w:t>
            </w:r>
          </w:p>
        </w:tc>
        <w:tc>
          <w:tcPr>
            <w:tcW w:w="1291" w:type="dxa"/>
            <w:vAlign w:val="center"/>
          </w:tcPr>
          <w:p w:rsidR="00E147B7" w:rsidRDefault="00145252">
            <w:pPr>
              <w:jc w:val="right"/>
            </w:pPr>
            <w:r>
              <w:rPr>
                <w:rFonts w:eastAsiaTheme="minorEastAsia"/>
                <w:color w:val="000000" w:themeColor="text1"/>
                <w:szCs w:val="21"/>
              </w:rPr>
              <w:t>17.73%</w:t>
            </w:r>
          </w:p>
        </w:tc>
        <w:tc>
          <w:tcPr>
            <w:tcW w:w="1291" w:type="dxa"/>
            <w:vAlign w:val="center"/>
          </w:tcPr>
          <w:p w:rsidR="00E147B7" w:rsidRDefault="00145252">
            <w:pPr>
              <w:jc w:val="right"/>
            </w:pPr>
            <w:r>
              <w:rPr>
                <w:rFonts w:eastAsiaTheme="minorEastAsia"/>
                <w:color w:val="000000" w:themeColor="text1"/>
                <w:szCs w:val="21"/>
              </w:rPr>
              <w:t>1.51%</w:t>
            </w:r>
          </w:p>
        </w:tc>
        <w:tc>
          <w:tcPr>
            <w:tcW w:w="1291" w:type="dxa"/>
            <w:vAlign w:val="center"/>
          </w:tcPr>
          <w:p w:rsidR="00E147B7" w:rsidRDefault="00145252">
            <w:pPr>
              <w:jc w:val="right"/>
            </w:pPr>
            <w:r>
              <w:rPr>
                <w:rFonts w:eastAsiaTheme="minorEastAsia"/>
                <w:color w:val="000000" w:themeColor="text1"/>
                <w:szCs w:val="21"/>
              </w:rPr>
              <w:t>-0.65%</w:t>
            </w:r>
          </w:p>
        </w:tc>
        <w:tc>
          <w:tcPr>
            <w:tcW w:w="1291" w:type="dxa"/>
            <w:vAlign w:val="center"/>
          </w:tcPr>
          <w:p w:rsidR="00E147B7" w:rsidRDefault="00145252">
            <w:pPr>
              <w:jc w:val="right"/>
            </w:pPr>
            <w:r>
              <w:rPr>
                <w:rFonts w:eastAsiaTheme="minorEastAsia"/>
                <w:color w:val="000000" w:themeColor="text1"/>
                <w:szCs w:val="21"/>
              </w:rPr>
              <w:t>-0.14%</w:t>
            </w:r>
          </w:p>
        </w:tc>
      </w:tr>
      <w:tr w:rsidR="00E147B7">
        <w:tc>
          <w:tcPr>
            <w:tcW w:w="1290" w:type="dxa"/>
            <w:vAlign w:val="center"/>
          </w:tcPr>
          <w:p w:rsidR="00E147B7" w:rsidRDefault="00145252">
            <w:pPr>
              <w:jc w:val="left"/>
            </w:pPr>
            <w:r>
              <w:rPr>
                <w:rFonts w:eastAsiaTheme="minorEastAsia"/>
                <w:color w:val="000000" w:themeColor="text1"/>
                <w:szCs w:val="21"/>
              </w:rPr>
              <w:lastRenderedPageBreak/>
              <w:t>过去六个月</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过去一年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过去三年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过去五年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自基金合同生效起至今</w:t>
            </w:r>
          </w:p>
        </w:tc>
        <w:tc>
          <w:tcPr>
            <w:tcW w:w="1291" w:type="dxa"/>
            <w:vAlign w:val="center"/>
          </w:tcPr>
          <w:p w:rsidR="00E147B7" w:rsidRDefault="00145252">
            <w:pPr>
              <w:jc w:val="right"/>
            </w:pPr>
            <w:r>
              <w:rPr>
                <w:rFonts w:eastAsiaTheme="minorEastAsia"/>
                <w:color w:val="000000" w:themeColor="text1"/>
                <w:szCs w:val="21"/>
              </w:rPr>
              <w:t>15.15%</w:t>
            </w:r>
          </w:p>
        </w:tc>
        <w:tc>
          <w:tcPr>
            <w:tcW w:w="1291" w:type="dxa"/>
            <w:vAlign w:val="center"/>
          </w:tcPr>
          <w:p w:rsidR="00E147B7" w:rsidRDefault="00145252">
            <w:pPr>
              <w:jc w:val="right"/>
            </w:pPr>
            <w:r>
              <w:rPr>
                <w:rFonts w:eastAsiaTheme="minorEastAsia"/>
                <w:color w:val="000000" w:themeColor="text1"/>
                <w:szCs w:val="21"/>
              </w:rPr>
              <w:t>1.09%</w:t>
            </w:r>
          </w:p>
        </w:tc>
        <w:tc>
          <w:tcPr>
            <w:tcW w:w="1291" w:type="dxa"/>
            <w:vAlign w:val="center"/>
          </w:tcPr>
          <w:p w:rsidR="00E147B7" w:rsidRDefault="00145252">
            <w:pPr>
              <w:jc w:val="right"/>
            </w:pPr>
            <w:r>
              <w:rPr>
                <w:rFonts w:eastAsiaTheme="minorEastAsia"/>
                <w:color w:val="000000" w:themeColor="text1"/>
                <w:szCs w:val="21"/>
              </w:rPr>
              <w:t>13.44%</w:t>
            </w:r>
          </w:p>
        </w:tc>
        <w:tc>
          <w:tcPr>
            <w:tcW w:w="1291" w:type="dxa"/>
            <w:vAlign w:val="center"/>
          </w:tcPr>
          <w:p w:rsidR="00E147B7" w:rsidRDefault="00145252">
            <w:pPr>
              <w:jc w:val="right"/>
            </w:pPr>
            <w:r>
              <w:rPr>
                <w:rFonts w:eastAsiaTheme="minorEastAsia"/>
                <w:color w:val="000000" w:themeColor="text1"/>
                <w:szCs w:val="21"/>
              </w:rPr>
              <w:t>1.21%</w:t>
            </w:r>
          </w:p>
        </w:tc>
        <w:tc>
          <w:tcPr>
            <w:tcW w:w="1291" w:type="dxa"/>
            <w:vAlign w:val="center"/>
          </w:tcPr>
          <w:p w:rsidR="00E147B7" w:rsidRDefault="00145252">
            <w:pPr>
              <w:jc w:val="right"/>
            </w:pPr>
            <w:r>
              <w:rPr>
                <w:rFonts w:eastAsiaTheme="minorEastAsia"/>
                <w:color w:val="000000" w:themeColor="text1"/>
                <w:szCs w:val="21"/>
              </w:rPr>
              <w:t>1.71%</w:t>
            </w:r>
          </w:p>
        </w:tc>
        <w:tc>
          <w:tcPr>
            <w:tcW w:w="1291" w:type="dxa"/>
            <w:vAlign w:val="center"/>
          </w:tcPr>
          <w:p w:rsidR="00E147B7" w:rsidRDefault="00145252">
            <w:pPr>
              <w:jc w:val="right"/>
            </w:pPr>
            <w:r>
              <w:rPr>
                <w:rFonts w:eastAsiaTheme="minorEastAsia"/>
                <w:color w:val="000000" w:themeColor="text1"/>
                <w:szCs w:val="21"/>
              </w:rPr>
              <w:t>-0.12%</w:t>
            </w:r>
          </w:p>
        </w:tc>
      </w:tr>
    </w:tbl>
    <w:p w:rsidR="00816795" w:rsidRPr="0073597F" w:rsidRDefault="00816795" w:rsidP="0081679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Pr>
          <w:rFonts w:eastAsiaTheme="minorEastAsia"/>
          <w:b/>
          <w:color w:val="000000" w:themeColor="text1"/>
          <w:kern w:val="0"/>
          <w:szCs w:val="21"/>
        </w:rPr>
        <w:t>摩根中证</w:t>
      </w:r>
      <w:r>
        <w:rPr>
          <w:rFonts w:eastAsiaTheme="minorEastAsia"/>
          <w:b/>
          <w:color w:val="000000" w:themeColor="text1"/>
          <w:kern w:val="0"/>
          <w:szCs w:val="21"/>
        </w:rPr>
        <w:t>A50ETF</w:t>
      </w:r>
      <w:r>
        <w:rPr>
          <w:rFonts w:eastAsiaTheme="minorEastAsia"/>
          <w:b/>
          <w:color w:val="000000" w:themeColor="text1"/>
          <w:kern w:val="0"/>
          <w:szCs w:val="21"/>
        </w:rPr>
        <w:t>发起式联接</w:t>
      </w:r>
      <w:r>
        <w:rPr>
          <w:rFonts w:eastAsiaTheme="minorEastAsia"/>
          <w:b/>
          <w:color w:val="000000" w:themeColor="text1"/>
          <w:kern w:val="0"/>
          <w:szCs w:val="21"/>
        </w:rPr>
        <w:t>E</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147B7">
        <w:tc>
          <w:tcPr>
            <w:tcW w:w="1290" w:type="dxa"/>
            <w:vAlign w:val="center"/>
          </w:tcPr>
          <w:p w:rsidR="00E147B7" w:rsidRDefault="00145252">
            <w:pPr>
              <w:jc w:val="left"/>
            </w:pPr>
            <w:r>
              <w:rPr>
                <w:rFonts w:eastAsiaTheme="minorEastAsia"/>
                <w:color w:val="000000" w:themeColor="text1"/>
                <w:szCs w:val="21"/>
              </w:rPr>
              <w:t>过去三个月</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过去六个月</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过去一年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过去三年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过去五年</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c>
          <w:tcPr>
            <w:tcW w:w="1291" w:type="dxa"/>
            <w:vAlign w:val="center"/>
          </w:tcPr>
          <w:p w:rsidR="00E147B7" w:rsidRDefault="00145252">
            <w:pPr>
              <w:jc w:val="right"/>
            </w:pPr>
            <w:r>
              <w:rPr>
                <w:rFonts w:eastAsiaTheme="minorEastAsia"/>
                <w:color w:val="000000" w:themeColor="text1"/>
                <w:szCs w:val="21"/>
              </w:rPr>
              <w:t>-</w:t>
            </w:r>
          </w:p>
        </w:tc>
      </w:tr>
      <w:tr w:rsidR="00E147B7">
        <w:tc>
          <w:tcPr>
            <w:tcW w:w="1290" w:type="dxa"/>
            <w:vAlign w:val="center"/>
          </w:tcPr>
          <w:p w:rsidR="00E147B7" w:rsidRDefault="00145252">
            <w:pPr>
              <w:jc w:val="left"/>
            </w:pPr>
            <w:r>
              <w:rPr>
                <w:rFonts w:eastAsiaTheme="minorEastAsia"/>
                <w:color w:val="000000" w:themeColor="text1"/>
                <w:szCs w:val="21"/>
              </w:rPr>
              <w:t>自基金合同生效起至今</w:t>
            </w:r>
          </w:p>
        </w:tc>
        <w:tc>
          <w:tcPr>
            <w:tcW w:w="1291" w:type="dxa"/>
            <w:vAlign w:val="center"/>
          </w:tcPr>
          <w:p w:rsidR="00E147B7" w:rsidRDefault="00145252">
            <w:pPr>
              <w:jc w:val="right"/>
            </w:pPr>
            <w:r>
              <w:rPr>
                <w:rFonts w:eastAsiaTheme="minorEastAsia"/>
                <w:color w:val="000000" w:themeColor="text1"/>
                <w:szCs w:val="21"/>
              </w:rPr>
              <w:t>23.10%</w:t>
            </w:r>
          </w:p>
        </w:tc>
        <w:tc>
          <w:tcPr>
            <w:tcW w:w="1291" w:type="dxa"/>
            <w:vAlign w:val="center"/>
          </w:tcPr>
          <w:p w:rsidR="00E147B7" w:rsidRDefault="00145252">
            <w:pPr>
              <w:jc w:val="right"/>
            </w:pPr>
            <w:r>
              <w:rPr>
                <w:rFonts w:eastAsiaTheme="minorEastAsia"/>
                <w:color w:val="000000" w:themeColor="text1"/>
                <w:szCs w:val="21"/>
              </w:rPr>
              <w:t>2.28%</w:t>
            </w:r>
          </w:p>
        </w:tc>
        <w:tc>
          <w:tcPr>
            <w:tcW w:w="1291" w:type="dxa"/>
            <w:vAlign w:val="center"/>
          </w:tcPr>
          <w:p w:rsidR="00E147B7" w:rsidRDefault="00145252">
            <w:pPr>
              <w:jc w:val="right"/>
            </w:pPr>
            <w:r>
              <w:rPr>
                <w:rFonts w:eastAsiaTheme="minorEastAsia"/>
                <w:color w:val="000000" w:themeColor="text1"/>
                <w:szCs w:val="21"/>
              </w:rPr>
              <w:t>25.08%</w:t>
            </w:r>
          </w:p>
        </w:tc>
        <w:tc>
          <w:tcPr>
            <w:tcW w:w="1291" w:type="dxa"/>
            <w:vAlign w:val="center"/>
          </w:tcPr>
          <w:p w:rsidR="00E147B7" w:rsidRDefault="00145252">
            <w:pPr>
              <w:jc w:val="right"/>
            </w:pPr>
            <w:r>
              <w:rPr>
                <w:rFonts w:eastAsiaTheme="minorEastAsia"/>
                <w:color w:val="000000" w:themeColor="text1"/>
                <w:szCs w:val="21"/>
              </w:rPr>
              <w:t>2.64%</w:t>
            </w:r>
          </w:p>
        </w:tc>
        <w:tc>
          <w:tcPr>
            <w:tcW w:w="1291" w:type="dxa"/>
            <w:vAlign w:val="center"/>
          </w:tcPr>
          <w:p w:rsidR="00E147B7" w:rsidRDefault="00145252">
            <w:pPr>
              <w:jc w:val="right"/>
            </w:pPr>
            <w:r>
              <w:rPr>
                <w:rFonts w:eastAsiaTheme="minorEastAsia"/>
                <w:color w:val="000000" w:themeColor="text1"/>
                <w:szCs w:val="21"/>
              </w:rPr>
              <w:t>-1.98%</w:t>
            </w:r>
          </w:p>
        </w:tc>
        <w:tc>
          <w:tcPr>
            <w:tcW w:w="1291" w:type="dxa"/>
            <w:vAlign w:val="center"/>
          </w:tcPr>
          <w:p w:rsidR="00E147B7" w:rsidRDefault="00145252">
            <w:pPr>
              <w:jc w:val="right"/>
            </w:pPr>
            <w:r>
              <w:rPr>
                <w:rFonts w:eastAsiaTheme="minorEastAsia"/>
                <w:color w:val="000000" w:themeColor="text1"/>
                <w:szCs w:val="21"/>
              </w:rPr>
              <w:t>-0.36%</w:t>
            </w:r>
          </w:p>
        </w:tc>
      </w:tr>
    </w:tbl>
    <w:p w:rsidR="00816795" w:rsidRPr="0073597F" w:rsidRDefault="00816795" w:rsidP="00816795">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816795" w:rsidRPr="0073597F" w:rsidRDefault="00816795" w:rsidP="00816795">
      <w:pPr>
        <w:spacing w:line="360" w:lineRule="auto"/>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w:t>
      </w:r>
      <w:r w:rsidRPr="0073597F">
        <w:rPr>
          <w:rFonts w:eastAsiaTheme="minorEastAsia"/>
          <w:color w:val="000000" w:themeColor="text1"/>
          <w:szCs w:val="21"/>
        </w:rPr>
        <w:t>交易型开放式指数证券投资基金发起式联接基金</w:t>
      </w:r>
    </w:p>
    <w:p w:rsidR="00816795" w:rsidRPr="0073597F" w:rsidRDefault="00816795" w:rsidP="00816795">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816795" w:rsidRPr="0073597F" w:rsidRDefault="00816795" w:rsidP="00816795">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816795" w:rsidRPr="0073597F" w:rsidRDefault="00816795" w:rsidP="00816795">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r w:rsidRPr="0073597F">
        <w:rPr>
          <w:rFonts w:eastAsiaTheme="minorEastAsia"/>
          <w:color w:val="000000" w:themeColor="text1"/>
          <w:szCs w:val="21"/>
        </w:rPr>
        <w:t>：</w:t>
      </w:r>
    </w:p>
    <w:p w:rsidR="00816795" w:rsidRPr="0073597F" w:rsidRDefault="00816795" w:rsidP="00816795">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50D480C" wp14:editId="3991C35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16795" w:rsidRPr="0073597F" w:rsidRDefault="00816795" w:rsidP="00816795">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r w:rsidRPr="0073597F">
        <w:rPr>
          <w:rFonts w:eastAsiaTheme="minorEastAsia"/>
          <w:color w:val="000000" w:themeColor="text1"/>
          <w:szCs w:val="21"/>
        </w:rPr>
        <w:t>：</w:t>
      </w:r>
    </w:p>
    <w:p w:rsidR="00816795" w:rsidRPr="0073597F" w:rsidRDefault="00816795" w:rsidP="00816795">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27FF7EF4" wp14:editId="0FB61FC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16795" w:rsidRPr="0073597F" w:rsidRDefault="00816795" w:rsidP="00816795">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r w:rsidRPr="0073597F">
        <w:rPr>
          <w:rFonts w:eastAsiaTheme="minorEastAsia"/>
          <w:color w:val="000000" w:themeColor="text1"/>
          <w:szCs w:val="21"/>
        </w:rPr>
        <w:t>：</w:t>
      </w:r>
    </w:p>
    <w:p w:rsidR="00816795" w:rsidRPr="0073597F" w:rsidRDefault="00816795" w:rsidP="00816795">
      <w:pPr>
        <w:spacing w:line="360" w:lineRule="auto"/>
        <w:ind w:firstLineChars="200" w:firstLine="420"/>
        <w:rPr>
          <w:rFonts w:eastAsiaTheme="minorEastAsia"/>
          <w:color w:val="000000" w:themeColor="text1"/>
          <w:szCs w:val="21"/>
        </w:rPr>
      </w:pPr>
    </w:p>
    <w:p w:rsidR="00816795" w:rsidRPr="0073597F" w:rsidRDefault="00816795" w:rsidP="00816795">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58EDAD32" wp14:editId="311A2ED5">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E147B7" w:rsidRDefault="00145252">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日，截至本报告期末本基金合同生效未满一年。</w:t>
      </w:r>
    </w:p>
    <w:p w:rsidR="00E147B7" w:rsidRDefault="00145252">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E</w:t>
      </w:r>
      <w:r>
        <w:rPr>
          <w:rFonts w:eastAsiaTheme="minorEastAsia"/>
          <w:color w:val="000000" w:themeColor="text1"/>
          <w:szCs w:val="21"/>
        </w:rPr>
        <w:t>类份额，相关数据按实际存续期计算。</w:t>
      </w:r>
    </w:p>
    <w:p w:rsidR="00816795" w:rsidRPr="0073597F" w:rsidRDefault="00816795" w:rsidP="00816795">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个月，截至本报告期末本基金仍处于建仓期。</w:t>
      </w:r>
    </w:p>
    <w:p w:rsidR="00816795" w:rsidRPr="0073597F" w:rsidRDefault="00816795" w:rsidP="00816795">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E147B7">
        <w:tc>
          <w:tcPr>
            <w:tcW w:w="952" w:type="dxa"/>
            <w:vAlign w:val="center"/>
          </w:tcPr>
          <w:p w:rsidR="00E147B7" w:rsidRDefault="00145252">
            <w:pPr>
              <w:jc w:val="center"/>
            </w:pPr>
            <w:r>
              <w:rPr>
                <w:rFonts w:eastAsiaTheme="minorEastAsia"/>
                <w:color w:val="000000" w:themeColor="text1"/>
                <w:szCs w:val="21"/>
              </w:rPr>
              <w:t>韩秀一</w:t>
            </w:r>
          </w:p>
        </w:tc>
        <w:tc>
          <w:tcPr>
            <w:tcW w:w="930" w:type="dxa"/>
            <w:vAlign w:val="center"/>
          </w:tcPr>
          <w:p w:rsidR="00E147B7" w:rsidRDefault="00145252">
            <w:pPr>
              <w:jc w:val="center"/>
            </w:pPr>
            <w:r>
              <w:rPr>
                <w:rFonts w:eastAsiaTheme="minorEastAsia"/>
                <w:color w:val="000000" w:themeColor="text1"/>
                <w:szCs w:val="21"/>
              </w:rPr>
              <w:t>本基金基金经理</w:t>
            </w:r>
          </w:p>
        </w:tc>
        <w:tc>
          <w:tcPr>
            <w:tcW w:w="1210" w:type="dxa"/>
            <w:vAlign w:val="center"/>
          </w:tcPr>
          <w:p w:rsidR="00E147B7" w:rsidRDefault="00145252">
            <w:pPr>
              <w:jc w:val="center"/>
            </w:pPr>
            <w:r>
              <w:rPr>
                <w:rFonts w:eastAsiaTheme="minorEastAsia"/>
                <w:color w:val="000000" w:themeColor="text1"/>
                <w:szCs w:val="21"/>
              </w:rPr>
              <w:t>2024-04-03</w:t>
            </w:r>
          </w:p>
        </w:tc>
        <w:tc>
          <w:tcPr>
            <w:tcW w:w="1309" w:type="dxa"/>
            <w:vAlign w:val="center"/>
          </w:tcPr>
          <w:p w:rsidR="00E147B7" w:rsidRDefault="00145252">
            <w:pPr>
              <w:jc w:val="center"/>
            </w:pPr>
            <w:r>
              <w:rPr>
                <w:rFonts w:eastAsiaTheme="minorEastAsia"/>
                <w:color w:val="000000" w:themeColor="text1"/>
                <w:szCs w:val="21"/>
              </w:rPr>
              <w:t>-</w:t>
            </w:r>
          </w:p>
        </w:tc>
        <w:tc>
          <w:tcPr>
            <w:tcW w:w="1254" w:type="dxa"/>
            <w:vAlign w:val="center"/>
          </w:tcPr>
          <w:p w:rsidR="00E147B7" w:rsidRDefault="00145252">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rsidR="00E147B7" w:rsidRDefault="00145252">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E147B7" w:rsidRDefault="0014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147B7" w:rsidRDefault="001452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韩秀一先生为本基金首任基金经理，其任职日期指本基金基金合同生效之日。</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3.</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w:t>
      </w:r>
      <w:r>
        <w:rPr>
          <w:rFonts w:eastAsiaTheme="minorEastAsia"/>
          <w:color w:val="000000" w:themeColor="text1"/>
          <w:szCs w:val="21"/>
        </w:rPr>
        <w:t>A50</w:t>
      </w:r>
      <w:r>
        <w:rPr>
          <w:rFonts w:eastAsiaTheme="minorEastAsia"/>
          <w:color w:val="000000" w:themeColor="text1"/>
          <w:szCs w:val="21"/>
        </w:rPr>
        <w:t>指数先稳健上涨，后近几个月受到国内经济弱复苏，企业盈利疲弱的负面因素压制，导致中证</w:t>
      </w:r>
      <w:r>
        <w:rPr>
          <w:rFonts w:eastAsiaTheme="minorEastAsia"/>
          <w:color w:val="000000" w:themeColor="text1"/>
          <w:szCs w:val="21"/>
        </w:rPr>
        <w:t>A50</w:t>
      </w:r>
      <w:r>
        <w:rPr>
          <w:rFonts w:eastAsiaTheme="minorEastAsia"/>
          <w:color w:val="000000" w:themeColor="text1"/>
          <w:szCs w:val="21"/>
        </w:rPr>
        <w:t>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w:t>
      </w:r>
      <w:r>
        <w:rPr>
          <w:rFonts w:eastAsiaTheme="minorEastAsia"/>
          <w:color w:val="000000" w:themeColor="text1"/>
          <w:szCs w:val="21"/>
        </w:rPr>
        <w:lastRenderedPageBreak/>
        <w:t>好快速修复。市场从悲观情绪中扭转主要有三大因素，一是资本市场政策红利超预期，二是政策以需求侧为发力重点，三是宏观政策逆周期调节力度超预期。</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截至三季度末，中证</w:t>
      </w:r>
      <w:r>
        <w:rPr>
          <w:rFonts w:eastAsiaTheme="minorEastAsia"/>
          <w:color w:val="000000" w:themeColor="text1"/>
          <w:szCs w:val="21"/>
        </w:rPr>
        <w:t>A50</w:t>
      </w:r>
      <w:r>
        <w:rPr>
          <w:rFonts w:eastAsiaTheme="minorEastAsia"/>
          <w:color w:val="000000" w:themeColor="text1"/>
          <w:szCs w:val="21"/>
        </w:rPr>
        <w:t>指数最新估值</w:t>
      </w:r>
      <w:r>
        <w:rPr>
          <w:rFonts w:eastAsiaTheme="minorEastAsia"/>
          <w:color w:val="000000" w:themeColor="text1"/>
          <w:szCs w:val="21"/>
        </w:rPr>
        <w:t>18</w:t>
      </w:r>
      <w:r>
        <w:rPr>
          <w:rFonts w:eastAsiaTheme="minorEastAsia"/>
          <w:color w:val="000000" w:themeColor="text1"/>
          <w:szCs w:val="21"/>
        </w:rPr>
        <w:t>倍左右，仍然处于合理区间。从估值层面来看，当前主要宽基指数仍仅修复至历史中位</w:t>
      </w:r>
      <w:r>
        <w:rPr>
          <w:rFonts w:eastAsiaTheme="minorEastAsia"/>
          <w:color w:val="000000" w:themeColor="text1"/>
          <w:szCs w:val="21"/>
        </w:rPr>
        <w:t>数附近。从</w:t>
      </w:r>
      <w:r>
        <w:rPr>
          <w:rFonts w:eastAsiaTheme="minorEastAsia"/>
          <w:color w:val="000000" w:themeColor="text1"/>
          <w:szCs w:val="21"/>
        </w:rPr>
        <w:t>PE</w:t>
      </w:r>
      <w:r>
        <w:rPr>
          <w:rFonts w:eastAsiaTheme="minorEastAsia"/>
          <w:color w:val="000000" w:themeColor="text1"/>
          <w:szCs w:val="21"/>
        </w:rPr>
        <w:t>估值看，创业板指、中证</w:t>
      </w:r>
      <w:r>
        <w:rPr>
          <w:rFonts w:eastAsiaTheme="minorEastAsia"/>
          <w:color w:val="000000" w:themeColor="text1"/>
          <w:szCs w:val="21"/>
        </w:rPr>
        <w:t>500</w:t>
      </w:r>
      <w:r>
        <w:rPr>
          <w:rFonts w:eastAsiaTheme="minorEastAsia"/>
          <w:color w:val="000000" w:themeColor="text1"/>
          <w:szCs w:val="21"/>
        </w:rPr>
        <w:t>、中证</w:t>
      </w:r>
      <w:r>
        <w:rPr>
          <w:rFonts w:eastAsiaTheme="minorEastAsia"/>
          <w:color w:val="000000" w:themeColor="text1"/>
          <w:szCs w:val="21"/>
        </w:rPr>
        <w:t>1000</w:t>
      </w:r>
      <w:r>
        <w:rPr>
          <w:rFonts w:eastAsiaTheme="minorEastAsia"/>
          <w:color w:val="000000" w:themeColor="text1"/>
          <w:szCs w:val="21"/>
        </w:rPr>
        <w:t>、深证成指仍低于历史中位数。</w:t>
      </w:r>
      <w:r>
        <w:rPr>
          <w:rFonts w:eastAsiaTheme="minorEastAsia"/>
          <w:color w:val="000000" w:themeColor="text1"/>
          <w:szCs w:val="21"/>
        </w:rPr>
        <w:t>PB</w:t>
      </w:r>
      <w:r>
        <w:rPr>
          <w:rFonts w:eastAsiaTheme="minorEastAsia"/>
          <w:color w:val="000000" w:themeColor="text1"/>
          <w:szCs w:val="21"/>
        </w:rPr>
        <w:t>估值看，上述指数均低于历史中位数。</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运作方面，三季度末，市场风险偏好快速复苏，市场大幅上涨，联接基金多次出现大额申购，从申购到基金可用头寸需要两个交易日，所以造成仓位被动降低，导致基金在短期与基准指数偏离放大。</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展望未来，随着经济复苏和企业盈利预期转暖，叠加美联储降息周期开启外部环境改善，我们认为</w:t>
      </w:r>
      <w:r w:rsidRPr="00D97CD7">
        <w:rPr>
          <w:rFonts w:eastAsiaTheme="minorEastAsia"/>
          <w:color w:val="000000" w:themeColor="text1"/>
          <w:szCs w:val="21"/>
        </w:rPr>
        <w:t>A</w:t>
      </w:r>
      <w:r w:rsidRPr="00D97CD7">
        <w:rPr>
          <w:rFonts w:eastAsiaTheme="minorEastAsia"/>
          <w:color w:val="000000" w:themeColor="text1"/>
          <w:szCs w:val="21"/>
        </w:rPr>
        <w:t>股修复行情有望延续。一方面，政策密集落地或将对国内经济和市场预期带来支撑，宽货币配合宽财政政策或将助力经济复苏和企业盈利回暖；另一方面，美联储降息周期启动，随着海外流动性压力的缓解，外资仓位的回补或将驱动资金持续回流中国。</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本报告期摩根中证</w:t>
      </w:r>
      <w:r>
        <w:rPr>
          <w:rFonts w:eastAsiaTheme="minorEastAsia"/>
          <w:color w:val="000000" w:themeColor="text1"/>
          <w:szCs w:val="21"/>
        </w:rPr>
        <w:t>A50ETF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:17.14%</w:t>
      </w:r>
      <w:r>
        <w:rPr>
          <w:rFonts w:eastAsiaTheme="minorEastAsia"/>
          <w:color w:val="000000" w:themeColor="text1"/>
          <w:szCs w:val="21"/>
        </w:rPr>
        <w:t>，同期业绩比较基准收益率为</w:t>
      </w:r>
      <w:r>
        <w:rPr>
          <w:rFonts w:eastAsiaTheme="minorEastAsia"/>
          <w:color w:val="000000" w:themeColor="text1"/>
          <w:szCs w:val="21"/>
        </w:rPr>
        <w:t>:17.73%</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联接</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:17.08%</w:t>
      </w:r>
      <w:r>
        <w:rPr>
          <w:rFonts w:eastAsiaTheme="minorEastAsia"/>
          <w:color w:val="000000" w:themeColor="text1"/>
          <w:szCs w:val="21"/>
        </w:rPr>
        <w:t>，同期业绩比较基准收益率为</w:t>
      </w:r>
      <w:r>
        <w:rPr>
          <w:rFonts w:eastAsiaTheme="minorEastAsia"/>
          <w:color w:val="000000" w:themeColor="text1"/>
          <w:szCs w:val="21"/>
        </w:rPr>
        <w:t>:17.73%</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摩根中证</w:t>
      </w:r>
      <w:r w:rsidRPr="00D97CD7">
        <w:rPr>
          <w:rFonts w:eastAsiaTheme="minorEastAsia"/>
          <w:color w:val="000000" w:themeColor="text1"/>
          <w:szCs w:val="21"/>
        </w:rPr>
        <w:t>A50ETF</w:t>
      </w:r>
      <w:r w:rsidRPr="00D97CD7">
        <w:rPr>
          <w:rFonts w:eastAsiaTheme="minorEastAsia"/>
          <w:color w:val="000000" w:themeColor="text1"/>
          <w:szCs w:val="21"/>
        </w:rPr>
        <w:t>联接</w:t>
      </w:r>
      <w:r w:rsidRPr="00D97CD7">
        <w:rPr>
          <w:rFonts w:eastAsiaTheme="minorEastAsia"/>
          <w:color w:val="000000" w:themeColor="text1"/>
          <w:szCs w:val="21"/>
        </w:rPr>
        <w:t>E</w:t>
      </w:r>
      <w:r w:rsidRPr="00D97CD7">
        <w:rPr>
          <w:rFonts w:eastAsiaTheme="minorEastAsia"/>
          <w:color w:val="000000" w:themeColor="text1"/>
          <w:szCs w:val="21"/>
        </w:rPr>
        <w:t>份额净值增长率为</w:t>
      </w:r>
      <w:r w:rsidRPr="00D97CD7">
        <w:rPr>
          <w:rFonts w:eastAsiaTheme="minorEastAsia"/>
          <w:color w:val="000000" w:themeColor="text1"/>
          <w:szCs w:val="21"/>
        </w:rPr>
        <w:t>:23.10%</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:25.08%</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312,772,059.37</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68.37</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30,864,240.50</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6.75</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113,830,673.30</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24.88</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457,466,973.17</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E147B7">
        <w:tc>
          <w:tcPr>
            <w:tcW w:w="1238" w:type="dxa"/>
            <w:vAlign w:val="center"/>
          </w:tcPr>
          <w:p w:rsidR="00E147B7" w:rsidRDefault="00145252">
            <w:pPr>
              <w:jc w:val="center"/>
            </w:pPr>
            <w:r>
              <w:rPr>
                <w:rFonts w:eastAsiaTheme="minorEastAsia"/>
                <w:color w:val="000000" w:themeColor="text1"/>
                <w:szCs w:val="21"/>
              </w:rPr>
              <w:t>1</w:t>
            </w:r>
          </w:p>
        </w:tc>
        <w:tc>
          <w:tcPr>
            <w:tcW w:w="1239" w:type="dxa"/>
            <w:vAlign w:val="center"/>
          </w:tcPr>
          <w:p w:rsidR="00E147B7" w:rsidRDefault="00145252">
            <w:pPr>
              <w:jc w:val="center"/>
            </w:pPr>
            <w:r>
              <w:rPr>
                <w:rFonts w:eastAsiaTheme="minorEastAsia"/>
                <w:color w:val="000000" w:themeColor="text1"/>
                <w:szCs w:val="21"/>
              </w:rPr>
              <w:t>摩根中证</w:t>
            </w:r>
            <w:r>
              <w:rPr>
                <w:rFonts w:eastAsiaTheme="minorEastAsia"/>
                <w:color w:val="000000" w:themeColor="text1"/>
                <w:szCs w:val="21"/>
              </w:rPr>
              <w:t>A50ETF</w:t>
            </w:r>
          </w:p>
        </w:tc>
        <w:tc>
          <w:tcPr>
            <w:tcW w:w="1240" w:type="dxa"/>
            <w:vAlign w:val="center"/>
          </w:tcPr>
          <w:p w:rsidR="00E147B7" w:rsidRDefault="00145252">
            <w:pPr>
              <w:jc w:val="center"/>
            </w:pPr>
            <w:r>
              <w:rPr>
                <w:rFonts w:eastAsiaTheme="minorEastAsia"/>
                <w:color w:val="000000" w:themeColor="text1"/>
                <w:szCs w:val="21"/>
              </w:rPr>
              <w:t>股票型</w:t>
            </w:r>
          </w:p>
        </w:tc>
        <w:tc>
          <w:tcPr>
            <w:tcW w:w="1240" w:type="dxa"/>
            <w:vAlign w:val="center"/>
          </w:tcPr>
          <w:p w:rsidR="00E147B7" w:rsidRDefault="00145252">
            <w:pPr>
              <w:jc w:val="center"/>
            </w:pPr>
            <w:r>
              <w:rPr>
                <w:rFonts w:eastAsiaTheme="minorEastAsia"/>
                <w:color w:val="000000" w:themeColor="text1"/>
                <w:szCs w:val="21"/>
              </w:rPr>
              <w:t>交易型开放式</w:t>
            </w:r>
          </w:p>
        </w:tc>
        <w:tc>
          <w:tcPr>
            <w:tcW w:w="1240" w:type="dxa"/>
            <w:vAlign w:val="center"/>
          </w:tcPr>
          <w:p w:rsidR="00E147B7" w:rsidRDefault="00145252">
            <w:pPr>
              <w:jc w:val="center"/>
            </w:pPr>
            <w:r>
              <w:rPr>
                <w:rFonts w:eastAsiaTheme="minorEastAsia"/>
                <w:color w:val="000000" w:themeColor="text1"/>
                <w:szCs w:val="21"/>
              </w:rPr>
              <w:t>摩根基金管理（中国）有限公司</w:t>
            </w:r>
          </w:p>
        </w:tc>
        <w:tc>
          <w:tcPr>
            <w:tcW w:w="1241" w:type="dxa"/>
            <w:vAlign w:val="center"/>
          </w:tcPr>
          <w:p w:rsidR="00E147B7" w:rsidRDefault="00145252">
            <w:pPr>
              <w:jc w:val="right"/>
            </w:pPr>
            <w:r>
              <w:rPr>
                <w:rFonts w:eastAsiaTheme="minorEastAsia"/>
                <w:color w:val="000000" w:themeColor="text1"/>
                <w:szCs w:val="21"/>
              </w:rPr>
              <w:t>312,772,059.37</w:t>
            </w:r>
          </w:p>
        </w:tc>
        <w:tc>
          <w:tcPr>
            <w:tcW w:w="1490" w:type="dxa"/>
            <w:vAlign w:val="center"/>
          </w:tcPr>
          <w:p w:rsidR="00E147B7" w:rsidRDefault="00145252">
            <w:pPr>
              <w:jc w:val="right"/>
            </w:pPr>
            <w:r>
              <w:rPr>
                <w:rFonts w:eastAsiaTheme="minorEastAsia"/>
                <w:color w:val="000000" w:themeColor="text1"/>
                <w:szCs w:val="21"/>
              </w:rPr>
              <w:t>71.41</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3"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3"/>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139,013.52</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113,691,659.78</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lastRenderedPageBreak/>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113,830,673.30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81,904,261.67</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117,859,814.99</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161,274,198.40</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281,276,355.65</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16,943,858.86</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105,549,974.96</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173,190,757.96</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265,992.84</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137,628,485.11</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225,945,412.68</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16,677,866.02</w:t>
            </w:r>
          </w:p>
        </w:tc>
      </w:tr>
    </w:tbl>
    <w:p w:rsidR="0056329D" w:rsidRPr="0073597F" w:rsidRDefault="0056329D" w:rsidP="0056329D">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6329D" w:rsidRPr="0073597F" w:rsidRDefault="0056329D" w:rsidP="0056329D">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6329D" w:rsidRPr="0073597F" w:rsidRDefault="0056329D" w:rsidP="0056329D">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kern w:val="0"/>
                <w:szCs w:val="21"/>
              </w:rPr>
            </w:pPr>
            <w:bookmarkStart w:id="4" w:name="_Hlk91512286"/>
            <w:r w:rsidRPr="0073597F">
              <w:rPr>
                <w:rFonts w:eastAsiaTheme="minorEastAsia"/>
                <w:color w:val="000000" w:themeColor="text1"/>
                <w:kern w:val="0"/>
                <w:szCs w:val="21"/>
              </w:rPr>
              <w:lastRenderedPageBreak/>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4,856,349.51</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10,000,097.22</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Pr>
                <w:rFonts w:eastAsiaTheme="minorEastAsia"/>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4,856,349.51</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10,000,097.22</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Pr>
                <w:rFonts w:eastAsiaTheme="minorEastAsia"/>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1.28</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2.63</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bl>
    <w:bookmarkEnd w:id="4"/>
    <w:p w:rsidR="00DB3887" w:rsidRPr="00D97CD7" w:rsidRDefault="00FC6961">
      <w:pPr>
        <w:spacing w:beforeLines="100" w:before="312" w:line="360" w:lineRule="auto"/>
        <w:jc w:val="left"/>
        <w:rPr>
          <w:rFonts w:eastAsiaTheme="minorEastAsia"/>
          <w:color w:val="000000" w:themeColor="text1"/>
          <w:szCs w:val="21"/>
        </w:rPr>
      </w:pPr>
      <w:r w:rsidRPr="00D97CD7">
        <w:rPr>
          <w:rFonts w:eastAsiaTheme="minorEastAsia"/>
          <w:b/>
          <w:color w:val="000000" w:themeColor="text1"/>
          <w:szCs w:val="21"/>
        </w:rPr>
        <w:t xml:space="preserve">7.2 </w:t>
      </w:r>
      <w:r w:rsidRPr="00D97CD7">
        <w:rPr>
          <w:b/>
          <w:color w:val="000000"/>
          <w:szCs w:val="21"/>
          <w:shd w:val="clear" w:color="auto" w:fill="FFFFFF"/>
        </w:rPr>
        <w:t>基金管理人运用固有资金投资本基金交易明细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b w:val="0"/>
          <w:color w:val="000000" w:themeColor="text1"/>
          <w:sz w:val="21"/>
          <w:szCs w:val="21"/>
        </w:rPr>
      </w:pPr>
      <w:r w:rsidRPr="00D97CD7">
        <w:rPr>
          <w:rFonts w:eastAsiaTheme="minorEastAsia"/>
          <w:color w:val="000000" w:themeColor="text1"/>
          <w:kern w:val="0"/>
          <w:sz w:val="21"/>
          <w:szCs w:val="21"/>
        </w:rPr>
        <w:t xml:space="preserve">§8  </w:t>
      </w:r>
      <w:r w:rsidRPr="00D97CD7">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DB3887" w:rsidRPr="00D97CD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DB3887" w:rsidRPr="00D97CD7" w:rsidRDefault="00FC6961">
            <w:pPr>
              <w:widowControl/>
              <w:jc w:val="left"/>
              <w:rPr>
                <w:rFonts w:eastAsiaTheme="minorEastAsia"/>
                <w:color w:val="000000" w:themeColor="text1"/>
                <w:szCs w:val="21"/>
              </w:rPr>
            </w:pPr>
            <w:r w:rsidRPr="00D97CD7">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widowControl/>
              <w:jc w:val="left"/>
              <w:rPr>
                <w:rFonts w:eastAsiaTheme="minorEastAsia"/>
                <w:color w:val="000000" w:themeColor="text1"/>
                <w:szCs w:val="21"/>
              </w:rPr>
            </w:pPr>
            <w:r w:rsidRPr="00D97CD7">
              <w:rPr>
                <w:rFonts w:eastAsiaTheme="minorEastAsia"/>
                <w:color w:val="000000" w:themeColor="text1"/>
                <w:szCs w:val="21"/>
              </w:rPr>
              <w:t>发起份额承诺持有期限</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14,856,446.73</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3.91%</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2.63%</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年</w:t>
            </w:r>
          </w:p>
        </w:tc>
      </w:tr>
      <w:tr w:rsidR="00DB3887" w:rsidRPr="00D97CD7">
        <w:trPr>
          <w:trHeight w:val="790"/>
        </w:trPr>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14,856,446.73</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3.91%</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2.63%</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年</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lastRenderedPageBreak/>
        <w:t>§9</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9.1</w:t>
      </w:r>
      <w:r w:rsidRPr="00D97CD7">
        <w:rPr>
          <w:rFonts w:eastAsiaTheme="minorEastAsia"/>
          <w:b/>
          <w:bCs/>
          <w:color w:val="000000" w:themeColor="text1"/>
          <w:kern w:val="0"/>
          <w:szCs w:val="21"/>
        </w:rPr>
        <w:t>备查文件目录</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交易型开放式指数证券投资基金发起式联接基金募集注册的文件</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交易型开放式指数证券投资基金发起式联接基金基金合同</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交易型开放式指数证券投资基金发起式联接基金托管协议</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E147B7" w:rsidRDefault="00145252">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（八）中国证监会要求的其他文件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基金管理人或基金托管人处。</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二〇二四年十月二十五日</w:t>
      </w:r>
    </w:p>
    <w:sectPr w:rsidR="00DB3887" w:rsidRPr="00D97CD7">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F1" w:rsidRDefault="00A763F1">
      <w:r>
        <w:separator/>
      </w:r>
    </w:p>
  </w:endnote>
  <w:endnote w:type="continuationSeparator" w:id="0">
    <w:p w:rsidR="00A763F1" w:rsidRDefault="00A7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525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4525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45252">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F1" w:rsidRDefault="00A763F1">
      <w:r>
        <w:separator/>
      </w:r>
    </w:p>
  </w:footnote>
  <w:footnote w:type="continuationSeparator" w:id="0">
    <w:p w:rsidR="00A763F1" w:rsidRDefault="00A7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摩根中证</w:t>
    </w:r>
    <w:r>
      <w:rPr>
        <w:sz w:val="21"/>
        <w:szCs w:val="21"/>
      </w:rPr>
      <w:t>A50</w:t>
    </w:r>
    <w:r>
      <w:rPr>
        <w:sz w:val="21"/>
        <w:szCs w:val="21"/>
      </w:rPr>
      <w:t>交易型开放式指数证券投资基金发起式联接基金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6AE4"/>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252"/>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0702"/>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3AA6"/>
    <w:rsid w:val="003C4E1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329D"/>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B6D13"/>
    <w:rsid w:val="006C168D"/>
    <w:rsid w:val="006C4033"/>
    <w:rsid w:val="006C642C"/>
    <w:rsid w:val="006D7386"/>
    <w:rsid w:val="006E0DAD"/>
    <w:rsid w:val="006E313F"/>
    <w:rsid w:val="006E3EFB"/>
    <w:rsid w:val="006F1F1A"/>
    <w:rsid w:val="006F495E"/>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16795"/>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3F6E"/>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46F9"/>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763F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47B7"/>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F5D5B-09AE-4BAF-A3E6-D74009B2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57</TotalTime>
  <Pages>15</Pages>
  <Words>1178</Words>
  <Characters>6717</Characters>
  <Application>Microsoft Office Word</Application>
  <DocSecurity>0</DocSecurity>
  <Lines>55</Lines>
  <Paragraphs>15</Paragraphs>
  <ScaleCrop>false</ScaleCrop>
  <Company>TRT. Ltd. Co.</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27</cp:revision>
  <cp:lastPrinted>2007-07-19T00:46:00Z</cp:lastPrinted>
  <dcterms:created xsi:type="dcterms:W3CDTF">2014-12-16T08:49:00Z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