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12D82" w:rsidRDefault="00512D82">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512D82" w:rsidRDefault="00512D82">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512D82" w:rsidRDefault="00512D82">
      <w:pPr>
        <w:spacing w:line="360" w:lineRule="auto"/>
        <w:jc w:val="center"/>
        <w:rPr>
          <w:rFonts w:hint="eastAsia"/>
        </w:rPr>
      </w:pPr>
      <w:r>
        <w:rPr>
          <w:rFonts w:ascii="宋体" w:hAnsi="宋体" w:hint="eastAsia"/>
          <w:b/>
          <w:bCs/>
          <w:color w:val="000000" w:themeColor="text1"/>
          <w:sz w:val="48"/>
          <w:szCs w:val="30"/>
        </w:rPr>
        <w:t>摩根红利优选股票型证券投资基金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512D82" w:rsidRDefault="00512D82">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512D82" w:rsidRDefault="00512D82">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12D82" w:rsidRDefault="00512D82">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512D82" w:rsidRDefault="00512D82">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平安银行股份有限公</w:t>
      </w:r>
      <w:r>
        <w:rPr>
          <w:rFonts w:ascii="宋体" w:hAnsi="宋体" w:hint="eastAsia"/>
          <w:b/>
          <w:bCs/>
          <w:sz w:val="28"/>
          <w:szCs w:val="30"/>
        </w:rPr>
        <w:t>司</w:t>
      </w:r>
    </w:p>
    <w:p w:rsidR="00512D82" w:rsidRDefault="00512D82">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512D82" w:rsidRDefault="00512D82">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512D82" w:rsidRDefault="00512D82">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基金托管人平安银行股份有限公司根据本基金合同约定，于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512D82" w:rsidRDefault="00512D82">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795368173"/>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512D82" w:rsidRDefault="00512D82">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szCs w:val="24"/>
                <w:lang w:eastAsia="zh-Hans"/>
              </w:rPr>
              <w:t>摩根红利优选股</w:t>
            </w:r>
            <w:r>
              <w:rPr>
                <w:rFonts w:ascii="宋体" w:hAnsi="宋体" w:hint="eastAsia"/>
                <w:szCs w:val="24"/>
                <w:lang w:eastAsia="zh-Hans"/>
              </w:rPr>
              <w:t>票</w:t>
            </w:r>
            <w:r>
              <w:rPr>
                <w:rFonts w:ascii="宋体" w:hAnsi="宋体" w:hint="eastAsia"/>
                <w:lang w:eastAsia="zh-Hans"/>
              </w:rPr>
              <w:t xml:space="preserve"> </w:t>
            </w:r>
          </w:p>
        </w:tc>
      </w:tr>
      <w:tr w:rsidR="00000000">
        <w:trPr>
          <w:divId w:val="79536817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lang w:eastAsia="zh-Hans"/>
              </w:rPr>
              <w:t>02118</w:t>
            </w:r>
            <w:r>
              <w:rPr>
                <w:rFonts w:ascii="宋体" w:hAnsi="宋体" w:hint="eastAsia"/>
                <w:lang w:eastAsia="zh-Hans"/>
              </w:rPr>
              <w:t>7</w:t>
            </w:r>
          </w:p>
        </w:tc>
      </w:tr>
      <w:tr w:rsidR="00000000">
        <w:trPr>
          <w:divId w:val="79536817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lang w:eastAsia="zh-Hans"/>
              </w:rPr>
              <w:t>契约型开放</w:t>
            </w:r>
            <w:r>
              <w:rPr>
                <w:rFonts w:ascii="宋体" w:hAnsi="宋体" w:hint="eastAsia"/>
                <w:lang w:eastAsia="zh-Hans"/>
              </w:rPr>
              <w:t>式</w:t>
            </w:r>
          </w:p>
        </w:tc>
      </w:tr>
      <w:tr w:rsidR="00000000">
        <w:trPr>
          <w:divId w:val="79536817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lang w:eastAsia="zh-Hans"/>
              </w:rPr>
              <w:t>2024</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30</w:t>
            </w:r>
            <w:r>
              <w:rPr>
                <w:rFonts w:ascii="宋体" w:hAnsi="宋体" w:hint="eastAsia"/>
                <w:lang w:eastAsia="zh-Hans"/>
              </w:rPr>
              <w:t>日</w:t>
            </w:r>
          </w:p>
        </w:tc>
      </w:tr>
      <w:tr w:rsidR="00000000">
        <w:trPr>
          <w:divId w:val="79536817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lang w:eastAsia="zh-Hans"/>
              </w:rPr>
              <w:t>100,059,050.8</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79536817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lang w:eastAsia="zh-Hans"/>
              </w:rPr>
              <w:t>本基金通过挖掘红利主题相关上市公司股票的投资机会</w:t>
            </w:r>
            <w:r>
              <w:rPr>
                <w:rFonts w:ascii="宋体" w:hAnsi="宋体" w:hint="eastAsia"/>
                <w:lang w:eastAsia="zh-Hans"/>
              </w:rPr>
              <w:t>,</w:t>
            </w:r>
            <w:r>
              <w:rPr>
                <w:rFonts w:ascii="宋体" w:hAnsi="宋体" w:hint="eastAsia"/>
                <w:lang w:eastAsia="zh-Hans"/>
              </w:rPr>
              <w:t xml:space="preserve">　进行积极的组合管理与风险控制，力争实现长期超越业绩比较基准的投资回报</w:t>
            </w:r>
            <w:r>
              <w:rPr>
                <w:rFonts w:ascii="宋体" w:hAnsi="宋体" w:hint="eastAsia"/>
                <w:lang w:eastAsia="zh-Hans"/>
              </w:rPr>
              <w:t>。</w:t>
            </w:r>
          </w:p>
        </w:tc>
      </w:tr>
      <w:tr w:rsidR="00000000">
        <w:trPr>
          <w:divId w:val="79536817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 xml:space="preserve">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在控制风险的前提下，本基金将优先配置股票资产，本基金股票资产占基金资产的投资比例为</w:t>
            </w:r>
            <w:r>
              <w:rPr>
                <w:rFonts w:ascii="宋体" w:hAnsi="宋体" w:hint="eastAsia"/>
                <w:lang w:eastAsia="zh-Hans"/>
              </w:rPr>
              <w:t>80%-95%</w:t>
            </w:r>
            <w:r>
              <w:rPr>
                <w:rFonts w:ascii="宋体" w:hAnsi="宋体" w:hint="eastAsia"/>
                <w:lang w:eastAsia="zh-Hans"/>
              </w:rPr>
              <w:t>。</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本基金业绩比较基准中股票部分以中证红利指数为基准指数，通过量化选股模型构建股票组合，力求获得超越业绩比较基准的投资回报。</w:t>
            </w:r>
            <w:r>
              <w:rPr>
                <w:rFonts w:ascii="宋体" w:hAnsi="宋体" w:hint="eastAsia"/>
                <w:lang w:eastAsia="zh-Hans"/>
              </w:rPr>
              <w:br/>
            </w:r>
            <w:r>
              <w:rPr>
                <w:rFonts w:ascii="宋体" w:hAnsi="宋体" w:hint="eastAsia"/>
                <w:lang w:eastAsia="zh-Hans"/>
              </w:rPr>
              <w:t>（</w:t>
            </w:r>
            <w:r>
              <w:rPr>
                <w:rFonts w:ascii="宋体" w:hAnsi="宋体" w:hint="eastAsia"/>
                <w:lang w:eastAsia="zh-Hans"/>
              </w:rPr>
              <w:t>1</w:t>
            </w:r>
            <w:r>
              <w:rPr>
                <w:rFonts w:ascii="宋体" w:hAnsi="宋体" w:hint="eastAsia"/>
                <w:lang w:eastAsia="zh-Hans"/>
              </w:rPr>
              <w:t>）红利主题的界定：本基金重点投资于分红较为稳定、股息率较高的上市公司，本基金所定义的红利主题相关股票是指满足以下第</w:t>
            </w:r>
            <w:r>
              <w:rPr>
                <w:rFonts w:ascii="宋体" w:hAnsi="宋体" w:hint="eastAsia"/>
                <w:lang w:eastAsia="zh-Hans"/>
              </w:rPr>
              <w:t>1</w:t>
            </w:r>
            <w:r>
              <w:rPr>
                <w:rFonts w:ascii="宋体" w:hAnsi="宋体" w:hint="eastAsia"/>
                <w:lang w:eastAsia="zh-Hans"/>
              </w:rPr>
              <w:t>）项和第</w:t>
            </w:r>
            <w:r>
              <w:rPr>
                <w:rFonts w:ascii="宋体" w:hAnsi="宋体" w:hint="eastAsia"/>
                <w:lang w:eastAsia="zh-Hans"/>
              </w:rPr>
              <w:t>2</w:t>
            </w:r>
            <w:r>
              <w:rPr>
                <w:rFonts w:ascii="宋体" w:hAnsi="宋体" w:hint="eastAsia"/>
                <w:lang w:eastAsia="zh-Hans"/>
              </w:rPr>
              <w:t>）项中任一项条件的上市公司发行的股票：</w:t>
            </w:r>
            <w:r>
              <w:rPr>
                <w:rFonts w:ascii="宋体" w:hAnsi="宋体" w:hint="eastAsia"/>
                <w:lang w:eastAsia="zh-Hans"/>
              </w:rPr>
              <w:t>1</w:t>
            </w:r>
            <w:r>
              <w:rPr>
                <w:rFonts w:ascii="宋体" w:hAnsi="宋体" w:hint="eastAsia"/>
                <w:lang w:eastAsia="zh-Hans"/>
              </w:rPr>
              <w:t>）中证红利指数成份股和备选成份股；</w:t>
            </w:r>
            <w:r>
              <w:rPr>
                <w:rFonts w:ascii="宋体" w:hAnsi="宋体" w:hint="eastAsia"/>
                <w:lang w:eastAsia="zh-Hans"/>
              </w:rPr>
              <w:t>2</w:t>
            </w:r>
            <w:r>
              <w:rPr>
                <w:rFonts w:ascii="宋体" w:hAnsi="宋体" w:hint="eastAsia"/>
                <w:lang w:eastAsia="zh-Hans"/>
              </w:rPr>
              <w:t>）在过去两年中，至少有一年实施现金分红且现金分红率（现金分红</w:t>
            </w:r>
            <w:r>
              <w:rPr>
                <w:rFonts w:ascii="宋体" w:hAnsi="宋体" w:hint="eastAsia"/>
                <w:lang w:eastAsia="zh-Hans"/>
              </w:rPr>
              <w:t>/</w:t>
            </w:r>
            <w:r>
              <w:rPr>
                <w:rFonts w:ascii="宋体" w:hAnsi="宋体" w:hint="eastAsia"/>
                <w:lang w:eastAsia="zh-Hans"/>
              </w:rPr>
              <w:t>净利润）或股息率（现金分红</w:t>
            </w:r>
            <w:r>
              <w:rPr>
                <w:rFonts w:ascii="宋体" w:hAnsi="宋体" w:hint="eastAsia"/>
                <w:lang w:eastAsia="zh-Hans"/>
              </w:rPr>
              <w:t>/</w:t>
            </w:r>
            <w:r>
              <w:rPr>
                <w:rFonts w:ascii="宋体" w:hAnsi="宋体" w:hint="eastAsia"/>
                <w:lang w:eastAsia="zh-Hans"/>
              </w:rPr>
              <w:t>市值）处于市场前</w:t>
            </w:r>
            <w:r>
              <w:rPr>
                <w:rFonts w:ascii="宋体" w:hAnsi="宋体" w:hint="eastAsia"/>
                <w:lang w:eastAsia="zh-Hans"/>
              </w:rPr>
              <w:t>50%</w:t>
            </w:r>
            <w:r>
              <w:rPr>
                <w:rFonts w:ascii="宋体" w:hAnsi="宋体" w:hint="eastAsia"/>
                <w:lang w:eastAsia="zh-Hans"/>
              </w:rPr>
              <w:t>。</w:t>
            </w:r>
            <w:r>
              <w:rPr>
                <w:rFonts w:ascii="宋体" w:hAnsi="宋体" w:hint="eastAsia"/>
                <w:lang w:eastAsia="zh-Hans"/>
              </w:rPr>
              <w:br/>
            </w:r>
            <w:r>
              <w:rPr>
                <w:rFonts w:ascii="宋体" w:hAnsi="宋体" w:hint="eastAsia"/>
                <w:lang w:eastAsia="zh-Hans"/>
              </w:rPr>
              <w:t>（</w:t>
            </w:r>
            <w:r>
              <w:rPr>
                <w:rFonts w:ascii="宋体" w:hAnsi="宋体" w:hint="eastAsia"/>
                <w:lang w:eastAsia="zh-Hans"/>
              </w:rPr>
              <w:t>2</w:t>
            </w:r>
            <w:r>
              <w:rPr>
                <w:rFonts w:ascii="宋体" w:hAnsi="宋体" w:hint="eastAsia"/>
                <w:lang w:eastAsia="zh-Hans"/>
              </w:rPr>
              <w:t>）个股选择：本</w:t>
            </w:r>
            <w:r>
              <w:rPr>
                <w:rFonts w:ascii="宋体" w:hAnsi="宋体" w:hint="eastAsia"/>
                <w:lang w:eastAsia="zh-Hans"/>
              </w:rPr>
              <w:t>基金通过基金管理人量化投资团队开发的“量化多因子模型”进行股票选择并据此构建股票投资组合。“量化多因子模型”在实际运行过程中将进行定期动态调整，力争股票配置最优化，以期持续超越业绩比较基准收益率的投资目标。</w:t>
            </w:r>
            <w:r>
              <w:rPr>
                <w:rFonts w:ascii="宋体" w:hAnsi="宋体" w:hint="eastAsia"/>
                <w:lang w:eastAsia="zh-Hans"/>
              </w:rPr>
              <w:br/>
              <w:t>3.</w:t>
            </w:r>
            <w:r>
              <w:rPr>
                <w:rFonts w:ascii="宋体" w:hAnsi="宋体" w:hint="eastAsia"/>
                <w:lang w:eastAsia="zh-Hans"/>
              </w:rPr>
              <w:t>其它投资策略：</w:t>
            </w:r>
            <w:r>
              <w:rPr>
                <w:rFonts w:ascii="宋体" w:hAnsi="宋体" w:hint="eastAsia"/>
                <w:lang w:eastAsia="zh-Hans"/>
              </w:rPr>
              <w:br/>
            </w:r>
            <w:r>
              <w:rPr>
                <w:rFonts w:ascii="宋体" w:hAnsi="宋体" w:hint="eastAsia"/>
                <w:lang w:eastAsia="zh-Hans"/>
              </w:rPr>
              <w:t>包括：债券投资策略、股指期货投资策略、股票期权投资策略、国债期货投资策略、资产支持证券投资策略、存托凭证投资策略、融资业务策</w:t>
            </w:r>
            <w:r>
              <w:rPr>
                <w:rFonts w:ascii="宋体" w:hAnsi="宋体" w:hint="eastAsia"/>
                <w:lang w:eastAsia="zh-Hans"/>
              </w:rPr>
              <w:t>略</w:t>
            </w:r>
          </w:p>
        </w:tc>
      </w:tr>
      <w:tr w:rsidR="00000000">
        <w:trPr>
          <w:divId w:val="79536817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lang w:eastAsia="zh-Hans"/>
              </w:rPr>
              <w:t>中证红利指数收益率×</w:t>
            </w:r>
            <w:r>
              <w:rPr>
                <w:rFonts w:ascii="宋体" w:hAnsi="宋体" w:hint="eastAsia"/>
                <w:lang w:eastAsia="zh-Hans"/>
              </w:rPr>
              <w:t>90%+</w:t>
            </w:r>
            <w:r>
              <w:rPr>
                <w:rFonts w:ascii="宋体" w:hAnsi="宋体" w:hint="eastAsia"/>
                <w:lang w:eastAsia="zh-Hans"/>
              </w:rPr>
              <w:t>银行活期存款利率</w:t>
            </w:r>
            <w:r>
              <w:rPr>
                <w:rFonts w:ascii="宋体" w:hAnsi="宋体" w:hint="eastAsia"/>
                <w:lang w:eastAsia="zh-Hans"/>
              </w:rPr>
              <w:t>(</w:t>
            </w:r>
            <w:r>
              <w:rPr>
                <w:rFonts w:ascii="宋体" w:hAnsi="宋体" w:hint="eastAsia"/>
                <w:lang w:eastAsia="zh-Hans"/>
              </w:rPr>
              <w:t>税后</w:t>
            </w:r>
            <w:r>
              <w:rPr>
                <w:rFonts w:ascii="宋体" w:hAnsi="宋体" w:hint="eastAsia"/>
                <w:lang w:eastAsia="zh-Hans"/>
              </w:rPr>
              <w:t>)</w:t>
            </w:r>
            <w:r>
              <w:rPr>
                <w:rFonts w:ascii="宋体" w:hAnsi="宋体" w:hint="eastAsia"/>
                <w:lang w:eastAsia="zh-Hans"/>
              </w:rPr>
              <w:t>×</w:t>
            </w:r>
            <w:r>
              <w:rPr>
                <w:rFonts w:ascii="宋体" w:hAnsi="宋体" w:hint="eastAsia"/>
                <w:lang w:eastAsia="zh-Hans"/>
              </w:rPr>
              <w:t>10</w:t>
            </w:r>
            <w:r>
              <w:rPr>
                <w:rFonts w:ascii="宋体" w:hAnsi="宋体" w:hint="eastAsia"/>
                <w:lang w:eastAsia="zh-Hans"/>
              </w:rPr>
              <w:t>%</w:t>
            </w:r>
          </w:p>
        </w:tc>
      </w:tr>
      <w:tr w:rsidR="00000000">
        <w:trPr>
          <w:divId w:val="79536817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lang w:eastAsia="zh-Hans"/>
              </w:rPr>
              <w:t>本基金属于股票型基金产品，预期风险和收益水平高于混合型基金、债券型基金和货币市场基金</w:t>
            </w:r>
            <w:r>
              <w:rPr>
                <w:rFonts w:ascii="宋体" w:hAnsi="宋体" w:hint="eastAsia"/>
                <w:lang w:eastAsia="zh-Hans"/>
              </w:rPr>
              <w:t>。</w:t>
            </w:r>
          </w:p>
        </w:tc>
      </w:tr>
      <w:tr w:rsidR="00000000">
        <w:trPr>
          <w:divId w:val="79536817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79536817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lang w:eastAsia="zh-Hans"/>
              </w:rPr>
              <w:t>平安银行股份有限公</w:t>
            </w:r>
            <w:r>
              <w:rPr>
                <w:rFonts w:ascii="宋体" w:hAnsi="宋体" w:hint="eastAsia"/>
                <w:lang w:eastAsia="zh-Hans"/>
              </w:rPr>
              <w:t>司</w:t>
            </w:r>
          </w:p>
        </w:tc>
      </w:tr>
      <w:tr w:rsidR="00000000">
        <w:trPr>
          <w:divId w:val="79536817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lang w:eastAsia="zh-Hans"/>
              </w:rPr>
              <w:t>摩根红利优选股票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lang w:eastAsia="zh-Hans"/>
              </w:rPr>
              <w:t>摩根红利优选股票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79536817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lang w:eastAsia="zh-Hans"/>
              </w:rPr>
              <w:t>02118</w:t>
            </w:r>
            <w:r>
              <w:rPr>
                <w:rFonts w:ascii="宋体" w:hAnsi="宋体" w:hint="eastAsia"/>
                <w:lang w:eastAsia="zh-Hans"/>
              </w:rPr>
              <w:t>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lang w:eastAsia="zh-Hans"/>
              </w:rPr>
              <w:t>02118</w:t>
            </w:r>
            <w:r>
              <w:rPr>
                <w:rFonts w:ascii="宋体" w:hAnsi="宋体" w:hint="eastAsia"/>
                <w:lang w:eastAsia="zh-Hans"/>
              </w:rPr>
              <w:t>8</w:t>
            </w:r>
            <w:r>
              <w:rPr>
                <w:rFonts w:ascii="宋体" w:hAnsi="宋体" w:hint="eastAsia"/>
                <w:kern w:val="0"/>
                <w:sz w:val="20"/>
                <w:lang w:eastAsia="zh-Hans"/>
              </w:rPr>
              <w:t xml:space="preserve"> </w:t>
            </w:r>
          </w:p>
        </w:tc>
      </w:tr>
      <w:bookmarkEnd w:id="32"/>
      <w:bookmarkEnd w:id="33"/>
      <w:tr w:rsidR="00000000">
        <w:trPr>
          <w:divId w:val="79536817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12D82" w:rsidRDefault="00512D82">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lang w:eastAsia="zh-Hans"/>
              </w:rPr>
              <w:t>44,793,898.3</w:t>
            </w:r>
            <w:r>
              <w:rPr>
                <w:rFonts w:ascii="宋体" w:hAnsi="宋体" w:hint="eastAsia"/>
                <w:lang w:eastAsia="zh-Hans"/>
              </w:rPr>
              <w:t>5</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lang w:eastAsia="zh-Hans"/>
              </w:rPr>
              <w:t>55,265,152.5</w:t>
            </w:r>
            <w:r>
              <w:rPr>
                <w:rFonts w:ascii="宋体" w:hAnsi="宋体" w:hint="eastAsia"/>
                <w:lang w:eastAsia="zh-Hans"/>
              </w:rPr>
              <w:t>4</w:t>
            </w:r>
            <w:r>
              <w:rPr>
                <w:rFonts w:hint="eastAsia"/>
              </w:rPr>
              <w:t>份</w:t>
            </w:r>
            <w:r>
              <w:rPr>
                <w:rFonts w:ascii="宋体" w:hAnsi="宋体" w:hint="eastAsia"/>
                <w:lang w:eastAsia="zh-Hans"/>
              </w:rPr>
              <w:t xml:space="preserve"> </w:t>
            </w:r>
          </w:p>
        </w:tc>
      </w:tr>
    </w:tbl>
    <w:p w:rsidR="00512D82" w:rsidRDefault="00512D82">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512D82" w:rsidRDefault="00512D82">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512D82" w:rsidRDefault="00512D82">
      <w:pPr>
        <w:jc w:val="right"/>
        <w:divId w:val="584613443"/>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584613443"/>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12D82" w:rsidRDefault="00512D82">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12D82" w:rsidRDefault="00512D82">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584613443"/>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2D82" w:rsidRDefault="00512D82">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12D82" w:rsidRDefault="00512D82">
            <w:pPr>
              <w:jc w:val="center"/>
              <w:rPr>
                <w:rFonts w:hint="eastAsia"/>
              </w:rPr>
            </w:pPr>
            <w:r>
              <w:rPr>
                <w:rFonts w:ascii="宋体" w:hAnsi="宋体" w:hint="eastAsia"/>
                <w:szCs w:val="24"/>
                <w:lang w:eastAsia="zh-Hans"/>
              </w:rPr>
              <w:t>摩根红利优选股票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12D82" w:rsidRDefault="00512D82">
            <w:pPr>
              <w:jc w:val="center"/>
            </w:pPr>
            <w:r>
              <w:rPr>
                <w:rFonts w:ascii="宋体" w:hAnsi="宋体" w:hint="eastAsia"/>
                <w:szCs w:val="24"/>
                <w:lang w:eastAsia="zh-Hans"/>
              </w:rPr>
              <w:t>摩根红利优选股票</w:t>
            </w:r>
            <w:r>
              <w:rPr>
                <w:rFonts w:ascii="宋体" w:hAnsi="宋体" w:hint="eastAsia"/>
                <w:szCs w:val="24"/>
                <w:lang w:eastAsia="zh-Hans"/>
              </w:rPr>
              <w:t>C</w:t>
            </w:r>
          </w:p>
        </w:tc>
      </w:tr>
      <w:tr w:rsidR="00000000">
        <w:trPr>
          <w:divId w:val="58461344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jc w:val="right"/>
              <w:rPr>
                <w:rFonts w:hint="eastAsia"/>
              </w:rPr>
            </w:pPr>
            <w:r>
              <w:rPr>
                <w:rFonts w:ascii="宋体" w:hAnsi="宋体" w:hint="eastAsia"/>
                <w:szCs w:val="24"/>
                <w:lang w:eastAsia="zh-Hans"/>
              </w:rPr>
              <w:t>1,080,820.7</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jc w:val="right"/>
            </w:pPr>
            <w:r>
              <w:rPr>
                <w:rFonts w:ascii="宋体" w:hAnsi="宋体" w:hint="eastAsia"/>
                <w:szCs w:val="24"/>
                <w:lang w:eastAsia="zh-Hans"/>
              </w:rPr>
              <w:t>1,180,681.3</w:t>
            </w:r>
            <w:r>
              <w:rPr>
                <w:rFonts w:ascii="宋体" w:hAnsi="宋体" w:hint="eastAsia"/>
                <w:szCs w:val="24"/>
                <w:lang w:eastAsia="zh-Hans"/>
              </w:rPr>
              <w:t>7</w:t>
            </w:r>
          </w:p>
        </w:tc>
      </w:tr>
      <w:tr w:rsidR="00000000">
        <w:trPr>
          <w:divId w:val="58461344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jc w:val="right"/>
              <w:rPr>
                <w:rFonts w:hint="eastAsia"/>
              </w:rPr>
            </w:pPr>
            <w:r>
              <w:rPr>
                <w:rFonts w:ascii="宋体" w:hAnsi="宋体" w:hint="eastAsia"/>
                <w:szCs w:val="24"/>
                <w:lang w:eastAsia="zh-Hans"/>
              </w:rPr>
              <w:t>-6,386,830.3</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jc w:val="right"/>
            </w:pPr>
            <w:r>
              <w:rPr>
                <w:rFonts w:ascii="宋体" w:hAnsi="宋体" w:hint="eastAsia"/>
                <w:szCs w:val="24"/>
                <w:lang w:eastAsia="zh-Hans"/>
              </w:rPr>
              <w:t>-7,310,110.2</w:t>
            </w:r>
            <w:r>
              <w:rPr>
                <w:rFonts w:ascii="宋体" w:hAnsi="宋体" w:hint="eastAsia"/>
                <w:szCs w:val="24"/>
                <w:lang w:eastAsia="zh-Hans"/>
              </w:rPr>
              <w:t>1</w:t>
            </w:r>
          </w:p>
        </w:tc>
      </w:tr>
      <w:tr w:rsidR="00000000">
        <w:trPr>
          <w:divId w:val="58461344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jc w:val="right"/>
              <w:rPr>
                <w:rFonts w:hint="eastAsia"/>
              </w:rPr>
            </w:pPr>
            <w:r>
              <w:rPr>
                <w:rFonts w:ascii="宋体" w:hAnsi="宋体" w:hint="eastAsia"/>
                <w:szCs w:val="24"/>
                <w:lang w:eastAsia="zh-Hans"/>
              </w:rPr>
              <w:t>-0.139</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jc w:val="right"/>
            </w:pPr>
            <w:r>
              <w:rPr>
                <w:rFonts w:ascii="宋体" w:hAnsi="宋体" w:hint="eastAsia"/>
                <w:szCs w:val="24"/>
                <w:lang w:eastAsia="zh-Hans"/>
              </w:rPr>
              <w:t>-0.134</w:t>
            </w:r>
            <w:r>
              <w:rPr>
                <w:rFonts w:ascii="宋体" w:hAnsi="宋体" w:hint="eastAsia"/>
                <w:szCs w:val="24"/>
                <w:lang w:eastAsia="zh-Hans"/>
              </w:rPr>
              <w:t>6</w:t>
            </w:r>
          </w:p>
        </w:tc>
      </w:tr>
      <w:tr w:rsidR="00000000">
        <w:trPr>
          <w:divId w:val="58461344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jc w:val="right"/>
              <w:rPr>
                <w:rFonts w:hint="eastAsia"/>
              </w:rPr>
            </w:pPr>
            <w:r>
              <w:rPr>
                <w:rFonts w:ascii="宋体" w:hAnsi="宋体" w:hint="eastAsia"/>
                <w:szCs w:val="24"/>
                <w:lang w:eastAsia="zh-Hans"/>
              </w:rPr>
              <w:t>49,258,495.8</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jc w:val="right"/>
            </w:pPr>
            <w:r>
              <w:rPr>
                <w:rFonts w:ascii="宋体" w:hAnsi="宋体" w:hint="eastAsia"/>
                <w:szCs w:val="24"/>
                <w:lang w:eastAsia="zh-Hans"/>
              </w:rPr>
              <w:t>60,076,589.3</w:t>
            </w:r>
            <w:r>
              <w:rPr>
                <w:rFonts w:ascii="宋体" w:hAnsi="宋体" w:hint="eastAsia"/>
                <w:szCs w:val="24"/>
                <w:lang w:eastAsia="zh-Hans"/>
              </w:rPr>
              <w:t>3</w:t>
            </w:r>
          </w:p>
        </w:tc>
      </w:tr>
      <w:tr w:rsidR="00000000">
        <w:trPr>
          <w:divId w:val="58461344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jc w:val="right"/>
              <w:rPr>
                <w:rFonts w:hint="eastAsia"/>
              </w:rPr>
            </w:pPr>
            <w:r>
              <w:rPr>
                <w:rFonts w:ascii="宋体" w:hAnsi="宋体" w:hint="eastAsia"/>
                <w:szCs w:val="24"/>
                <w:lang w:eastAsia="zh-Hans"/>
              </w:rPr>
              <w:t>1.099</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12D82" w:rsidRDefault="00512D82">
            <w:pPr>
              <w:jc w:val="right"/>
            </w:pPr>
            <w:r>
              <w:rPr>
                <w:rFonts w:ascii="宋体" w:hAnsi="宋体" w:hint="eastAsia"/>
                <w:szCs w:val="24"/>
                <w:lang w:eastAsia="zh-Hans"/>
              </w:rPr>
              <w:t>1.087</w:t>
            </w:r>
            <w:r>
              <w:rPr>
                <w:rFonts w:ascii="宋体" w:hAnsi="宋体" w:hint="eastAsia"/>
                <w:szCs w:val="24"/>
                <w:lang w:eastAsia="zh-Hans"/>
              </w:rPr>
              <w:t>1</w:t>
            </w:r>
          </w:p>
        </w:tc>
      </w:tr>
    </w:tbl>
    <w:p w:rsidR="00512D82" w:rsidRDefault="00512D82">
      <w:pPr>
        <w:wordWrap w:val="0"/>
        <w:spacing w:line="360" w:lineRule="auto"/>
        <w:jc w:val="left"/>
        <w:divId w:val="277108857"/>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512D82" w:rsidRDefault="00512D82">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512D82" w:rsidRDefault="00512D82">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512D82" w:rsidRDefault="00512D82">
      <w:pPr>
        <w:spacing w:line="360" w:lineRule="auto"/>
        <w:jc w:val="center"/>
        <w:divId w:val="1956713596"/>
        <w:rPr>
          <w:rFonts w:hint="eastAsia"/>
        </w:rPr>
      </w:pPr>
      <w:r>
        <w:rPr>
          <w:rFonts w:ascii="宋体" w:hAnsi="宋体" w:hint="eastAsia"/>
        </w:rPr>
        <w:t>摩根红利优选股票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95671359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②－④</w:t>
            </w:r>
            <w:r>
              <w:rPr>
                <w:rFonts w:ascii="宋体" w:hAnsi="宋体" w:hint="eastAsia"/>
              </w:rPr>
              <w:t xml:space="preserve"> </w:t>
            </w:r>
          </w:p>
        </w:tc>
      </w:tr>
      <w:tr w:rsidR="00000000">
        <w:trPr>
          <w:divId w:val="195671359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-11.0</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0.8</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-11.0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12D82" w:rsidRDefault="00512D82">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r w:rsidR="00000000">
        <w:trPr>
          <w:divId w:val="195671359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-6.7</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-7.8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12D82" w:rsidRDefault="00512D82">
            <w:pPr>
              <w:spacing w:line="360" w:lineRule="auto"/>
              <w:jc w:val="right"/>
            </w:pPr>
            <w:r>
              <w:rPr>
                <w:rFonts w:ascii="宋体" w:hAnsi="宋体" w:hint="eastAsia"/>
              </w:rPr>
              <w:t>1.1</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r>
      <w:tr w:rsidR="00000000">
        <w:trPr>
          <w:divId w:val="195671359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-2.0</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0.7</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-6.4</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12D82" w:rsidRDefault="00512D82">
            <w:pPr>
              <w:spacing w:line="360" w:lineRule="auto"/>
              <w:jc w:val="right"/>
            </w:pPr>
            <w:r>
              <w:rPr>
                <w:rFonts w:ascii="宋体" w:hAnsi="宋体" w:hint="eastAsia"/>
              </w:rPr>
              <w:t>4.4</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r>
      <w:tr w:rsidR="00000000">
        <w:trPr>
          <w:divId w:val="195671359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9.9</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-0.7</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12D82" w:rsidRDefault="00512D82">
            <w:pPr>
              <w:spacing w:line="360" w:lineRule="auto"/>
              <w:jc w:val="right"/>
            </w:pPr>
            <w:r>
              <w:rPr>
                <w:rFonts w:ascii="宋体" w:hAnsi="宋体" w:hint="eastAsia"/>
              </w:rPr>
              <w:t>10.7</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bl>
    <w:p w:rsidR="00512D82" w:rsidRDefault="00512D82">
      <w:pPr>
        <w:spacing w:line="360" w:lineRule="auto"/>
        <w:jc w:val="center"/>
        <w:divId w:val="1776514916"/>
      </w:pPr>
      <w:r>
        <w:rPr>
          <w:rFonts w:ascii="宋体" w:hAnsi="宋体" w:hint="eastAsia"/>
        </w:rPr>
        <w:t>摩根红利优选股票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77651491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7765149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-11.1</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0.8</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-11.0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0.8</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12D82" w:rsidRDefault="00512D82">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7765149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-7.0</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0.9</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-7.8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12D82" w:rsidRDefault="00512D82">
            <w:pPr>
              <w:spacing w:line="360" w:lineRule="auto"/>
              <w:jc w:val="right"/>
            </w:pPr>
            <w:r>
              <w:rPr>
                <w:rFonts w:ascii="宋体" w:hAnsi="宋体" w:hint="eastAsia"/>
              </w:rPr>
              <w:t>0.8</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7765149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-2.6</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0.7</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-6.4</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12D82" w:rsidRDefault="00512D82">
            <w:pPr>
              <w:spacing w:line="360" w:lineRule="auto"/>
              <w:jc w:val="right"/>
            </w:pPr>
            <w:r>
              <w:rPr>
                <w:rFonts w:ascii="宋体" w:hAnsi="宋体" w:hint="eastAsia"/>
              </w:rPr>
              <w:t>3.8</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7765149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8.7</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-0.7</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12D82" w:rsidRDefault="00512D82">
            <w:pPr>
              <w:spacing w:line="360" w:lineRule="auto"/>
              <w:jc w:val="right"/>
            </w:pPr>
            <w:r>
              <w:rPr>
                <w:rFonts w:ascii="宋体" w:hAnsi="宋体" w:hint="eastAsia"/>
              </w:rPr>
              <w:t>9.4</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bl>
    <w:p w:rsidR="00512D82" w:rsidRDefault="00512D82">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512D82" w:rsidRDefault="00512D82">
      <w:pPr>
        <w:spacing w:line="360" w:lineRule="auto"/>
        <w:jc w:val="left"/>
        <w:divId w:val="1047996853"/>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12D82" w:rsidRDefault="00512D82">
      <w:pPr>
        <w:spacing w:line="360" w:lineRule="auto"/>
        <w:jc w:val="left"/>
        <w:divId w:val="224805384"/>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12D82" w:rsidRDefault="00512D82">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2024</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30</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512D82" w:rsidRDefault="00512D82">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512D82" w:rsidRDefault="00512D82">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69504021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69504021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2D82" w:rsidRDefault="00512D82">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2D82" w:rsidRDefault="00512D82">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2D82" w:rsidRDefault="00512D82">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2D82" w:rsidRDefault="00512D82">
            <w:pPr>
              <w:widowControl/>
              <w:jc w:val="left"/>
            </w:pPr>
          </w:p>
        </w:tc>
      </w:tr>
      <w:tr w:rsidR="00000000">
        <w:trPr>
          <w:divId w:val="69504021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何智</w:t>
            </w:r>
            <w:r>
              <w:rPr>
                <w:rFonts w:ascii="宋体" w:hAnsi="宋体" w:hint="eastAsia"/>
                <w:szCs w:val="24"/>
                <w:lang w:eastAsia="zh-Hans"/>
              </w:rPr>
              <w:t>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w:t>
            </w:r>
            <w:r>
              <w:rPr>
                <w:rFonts w:ascii="宋体" w:hAnsi="宋体" w:hint="eastAsia"/>
                <w:szCs w:val="24"/>
                <w:lang w:eastAsia="zh-Hans"/>
              </w:rPr>
              <w:t>30</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szCs w:val="24"/>
                <w:lang w:eastAsia="zh-Hans"/>
              </w:rPr>
              <w:t>何智豪先生曾任中国国际金融股份有限公司组合与量化策略研究员、资产管理部高级经理。</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月起加入摩根基金管理（中国）有限公司（原上投摩根基金管理有限公司），现任指数及量化投资部基金经理</w:t>
            </w:r>
            <w:r>
              <w:rPr>
                <w:rFonts w:ascii="宋体" w:hAnsi="宋体" w:hint="eastAsia"/>
                <w:szCs w:val="24"/>
                <w:lang w:eastAsia="zh-Hans"/>
              </w:rPr>
              <w:t>。</w:t>
            </w:r>
          </w:p>
        </w:tc>
      </w:tr>
      <w:tr w:rsidR="00000000">
        <w:trPr>
          <w:divId w:val="69504021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韩秀</w:t>
            </w:r>
            <w:r>
              <w:rPr>
                <w:rFonts w:ascii="宋体" w:hAnsi="宋体" w:hint="eastAsia"/>
                <w:szCs w:val="24"/>
                <w:lang w:eastAsia="zh-Hans"/>
              </w:rPr>
              <w:t>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w:t>
            </w:r>
            <w:r>
              <w:rPr>
                <w:rFonts w:ascii="宋体" w:hAnsi="宋体" w:hint="eastAsia"/>
                <w:szCs w:val="24"/>
                <w:lang w:eastAsia="zh-Hans"/>
              </w:rPr>
              <w:t>30</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szCs w:val="24"/>
                <w:lang w:eastAsia="zh-Hans"/>
              </w:rPr>
              <w:t>韩秀一先生曾任中国国际金融股份有限公司资产管理部分析员。自</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月加入摩根基金管理（中国）有限公司（原上投摩根基金管理有限公司），历任研究员、研究员兼投资经理助理，现任指数及量化投资部基金经理</w:t>
            </w:r>
            <w:r>
              <w:rPr>
                <w:rFonts w:ascii="宋体" w:hAnsi="宋体" w:hint="eastAsia"/>
                <w:szCs w:val="24"/>
                <w:lang w:eastAsia="zh-Hans"/>
              </w:rPr>
              <w:t>。</w:t>
            </w:r>
          </w:p>
        </w:tc>
      </w:tr>
      <w:tr w:rsidR="00000000">
        <w:trPr>
          <w:divId w:val="69504021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胡</w:t>
            </w:r>
            <w:r>
              <w:rPr>
                <w:rFonts w:ascii="宋体" w:hAnsi="宋体" w:hint="eastAsia"/>
                <w:szCs w:val="24"/>
                <w:lang w:eastAsia="zh-Hans"/>
              </w:rPr>
              <w:t>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szCs w:val="24"/>
                <w:lang w:eastAsia="zh-Hans"/>
              </w:rPr>
              <w:t>本基金基金经理、指数及量化投资部总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w:t>
            </w:r>
            <w:r>
              <w:rPr>
                <w:rFonts w:ascii="宋体" w:hAnsi="宋体" w:hint="eastAsia"/>
                <w:szCs w:val="24"/>
                <w:lang w:eastAsia="zh-Hans"/>
              </w:rPr>
              <w:t>30</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18</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szCs w:val="24"/>
                <w:lang w:eastAsia="zh-Hans"/>
              </w:rPr>
              <w:t>胡迪女士曾任纽约美林证券全球资产管理部高级经理，纽约标准普尔量化投资主管，中国国际金融股份有限公司资产管理部执行总经理。</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月加入摩根基金管理（中国）有限公司（原上投摩根基金管理有限公司），现任指数及量化投资部总监兼基金经理</w:t>
            </w:r>
            <w:r>
              <w:rPr>
                <w:rFonts w:ascii="宋体" w:hAnsi="宋体" w:hint="eastAsia"/>
                <w:szCs w:val="24"/>
                <w:lang w:eastAsia="zh-Hans"/>
              </w:rPr>
              <w:t>。</w:t>
            </w:r>
          </w:p>
        </w:tc>
      </w:tr>
    </w:tbl>
    <w:p w:rsidR="00512D82" w:rsidRDefault="00512D82">
      <w:pPr>
        <w:wordWrap w:val="0"/>
        <w:spacing w:line="360" w:lineRule="auto"/>
        <w:jc w:val="left"/>
        <w:divId w:val="311251791"/>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512D82" w:rsidRDefault="00512D82">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512D82" w:rsidRDefault="00512D82">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512D82" w:rsidRDefault="00512D82">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512D82" w:rsidRDefault="00512D82">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512D82" w:rsidRDefault="00512D82">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512D82" w:rsidRDefault="00512D82">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512D82" w:rsidRDefault="00512D82">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512D82" w:rsidRDefault="00512D82">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512D82" w:rsidRDefault="00512D82">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股市场整体震荡上行，但风格极致分化。在</w:t>
      </w:r>
      <w:r>
        <w:rPr>
          <w:rFonts w:ascii="宋体" w:hAnsi="宋体" w:cs="宋体" w:hint="eastAsia"/>
          <w:color w:val="000000"/>
          <w:kern w:val="0"/>
        </w:rPr>
        <w:t>AI</w:t>
      </w:r>
      <w:r>
        <w:rPr>
          <w:rFonts w:ascii="宋体" w:hAnsi="宋体" w:cs="宋体" w:hint="eastAsia"/>
          <w:color w:val="000000"/>
          <w:kern w:val="0"/>
        </w:rPr>
        <w:t>科技板块一枝独秀的背景下，大量资金从传统板块流出追逐科技成长标的，红利风格大幅承压。当前中证红利的估值为</w:t>
      </w:r>
      <w:r>
        <w:rPr>
          <w:rFonts w:ascii="宋体" w:hAnsi="宋体" w:cs="宋体" w:hint="eastAsia"/>
          <w:color w:val="000000"/>
          <w:kern w:val="0"/>
        </w:rPr>
        <w:t>7.64</w:t>
      </w:r>
      <w:r>
        <w:rPr>
          <w:rFonts w:ascii="宋体" w:hAnsi="宋体" w:cs="宋体" w:hint="eastAsia"/>
          <w:color w:val="000000"/>
          <w:kern w:val="0"/>
        </w:rPr>
        <w:t>倍，横向对比来看在主要指数中处于相对低的水准，股息率为</w:t>
      </w:r>
      <w:r>
        <w:rPr>
          <w:rFonts w:ascii="宋体" w:hAnsi="宋体" w:cs="宋体" w:hint="eastAsia"/>
          <w:color w:val="000000"/>
          <w:kern w:val="0"/>
        </w:rPr>
        <w:t>5.32%</w:t>
      </w:r>
      <w:r>
        <w:rPr>
          <w:rFonts w:ascii="宋体" w:hAnsi="宋体" w:cs="宋体" w:hint="eastAsia"/>
          <w:color w:val="000000"/>
          <w:kern w:val="0"/>
        </w:rPr>
        <w:t>，远高于十年期国债利率。这得益于今年以来优秀上市公司对于股东回报的重视。在新“国九条”发布后，上市公司对投资者回报的重视开始普及，通过承诺提高派息率以及分红次数，提高了红利类资产的估值空间，降低了投资人对于红利资产现金流的不确定性的疑虑。</w:t>
      </w:r>
      <w:r>
        <w:rPr>
          <w:rFonts w:ascii="宋体" w:hAnsi="宋体" w:cs="宋体" w:hint="eastAsia"/>
          <w:color w:val="000000"/>
          <w:kern w:val="0"/>
        </w:rPr>
        <w:br/>
      </w:r>
      <w:r>
        <w:rPr>
          <w:rFonts w:ascii="宋体" w:hAnsi="宋体" w:cs="宋体" w:hint="eastAsia"/>
          <w:color w:val="000000"/>
          <w:kern w:val="0"/>
        </w:rPr>
        <w:t xml:space="preserve">　　从资金面看，尽管二季度红利风格跑输，但</w:t>
      </w:r>
      <w:r>
        <w:rPr>
          <w:rFonts w:ascii="宋体" w:hAnsi="宋体" w:cs="宋体" w:hint="eastAsia"/>
          <w:color w:val="000000"/>
          <w:kern w:val="0"/>
        </w:rPr>
        <w:t>ETF</w:t>
      </w:r>
      <w:r>
        <w:rPr>
          <w:rFonts w:ascii="宋体" w:hAnsi="宋体" w:cs="宋体" w:hint="eastAsia"/>
          <w:color w:val="000000"/>
          <w:kern w:val="0"/>
        </w:rPr>
        <w:t>资金逆势净流入——中证红利</w:t>
      </w:r>
      <w:r>
        <w:rPr>
          <w:rFonts w:ascii="宋体" w:hAnsi="宋体" w:cs="宋体" w:hint="eastAsia"/>
          <w:color w:val="000000"/>
          <w:kern w:val="0"/>
        </w:rPr>
        <w:t>ETF</w:t>
      </w:r>
      <w:r>
        <w:rPr>
          <w:rFonts w:ascii="宋体" w:hAnsi="宋体" w:cs="宋体" w:hint="eastAsia"/>
          <w:color w:val="000000"/>
          <w:kern w:val="0"/>
        </w:rPr>
        <w:t>连续多日获得大额净申购，显示长线配置资金在调整中逢低布局。中证红利股息率与十年期国债的利差已超过</w:t>
      </w:r>
      <w:r>
        <w:rPr>
          <w:rFonts w:ascii="宋体" w:hAnsi="宋体" w:cs="宋体" w:hint="eastAsia"/>
          <w:color w:val="000000"/>
          <w:kern w:val="0"/>
        </w:rPr>
        <w:t>2016</w:t>
      </w:r>
      <w:r>
        <w:rPr>
          <w:rFonts w:ascii="宋体" w:hAnsi="宋体" w:cs="宋体" w:hint="eastAsia"/>
          <w:color w:val="000000"/>
          <w:kern w:val="0"/>
        </w:rPr>
        <w:t>年熔断底和</w:t>
      </w:r>
      <w:r>
        <w:rPr>
          <w:rFonts w:ascii="宋体" w:hAnsi="宋体" w:cs="宋体" w:hint="eastAsia"/>
          <w:color w:val="000000"/>
          <w:kern w:val="0"/>
        </w:rPr>
        <w:t>2018</w:t>
      </w:r>
      <w:r>
        <w:rPr>
          <w:rFonts w:ascii="宋体" w:hAnsi="宋体" w:cs="宋体" w:hint="eastAsia"/>
          <w:color w:val="000000"/>
          <w:kern w:val="0"/>
        </w:rPr>
        <w:t>年熊市底的水平。即使完全不考虑任何价格损益和量化</w:t>
      </w:r>
      <w:r>
        <w:rPr>
          <w:rFonts w:ascii="宋体" w:hAnsi="宋体" w:cs="宋体" w:hint="eastAsia"/>
          <w:color w:val="000000"/>
          <w:kern w:val="0"/>
        </w:rPr>
        <w:t>alpha</w:t>
      </w:r>
      <w:r>
        <w:rPr>
          <w:rFonts w:ascii="宋体" w:hAnsi="宋体" w:cs="宋体" w:hint="eastAsia"/>
          <w:color w:val="000000"/>
          <w:kern w:val="0"/>
        </w:rPr>
        <w:t>增强，仅股息收入就比国债票息高出近</w:t>
      </w:r>
      <w:r>
        <w:rPr>
          <w:rFonts w:ascii="宋体" w:hAnsi="宋体" w:cs="宋体" w:hint="eastAsia"/>
          <w:color w:val="000000"/>
          <w:kern w:val="0"/>
        </w:rPr>
        <w:t>4</w:t>
      </w:r>
      <w:r>
        <w:rPr>
          <w:rFonts w:ascii="宋体" w:hAnsi="宋体" w:cs="宋体" w:hint="eastAsia"/>
          <w:color w:val="000000"/>
          <w:kern w:val="0"/>
        </w:rPr>
        <w:t>个百分点，股息水平具备较大吸引力。险资</w:t>
      </w:r>
      <w:r>
        <w:rPr>
          <w:rFonts w:ascii="宋体" w:hAnsi="宋体" w:cs="宋体" w:hint="eastAsia"/>
          <w:color w:val="000000"/>
          <w:kern w:val="0"/>
        </w:rPr>
        <w:t>OCI</w:t>
      </w:r>
      <w:r>
        <w:rPr>
          <w:rFonts w:ascii="宋体" w:hAnsi="宋体" w:cs="宋体" w:hint="eastAsia"/>
          <w:color w:val="000000"/>
          <w:kern w:val="0"/>
        </w:rPr>
        <w:t>账户配置需求有望支撑红利，优质红利股调整后股息率超</w:t>
      </w:r>
      <w:r>
        <w:rPr>
          <w:rFonts w:ascii="宋体" w:hAnsi="宋体" w:cs="宋体" w:hint="eastAsia"/>
          <w:color w:val="000000"/>
          <w:kern w:val="0"/>
        </w:rPr>
        <w:t>6%</w:t>
      </w:r>
      <w:r>
        <w:rPr>
          <w:rFonts w:ascii="宋体" w:hAnsi="宋体" w:cs="宋体" w:hint="eastAsia"/>
          <w:color w:val="000000"/>
          <w:kern w:val="0"/>
        </w:rPr>
        <w:t>，对保险资金的</w:t>
      </w:r>
      <w:r>
        <w:rPr>
          <w:rFonts w:ascii="宋体" w:hAnsi="宋体" w:cs="宋体" w:hint="eastAsia"/>
          <w:color w:val="000000"/>
          <w:kern w:val="0"/>
        </w:rPr>
        <w:t>OCI</w:t>
      </w:r>
      <w:r>
        <w:rPr>
          <w:rFonts w:ascii="宋体" w:hAnsi="宋体" w:cs="宋体" w:hint="eastAsia"/>
          <w:color w:val="000000"/>
          <w:kern w:val="0"/>
        </w:rPr>
        <w:t>账户形成较强的配置吸引力。</w:t>
      </w:r>
      <w:r>
        <w:rPr>
          <w:rFonts w:ascii="宋体" w:hAnsi="宋体" w:cs="宋体" w:hint="eastAsia"/>
          <w:color w:val="000000"/>
          <w:kern w:val="0"/>
        </w:rPr>
        <w:br/>
      </w:r>
      <w:r>
        <w:rPr>
          <w:rFonts w:ascii="宋体" w:hAnsi="宋体" w:cs="宋体" w:hint="eastAsia"/>
          <w:color w:val="000000"/>
          <w:kern w:val="0"/>
        </w:rPr>
        <w:t xml:space="preserve">　　超额收益方面，组合在上半年取得</w:t>
      </w:r>
      <w:r>
        <w:rPr>
          <w:rFonts w:ascii="宋体" w:hAnsi="宋体" w:cs="宋体" w:hint="eastAsia"/>
          <w:color w:val="000000"/>
          <w:kern w:val="0"/>
        </w:rPr>
        <w:t>2.02%</w:t>
      </w:r>
      <w:r>
        <w:rPr>
          <w:rFonts w:ascii="宋体" w:hAnsi="宋体" w:cs="宋体" w:hint="eastAsia"/>
          <w:color w:val="000000"/>
          <w:kern w:val="0"/>
        </w:rPr>
        <w:t>的超额收益，主要得益于选股层面的</w:t>
      </w:r>
      <w:r>
        <w:rPr>
          <w:rFonts w:ascii="宋体" w:hAnsi="宋体" w:cs="宋体" w:hint="eastAsia"/>
          <w:color w:val="000000"/>
          <w:kern w:val="0"/>
        </w:rPr>
        <w:t>alpha</w:t>
      </w:r>
      <w:r>
        <w:rPr>
          <w:rFonts w:ascii="宋体" w:hAnsi="宋体" w:cs="宋体" w:hint="eastAsia"/>
          <w:color w:val="000000"/>
          <w:kern w:val="0"/>
        </w:rPr>
        <w:t>，市场流动性维持在高位，价量因子和基本面因子都贡献了</w:t>
      </w:r>
      <w:r>
        <w:rPr>
          <w:rFonts w:ascii="宋体" w:hAnsi="宋体" w:cs="宋体" w:hint="eastAsia"/>
          <w:color w:val="000000"/>
          <w:kern w:val="0"/>
        </w:rPr>
        <w:t>alpha</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在公司基本面经营稳健，股东回报力度持续改善的前提下，我们将维持高仓位运作。股票仓位部分通过以中证红利指数为基准指数，通过量化选股模型构建股票组合，力求获得超越业绩比较基准的投资回报。量化模型也会在实际运行过程中将进行定期动态调整，力争股票配置最优化，以期持续超越业绩比较基准收益率的投资目标</w:t>
      </w:r>
      <w:r>
        <w:rPr>
          <w:rFonts w:ascii="宋体" w:hAnsi="宋体" w:cs="宋体" w:hint="eastAsia"/>
          <w:color w:val="000000"/>
          <w:kern w:val="0"/>
        </w:rPr>
        <w:t>。</w:t>
      </w:r>
    </w:p>
    <w:p w:rsidR="00512D82" w:rsidRDefault="00512D82">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512D82" w:rsidRDefault="00512D82">
      <w:pPr>
        <w:spacing w:line="360" w:lineRule="auto"/>
        <w:ind w:firstLineChars="200" w:firstLine="420"/>
        <w:rPr>
          <w:rFonts w:hint="eastAsia"/>
        </w:rPr>
      </w:pPr>
      <w:r>
        <w:rPr>
          <w:rFonts w:ascii="宋体" w:hAnsi="宋体" w:hint="eastAsia"/>
        </w:rPr>
        <w:t>本报告期摩根红利优选股票</w:t>
      </w:r>
      <w:r>
        <w:rPr>
          <w:rFonts w:ascii="宋体" w:hAnsi="宋体" w:hint="eastAsia"/>
        </w:rPr>
        <w:t>A</w:t>
      </w:r>
      <w:r>
        <w:rPr>
          <w:rFonts w:ascii="宋体" w:hAnsi="宋体" w:hint="eastAsia"/>
        </w:rPr>
        <w:t>份额净值增长率为：</w:t>
      </w:r>
      <w:r>
        <w:rPr>
          <w:rFonts w:ascii="宋体" w:hAnsi="宋体" w:hint="eastAsia"/>
        </w:rPr>
        <w:t>-11.00%</w:t>
      </w:r>
      <w:r>
        <w:rPr>
          <w:rFonts w:ascii="宋体" w:hAnsi="宋体" w:hint="eastAsia"/>
        </w:rPr>
        <w:t>，同期业绩比较基准收益率为：</w:t>
      </w:r>
      <w:r>
        <w:rPr>
          <w:rFonts w:ascii="宋体" w:hAnsi="宋体" w:hint="eastAsia"/>
        </w:rPr>
        <w:t>-11.07%</w:t>
      </w:r>
      <w:r>
        <w:rPr>
          <w:rFonts w:ascii="宋体" w:hAnsi="宋体" w:hint="eastAsia"/>
        </w:rPr>
        <w:t>；</w:t>
      </w:r>
      <w:r>
        <w:rPr>
          <w:rFonts w:ascii="宋体" w:hAnsi="宋体" w:hint="eastAsia"/>
        </w:rPr>
        <w:br/>
      </w:r>
      <w:r>
        <w:rPr>
          <w:rFonts w:ascii="宋体" w:hAnsi="宋体" w:hint="eastAsia"/>
        </w:rPr>
        <w:t xml:space="preserve">　　摩根红利优选股票</w:t>
      </w:r>
      <w:r>
        <w:rPr>
          <w:rFonts w:ascii="宋体" w:hAnsi="宋体" w:hint="eastAsia"/>
        </w:rPr>
        <w:t>C</w:t>
      </w:r>
      <w:r>
        <w:rPr>
          <w:rFonts w:ascii="宋体" w:hAnsi="宋体" w:hint="eastAsia"/>
        </w:rPr>
        <w:t>份额净值增长率为：</w:t>
      </w:r>
      <w:r>
        <w:rPr>
          <w:rFonts w:ascii="宋体" w:hAnsi="宋体" w:hint="eastAsia"/>
        </w:rPr>
        <w:t>-11.13%</w:t>
      </w:r>
      <w:r>
        <w:rPr>
          <w:rFonts w:ascii="宋体" w:hAnsi="宋体" w:hint="eastAsia"/>
        </w:rPr>
        <w:t>，同期业绩比较基准收益率为：</w:t>
      </w:r>
      <w:r>
        <w:rPr>
          <w:rFonts w:ascii="宋体" w:hAnsi="宋体" w:hint="eastAsia"/>
        </w:rPr>
        <w:t>-11.07%</w:t>
      </w:r>
      <w:r>
        <w:rPr>
          <w:rFonts w:ascii="宋体" w:hAnsi="宋体" w:hint="eastAsia"/>
        </w:rPr>
        <w:t>。</w:t>
      </w:r>
    </w:p>
    <w:p w:rsidR="00512D82" w:rsidRDefault="00512D82">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512D82" w:rsidRDefault="00512D82">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512D82" w:rsidRDefault="00512D82">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512D82" w:rsidRDefault="00512D82">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12D82" w:rsidRDefault="00512D82">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512D82" w:rsidRDefault="00512D82">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512D82" w:rsidRDefault="00512D82">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512D82" w:rsidRDefault="00512D82">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100,760,919.0</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91.6</w:t>
            </w:r>
            <w:r>
              <w:rPr>
                <w:rFonts w:ascii="宋体" w:hAnsi="宋体" w:hint="eastAsia"/>
                <w:szCs w:val="24"/>
                <w:lang w:eastAsia="zh-Hans"/>
              </w:rPr>
              <w:t>2</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100,760,919.0</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91.6</w:t>
            </w:r>
            <w:r>
              <w:rPr>
                <w:rFonts w:ascii="宋体" w:hAnsi="宋体" w:hint="eastAsia"/>
                <w:szCs w:val="24"/>
                <w:lang w:eastAsia="zh-Hans"/>
              </w:rPr>
              <w:t>2</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9,152,624.2</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8.3</w:t>
            </w:r>
            <w:r>
              <w:rPr>
                <w:rFonts w:ascii="宋体" w:hAnsi="宋体" w:hint="eastAsia"/>
                <w:szCs w:val="24"/>
                <w:lang w:eastAsia="zh-Hans"/>
              </w:rPr>
              <w:t>2</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60,016.3</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0.0</w:t>
            </w:r>
            <w:r>
              <w:rPr>
                <w:rFonts w:ascii="宋体" w:hAnsi="宋体" w:hint="eastAsia"/>
                <w:szCs w:val="24"/>
                <w:lang w:eastAsia="zh-Hans"/>
              </w:rPr>
              <w:t>5</w:t>
            </w:r>
          </w:p>
        </w:tc>
      </w:tr>
      <w:tr w:rsidR="00000000">
        <w:trPr>
          <w:divId w:val="13855622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12D82" w:rsidRDefault="00512D82">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512D82" w:rsidRDefault="00512D82">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109,973,559.6</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512D82" w:rsidRDefault="00512D82">
            <w:pPr>
              <w:jc w:val="right"/>
            </w:pPr>
            <w:r>
              <w:rPr>
                <w:rFonts w:ascii="宋体" w:hAnsi="宋体" w:hint="eastAsia"/>
                <w:szCs w:val="24"/>
                <w:lang w:eastAsia="zh-Hans"/>
              </w:rPr>
              <w:t>100.0</w:t>
            </w:r>
            <w:r>
              <w:rPr>
                <w:rFonts w:ascii="宋体" w:hAnsi="宋体" w:hint="eastAsia"/>
                <w:szCs w:val="24"/>
                <w:lang w:eastAsia="zh-Hans"/>
              </w:rPr>
              <w:t>0</w:t>
            </w:r>
          </w:p>
        </w:tc>
      </w:tr>
    </w:tbl>
    <w:p w:rsidR="00512D82" w:rsidRDefault="00512D82">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512D82" w:rsidRDefault="00512D82">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521116182"/>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12D82" w:rsidRDefault="00512D82">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512D82" w:rsidRDefault="00512D82">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512D82" w:rsidRDefault="00512D8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1,426,318.0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1.3</w:t>
            </w:r>
            <w:r>
              <w:rPr>
                <w:rFonts w:ascii="宋体" w:hAnsi="宋体" w:hint="eastAsia"/>
                <w:szCs w:val="24"/>
                <w:lang w:eastAsia="zh-Hans"/>
              </w:rPr>
              <w:t>0</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26,647,110.0</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24.3</w:t>
            </w:r>
            <w:r>
              <w:rPr>
                <w:rFonts w:ascii="宋体" w:hAnsi="宋体" w:hint="eastAsia"/>
                <w:szCs w:val="24"/>
                <w:lang w:eastAsia="zh-Hans"/>
              </w:rPr>
              <w:t>7</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26,357,273.0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24.1</w:t>
            </w:r>
            <w:r>
              <w:rPr>
                <w:rFonts w:ascii="宋体" w:hAnsi="宋体" w:hint="eastAsia"/>
                <w:szCs w:val="24"/>
                <w:lang w:eastAsia="zh-Hans"/>
              </w:rPr>
              <w:t>1</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2,509,360.0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2.3</w:t>
            </w:r>
            <w:r>
              <w:rPr>
                <w:rFonts w:ascii="宋体" w:hAnsi="宋体" w:hint="eastAsia"/>
                <w:szCs w:val="24"/>
                <w:lang w:eastAsia="zh-Hans"/>
              </w:rPr>
              <w:t>0</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1,626,998.0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1.4</w:t>
            </w:r>
            <w:r>
              <w:rPr>
                <w:rFonts w:ascii="宋体" w:hAnsi="宋体" w:hint="eastAsia"/>
                <w:szCs w:val="24"/>
                <w:lang w:eastAsia="zh-Hans"/>
              </w:rPr>
              <w:t>9</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2,562,583.0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2.3</w:t>
            </w:r>
            <w:r>
              <w:rPr>
                <w:rFonts w:ascii="宋体" w:hAnsi="宋体" w:hint="eastAsia"/>
                <w:szCs w:val="24"/>
                <w:lang w:eastAsia="zh-Hans"/>
              </w:rPr>
              <w:t>4</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7,479,656.0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6.8</w:t>
            </w:r>
            <w:r>
              <w:rPr>
                <w:rFonts w:ascii="宋体" w:hAnsi="宋体" w:hint="eastAsia"/>
                <w:szCs w:val="24"/>
                <w:lang w:eastAsia="zh-Hans"/>
              </w:rPr>
              <w:t>4</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666,540.0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0.6</w:t>
            </w:r>
            <w:r>
              <w:rPr>
                <w:rFonts w:ascii="宋体" w:hAnsi="宋体" w:hint="eastAsia"/>
                <w:szCs w:val="24"/>
                <w:lang w:eastAsia="zh-Hans"/>
              </w:rPr>
              <w:t>1</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131,138.0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0.1</w:t>
            </w:r>
            <w:r>
              <w:rPr>
                <w:rFonts w:ascii="宋体" w:hAnsi="宋体" w:hint="eastAsia"/>
                <w:szCs w:val="24"/>
                <w:lang w:eastAsia="zh-Hans"/>
              </w:rPr>
              <w:t>2</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24,997,100.0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22.8</w:t>
            </w:r>
            <w:r>
              <w:rPr>
                <w:rFonts w:ascii="宋体" w:hAnsi="宋体" w:hint="eastAsia"/>
                <w:szCs w:val="24"/>
                <w:lang w:eastAsia="zh-Hans"/>
              </w:rPr>
              <w:t>6</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2,171,508.0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1.9</w:t>
            </w:r>
            <w:r>
              <w:rPr>
                <w:rFonts w:ascii="宋体" w:hAnsi="宋体" w:hint="eastAsia"/>
                <w:szCs w:val="24"/>
                <w:lang w:eastAsia="zh-Hans"/>
              </w:rPr>
              <w:t>9</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2,594,206.0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2.3</w:t>
            </w:r>
            <w:r>
              <w:rPr>
                <w:rFonts w:ascii="宋体" w:hAnsi="宋体" w:hint="eastAsia"/>
                <w:szCs w:val="24"/>
                <w:lang w:eastAsia="zh-Hans"/>
              </w:rPr>
              <w:t>7</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110,460.0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0.1</w:t>
            </w:r>
            <w:r>
              <w:rPr>
                <w:rFonts w:ascii="宋体" w:hAnsi="宋体" w:hint="eastAsia"/>
                <w:szCs w:val="24"/>
                <w:lang w:eastAsia="zh-Hans"/>
              </w:rPr>
              <w:t>0</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406,196.0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0.3</w:t>
            </w:r>
            <w:r>
              <w:rPr>
                <w:rFonts w:ascii="宋体" w:hAnsi="宋体" w:hint="eastAsia"/>
                <w:szCs w:val="24"/>
                <w:lang w:eastAsia="zh-Hans"/>
              </w:rPr>
              <w:t>7</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1,074,473.0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0.9</w:t>
            </w:r>
            <w:r>
              <w:rPr>
                <w:rFonts w:ascii="宋体" w:hAnsi="宋体" w:hint="eastAsia"/>
                <w:szCs w:val="24"/>
                <w:lang w:eastAsia="zh-Hans"/>
              </w:rPr>
              <w:t>8</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w:t>
            </w:r>
          </w:p>
        </w:tc>
      </w:tr>
      <w:tr w:rsidR="00000000">
        <w:trPr>
          <w:divId w:val="15211161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12D82" w:rsidRDefault="00512D82">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12D82" w:rsidRDefault="00512D82">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12D82" w:rsidRDefault="00512D82">
            <w:pPr>
              <w:jc w:val="right"/>
            </w:pPr>
            <w:r>
              <w:rPr>
                <w:rFonts w:ascii="宋体" w:hAnsi="宋体" w:hint="eastAsia"/>
                <w:szCs w:val="24"/>
                <w:lang w:eastAsia="zh-Hans"/>
              </w:rPr>
              <w:t>100,760,919.0</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12D82" w:rsidRDefault="00512D82">
            <w:pPr>
              <w:jc w:val="right"/>
            </w:pPr>
            <w:r>
              <w:rPr>
                <w:rFonts w:ascii="宋体" w:hAnsi="宋体" w:hint="eastAsia"/>
                <w:szCs w:val="24"/>
                <w:lang w:eastAsia="zh-Hans"/>
              </w:rPr>
              <w:t>92.1</w:t>
            </w:r>
            <w:r>
              <w:rPr>
                <w:rFonts w:ascii="宋体" w:hAnsi="宋体" w:hint="eastAsia"/>
                <w:szCs w:val="24"/>
                <w:lang w:eastAsia="zh-Hans"/>
              </w:rPr>
              <w:t>6</w:t>
            </w:r>
          </w:p>
        </w:tc>
      </w:tr>
    </w:tbl>
    <w:p w:rsidR="00512D82" w:rsidRDefault="00512D82">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512D82" w:rsidRDefault="00512D82">
      <w:pPr>
        <w:spacing w:line="360" w:lineRule="auto"/>
        <w:ind w:firstLineChars="200" w:firstLine="420"/>
        <w:divId w:val="151066396"/>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512D82" w:rsidRDefault="00512D82">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512D82" w:rsidRDefault="00512D82">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95895129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12D82" w:rsidRDefault="00512D82">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12D82" w:rsidRDefault="00512D82">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12D82" w:rsidRDefault="00512D82">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12D82" w:rsidRDefault="00512D82">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12D82" w:rsidRDefault="00512D82">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12D82" w:rsidRDefault="00512D8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589512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60191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中远海</w:t>
            </w:r>
            <w:r>
              <w:rPr>
                <w:rFonts w:ascii="宋体" w:hAnsi="宋体" w:hint="eastAsia"/>
                <w:szCs w:val="24"/>
                <w:lang w:eastAsia="zh-Hans"/>
              </w:rPr>
              <w:t>控</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229,90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3,048,474.0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2.7</w:t>
            </w:r>
            <w:r>
              <w:rPr>
                <w:rFonts w:ascii="宋体" w:hAnsi="宋体" w:hint="eastAsia"/>
                <w:szCs w:val="24"/>
                <w:lang w:eastAsia="zh-Hans"/>
              </w:rPr>
              <w:t>9</w:t>
            </w:r>
          </w:p>
        </w:tc>
      </w:tr>
      <w:tr w:rsidR="00000000">
        <w:trPr>
          <w:divId w:val="19589512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60185</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中国石</w:t>
            </w:r>
            <w:r>
              <w:rPr>
                <w:rFonts w:ascii="宋体" w:hAnsi="宋体" w:hint="eastAsia"/>
                <w:szCs w:val="24"/>
                <w:lang w:eastAsia="zh-Hans"/>
              </w:rPr>
              <w:t>油</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341,70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2,965,956.0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2.7</w:t>
            </w:r>
            <w:r>
              <w:rPr>
                <w:rFonts w:ascii="宋体" w:hAnsi="宋体" w:hint="eastAsia"/>
                <w:szCs w:val="24"/>
                <w:lang w:eastAsia="zh-Hans"/>
              </w:rPr>
              <w:t>1</w:t>
            </w:r>
          </w:p>
        </w:tc>
      </w:tr>
      <w:tr w:rsidR="00000000">
        <w:trPr>
          <w:divId w:val="19589512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60091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江苏银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262,40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2,828,672.0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2.5</w:t>
            </w:r>
            <w:r>
              <w:rPr>
                <w:rFonts w:ascii="宋体" w:hAnsi="宋体" w:hint="eastAsia"/>
                <w:szCs w:val="24"/>
                <w:lang w:eastAsia="zh-Hans"/>
              </w:rPr>
              <w:t>9</w:t>
            </w:r>
          </w:p>
        </w:tc>
      </w:tr>
      <w:tr w:rsidR="00000000">
        <w:trPr>
          <w:divId w:val="19589512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60132</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交通银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427,70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2,750,111.0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2.5</w:t>
            </w:r>
            <w:r>
              <w:rPr>
                <w:rFonts w:ascii="宋体" w:hAnsi="宋体" w:hint="eastAsia"/>
                <w:szCs w:val="24"/>
                <w:lang w:eastAsia="zh-Hans"/>
              </w:rPr>
              <w:t>2</w:t>
            </w:r>
          </w:p>
        </w:tc>
      </w:tr>
      <w:tr w:rsidR="00000000">
        <w:trPr>
          <w:divId w:val="19589512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60122</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陕西煤</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134,20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2,730,970.0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2.5</w:t>
            </w:r>
            <w:r>
              <w:rPr>
                <w:rFonts w:ascii="宋体" w:hAnsi="宋体" w:hint="eastAsia"/>
                <w:szCs w:val="24"/>
                <w:lang w:eastAsia="zh-Hans"/>
              </w:rPr>
              <w:t>0</w:t>
            </w:r>
          </w:p>
        </w:tc>
      </w:tr>
      <w:tr w:rsidR="00000000">
        <w:trPr>
          <w:divId w:val="19589512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60199</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中信银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360,50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2,498,265.0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2.2</w:t>
            </w:r>
            <w:r>
              <w:rPr>
                <w:rFonts w:ascii="宋体" w:hAnsi="宋体" w:hint="eastAsia"/>
                <w:szCs w:val="24"/>
                <w:lang w:eastAsia="zh-Hans"/>
              </w:rPr>
              <w:t>8</w:t>
            </w:r>
          </w:p>
        </w:tc>
      </w:tr>
      <w:tr w:rsidR="00000000">
        <w:trPr>
          <w:divId w:val="19589512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60054</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山煤国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227,50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2,486,575.0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2.2</w:t>
            </w:r>
            <w:r>
              <w:rPr>
                <w:rFonts w:ascii="宋体" w:hAnsi="宋体" w:hint="eastAsia"/>
                <w:szCs w:val="24"/>
                <w:lang w:eastAsia="zh-Hans"/>
              </w:rPr>
              <w:t>7</w:t>
            </w:r>
          </w:p>
        </w:tc>
      </w:tr>
      <w:tr w:rsidR="00000000">
        <w:trPr>
          <w:divId w:val="19589512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60116</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兴业银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145,30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2,406,168.0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2.2</w:t>
            </w:r>
            <w:r>
              <w:rPr>
                <w:rFonts w:ascii="宋体" w:hAnsi="宋体" w:hint="eastAsia"/>
                <w:szCs w:val="24"/>
                <w:lang w:eastAsia="zh-Hans"/>
              </w:rPr>
              <w:t>0</w:t>
            </w:r>
          </w:p>
        </w:tc>
      </w:tr>
      <w:tr w:rsidR="00000000">
        <w:trPr>
          <w:divId w:val="19589512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60116</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西部矿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81,20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2,203,768.0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2.0</w:t>
            </w:r>
            <w:r>
              <w:rPr>
                <w:rFonts w:ascii="宋体" w:hAnsi="宋体" w:hint="eastAsia"/>
                <w:szCs w:val="24"/>
                <w:lang w:eastAsia="zh-Hans"/>
              </w:rPr>
              <w:t>2</w:t>
            </w:r>
          </w:p>
        </w:tc>
      </w:tr>
      <w:tr w:rsidR="00000000">
        <w:trPr>
          <w:divId w:val="19589512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60169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szCs w:val="24"/>
                <w:lang w:eastAsia="zh-Hans"/>
              </w:rPr>
              <w:t>潞安环</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151,00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2,156,280.0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1.9</w:t>
            </w:r>
            <w:r>
              <w:rPr>
                <w:rFonts w:ascii="宋体" w:hAnsi="宋体" w:hint="eastAsia"/>
                <w:szCs w:val="24"/>
                <w:lang w:eastAsia="zh-Hans"/>
              </w:rPr>
              <w:t>7</w:t>
            </w:r>
          </w:p>
        </w:tc>
      </w:tr>
    </w:tbl>
    <w:p w:rsidR="00512D82" w:rsidRDefault="00512D82">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512D82" w:rsidRDefault="00512D82">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512D82" w:rsidRDefault="00512D82">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512D82" w:rsidRDefault="00512D82">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512D82" w:rsidRDefault="00512D82">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512D82" w:rsidRDefault="00512D82">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512D82" w:rsidRDefault="00512D82">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512D82" w:rsidRDefault="00512D82">
      <w:pPr>
        <w:spacing w:line="360" w:lineRule="auto"/>
        <w:ind w:firstLineChars="200" w:firstLine="420"/>
        <w:divId w:val="1789079227"/>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512D82" w:rsidRDefault="00512D82">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512D82" w:rsidRDefault="00512D82">
      <w:pPr>
        <w:spacing w:line="360" w:lineRule="auto"/>
        <w:ind w:firstLineChars="200" w:firstLine="420"/>
        <w:divId w:val="1144618209"/>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512D82" w:rsidRDefault="00512D82">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512D82" w:rsidRDefault="00512D82">
      <w:pPr>
        <w:spacing w:line="360" w:lineRule="auto"/>
        <w:ind w:firstLineChars="200" w:firstLine="420"/>
        <w:divId w:val="2065326332"/>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512D82" w:rsidRDefault="00512D82">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512D82" w:rsidRDefault="00512D82">
      <w:pPr>
        <w:spacing w:line="360" w:lineRule="auto"/>
        <w:ind w:firstLineChars="200" w:firstLine="420"/>
        <w:divId w:val="968170951"/>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512D82" w:rsidRDefault="00512D82">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512D82" w:rsidRDefault="00512D82">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512D82" w:rsidRDefault="00512D82">
      <w:pPr>
        <w:spacing w:line="360" w:lineRule="auto"/>
        <w:ind w:firstLineChars="200" w:firstLine="420"/>
        <w:rPr>
          <w:rFonts w:hint="eastAsia"/>
        </w:rPr>
      </w:pPr>
      <w:r>
        <w:rPr>
          <w:rFonts w:ascii="宋体" w:hAnsi="宋体" w:hint="eastAsia"/>
        </w:rPr>
        <w:t>本基金投资的前十名证券的发行主体中，交通银行股份有限公司报告编制日前一年内曾受到国家金融监督管理总局、央行的处罚，兴业银行股份有限公司报告编制日前一年内曾受到国家金融监督管理总局的处罚，中信银行股份有限公司报告编制日前一年内曾受到国家金融监督管理总局云南监管局、国家金融监督管理总局、央行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512D82" w:rsidRDefault="00512D82">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512D82" w:rsidRDefault="00512D82">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512D82" w:rsidRDefault="00512D82">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886062732"/>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2D82" w:rsidRDefault="00512D82">
            <w:pPr>
              <w:jc w:val="center"/>
            </w:pPr>
            <w:r>
              <w:rPr>
                <w:rFonts w:ascii="宋体" w:hAnsi="宋体" w:hint="eastAsia"/>
              </w:rPr>
              <w:t>金额（元</w:t>
            </w:r>
            <w:r>
              <w:rPr>
                <w:rFonts w:ascii="宋体" w:hAnsi="宋体" w:hint="eastAsia"/>
              </w:rPr>
              <w:t>）</w:t>
            </w:r>
            <w:r>
              <w:t xml:space="preserve"> </w:t>
            </w:r>
          </w:p>
        </w:tc>
      </w:tr>
      <w:tr w:rsidR="00000000">
        <w:trPr>
          <w:divId w:val="188606273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rPr>
              <w:t>-</w:t>
            </w:r>
          </w:p>
        </w:tc>
      </w:tr>
      <w:tr w:rsidR="00000000">
        <w:trPr>
          <w:divId w:val="188606273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rPr>
              <w:t>-</w:t>
            </w:r>
          </w:p>
        </w:tc>
      </w:tr>
      <w:tr w:rsidR="00000000">
        <w:trPr>
          <w:divId w:val="188606273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rPr>
              <w:t>-</w:t>
            </w:r>
          </w:p>
        </w:tc>
      </w:tr>
      <w:tr w:rsidR="00000000">
        <w:trPr>
          <w:divId w:val="188606273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rPr>
              <w:t>-</w:t>
            </w:r>
          </w:p>
        </w:tc>
      </w:tr>
      <w:tr w:rsidR="00000000">
        <w:trPr>
          <w:divId w:val="188606273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rPr>
              <w:t>60,016.3</w:t>
            </w:r>
            <w:r>
              <w:rPr>
                <w:rFonts w:ascii="宋体" w:hAnsi="宋体" w:hint="eastAsia"/>
              </w:rPr>
              <w:t>6</w:t>
            </w:r>
          </w:p>
        </w:tc>
      </w:tr>
      <w:tr w:rsidR="00000000">
        <w:trPr>
          <w:divId w:val="188606273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rPr>
              <w:t>-</w:t>
            </w:r>
          </w:p>
        </w:tc>
      </w:tr>
      <w:tr w:rsidR="00000000">
        <w:trPr>
          <w:divId w:val="188606273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rPr>
              <w:t>-</w:t>
            </w:r>
          </w:p>
        </w:tc>
      </w:tr>
      <w:tr w:rsidR="00000000">
        <w:trPr>
          <w:divId w:val="188606273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rPr>
              <w:t>60,016.3</w:t>
            </w:r>
            <w:r>
              <w:rPr>
                <w:rFonts w:ascii="宋体" w:hAnsi="宋体" w:hint="eastAsia"/>
              </w:rPr>
              <w:t>6</w:t>
            </w:r>
          </w:p>
        </w:tc>
      </w:tr>
    </w:tbl>
    <w:p w:rsidR="00512D82" w:rsidRDefault="00512D82">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512D82" w:rsidRDefault="00512D82">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512D82" w:rsidRDefault="00512D82">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512D82" w:rsidRDefault="00512D82">
      <w:pPr>
        <w:spacing w:line="360" w:lineRule="auto"/>
        <w:ind w:firstLineChars="200" w:firstLine="420"/>
        <w:jc w:val="left"/>
        <w:divId w:val="1461607572"/>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512D82" w:rsidRDefault="00512D82">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512D82" w:rsidRDefault="00512D82">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512D82" w:rsidRDefault="00512D82">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512D82" w:rsidRDefault="00512D82">
      <w:pPr>
        <w:wordWrap w:val="0"/>
        <w:spacing w:line="360" w:lineRule="auto"/>
        <w:jc w:val="right"/>
        <w:divId w:val="51122744"/>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51122744"/>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12D82" w:rsidRDefault="00512D82">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12D82" w:rsidRDefault="00512D82">
            <w:pPr>
              <w:ind w:right="3"/>
              <w:jc w:val="center"/>
            </w:pPr>
            <w:r>
              <w:rPr>
                <w:rFonts w:ascii="宋体" w:hAnsi="宋体" w:hint="eastAsia"/>
                <w:lang w:eastAsia="zh-Hans"/>
              </w:rPr>
              <w:t>摩根红利优选股票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12D82" w:rsidRDefault="00512D82">
            <w:pPr>
              <w:ind w:right="3"/>
              <w:jc w:val="center"/>
            </w:pPr>
            <w:r>
              <w:rPr>
                <w:rFonts w:ascii="宋体" w:hAnsi="宋体" w:hint="eastAsia"/>
                <w:lang w:eastAsia="zh-Hans"/>
              </w:rPr>
              <w:t>摩根红利优选股票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511227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jc w:val="right"/>
            </w:pPr>
            <w:r>
              <w:rPr>
                <w:rFonts w:ascii="宋体" w:hAnsi="宋体" w:hint="eastAsia"/>
              </w:rPr>
              <w:t>45,520,318.5</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jc w:val="right"/>
            </w:pPr>
            <w:r>
              <w:rPr>
                <w:rFonts w:ascii="宋体" w:hAnsi="宋体" w:hint="eastAsia"/>
              </w:rPr>
              <w:t>55,102,714.7</w:t>
            </w:r>
            <w:r>
              <w:rPr>
                <w:rFonts w:ascii="宋体" w:hAnsi="宋体" w:hint="eastAsia"/>
              </w:rPr>
              <w:t>1</w:t>
            </w:r>
          </w:p>
        </w:tc>
      </w:tr>
      <w:tr w:rsidR="00000000">
        <w:trPr>
          <w:divId w:val="511227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jc w:val="right"/>
            </w:pPr>
            <w:r>
              <w:rPr>
                <w:rFonts w:ascii="宋体" w:hAnsi="宋体" w:hint="eastAsia"/>
              </w:rPr>
              <w:t>10,162,985.8</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jc w:val="right"/>
            </w:pPr>
            <w:r>
              <w:rPr>
                <w:rFonts w:ascii="宋体" w:hAnsi="宋体" w:hint="eastAsia"/>
              </w:rPr>
              <w:t>11,377,429.8</w:t>
            </w:r>
            <w:r>
              <w:rPr>
                <w:rFonts w:ascii="宋体" w:hAnsi="宋体" w:hint="eastAsia"/>
              </w:rPr>
              <w:t>5</w:t>
            </w:r>
          </w:p>
        </w:tc>
      </w:tr>
      <w:tr w:rsidR="00000000">
        <w:trPr>
          <w:divId w:val="511227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jc w:val="right"/>
            </w:pPr>
            <w:r>
              <w:rPr>
                <w:rFonts w:ascii="宋体" w:hAnsi="宋体" w:hint="eastAsia"/>
              </w:rPr>
              <w:t>10,889,406.0</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jc w:val="right"/>
            </w:pPr>
            <w:r>
              <w:rPr>
                <w:rFonts w:ascii="宋体" w:hAnsi="宋体" w:hint="eastAsia"/>
              </w:rPr>
              <w:t>11,214,992.0</w:t>
            </w:r>
            <w:r>
              <w:rPr>
                <w:rFonts w:ascii="宋体" w:hAnsi="宋体" w:hint="eastAsia"/>
              </w:rPr>
              <w:t>2</w:t>
            </w:r>
          </w:p>
        </w:tc>
      </w:tr>
      <w:tr w:rsidR="00000000">
        <w:trPr>
          <w:divId w:val="511227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jc w:val="right"/>
            </w:pPr>
            <w:r>
              <w:rPr>
                <w:rFonts w:ascii="宋体" w:hAnsi="宋体" w:hint="eastAsia"/>
              </w:rPr>
              <w:t>-</w:t>
            </w:r>
          </w:p>
        </w:tc>
      </w:tr>
      <w:tr w:rsidR="00000000">
        <w:trPr>
          <w:divId w:val="511227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jc w:val="right"/>
            </w:pPr>
            <w:r>
              <w:rPr>
                <w:rFonts w:ascii="宋体" w:hAnsi="宋体" w:hint="eastAsia"/>
              </w:rPr>
              <w:t>44,793,898.3</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12D82" w:rsidRDefault="00512D82">
            <w:pPr>
              <w:jc w:val="right"/>
            </w:pPr>
            <w:r>
              <w:rPr>
                <w:rFonts w:ascii="宋体" w:hAnsi="宋体" w:hint="eastAsia"/>
              </w:rPr>
              <w:t>55,265,152.5</w:t>
            </w:r>
            <w:r>
              <w:rPr>
                <w:rFonts w:ascii="宋体" w:hAnsi="宋体" w:hint="eastAsia"/>
              </w:rPr>
              <w:t>4</w:t>
            </w:r>
          </w:p>
        </w:tc>
      </w:tr>
    </w:tbl>
    <w:p w:rsidR="00512D82" w:rsidRDefault="00512D82">
      <w:pPr>
        <w:spacing w:line="360" w:lineRule="auto"/>
        <w:jc w:val="left"/>
        <w:divId w:val="51122744"/>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512D82" w:rsidRDefault="00512D82">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512D82" w:rsidRDefault="00512D82">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512D82" w:rsidRDefault="00512D82">
      <w:pPr>
        <w:wordWrap w:val="0"/>
        <w:spacing w:line="360" w:lineRule="auto"/>
        <w:jc w:val="right"/>
        <w:divId w:val="1257520894"/>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257520894"/>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jc w:val="center"/>
            </w:pPr>
            <w:r>
              <w:rPr>
                <w:rFonts w:ascii="宋体" w:hAnsi="宋体" w:hint="eastAsia"/>
                <w:lang w:eastAsia="zh-Hans"/>
              </w:rPr>
              <w:t>摩根红利优选股票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12D82" w:rsidRDefault="00512D82">
            <w:pPr>
              <w:jc w:val="center"/>
            </w:pPr>
            <w:r>
              <w:rPr>
                <w:rFonts w:ascii="宋体" w:hAnsi="宋体" w:hint="eastAsia"/>
                <w:lang w:eastAsia="zh-Hans"/>
              </w:rPr>
              <w:t>摩根红利优选股票</w:t>
            </w:r>
            <w:r>
              <w:rPr>
                <w:rFonts w:ascii="宋体" w:hAnsi="宋体" w:hint="eastAsia"/>
                <w:lang w:eastAsia="zh-Hans"/>
              </w:rPr>
              <w:t>C</w:t>
            </w:r>
            <w:r>
              <w:rPr>
                <w:rFonts w:ascii="宋体" w:hAnsi="宋体" w:hint="eastAsia"/>
                <w:color w:val="000000"/>
              </w:rPr>
              <w:t xml:space="preserve"> </w:t>
            </w:r>
          </w:p>
        </w:tc>
      </w:tr>
      <w:tr w:rsidR="00000000">
        <w:trPr>
          <w:divId w:val="125752089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rPr>
                <w:rFonts w:hint="eastAsia"/>
              </w:rPr>
            </w:pPr>
            <w:r>
              <w:rPr>
                <w:rFonts w:ascii="宋体" w:hAnsi="宋体" w:hint="eastAsia"/>
                <w:kern w:val="0"/>
                <w:szCs w:val="24"/>
                <w:lang w:eastAsia="zh-Hans"/>
              </w:rPr>
              <w:t>1,277,350.8</w:t>
            </w:r>
            <w:r>
              <w:rPr>
                <w:rFonts w:ascii="宋体" w:hAnsi="宋体" w:hint="eastAsia"/>
                <w:kern w:val="0"/>
                <w:szCs w:val="24"/>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kern w:val="0"/>
                <w:szCs w:val="24"/>
                <w:lang w:eastAsia="zh-Hans"/>
              </w:rPr>
              <w:t>-</w:t>
            </w:r>
          </w:p>
        </w:tc>
      </w:tr>
      <w:tr w:rsidR="00000000">
        <w:trPr>
          <w:divId w:val="125752089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szCs w:val="24"/>
                <w:lang w:eastAsia="zh-Hans"/>
              </w:rPr>
              <w:t>-</w:t>
            </w:r>
          </w:p>
        </w:tc>
      </w:tr>
      <w:tr w:rsidR="00000000">
        <w:trPr>
          <w:divId w:val="125752089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lang w:eastAsia="zh-Hans"/>
              </w:rPr>
              <w:t>-</w:t>
            </w:r>
          </w:p>
        </w:tc>
      </w:tr>
      <w:tr w:rsidR="00000000">
        <w:trPr>
          <w:divId w:val="125752089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rPr>
                <w:rFonts w:hint="eastAsia"/>
              </w:rPr>
            </w:pPr>
            <w:r>
              <w:rPr>
                <w:rFonts w:ascii="宋体" w:hAnsi="宋体" w:hint="eastAsia"/>
                <w:lang w:eastAsia="zh-Hans"/>
              </w:rPr>
              <w:t>1,277,350.8</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lang w:eastAsia="zh-Hans"/>
              </w:rPr>
              <w:t>-</w:t>
            </w:r>
          </w:p>
        </w:tc>
      </w:tr>
      <w:tr w:rsidR="00000000">
        <w:trPr>
          <w:divId w:val="125752089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rPr>
                <w:rFonts w:hint="eastAsia"/>
              </w:rPr>
            </w:pPr>
            <w:r>
              <w:rPr>
                <w:rFonts w:ascii="宋体" w:hAnsi="宋体" w:hint="eastAsia"/>
                <w:lang w:eastAsia="zh-Hans"/>
              </w:rPr>
              <w:t>1.2</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D82" w:rsidRDefault="00512D82">
            <w:pPr>
              <w:jc w:val="right"/>
            </w:pPr>
            <w:r>
              <w:rPr>
                <w:rFonts w:ascii="宋体" w:hAnsi="宋体" w:hint="eastAsia"/>
                <w:lang w:eastAsia="zh-Hans"/>
              </w:rPr>
              <w:t>-</w:t>
            </w:r>
          </w:p>
        </w:tc>
      </w:tr>
    </w:tbl>
    <w:p w:rsidR="00512D82" w:rsidRDefault="00512D82">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p w:rsidR="00512D82" w:rsidRDefault="00512D82">
      <w:pPr>
        <w:spacing w:line="360" w:lineRule="auto"/>
        <w:ind w:firstLineChars="200" w:firstLine="420"/>
        <w:jc w:val="left"/>
        <w:divId w:val="926881832"/>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512D82" w:rsidRDefault="00512D82">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512D82" w:rsidRDefault="00512D82">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512D82" w:rsidRDefault="00512D82">
      <w:pPr>
        <w:spacing w:line="360" w:lineRule="auto"/>
        <w:ind w:firstLineChars="200" w:firstLine="420"/>
        <w:divId w:val="1342320940"/>
        <w:rPr>
          <w:rFonts w:ascii="宋体" w:hAnsi="宋体" w:hint="eastAsia"/>
          <w:szCs w:val="21"/>
          <w:lang w:eastAsia="zh-Hans"/>
        </w:rPr>
      </w:pPr>
      <w:r>
        <w:rPr>
          <w:rFonts w:ascii="宋体" w:hAnsi="宋体" w:hint="eastAsia"/>
          <w:szCs w:val="21"/>
          <w:lang w:eastAsia="zh-Hans"/>
        </w:rPr>
        <w:t>无。</w:t>
      </w:r>
    </w:p>
    <w:p w:rsidR="00512D82" w:rsidRDefault="00512D82">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512D82" w:rsidRDefault="00512D82">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512D82" w:rsidRDefault="00512D82">
      <w:pPr>
        <w:spacing w:line="360" w:lineRule="auto"/>
        <w:ind w:firstLineChars="200" w:firstLine="420"/>
        <w:jc w:val="left"/>
        <w:rPr>
          <w:rFonts w:hint="eastAsia"/>
        </w:rPr>
      </w:pPr>
      <w:r>
        <w:rPr>
          <w:rFonts w:ascii="宋体" w:hAnsi="宋体" w:cs="宋体" w:hint="eastAsia"/>
          <w:color w:val="000000"/>
          <w:kern w:val="0"/>
        </w:rPr>
        <w:t>（一）中国证监会准予摩根红利优选股票型证券投资基金募集注册的文件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（二）摩根红利优选股票型证券投资基金基金合同</w:t>
      </w:r>
      <w:r>
        <w:rPr>
          <w:rFonts w:ascii="宋体" w:hAnsi="宋体" w:cs="宋体" w:hint="eastAsia"/>
          <w:color w:val="000000"/>
          <w:kern w:val="0"/>
        </w:rPr>
        <w:br/>
      </w:r>
      <w:r>
        <w:rPr>
          <w:rFonts w:ascii="宋体" w:hAnsi="宋体" w:cs="宋体" w:hint="eastAsia"/>
          <w:color w:val="000000"/>
          <w:kern w:val="0"/>
        </w:rPr>
        <w:t xml:space="preserve">　　（三）摩根红利优选股票型证券投资基金托管协议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512D82" w:rsidRDefault="00512D82">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512D82" w:rsidRDefault="00512D82">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512D82" w:rsidRDefault="00512D82">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512D82" w:rsidRDefault="00512D82">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512D82" w:rsidRDefault="00512D82">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12D82" w:rsidRDefault="00512D82">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12D82" w:rsidRDefault="00512D82">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512D82" w:rsidRDefault="00512D82">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512D82">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2D82" w:rsidRDefault="00512D82">
      <w:pPr>
        <w:rPr>
          <w:szCs w:val="21"/>
        </w:rPr>
      </w:pPr>
      <w:r>
        <w:rPr>
          <w:szCs w:val="21"/>
        </w:rPr>
        <w:separator/>
      </w:r>
      <w:r>
        <w:rPr>
          <w:szCs w:val="21"/>
        </w:rPr>
        <w:t xml:space="preserve"> </w:t>
      </w:r>
    </w:p>
  </w:endnote>
  <w:endnote w:type="continuationSeparator" w:id="0">
    <w:p w:rsidR="00512D82" w:rsidRDefault="00512D82">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D82" w:rsidRDefault="00512D82">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2D82" w:rsidRDefault="00512D82">
      <w:pPr>
        <w:rPr>
          <w:szCs w:val="21"/>
        </w:rPr>
      </w:pPr>
      <w:r>
        <w:rPr>
          <w:szCs w:val="21"/>
        </w:rPr>
        <w:separator/>
      </w:r>
      <w:r>
        <w:rPr>
          <w:szCs w:val="21"/>
        </w:rPr>
        <w:t xml:space="preserve"> </w:t>
      </w:r>
    </w:p>
  </w:footnote>
  <w:footnote w:type="continuationSeparator" w:id="0">
    <w:p w:rsidR="00512D82" w:rsidRDefault="00512D82">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D82" w:rsidRDefault="00512D82">
    <w:pPr>
      <w:pStyle w:val="a8"/>
      <w:jc w:val="right"/>
    </w:pPr>
    <w:r>
      <w:rPr>
        <w:rFonts w:ascii="宋体" w:hAnsi="宋体" w:hint="eastAsia"/>
      </w:rPr>
      <w:t>摩根红利优选股票型证券投资基金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993989562">
    <w:abstractNumId w:val="0"/>
  </w:num>
  <w:num w:numId="2" w16cid:durableId="68235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A3238"/>
    <w:rsid w:val="002A3238"/>
    <w:rsid w:val="00512D82"/>
    <w:rsid w:val="00CD7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835C4752-E98C-4913-9429-96C0B2A5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2744">
      <w:marLeft w:val="0"/>
      <w:marRight w:val="0"/>
      <w:marTop w:val="0"/>
      <w:marBottom w:val="0"/>
      <w:divBdr>
        <w:top w:val="none" w:sz="0" w:space="0" w:color="auto"/>
        <w:left w:val="none" w:sz="0" w:space="0" w:color="auto"/>
        <w:bottom w:val="none" w:sz="0" w:space="0" w:color="auto"/>
        <w:right w:val="none" w:sz="0" w:space="0" w:color="auto"/>
      </w:divBdr>
    </w:div>
    <w:div w:id="151066396">
      <w:marLeft w:val="0"/>
      <w:marRight w:val="0"/>
      <w:marTop w:val="0"/>
      <w:marBottom w:val="0"/>
      <w:divBdr>
        <w:top w:val="none" w:sz="0" w:space="0" w:color="auto"/>
        <w:left w:val="none" w:sz="0" w:space="0" w:color="auto"/>
        <w:bottom w:val="none" w:sz="0" w:space="0" w:color="auto"/>
        <w:right w:val="none" w:sz="0" w:space="0" w:color="auto"/>
      </w:divBdr>
    </w:div>
    <w:div w:id="224805384">
      <w:marLeft w:val="0"/>
      <w:marRight w:val="0"/>
      <w:marTop w:val="0"/>
      <w:marBottom w:val="0"/>
      <w:divBdr>
        <w:top w:val="none" w:sz="0" w:space="0" w:color="auto"/>
        <w:left w:val="none" w:sz="0" w:space="0" w:color="auto"/>
        <w:bottom w:val="none" w:sz="0" w:space="0" w:color="auto"/>
        <w:right w:val="none" w:sz="0" w:space="0" w:color="auto"/>
      </w:divBdr>
    </w:div>
    <w:div w:id="277108857">
      <w:marLeft w:val="0"/>
      <w:marRight w:val="0"/>
      <w:marTop w:val="0"/>
      <w:marBottom w:val="0"/>
      <w:divBdr>
        <w:top w:val="none" w:sz="0" w:space="0" w:color="auto"/>
        <w:left w:val="none" w:sz="0" w:space="0" w:color="auto"/>
        <w:bottom w:val="none" w:sz="0" w:space="0" w:color="auto"/>
        <w:right w:val="none" w:sz="0" w:space="0" w:color="auto"/>
      </w:divBdr>
      <w:divsChild>
        <w:div w:id="584613443">
          <w:marLeft w:val="0"/>
          <w:marRight w:val="0"/>
          <w:marTop w:val="0"/>
          <w:marBottom w:val="0"/>
          <w:divBdr>
            <w:top w:val="none" w:sz="0" w:space="0" w:color="auto"/>
            <w:left w:val="none" w:sz="0" w:space="0" w:color="auto"/>
            <w:bottom w:val="none" w:sz="0" w:space="0" w:color="auto"/>
            <w:right w:val="none" w:sz="0" w:space="0" w:color="auto"/>
          </w:divBdr>
        </w:div>
      </w:divsChild>
    </w:div>
    <w:div w:id="311251791">
      <w:marLeft w:val="0"/>
      <w:marRight w:val="0"/>
      <w:marTop w:val="0"/>
      <w:marBottom w:val="0"/>
      <w:divBdr>
        <w:top w:val="none" w:sz="0" w:space="0" w:color="auto"/>
        <w:left w:val="none" w:sz="0" w:space="0" w:color="auto"/>
        <w:bottom w:val="none" w:sz="0" w:space="0" w:color="auto"/>
        <w:right w:val="none" w:sz="0" w:space="0" w:color="auto"/>
      </w:divBdr>
      <w:divsChild>
        <w:div w:id="695040219">
          <w:marLeft w:val="0"/>
          <w:marRight w:val="0"/>
          <w:marTop w:val="0"/>
          <w:marBottom w:val="0"/>
          <w:divBdr>
            <w:top w:val="none" w:sz="0" w:space="0" w:color="auto"/>
            <w:left w:val="none" w:sz="0" w:space="0" w:color="auto"/>
            <w:bottom w:val="none" w:sz="0" w:space="0" w:color="auto"/>
            <w:right w:val="none" w:sz="0" w:space="0" w:color="auto"/>
          </w:divBdr>
        </w:div>
      </w:divsChild>
    </w:div>
    <w:div w:id="354502151">
      <w:marLeft w:val="0"/>
      <w:marRight w:val="0"/>
      <w:marTop w:val="0"/>
      <w:marBottom w:val="0"/>
      <w:divBdr>
        <w:top w:val="none" w:sz="0" w:space="0" w:color="auto"/>
        <w:left w:val="none" w:sz="0" w:space="0" w:color="auto"/>
        <w:bottom w:val="none" w:sz="0" w:space="0" w:color="auto"/>
        <w:right w:val="none" w:sz="0" w:space="0" w:color="auto"/>
      </w:divBdr>
      <w:divsChild>
        <w:div w:id="1385562286">
          <w:marLeft w:val="0"/>
          <w:marRight w:val="0"/>
          <w:marTop w:val="0"/>
          <w:marBottom w:val="0"/>
          <w:divBdr>
            <w:top w:val="none" w:sz="0" w:space="0" w:color="auto"/>
            <w:left w:val="none" w:sz="0" w:space="0" w:color="auto"/>
            <w:bottom w:val="none" w:sz="0" w:space="0" w:color="auto"/>
            <w:right w:val="none" w:sz="0" w:space="0" w:color="auto"/>
          </w:divBdr>
        </w:div>
      </w:divsChild>
    </w:div>
    <w:div w:id="795368173">
      <w:marLeft w:val="0"/>
      <w:marRight w:val="0"/>
      <w:marTop w:val="0"/>
      <w:marBottom w:val="0"/>
      <w:divBdr>
        <w:top w:val="none" w:sz="0" w:space="0" w:color="auto"/>
        <w:left w:val="none" w:sz="0" w:space="0" w:color="auto"/>
        <w:bottom w:val="none" w:sz="0" w:space="0" w:color="auto"/>
        <w:right w:val="none" w:sz="0" w:space="0" w:color="auto"/>
      </w:divBdr>
    </w:div>
    <w:div w:id="926881832">
      <w:marLeft w:val="0"/>
      <w:marRight w:val="0"/>
      <w:marTop w:val="0"/>
      <w:marBottom w:val="0"/>
      <w:divBdr>
        <w:top w:val="none" w:sz="0" w:space="0" w:color="auto"/>
        <w:left w:val="none" w:sz="0" w:space="0" w:color="auto"/>
        <w:bottom w:val="none" w:sz="0" w:space="0" w:color="auto"/>
        <w:right w:val="none" w:sz="0" w:space="0" w:color="auto"/>
      </w:divBdr>
    </w:div>
    <w:div w:id="936868497">
      <w:marLeft w:val="0"/>
      <w:marRight w:val="0"/>
      <w:marTop w:val="0"/>
      <w:marBottom w:val="0"/>
      <w:divBdr>
        <w:top w:val="none" w:sz="0" w:space="0" w:color="auto"/>
        <w:left w:val="none" w:sz="0" w:space="0" w:color="auto"/>
        <w:bottom w:val="none" w:sz="0" w:space="0" w:color="auto"/>
        <w:right w:val="none" w:sz="0" w:space="0" w:color="auto"/>
      </w:divBdr>
      <w:divsChild>
        <w:div w:id="1257520894">
          <w:marLeft w:val="0"/>
          <w:marRight w:val="0"/>
          <w:marTop w:val="0"/>
          <w:marBottom w:val="0"/>
          <w:divBdr>
            <w:top w:val="none" w:sz="0" w:space="0" w:color="auto"/>
            <w:left w:val="none" w:sz="0" w:space="0" w:color="auto"/>
            <w:bottom w:val="none" w:sz="0" w:space="0" w:color="auto"/>
            <w:right w:val="none" w:sz="0" w:space="0" w:color="auto"/>
          </w:divBdr>
        </w:div>
      </w:divsChild>
    </w:div>
    <w:div w:id="968170951">
      <w:marLeft w:val="0"/>
      <w:marRight w:val="0"/>
      <w:marTop w:val="0"/>
      <w:marBottom w:val="0"/>
      <w:divBdr>
        <w:top w:val="none" w:sz="0" w:space="0" w:color="auto"/>
        <w:left w:val="none" w:sz="0" w:space="0" w:color="auto"/>
        <w:bottom w:val="none" w:sz="0" w:space="0" w:color="auto"/>
        <w:right w:val="none" w:sz="0" w:space="0" w:color="auto"/>
      </w:divBdr>
    </w:div>
    <w:div w:id="1047996853">
      <w:marLeft w:val="0"/>
      <w:marRight w:val="0"/>
      <w:marTop w:val="0"/>
      <w:marBottom w:val="0"/>
      <w:divBdr>
        <w:top w:val="none" w:sz="0" w:space="0" w:color="auto"/>
        <w:left w:val="none" w:sz="0" w:space="0" w:color="auto"/>
        <w:bottom w:val="none" w:sz="0" w:space="0" w:color="auto"/>
        <w:right w:val="none" w:sz="0" w:space="0" w:color="auto"/>
      </w:divBdr>
    </w:div>
    <w:div w:id="1122961736">
      <w:marLeft w:val="0"/>
      <w:marRight w:val="0"/>
      <w:marTop w:val="0"/>
      <w:marBottom w:val="0"/>
      <w:divBdr>
        <w:top w:val="none" w:sz="0" w:space="0" w:color="auto"/>
        <w:left w:val="none" w:sz="0" w:space="0" w:color="auto"/>
        <w:bottom w:val="none" w:sz="0" w:space="0" w:color="auto"/>
        <w:right w:val="none" w:sz="0" w:space="0" w:color="auto"/>
      </w:divBdr>
      <w:divsChild>
        <w:div w:id="1521116182">
          <w:marLeft w:val="0"/>
          <w:marRight w:val="0"/>
          <w:marTop w:val="0"/>
          <w:marBottom w:val="0"/>
          <w:divBdr>
            <w:top w:val="none" w:sz="0" w:space="0" w:color="auto"/>
            <w:left w:val="none" w:sz="0" w:space="0" w:color="auto"/>
            <w:bottom w:val="none" w:sz="0" w:space="0" w:color="auto"/>
            <w:right w:val="none" w:sz="0" w:space="0" w:color="auto"/>
          </w:divBdr>
        </w:div>
      </w:divsChild>
    </w:div>
    <w:div w:id="1144618209">
      <w:marLeft w:val="0"/>
      <w:marRight w:val="0"/>
      <w:marTop w:val="0"/>
      <w:marBottom w:val="0"/>
      <w:divBdr>
        <w:top w:val="none" w:sz="0" w:space="0" w:color="auto"/>
        <w:left w:val="none" w:sz="0" w:space="0" w:color="auto"/>
        <w:bottom w:val="none" w:sz="0" w:space="0" w:color="auto"/>
        <w:right w:val="none" w:sz="0" w:space="0" w:color="auto"/>
      </w:divBdr>
    </w:div>
    <w:div w:id="1342320940">
      <w:marLeft w:val="0"/>
      <w:marRight w:val="0"/>
      <w:marTop w:val="0"/>
      <w:marBottom w:val="0"/>
      <w:divBdr>
        <w:top w:val="none" w:sz="0" w:space="0" w:color="auto"/>
        <w:left w:val="none" w:sz="0" w:space="0" w:color="auto"/>
        <w:bottom w:val="none" w:sz="0" w:space="0" w:color="auto"/>
        <w:right w:val="none" w:sz="0" w:space="0" w:color="auto"/>
      </w:divBdr>
    </w:div>
    <w:div w:id="1461607572">
      <w:marLeft w:val="0"/>
      <w:marRight w:val="0"/>
      <w:marTop w:val="0"/>
      <w:marBottom w:val="0"/>
      <w:divBdr>
        <w:top w:val="none" w:sz="0" w:space="0" w:color="auto"/>
        <w:left w:val="none" w:sz="0" w:space="0" w:color="auto"/>
        <w:bottom w:val="none" w:sz="0" w:space="0" w:color="auto"/>
        <w:right w:val="none" w:sz="0" w:space="0" w:color="auto"/>
      </w:divBdr>
    </w:div>
    <w:div w:id="1745371672">
      <w:marLeft w:val="0"/>
      <w:marRight w:val="0"/>
      <w:marTop w:val="0"/>
      <w:marBottom w:val="0"/>
      <w:divBdr>
        <w:top w:val="none" w:sz="0" w:space="0" w:color="auto"/>
        <w:left w:val="none" w:sz="0" w:space="0" w:color="auto"/>
        <w:bottom w:val="none" w:sz="0" w:space="0" w:color="auto"/>
        <w:right w:val="none" w:sz="0" w:space="0" w:color="auto"/>
      </w:divBdr>
      <w:divsChild>
        <w:div w:id="1956713596">
          <w:marLeft w:val="0"/>
          <w:marRight w:val="0"/>
          <w:marTop w:val="0"/>
          <w:marBottom w:val="0"/>
          <w:divBdr>
            <w:top w:val="none" w:sz="0" w:space="0" w:color="auto"/>
            <w:left w:val="none" w:sz="0" w:space="0" w:color="auto"/>
            <w:bottom w:val="none" w:sz="0" w:space="0" w:color="auto"/>
            <w:right w:val="none" w:sz="0" w:space="0" w:color="auto"/>
          </w:divBdr>
        </w:div>
        <w:div w:id="1776514916">
          <w:marLeft w:val="0"/>
          <w:marRight w:val="0"/>
          <w:marTop w:val="0"/>
          <w:marBottom w:val="0"/>
          <w:divBdr>
            <w:top w:val="none" w:sz="0" w:space="0" w:color="auto"/>
            <w:left w:val="none" w:sz="0" w:space="0" w:color="auto"/>
            <w:bottom w:val="none" w:sz="0" w:space="0" w:color="auto"/>
            <w:right w:val="none" w:sz="0" w:space="0" w:color="auto"/>
          </w:divBdr>
        </w:div>
      </w:divsChild>
    </w:div>
    <w:div w:id="1789079227">
      <w:marLeft w:val="0"/>
      <w:marRight w:val="0"/>
      <w:marTop w:val="0"/>
      <w:marBottom w:val="0"/>
      <w:divBdr>
        <w:top w:val="none" w:sz="0" w:space="0" w:color="auto"/>
        <w:left w:val="none" w:sz="0" w:space="0" w:color="auto"/>
        <w:bottom w:val="none" w:sz="0" w:space="0" w:color="auto"/>
        <w:right w:val="none" w:sz="0" w:space="0" w:color="auto"/>
      </w:divBdr>
    </w:div>
    <w:div w:id="1958951292">
      <w:marLeft w:val="0"/>
      <w:marRight w:val="0"/>
      <w:marTop w:val="0"/>
      <w:marBottom w:val="0"/>
      <w:divBdr>
        <w:top w:val="none" w:sz="0" w:space="0" w:color="auto"/>
        <w:left w:val="none" w:sz="0" w:space="0" w:color="auto"/>
        <w:bottom w:val="none" w:sz="0" w:space="0" w:color="auto"/>
        <w:right w:val="none" w:sz="0" w:space="0" w:color="auto"/>
      </w:divBdr>
    </w:div>
    <w:div w:id="2065326332">
      <w:marLeft w:val="0"/>
      <w:marRight w:val="0"/>
      <w:marTop w:val="0"/>
      <w:marBottom w:val="0"/>
      <w:divBdr>
        <w:top w:val="none" w:sz="0" w:space="0" w:color="auto"/>
        <w:left w:val="none" w:sz="0" w:space="0" w:color="auto"/>
        <w:bottom w:val="none" w:sz="0" w:space="0" w:color="auto"/>
        <w:right w:val="none" w:sz="0" w:space="0" w:color="auto"/>
      </w:divBdr>
    </w:div>
    <w:div w:id="2110809261">
      <w:marLeft w:val="0"/>
      <w:marRight w:val="0"/>
      <w:marTop w:val="0"/>
      <w:marBottom w:val="0"/>
      <w:divBdr>
        <w:top w:val="none" w:sz="0" w:space="0" w:color="auto"/>
        <w:left w:val="none" w:sz="0" w:space="0" w:color="auto"/>
        <w:bottom w:val="none" w:sz="0" w:space="0" w:color="auto"/>
        <w:right w:val="none" w:sz="0" w:space="0" w:color="auto"/>
      </w:divBdr>
      <w:divsChild>
        <w:div w:id="188606273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1220</Words>
  <Characters>6959</Characters>
  <Application>Microsoft Office Word</Application>
  <DocSecurity>4</DocSecurity>
  <Lines>57</Lines>
  <Paragraphs>16</Paragraphs>
  <ScaleCrop>false</ScaleCrop>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2026-07-13T13:27:00Z</dcterms:created>
  <dcterms:modified xsi:type="dcterms:W3CDTF">2026-07-13T13:27:00Z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