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56F744" w14:textId="77777777" w:rsidR="00E3349B" w:rsidRDefault="00E3349B">
      <w:pPr>
        <w:rPr>
          <w:rFonts w:ascii="宋体" w:hAnsi="宋体" w:hint="eastAsia"/>
          <w:sz w:val="48"/>
        </w:rPr>
      </w:pPr>
      <w:r>
        <w:rPr>
          <w:rFonts w:ascii="宋体" w:hAnsi="宋体" w:hint="eastAsia"/>
          <w:sz w:val="48"/>
        </w:rPr>
        <w:t xml:space="preserve">　 </w:t>
      </w:r>
    </w:p>
    <w:p w14:paraId="7158ABC4" w14:textId="77777777" w:rsidR="00E3349B" w:rsidRDefault="00E3349B">
      <w:pPr>
        <w:rPr>
          <w:rFonts w:ascii="宋体" w:hAnsi="宋体" w:hint="eastAsia"/>
          <w:sz w:val="48"/>
        </w:rPr>
      </w:pPr>
      <w:r>
        <w:rPr>
          <w:rFonts w:ascii="宋体" w:hAnsi="宋体" w:hint="eastAsia"/>
          <w:sz w:val="48"/>
        </w:rPr>
        <w:t xml:space="preserve">　 </w:t>
      </w:r>
    </w:p>
    <w:p w14:paraId="71C263A7" w14:textId="77777777" w:rsidR="00E3349B" w:rsidRDefault="00E3349B">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摩根中证A500交易型开放式指数证券投资基金联接基金</w:t>
      </w:r>
      <w:r>
        <w:rPr>
          <w:rFonts w:ascii="宋体" w:hAnsi="宋体" w:hint="eastAsia"/>
          <w:b/>
          <w:bCs/>
          <w:color w:val="000000" w:themeColor="text1"/>
          <w:sz w:val="48"/>
          <w:szCs w:val="30"/>
        </w:rPr>
        <w:br/>
        <w:t>2025年第2季度报告</w:t>
      </w:r>
    </w:p>
    <w:p w14:paraId="4975FBC6" w14:textId="77777777" w:rsidR="00E3349B" w:rsidRDefault="00E3349B">
      <w:pPr>
        <w:jc w:val="center"/>
        <w:rPr>
          <w:rFonts w:ascii="宋体" w:hAnsi="宋体" w:hint="eastAsia"/>
          <w:sz w:val="28"/>
          <w:szCs w:val="30"/>
        </w:rPr>
      </w:pPr>
      <w:r>
        <w:rPr>
          <w:rFonts w:ascii="宋体" w:hAnsi="宋体" w:hint="eastAsia"/>
          <w:sz w:val="28"/>
          <w:szCs w:val="30"/>
        </w:rPr>
        <w:t xml:space="preserve">　 </w:t>
      </w:r>
    </w:p>
    <w:p w14:paraId="4E48A961" w14:textId="77777777" w:rsidR="00E3349B" w:rsidRDefault="00E3349B">
      <w:pPr>
        <w:jc w:val="center"/>
      </w:pPr>
      <w:r>
        <w:rPr>
          <w:rFonts w:ascii="宋体" w:hAnsi="宋体" w:hint="eastAsia"/>
          <w:b/>
          <w:bCs/>
          <w:sz w:val="28"/>
          <w:szCs w:val="30"/>
        </w:rPr>
        <w:t>2025年6月30日</w:t>
      </w:r>
    </w:p>
    <w:p w14:paraId="5496CEE5" w14:textId="77777777" w:rsidR="00E3349B" w:rsidRDefault="00E3349B">
      <w:pPr>
        <w:jc w:val="center"/>
        <w:rPr>
          <w:rFonts w:ascii="宋体" w:hAnsi="宋体" w:hint="eastAsia"/>
          <w:sz w:val="28"/>
          <w:szCs w:val="30"/>
        </w:rPr>
      </w:pPr>
      <w:r>
        <w:rPr>
          <w:rFonts w:ascii="宋体" w:hAnsi="宋体" w:hint="eastAsia"/>
          <w:sz w:val="28"/>
          <w:szCs w:val="30"/>
        </w:rPr>
        <w:t xml:space="preserve">　 </w:t>
      </w:r>
    </w:p>
    <w:p w14:paraId="388C0D2B" w14:textId="77777777" w:rsidR="00E3349B" w:rsidRDefault="00E3349B">
      <w:pPr>
        <w:jc w:val="center"/>
        <w:rPr>
          <w:rFonts w:ascii="宋体" w:hAnsi="宋体" w:hint="eastAsia"/>
          <w:sz w:val="28"/>
          <w:szCs w:val="30"/>
        </w:rPr>
      </w:pPr>
      <w:r>
        <w:rPr>
          <w:rFonts w:ascii="宋体" w:hAnsi="宋体" w:hint="eastAsia"/>
          <w:sz w:val="28"/>
          <w:szCs w:val="30"/>
        </w:rPr>
        <w:t xml:space="preserve">　 </w:t>
      </w:r>
    </w:p>
    <w:p w14:paraId="6FE20CA0" w14:textId="77777777" w:rsidR="00E3349B" w:rsidRDefault="00E3349B">
      <w:pPr>
        <w:jc w:val="center"/>
        <w:rPr>
          <w:rFonts w:ascii="宋体" w:hAnsi="宋体" w:hint="eastAsia"/>
          <w:sz w:val="28"/>
          <w:szCs w:val="30"/>
        </w:rPr>
      </w:pPr>
      <w:r>
        <w:rPr>
          <w:rFonts w:ascii="宋体" w:hAnsi="宋体" w:hint="eastAsia"/>
          <w:sz w:val="28"/>
          <w:szCs w:val="30"/>
        </w:rPr>
        <w:t xml:space="preserve">　 </w:t>
      </w:r>
    </w:p>
    <w:p w14:paraId="4E0B4671" w14:textId="77777777" w:rsidR="00E3349B" w:rsidRDefault="00E3349B">
      <w:pPr>
        <w:jc w:val="center"/>
        <w:rPr>
          <w:rFonts w:ascii="宋体" w:hAnsi="宋体" w:hint="eastAsia"/>
          <w:sz w:val="28"/>
          <w:szCs w:val="30"/>
        </w:rPr>
      </w:pPr>
      <w:r>
        <w:rPr>
          <w:rFonts w:ascii="宋体" w:hAnsi="宋体" w:hint="eastAsia"/>
          <w:sz w:val="28"/>
          <w:szCs w:val="30"/>
        </w:rPr>
        <w:t xml:space="preserve">　 </w:t>
      </w:r>
    </w:p>
    <w:p w14:paraId="219A41AF" w14:textId="77777777" w:rsidR="00E3349B" w:rsidRDefault="00E3349B">
      <w:pPr>
        <w:jc w:val="center"/>
        <w:rPr>
          <w:rFonts w:ascii="宋体" w:hAnsi="宋体" w:hint="eastAsia"/>
          <w:sz w:val="28"/>
          <w:szCs w:val="30"/>
        </w:rPr>
      </w:pPr>
      <w:r>
        <w:rPr>
          <w:rFonts w:ascii="宋体" w:hAnsi="宋体" w:hint="eastAsia"/>
          <w:sz w:val="28"/>
          <w:szCs w:val="30"/>
        </w:rPr>
        <w:t xml:space="preserve">　 </w:t>
      </w:r>
    </w:p>
    <w:p w14:paraId="35D687E1" w14:textId="77777777" w:rsidR="00E3349B" w:rsidRDefault="00E3349B">
      <w:pPr>
        <w:jc w:val="center"/>
        <w:rPr>
          <w:rFonts w:ascii="宋体" w:hAnsi="宋体" w:hint="eastAsia"/>
          <w:sz w:val="28"/>
          <w:szCs w:val="30"/>
        </w:rPr>
      </w:pPr>
      <w:r>
        <w:rPr>
          <w:rFonts w:ascii="宋体" w:hAnsi="宋体" w:hint="eastAsia"/>
          <w:sz w:val="28"/>
          <w:szCs w:val="30"/>
        </w:rPr>
        <w:t xml:space="preserve">　 </w:t>
      </w:r>
    </w:p>
    <w:p w14:paraId="02278A26" w14:textId="77777777" w:rsidR="00E3349B" w:rsidRDefault="00E3349B">
      <w:pPr>
        <w:jc w:val="center"/>
        <w:rPr>
          <w:rFonts w:ascii="宋体" w:hAnsi="宋体" w:hint="eastAsia"/>
          <w:sz w:val="28"/>
          <w:szCs w:val="30"/>
        </w:rPr>
      </w:pPr>
      <w:r>
        <w:rPr>
          <w:rFonts w:ascii="宋体" w:hAnsi="宋体" w:hint="eastAsia"/>
          <w:sz w:val="28"/>
          <w:szCs w:val="30"/>
        </w:rPr>
        <w:t xml:space="preserve">　 </w:t>
      </w:r>
    </w:p>
    <w:p w14:paraId="41EB8B40" w14:textId="77777777" w:rsidR="00E3349B" w:rsidRDefault="00E3349B">
      <w:pPr>
        <w:jc w:val="center"/>
        <w:rPr>
          <w:rFonts w:ascii="宋体" w:hAnsi="宋体" w:hint="eastAsia"/>
          <w:sz w:val="28"/>
          <w:szCs w:val="30"/>
        </w:rPr>
      </w:pPr>
      <w:r>
        <w:rPr>
          <w:rFonts w:ascii="宋体" w:hAnsi="宋体" w:hint="eastAsia"/>
          <w:sz w:val="28"/>
          <w:szCs w:val="30"/>
        </w:rPr>
        <w:t xml:space="preserve">　 </w:t>
      </w:r>
    </w:p>
    <w:p w14:paraId="0449FFFB" w14:textId="77777777" w:rsidR="00E3349B" w:rsidRDefault="00E3349B">
      <w:pPr>
        <w:jc w:val="center"/>
        <w:rPr>
          <w:rFonts w:ascii="宋体" w:hAnsi="宋体" w:hint="eastAsia"/>
          <w:sz w:val="28"/>
          <w:szCs w:val="30"/>
        </w:rPr>
      </w:pPr>
      <w:r>
        <w:rPr>
          <w:rFonts w:ascii="宋体" w:hAnsi="宋体" w:hint="eastAsia"/>
          <w:sz w:val="28"/>
          <w:szCs w:val="30"/>
        </w:rPr>
        <w:t xml:space="preserve">　 </w:t>
      </w:r>
    </w:p>
    <w:p w14:paraId="25EDEF9D" w14:textId="77777777" w:rsidR="00E3349B" w:rsidRDefault="00E3349B">
      <w:pPr>
        <w:jc w:val="center"/>
        <w:rPr>
          <w:rFonts w:ascii="宋体" w:hAnsi="宋体" w:hint="eastAsia"/>
          <w:sz w:val="28"/>
          <w:szCs w:val="30"/>
        </w:rPr>
      </w:pPr>
      <w:r>
        <w:rPr>
          <w:rFonts w:ascii="宋体" w:hAnsi="宋体" w:hint="eastAsia"/>
          <w:sz w:val="28"/>
          <w:szCs w:val="30"/>
        </w:rPr>
        <w:t xml:space="preserve">　 </w:t>
      </w:r>
    </w:p>
    <w:p w14:paraId="340E330D" w14:textId="77777777" w:rsidR="00E3349B" w:rsidRDefault="00E3349B">
      <w:pPr>
        <w:jc w:val="center"/>
        <w:rPr>
          <w:rFonts w:ascii="宋体" w:hAnsi="宋体" w:hint="eastAsia"/>
          <w:sz w:val="28"/>
          <w:szCs w:val="30"/>
        </w:rPr>
      </w:pPr>
      <w:r>
        <w:rPr>
          <w:rFonts w:ascii="宋体" w:hAnsi="宋体" w:hint="eastAsia"/>
          <w:sz w:val="28"/>
          <w:szCs w:val="30"/>
        </w:rPr>
        <w:t xml:space="preserve">　 </w:t>
      </w:r>
    </w:p>
    <w:p w14:paraId="1FC94B79" w14:textId="77777777" w:rsidR="00E3349B" w:rsidRDefault="00E3349B">
      <w:pPr>
        <w:ind w:firstLineChars="800" w:firstLine="2249"/>
        <w:jc w:val="left"/>
      </w:pPr>
      <w:r>
        <w:rPr>
          <w:rFonts w:ascii="宋体" w:hAnsi="宋体" w:hint="eastAsia"/>
          <w:b/>
          <w:bCs/>
          <w:sz w:val="28"/>
          <w:szCs w:val="30"/>
        </w:rPr>
        <w:t>基金管理人：摩根基金管理（中国）有限公司</w:t>
      </w:r>
    </w:p>
    <w:p w14:paraId="08611AF5" w14:textId="77777777" w:rsidR="00E3349B" w:rsidRDefault="00E3349B">
      <w:pPr>
        <w:ind w:firstLineChars="800" w:firstLine="2249"/>
        <w:jc w:val="left"/>
      </w:pPr>
      <w:r>
        <w:rPr>
          <w:rFonts w:ascii="宋体" w:hAnsi="宋体" w:hint="eastAsia"/>
          <w:b/>
          <w:bCs/>
          <w:sz w:val="28"/>
          <w:szCs w:val="30"/>
        </w:rPr>
        <w:t>基金托管人：平安银行股份有限公司</w:t>
      </w:r>
    </w:p>
    <w:p w14:paraId="1053CCBF" w14:textId="77777777" w:rsidR="00E3349B" w:rsidRDefault="00E3349B">
      <w:pPr>
        <w:ind w:firstLineChars="800" w:firstLine="2249"/>
        <w:jc w:val="left"/>
      </w:pPr>
      <w:r>
        <w:rPr>
          <w:rFonts w:ascii="宋体" w:hAnsi="宋体" w:hint="eastAsia"/>
          <w:b/>
          <w:bCs/>
          <w:sz w:val="28"/>
          <w:szCs w:val="30"/>
        </w:rPr>
        <w:t>报告送出日期：2025年7月21日</w:t>
      </w:r>
    </w:p>
    <w:p w14:paraId="79E28783" w14:textId="77777777" w:rsidR="00E3349B" w:rsidRDefault="00E3349B">
      <w:pPr>
        <w:pStyle w:val="XBRLTitle1"/>
        <w:spacing w:before="156"/>
        <w:ind w:left="425"/>
      </w:pPr>
      <w:r>
        <w:rPr>
          <w:rFonts w:hAnsi="宋体" w:cs="宋体" w:hint="eastAsia"/>
          <w:color w:val="404040"/>
          <w:kern w:val="0"/>
        </w:rPr>
        <w:br w:type="page"/>
      </w:r>
      <w:bookmarkStart w:id="7" w:name="_Toc17881663"/>
      <w:bookmarkStart w:id="8" w:name="_Toc512627214"/>
      <w:bookmarkStart w:id="9" w:name="_Toc492299860"/>
      <w:bookmarkStart w:id="10" w:name="_Toc466644444"/>
      <w:bookmarkStart w:id="11" w:name="_Toc447872908"/>
      <w:bookmarkStart w:id="12" w:name="_Toc438646451"/>
      <w:bookmarkStart w:id="13" w:name="_Toc512694294"/>
      <w:bookmarkStart w:id="14" w:name="m101"/>
      <w:bookmarkStart w:id="15" w:name="m01_01"/>
      <w:bookmarkStart w:id="16" w:name="_Toc194311890"/>
      <w:r>
        <w:rPr>
          <w:rFonts w:hAnsi="宋体" w:hint="eastAsia"/>
        </w:rPr>
        <w:lastRenderedPageBreak/>
        <w:t>重要提示</w:t>
      </w:r>
      <w:bookmarkEnd w:id="7"/>
      <w:bookmarkEnd w:id="8"/>
      <w:bookmarkEnd w:id="9"/>
      <w:bookmarkEnd w:id="10"/>
      <w:bookmarkEnd w:id="11"/>
      <w:bookmarkEnd w:id="12"/>
      <w:bookmarkEnd w:id="13"/>
      <w:r>
        <w:rPr>
          <w:rFonts w:hAnsi="宋体" w:hint="eastAsia"/>
        </w:rPr>
        <w:t xml:space="preserve"> </w:t>
      </w:r>
    </w:p>
    <w:p w14:paraId="02759B6A" w14:textId="77777777" w:rsidR="00E3349B" w:rsidRDefault="00E3349B">
      <w:pPr>
        <w:spacing w:line="360" w:lineRule="auto"/>
        <w:ind w:firstLineChars="200" w:firstLine="420"/>
      </w:pPr>
      <w:bookmarkStart w:id="17" w:name="m502"/>
      <w:bookmarkStart w:id="18" w:name="_Toc438646470"/>
      <w:bookmarkStart w:id="19" w:name="m504"/>
      <w:bookmarkStart w:id="20" w:name="m08QD_01"/>
      <w:bookmarkStart w:id="21" w:name="m201"/>
      <w:bookmarkStart w:id="22"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基金托管人平安银行股份有限公司根据本基金合同规定，于2025年7月18日复核了本报告中的财务指标、净值表现和投资组合报告等内容，保证复核内容不存在虚假记载、误导性陈述或者重大遗漏。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74D7D77E" w14:textId="77777777" w:rsidR="00E3349B" w:rsidRDefault="00E3349B">
      <w:pPr>
        <w:pStyle w:val="XBRLTitle1"/>
        <w:spacing w:before="156"/>
        <w:ind w:left="425"/>
      </w:pPr>
      <w:bookmarkStart w:id="23" w:name="_Toc17881664"/>
      <w:bookmarkStart w:id="24" w:name="_Toc492299861"/>
      <w:bookmarkStart w:id="25" w:name="_Toc466644445"/>
      <w:bookmarkStart w:id="26" w:name="_Toc447872909"/>
      <w:bookmarkStart w:id="27" w:name="_Toc438646452"/>
      <w:bookmarkStart w:id="28" w:name="_Toc512627215"/>
      <w:bookmarkStart w:id="29" w:name="_Toc512694295"/>
      <w:bookmarkEnd w:id="14"/>
      <w:r>
        <w:rPr>
          <w:rFonts w:hAnsi="宋体" w:hint="eastAsia"/>
        </w:rPr>
        <w:t>基金产品概况</w:t>
      </w:r>
      <w:bookmarkEnd w:id="23"/>
      <w:bookmarkEnd w:id="24"/>
      <w:bookmarkEnd w:id="25"/>
      <w:bookmarkEnd w:id="26"/>
      <w:bookmarkEnd w:id="27"/>
      <w:bookmarkEnd w:id="28"/>
      <w:bookmarkEnd w:id="29"/>
      <w:r>
        <w:rPr>
          <w:rFonts w:hAnsi="宋体" w:hint="eastAsia"/>
        </w:rPr>
        <w:t xml:space="preserve"> </w:t>
      </w:r>
    </w:p>
    <w:p w14:paraId="17730081" w14:textId="77777777" w:rsidR="00E3349B" w:rsidRDefault="00E3349B">
      <w:pPr>
        <w:pStyle w:val="XBRLTitle2"/>
        <w:spacing w:before="156"/>
        <w:ind w:left="454"/>
      </w:pPr>
      <w:bookmarkStart w:id="30" w:name="_Toc17881665"/>
      <w:bookmarkStart w:id="31" w:name="_Toc492299866"/>
      <w:bookmarkStart w:id="32" w:name="_Toc466644450"/>
      <w:bookmarkStart w:id="33" w:name="_Toc447872912"/>
      <w:bookmarkStart w:id="34" w:name="_Toc438646456"/>
      <w:bookmarkStart w:id="35" w:name="_Toc512627218"/>
      <w:bookmarkStart w:id="36" w:name="_Toc512694298"/>
      <w:bookmarkStart w:id="37" w:name="m401_tab"/>
      <w:bookmarkStart w:id="38" w:name="m401"/>
      <w:r>
        <w:rPr>
          <w:rFonts w:hAnsi="宋体" w:hint="eastAsia"/>
        </w:rPr>
        <w:t>基金基本情况</w:t>
      </w:r>
      <w:bookmarkEnd w:id="30"/>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8"/>
        <w:gridCol w:w="1500"/>
        <w:gridCol w:w="1710"/>
        <w:gridCol w:w="1290"/>
        <w:gridCol w:w="1290"/>
      </w:tblGrid>
      <w:tr w:rsidR="00746C83" w14:paraId="22D79C57" w14:textId="77777777">
        <w:trPr>
          <w:divId w:val="725495347"/>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1E7057E" w14:textId="77777777" w:rsidR="00E3349B" w:rsidRDefault="00E3349B">
            <w:pPr>
              <w:jc w:val="left"/>
            </w:pPr>
            <w:r>
              <w:rPr>
                <w:rFonts w:ascii="宋体" w:hAnsi="宋体" w:hint="eastAsia"/>
              </w:rPr>
              <w:t>基金简称</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CA8832" w14:textId="77777777" w:rsidR="00E3349B" w:rsidRDefault="00E3349B">
            <w:pPr>
              <w:jc w:val="left"/>
            </w:pPr>
            <w:r>
              <w:rPr>
                <w:rFonts w:ascii="宋体" w:hAnsi="宋体" w:hint="eastAsia"/>
                <w:szCs w:val="24"/>
                <w:lang w:eastAsia="zh-Hans"/>
              </w:rPr>
              <w:t>摩根中证A500ETF联接</w:t>
            </w:r>
            <w:r>
              <w:rPr>
                <w:rFonts w:ascii="宋体" w:hAnsi="宋体" w:hint="eastAsia"/>
                <w:lang w:eastAsia="zh-Hans"/>
              </w:rPr>
              <w:t xml:space="preserve"> </w:t>
            </w:r>
          </w:p>
        </w:tc>
      </w:tr>
      <w:tr w:rsidR="00746C83" w14:paraId="3D52A31A" w14:textId="77777777">
        <w:trPr>
          <w:divId w:val="72549534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957598" w14:textId="77777777" w:rsidR="00E3349B" w:rsidRDefault="00E3349B">
            <w:pPr>
              <w:jc w:val="left"/>
            </w:pPr>
            <w:r>
              <w:rPr>
                <w:rFonts w:ascii="宋体" w:hAnsi="宋体" w:hint="eastAsia"/>
              </w:rPr>
              <w:t>基金主代码</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CD26B4" w14:textId="77777777" w:rsidR="00E3349B" w:rsidRDefault="00E3349B">
            <w:pPr>
              <w:jc w:val="left"/>
            </w:pPr>
            <w:r>
              <w:rPr>
                <w:rFonts w:ascii="宋体" w:hAnsi="宋体" w:hint="eastAsia"/>
                <w:lang w:eastAsia="zh-Hans"/>
              </w:rPr>
              <w:t>022436</w:t>
            </w:r>
          </w:p>
        </w:tc>
      </w:tr>
      <w:tr w:rsidR="00746C83" w14:paraId="10D54ED3" w14:textId="77777777">
        <w:trPr>
          <w:divId w:val="72549534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4802E0" w14:textId="77777777" w:rsidR="00E3349B" w:rsidRDefault="00E3349B">
            <w:pPr>
              <w:jc w:val="left"/>
            </w:pPr>
            <w:bookmarkStart w:id="39" w:name="OLE_LINK1"/>
            <w:r>
              <w:rPr>
                <w:rFonts w:ascii="宋体" w:hAnsi="宋体" w:hint="eastAsia"/>
              </w:rPr>
              <w:t>基金运作方式</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3A30A77" w14:textId="77777777" w:rsidR="00E3349B" w:rsidRDefault="00E3349B">
            <w:pPr>
              <w:jc w:val="left"/>
            </w:pPr>
            <w:r>
              <w:rPr>
                <w:rFonts w:ascii="宋体" w:hAnsi="宋体" w:hint="eastAsia"/>
                <w:lang w:eastAsia="zh-Hans"/>
              </w:rPr>
              <w:t>契约型开放式</w:t>
            </w:r>
          </w:p>
        </w:tc>
      </w:tr>
      <w:tr w:rsidR="00746C83" w14:paraId="18927ADF" w14:textId="77777777">
        <w:trPr>
          <w:divId w:val="72549534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3DB517" w14:textId="77777777" w:rsidR="00E3349B" w:rsidRDefault="00E3349B">
            <w:pPr>
              <w:jc w:val="left"/>
            </w:pPr>
            <w:r>
              <w:rPr>
                <w:rFonts w:ascii="宋体" w:hAnsi="宋体" w:hint="eastAsia"/>
              </w:rPr>
              <w:t>基金合同生效日</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591549" w14:textId="77777777" w:rsidR="00E3349B" w:rsidRDefault="00E3349B">
            <w:pPr>
              <w:jc w:val="left"/>
            </w:pPr>
            <w:r>
              <w:rPr>
                <w:rFonts w:ascii="宋体" w:hAnsi="宋体" w:hint="eastAsia"/>
                <w:lang w:eastAsia="zh-Hans"/>
              </w:rPr>
              <w:t>2024年11月11日</w:t>
            </w:r>
          </w:p>
        </w:tc>
      </w:tr>
      <w:tr w:rsidR="00746C83" w14:paraId="08FEE228" w14:textId="77777777">
        <w:trPr>
          <w:divId w:val="72549534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807F79" w14:textId="77777777" w:rsidR="00E3349B" w:rsidRDefault="00E3349B">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A72337" w14:textId="77777777" w:rsidR="00E3349B" w:rsidRDefault="00E3349B">
            <w:pPr>
              <w:jc w:val="left"/>
            </w:pPr>
            <w:r>
              <w:rPr>
                <w:rFonts w:ascii="宋体" w:hAnsi="宋体" w:hint="eastAsia"/>
                <w:lang w:eastAsia="zh-Hans"/>
              </w:rPr>
              <w:t>2,836,906,649.12</w:t>
            </w:r>
            <w:r>
              <w:rPr>
                <w:rFonts w:hint="eastAsia"/>
              </w:rPr>
              <w:t>份</w:t>
            </w:r>
            <w:r>
              <w:rPr>
                <w:rFonts w:ascii="宋体" w:hAnsi="宋体" w:hint="eastAsia"/>
                <w:lang w:eastAsia="zh-Hans"/>
              </w:rPr>
              <w:t xml:space="preserve"> </w:t>
            </w:r>
          </w:p>
        </w:tc>
      </w:tr>
      <w:tr w:rsidR="00746C83" w14:paraId="36BA2A04" w14:textId="77777777">
        <w:trPr>
          <w:divId w:val="72549534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36BE99" w14:textId="77777777" w:rsidR="00E3349B" w:rsidRDefault="00E3349B">
            <w:pPr>
              <w:jc w:val="left"/>
            </w:pPr>
            <w:r>
              <w:rPr>
                <w:rFonts w:ascii="宋体" w:hAnsi="宋体" w:hint="eastAsia"/>
              </w:rPr>
              <w:t>投资目标</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3AB18D" w14:textId="77777777" w:rsidR="00E3349B" w:rsidRDefault="00E3349B">
            <w:pPr>
              <w:jc w:val="left"/>
            </w:pPr>
            <w:r>
              <w:rPr>
                <w:rFonts w:ascii="宋体" w:hAnsi="宋体" w:hint="eastAsia"/>
                <w:lang w:eastAsia="zh-Hans"/>
              </w:rPr>
              <w:t>通过对目标ETF的投资，追求跟踪标的指数，获得与指数收益相似的回报。</w:t>
            </w:r>
          </w:p>
        </w:tc>
      </w:tr>
      <w:tr w:rsidR="00746C83" w14:paraId="6AC3829A" w14:textId="77777777">
        <w:trPr>
          <w:divId w:val="72549534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EAB359" w14:textId="77777777" w:rsidR="00E3349B" w:rsidRDefault="00E3349B">
            <w:pPr>
              <w:jc w:val="left"/>
            </w:pPr>
            <w:r>
              <w:rPr>
                <w:rFonts w:ascii="宋体" w:hAnsi="宋体" w:hint="eastAsia"/>
              </w:rPr>
              <w:t>投资策略</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EF1348" w14:textId="77777777" w:rsidR="00E3349B" w:rsidRDefault="00E3349B">
            <w:pPr>
              <w:jc w:val="left"/>
            </w:pPr>
            <w:r>
              <w:rPr>
                <w:rFonts w:ascii="宋体" w:hAnsi="宋体" w:hint="eastAsia"/>
                <w:lang w:eastAsia="zh-Hans"/>
              </w:rPr>
              <w:t>本基金为摩根中证A500交易型开放式指数证券投资基金的联接基金，通过将基金资产主要投资于目标ETF，以实现对标的指数的跟踪。本基金力争日均跟踪偏离度的绝对值不超过0.35%，年跟踪误差不超过4%。如因标的指数编制规则调整或其他因素导致跟踪误差超过上述范围，基金管理人应采取合理措施避免跟踪误差进一步扩大。</w:t>
            </w:r>
            <w:r>
              <w:rPr>
                <w:rFonts w:ascii="宋体" w:hAnsi="宋体" w:hint="eastAsia"/>
                <w:lang w:eastAsia="zh-Hans"/>
              </w:rPr>
              <w:br/>
              <w:t>基金也可以通过买入标的指数成份股来跟踪标的指数。为了提高投资效率，基金还可以根据风险管理原则，少量投资于股指期货、股票期权和其他经中国证监会允许的衍生工具等。</w:t>
            </w:r>
            <w:r>
              <w:rPr>
                <w:rFonts w:ascii="宋体" w:hAnsi="宋体" w:hint="eastAsia"/>
                <w:lang w:eastAsia="zh-Hans"/>
              </w:rPr>
              <w:br/>
              <w:t>1、目标ETF投资策略</w:t>
            </w:r>
            <w:r>
              <w:rPr>
                <w:rFonts w:ascii="宋体" w:hAnsi="宋体" w:hint="eastAsia"/>
                <w:lang w:eastAsia="zh-Hans"/>
              </w:rPr>
              <w:br/>
              <w:t>为了实现追踪误差最小化，本基金投资于目标ETF的资产不低于基金资产净值的90%。本基金主要通过申购、赎回或二级市场买卖的方式投资于目标ETF。当目标ETF申购、赎回或交易模式进行了变更或调整，本基金也将作相应的变更或调整，无需召开基金份额持有人大会。本基金在综合考虑合</w:t>
            </w:r>
            <w:r>
              <w:rPr>
                <w:rFonts w:ascii="宋体" w:hAnsi="宋体" w:hint="eastAsia"/>
                <w:lang w:eastAsia="zh-Hans"/>
              </w:rPr>
              <w:lastRenderedPageBreak/>
              <w:t>规、风险、效率、成本等因素的基础上，决定采用申赎的方式或二级市场交易的方式进行目标ETF的买卖。本基金还可适度参与目标ETF基金份额交易和申购、赎回之间的套利，以增强基金收益。</w:t>
            </w:r>
            <w:r>
              <w:rPr>
                <w:rFonts w:ascii="宋体" w:hAnsi="宋体" w:hint="eastAsia"/>
                <w:lang w:eastAsia="zh-Hans"/>
              </w:rPr>
              <w:br/>
              <w:t>2、其他投资策略包括股票投资策略、金融衍生品投资策略、债券投资策略、融资及转融通证券出借策略、存托凭证投资策略</w:t>
            </w:r>
          </w:p>
        </w:tc>
      </w:tr>
      <w:tr w:rsidR="00746C83" w14:paraId="436013DF" w14:textId="77777777">
        <w:trPr>
          <w:divId w:val="72549534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97638CA" w14:textId="77777777" w:rsidR="00E3349B" w:rsidRDefault="00E3349B">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6D9E55" w14:textId="77777777" w:rsidR="00E3349B" w:rsidRDefault="00E3349B">
            <w:pPr>
              <w:jc w:val="left"/>
            </w:pPr>
            <w:r>
              <w:rPr>
                <w:rFonts w:ascii="宋体" w:hAnsi="宋体" w:hint="eastAsia"/>
                <w:lang w:eastAsia="zh-Hans"/>
              </w:rPr>
              <w:t>中证A500指数收益率×95%+银行活期存款利率（税后）×5%</w:t>
            </w:r>
          </w:p>
        </w:tc>
      </w:tr>
      <w:tr w:rsidR="00746C83" w14:paraId="0B41B9DA" w14:textId="77777777">
        <w:trPr>
          <w:divId w:val="72549534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E7288E" w14:textId="77777777" w:rsidR="00E3349B" w:rsidRDefault="00E3349B">
            <w:pPr>
              <w:jc w:val="left"/>
            </w:pPr>
            <w:r>
              <w:rPr>
                <w:rFonts w:ascii="宋体" w:hAnsi="宋体" w:hint="eastAsia"/>
              </w:rPr>
              <w:t>风险收益特征</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A0BA18E" w14:textId="77777777" w:rsidR="00E3349B" w:rsidRDefault="00E3349B">
            <w:pPr>
              <w:jc w:val="left"/>
            </w:pPr>
            <w:r>
              <w:rPr>
                <w:rFonts w:ascii="宋体" w:hAnsi="宋体" w:hint="eastAsia"/>
                <w:lang w:eastAsia="zh-Hans"/>
              </w:rPr>
              <w:t>本基金为ETF联接基金，具有与目标ETF相似的风险收益特征。目标ETF为股票型指数基金，因此本基金的预期风险和预期收益高于货币市场基金、债券型基金和混合型基金，且具有与标的指数以及标的指数所代表的股票市场相似的风险收益特征。</w:t>
            </w:r>
          </w:p>
        </w:tc>
      </w:tr>
      <w:tr w:rsidR="00746C83" w14:paraId="392C2604" w14:textId="77777777">
        <w:trPr>
          <w:divId w:val="72549534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3839DEF" w14:textId="77777777" w:rsidR="00E3349B" w:rsidRDefault="00E3349B">
            <w:pPr>
              <w:jc w:val="left"/>
            </w:pPr>
            <w:r>
              <w:rPr>
                <w:rFonts w:ascii="宋体" w:hAnsi="宋体" w:hint="eastAsia"/>
              </w:rPr>
              <w:t>基金管理人</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4ECD71" w14:textId="77777777" w:rsidR="00E3349B" w:rsidRDefault="00E3349B">
            <w:pPr>
              <w:jc w:val="left"/>
            </w:pPr>
            <w:r>
              <w:rPr>
                <w:rFonts w:ascii="宋体" w:hAnsi="宋体" w:hint="eastAsia"/>
                <w:lang w:eastAsia="zh-Hans"/>
              </w:rPr>
              <w:t>摩根基金管理（中国）有限公司</w:t>
            </w:r>
          </w:p>
        </w:tc>
      </w:tr>
      <w:tr w:rsidR="00746C83" w14:paraId="3B8C19B3" w14:textId="77777777">
        <w:trPr>
          <w:divId w:val="72549534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DBB499B" w14:textId="77777777" w:rsidR="00E3349B" w:rsidRDefault="00E3349B">
            <w:pPr>
              <w:jc w:val="left"/>
            </w:pPr>
            <w:r>
              <w:rPr>
                <w:rFonts w:ascii="宋体" w:hAnsi="宋体" w:hint="eastAsia"/>
              </w:rPr>
              <w:t>基金托管人</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03BD90" w14:textId="77777777" w:rsidR="00E3349B" w:rsidRDefault="00E3349B">
            <w:pPr>
              <w:jc w:val="left"/>
            </w:pPr>
            <w:r>
              <w:rPr>
                <w:rFonts w:ascii="宋体" w:hAnsi="宋体" w:hint="eastAsia"/>
                <w:lang w:eastAsia="zh-Hans"/>
              </w:rPr>
              <w:t>平安银行股份有限公司</w:t>
            </w:r>
          </w:p>
        </w:tc>
      </w:tr>
      <w:tr w:rsidR="00746C83" w14:paraId="4355804E" w14:textId="77777777">
        <w:trPr>
          <w:divId w:val="72549534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C2C072" w14:textId="77777777" w:rsidR="00E3349B" w:rsidRDefault="00E3349B">
            <w:pPr>
              <w:jc w:val="left"/>
            </w:pPr>
            <w:bookmarkStart w:id="40" w:name="m02_01" w:colFirst="1" w:colLast="4"/>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25D95C7" w14:textId="77777777" w:rsidR="00E3349B" w:rsidRDefault="00E3349B">
            <w:pPr>
              <w:jc w:val="center"/>
            </w:pPr>
            <w:r>
              <w:rPr>
                <w:rFonts w:ascii="宋体" w:hAnsi="宋体" w:hint="eastAsia"/>
                <w:lang w:eastAsia="zh-Hans"/>
              </w:rPr>
              <w:t>摩根中证A500ETF联接A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7CE41" w14:textId="77777777" w:rsidR="00E3349B" w:rsidRDefault="00E3349B">
            <w:pPr>
              <w:jc w:val="center"/>
            </w:pPr>
            <w:r>
              <w:rPr>
                <w:rFonts w:ascii="宋体" w:hAnsi="宋体" w:hint="eastAsia"/>
                <w:lang w:eastAsia="zh-Hans"/>
              </w:rPr>
              <w:t>摩根中证A500ETF联接C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08116" w14:textId="77777777" w:rsidR="00E3349B" w:rsidRDefault="00E3349B">
            <w:pPr>
              <w:jc w:val="center"/>
            </w:pPr>
            <w:r>
              <w:rPr>
                <w:rFonts w:ascii="宋体" w:hAnsi="宋体" w:hint="eastAsia"/>
                <w:lang w:eastAsia="zh-Hans"/>
              </w:rPr>
              <w:t>摩根中证A500ETF联接I</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024EAEE" w14:textId="77777777" w:rsidR="00E3349B" w:rsidRDefault="00E3349B">
            <w:pPr>
              <w:jc w:val="center"/>
            </w:pPr>
            <w:r>
              <w:rPr>
                <w:rFonts w:ascii="宋体" w:hAnsi="宋体" w:hint="eastAsia"/>
                <w:lang w:eastAsia="zh-Hans"/>
              </w:rPr>
              <w:t>摩根中证A500ETF联接Y</w:t>
            </w:r>
            <w:r>
              <w:rPr>
                <w:rFonts w:ascii="宋体" w:hAnsi="宋体" w:hint="eastAsia"/>
                <w:kern w:val="0"/>
                <w:sz w:val="20"/>
                <w:lang w:eastAsia="zh-Hans"/>
              </w:rPr>
              <w:t xml:space="preserve"> </w:t>
            </w:r>
          </w:p>
        </w:tc>
      </w:tr>
      <w:tr w:rsidR="00746C83" w14:paraId="67D0A968" w14:textId="77777777">
        <w:trPr>
          <w:divId w:val="72549534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2813FE" w14:textId="77777777" w:rsidR="00E3349B" w:rsidRDefault="00E3349B">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693C115" w14:textId="77777777" w:rsidR="00E3349B" w:rsidRDefault="00E3349B">
            <w:pPr>
              <w:jc w:val="center"/>
            </w:pPr>
            <w:r>
              <w:rPr>
                <w:rFonts w:ascii="宋体" w:hAnsi="宋体" w:hint="eastAsia"/>
                <w:lang w:eastAsia="zh-Hans"/>
              </w:rPr>
              <w:t>022436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2F2E2" w14:textId="77777777" w:rsidR="00E3349B" w:rsidRDefault="00E3349B">
            <w:pPr>
              <w:jc w:val="center"/>
            </w:pPr>
            <w:r>
              <w:rPr>
                <w:rFonts w:ascii="宋体" w:hAnsi="宋体" w:hint="eastAsia"/>
                <w:lang w:eastAsia="zh-Hans"/>
              </w:rPr>
              <w:t>022437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0CA10B" w14:textId="77777777" w:rsidR="00E3349B" w:rsidRDefault="00E3349B">
            <w:pPr>
              <w:jc w:val="center"/>
            </w:pPr>
            <w:r>
              <w:rPr>
                <w:rFonts w:ascii="宋体" w:hAnsi="宋体" w:hint="eastAsia"/>
                <w:lang w:eastAsia="zh-Hans"/>
              </w:rPr>
              <w:t>022759</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8AEDC6" w14:textId="77777777" w:rsidR="00E3349B" w:rsidRDefault="00E3349B">
            <w:pPr>
              <w:jc w:val="center"/>
            </w:pPr>
            <w:r>
              <w:rPr>
                <w:rFonts w:ascii="宋体" w:hAnsi="宋体" w:hint="eastAsia"/>
                <w:lang w:eastAsia="zh-Hans"/>
              </w:rPr>
              <w:t>022911</w:t>
            </w:r>
            <w:r>
              <w:rPr>
                <w:rFonts w:ascii="宋体" w:hAnsi="宋体" w:hint="eastAsia"/>
                <w:kern w:val="0"/>
                <w:sz w:val="20"/>
                <w:lang w:eastAsia="zh-Hans"/>
              </w:rPr>
              <w:t xml:space="preserve"> </w:t>
            </w:r>
          </w:p>
        </w:tc>
      </w:tr>
      <w:bookmarkEnd w:id="40"/>
      <w:tr w:rsidR="00746C83" w14:paraId="0E0E2F6C" w14:textId="77777777">
        <w:trPr>
          <w:divId w:val="72549534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FFEAE0" w14:textId="77777777" w:rsidR="00E3349B" w:rsidRDefault="00E3349B">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E26306" w14:textId="77777777" w:rsidR="00E3349B" w:rsidRDefault="00E3349B">
            <w:pPr>
              <w:jc w:val="center"/>
            </w:pPr>
            <w:r>
              <w:rPr>
                <w:rFonts w:ascii="宋体" w:hAnsi="宋体" w:hint="eastAsia"/>
                <w:lang w:eastAsia="zh-Hans"/>
              </w:rPr>
              <w:t>746,183,329.69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FDBA3E" w14:textId="77777777" w:rsidR="00E3349B" w:rsidRDefault="00E3349B">
            <w:pPr>
              <w:jc w:val="center"/>
            </w:pPr>
            <w:r>
              <w:rPr>
                <w:rFonts w:ascii="宋体" w:hAnsi="宋体" w:hint="eastAsia"/>
                <w:lang w:eastAsia="zh-Hans"/>
              </w:rPr>
              <w:t>2,084,760,619.27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DEA6EE" w14:textId="77777777" w:rsidR="00E3349B" w:rsidRDefault="00E3349B">
            <w:pPr>
              <w:jc w:val="center"/>
            </w:pPr>
            <w:r>
              <w:rPr>
                <w:rFonts w:ascii="宋体" w:hAnsi="宋体" w:hint="eastAsia"/>
                <w:lang w:eastAsia="zh-Hans"/>
              </w:rPr>
              <w:t>2,063,456.24</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B6BA19" w14:textId="77777777" w:rsidR="00E3349B" w:rsidRDefault="00E3349B">
            <w:pPr>
              <w:jc w:val="center"/>
            </w:pPr>
            <w:r>
              <w:rPr>
                <w:rFonts w:ascii="宋体" w:hAnsi="宋体" w:hint="eastAsia"/>
                <w:lang w:eastAsia="zh-Hans"/>
              </w:rPr>
              <w:t>3,899,243.92</w:t>
            </w:r>
            <w:r>
              <w:rPr>
                <w:rFonts w:hint="eastAsia"/>
              </w:rPr>
              <w:t>份</w:t>
            </w:r>
            <w:r>
              <w:rPr>
                <w:rFonts w:ascii="宋体" w:hAnsi="宋体" w:hint="eastAsia"/>
                <w:lang w:eastAsia="zh-Hans"/>
              </w:rPr>
              <w:t xml:space="preserve"> </w:t>
            </w:r>
          </w:p>
        </w:tc>
      </w:tr>
    </w:tbl>
    <w:p w14:paraId="513DE9A5" w14:textId="77777777" w:rsidR="00E3349B" w:rsidRDefault="00E3349B">
      <w:pPr>
        <w:pStyle w:val="XBRLTitle3"/>
        <w:numPr>
          <w:ilvl w:val="2"/>
          <w:numId w:val="2"/>
        </w:numPr>
        <w:spacing w:before="156"/>
        <w:ind w:left="0" w:firstLine="0"/>
      </w:pPr>
      <w:bookmarkStart w:id="41" w:name="_Toc17881666"/>
      <w:bookmarkStart w:id="42" w:name="_Toc492299863"/>
      <w:bookmarkStart w:id="43" w:name="_Toc466644447"/>
      <w:bookmarkStart w:id="44" w:name="_Toc475438078"/>
      <w:r>
        <w:rPr>
          <w:rFonts w:hAnsi="宋体" w:hint="eastAsia"/>
          <w:szCs w:val="24"/>
        </w:rPr>
        <w:t>目标基金基本情况</w:t>
      </w:r>
      <w:bookmarkEnd w:id="41"/>
      <w:bookmarkEnd w:id="42"/>
      <w:bookmarkEnd w:id="43"/>
      <w:bookmarkEnd w:id="44"/>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963"/>
        <w:gridCol w:w="5872"/>
      </w:tblGrid>
      <w:tr w:rsidR="00746C83" w14:paraId="4E5CC782" w14:textId="77777777">
        <w:trPr>
          <w:divId w:val="297878596"/>
          <w:trHeight w:val="64"/>
        </w:trPr>
        <w:tc>
          <w:tcPr>
            <w:tcW w:w="1677" w:type="pct"/>
            <w:tcBorders>
              <w:top w:val="single" w:sz="4" w:space="0" w:color="000000"/>
              <w:left w:val="single" w:sz="4" w:space="0" w:color="000000"/>
              <w:bottom w:val="single" w:sz="4" w:space="0" w:color="000000"/>
              <w:right w:val="single" w:sz="4" w:space="0" w:color="000000"/>
            </w:tcBorders>
            <w:hideMark/>
          </w:tcPr>
          <w:p w14:paraId="4F394D9C" w14:textId="77777777" w:rsidR="00E3349B" w:rsidRDefault="00E3349B">
            <w:pPr>
              <w:widowControl/>
              <w:spacing w:line="315" w:lineRule="atLeast"/>
              <w:jc w:val="left"/>
            </w:pPr>
            <w:r>
              <w:rPr>
                <w:rFonts w:asciiTheme="minorEastAsia" w:eastAsiaTheme="minorEastAsia" w:hAnsiTheme="minorEastAsia" w:hint="eastAsia"/>
              </w:rPr>
              <w:t xml:space="preserve">基金名称 </w:t>
            </w:r>
          </w:p>
        </w:tc>
        <w:tc>
          <w:tcPr>
            <w:tcW w:w="3823" w:type="pct"/>
            <w:tcBorders>
              <w:top w:val="single" w:sz="4" w:space="0" w:color="000000"/>
              <w:left w:val="nil"/>
              <w:bottom w:val="single" w:sz="4" w:space="0" w:color="000000"/>
              <w:right w:val="single" w:sz="4" w:space="0" w:color="000000"/>
            </w:tcBorders>
            <w:hideMark/>
          </w:tcPr>
          <w:p w14:paraId="64633E60" w14:textId="77777777" w:rsidR="00E3349B" w:rsidRDefault="00E3349B">
            <w:pPr>
              <w:widowControl/>
              <w:spacing w:line="315" w:lineRule="atLeast"/>
              <w:jc w:val="left"/>
            </w:pPr>
            <w:r>
              <w:rPr>
                <w:rFonts w:asciiTheme="minorEastAsia" w:eastAsiaTheme="minorEastAsia" w:hAnsiTheme="minorEastAsia" w:hint="eastAsia"/>
              </w:rPr>
              <w:t>摩根中证A500交易型开放式指数证券投资基金</w:t>
            </w:r>
          </w:p>
        </w:tc>
      </w:tr>
      <w:tr w:rsidR="00746C83" w14:paraId="3A050E27" w14:textId="77777777">
        <w:trPr>
          <w:divId w:val="297878596"/>
        </w:trPr>
        <w:tc>
          <w:tcPr>
            <w:tcW w:w="1677" w:type="pct"/>
            <w:tcBorders>
              <w:top w:val="nil"/>
              <w:left w:val="single" w:sz="4" w:space="0" w:color="000000"/>
              <w:bottom w:val="single" w:sz="4" w:space="0" w:color="000000"/>
              <w:right w:val="single" w:sz="4" w:space="0" w:color="000000"/>
            </w:tcBorders>
            <w:hideMark/>
          </w:tcPr>
          <w:p w14:paraId="585EAFE0" w14:textId="77777777" w:rsidR="00E3349B" w:rsidRDefault="00E3349B">
            <w:pPr>
              <w:widowControl/>
              <w:spacing w:line="315" w:lineRule="atLeast"/>
              <w:jc w:val="left"/>
            </w:pPr>
            <w:r>
              <w:rPr>
                <w:rFonts w:asciiTheme="minorEastAsia" w:eastAsiaTheme="minorEastAsia" w:hAnsiTheme="minorEastAsia" w:hint="eastAsia"/>
              </w:rPr>
              <w:t xml:space="preserve">基金主代码 </w:t>
            </w:r>
          </w:p>
        </w:tc>
        <w:tc>
          <w:tcPr>
            <w:tcW w:w="3323" w:type="pct"/>
            <w:tcBorders>
              <w:top w:val="nil"/>
              <w:left w:val="nil"/>
              <w:bottom w:val="single" w:sz="4" w:space="0" w:color="000000"/>
              <w:right w:val="single" w:sz="4" w:space="0" w:color="000000"/>
            </w:tcBorders>
            <w:hideMark/>
          </w:tcPr>
          <w:p w14:paraId="438E028F" w14:textId="77777777" w:rsidR="00E3349B" w:rsidRDefault="00E3349B">
            <w:pPr>
              <w:widowControl/>
              <w:spacing w:line="315" w:lineRule="atLeast"/>
              <w:jc w:val="left"/>
            </w:pPr>
            <w:r>
              <w:rPr>
                <w:rFonts w:asciiTheme="minorEastAsia" w:eastAsiaTheme="minorEastAsia" w:hAnsiTheme="minorEastAsia" w:hint="eastAsia"/>
              </w:rPr>
              <w:t>560530</w:t>
            </w:r>
          </w:p>
        </w:tc>
      </w:tr>
      <w:tr w:rsidR="00746C83" w14:paraId="7359C626" w14:textId="77777777">
        <w:trPr>
          <w:divId w:val="297878596"/>
        </w:trPr>
        <w:tc>
          <w:tcPr>
            <w:tcW w:w="1677" w:type="pct"/>
            <w:tcBorders>
              <w:top w:val="nil"/>
              <w:left w:val="single" w:sz="4" w:space="0" w:color="000000"/>
              <w:bottom w:val="single" w:sz="4" w:space="0" w:color="000000"/>
              <w:right w:val="single" w:sz="4" w:space="0" w:color="000000"/>
            </w:tcBorders>
            <w:hideMark/>
          </w:tcPr>
          <w:p w14:paraId="6EFCBEB7" w14:textId="77777777" w:rsidR="00E3349B" w:rsidRDefault="00E3349B">
            <w:pPr>
              <w:widowControl/>
              <w:spacing w:line="315" w:lineRule="atLeast"/>
              <w:jc w:val="left"/>
            </w:pPr>
            <w:r>
              <w:rPr>
                <w:rFonts w:asciiTheme="minorEastAsia" w:eastAsiaTheme="minorEastAsia" w:hAnsiTheme="minorEastAsia" w:hint="eastAsia"/>
              </w:rPr>
              <w:t xml:space="preserve">基金运作方式 </w:t>
            </w:r>
          </w:p>
        </w:tc>
        <w:tc>
          <w:tcPr>
            <w:tcW w:w="3323" w:type="pct"/>
            <w:tcBorders>
              <w:top w:val="nil"/>
              <w:left w:val="nil"/>
              <w:bottom w:val="single" w:sz="4" w:space="0" w:color="000000"/>
              <w:right w:val="single" w:sz="4" w:space="0" w:color="000000"/>
            </w:tcBorders>
            <w:hideMark/>
          </w:tcPr>
          <w:p w14:paraId="712D566F" w14:textId="77777777" w:rsidR="00E3349B" w:rsidRDefault="00E3349B">
            <w:pPr>
              <w:widowControl/>
              <w:spacing w:line="315" w:lineRule="atLeast"/>
              <w:jc w:val="left"/>
            </w:pPr>
            <w:r>
              <w:rPr>
                <w:rFonts w:asciiTheme="minorEastAsia" w:eastAsiaTheme="minorEastAsia" w:hAnsiTheme="minorEastAsia" w:hint="eastAsia"/>
              </w:rPr>
              <w:t>交易型开放式</w:t>
            </w:r>
          </w:p>
        </w:tc>
      </w:tr>
      <w:tr w:rsidR="00746C83" w14:paraId="16F818A1" w14:textId="77777777">
        <w:trPr>
          <w:divId w:val="297878596"/>
        </w:trPr>
        <w:tc>
          <w:tcPr>
            <w:tcW w:w="1677" w:type="pct"/>
            <w:tcBorders>
              <w:top w:val="nil"/>
              <w:left w:val="single" w:sz="4" w:space="0" w:color="000000"/>
              <w:bottom w:val="single" w:sz="4" w:space="0" w:color="000000"/>
              <w:right w:val="single" w:sz="4" w:space="0" w:color="000000"/>
            </w:tcBorders>
            <w:hideMark/>
          </w:tcPr>
          <w:p w14:paraId="56139A50" w14:textId="77777777" w:rsidR="00E3349B" w:rsidRDefault="00E3349B">
            <w:pPr>
              <w:widowControl/>
              <w:spacing w:line="315" w:lineRule="atLeast"/>
              <w:jc w:val="left"/>
            </w:pPr>
            <w:r>
              <w:rPr>
                <w:rFonts w:asciiTheme="minorEastAsia" w:eastAsiaTheme="minorEastAsia" w:hAnsiTheme="minorEastAsia" w:hint="eastAsia"/>
              </w:rPr>
              <w:t xml:space="preserve">基金合同生效日 </w:t>
            </w:r>
          </w:p>
        </w:tc>
        <w:tc>
          <w:tcPr>
            <w:tcW w:w="3323" w:type="pct"/>
            <w:tcBorders>
              <w:top w:val="nil"/>
              <w:left w:val="nil"/>
              <w:bottom w:val="single" w:sz="4" w:space="0" w:color="000000"/>
              <w:right w:val="single" w:sz="4" w:space="0" w:color="000000"/>
            </w:tcBorders>
            <w:hideMark/>
          </w:tcPr>
          <w:p w14:paraId="4913C84D" w14:textId="77777777" w:rsidR="00E3349B" w:rsidRDefault="00E3349B">
            <w:pPr>
              <w:widowControl/>
              <w:spacing w:line="315" w:lineRule="atLeast"/>
              <w:jc w:val="left"/>
            </w:pPr>
            <w:r>
              <w:rPr>
                <w:rFonts w:asciiTheme="minorEastAsia" w:eastAsiaTheme="minorEastAsia" w:hAnsiTheme="minorEastAsia" w:hint="eastAsia"/>
              </w:rPr>
              <w:t>2024年9月24日</w:t>
            </w:r>
          </w:p>
        </w:tc>
      </w:tr>
      <w:tr w:rsidR="00746C83" w14:paraId="42A98956" w14:textId="77777777">
        <w:trPr>
          <w:divId w:val="297878596"/>
        </w:trPr>
        <w:tc>
          <w:tcPr>
            <w:tcW w:w="1677" w:type="pct"/>
            <w:tcBorders>
              <w:top w:val="nil"/>
              <w:left w:val="single" w:sz="4" w:space="0" w:color="000000"/>
              <w:bottom w:val="single" w:sz="4" w:space="0" w:color="000000"/>
              <w:right w:val="single" w:sz="4" w:space="0" w:color="000000"/>
            </w:tcBorders>
            <w:hideMark/>
          </w:tcPr>
          <w:p w14:paraId="46D5861F" w14:textId="77777777" w:rsidR="00E3349B" w:rsidRDefault="00E3349B">
            <w:pPr>
              <w:widowControl/>
              <w:spacing w:line="315" w:lineRule="atLeast"/>
              <w:jc w:val="left"/>
            </w:pPr>
            <w:r>
              <w:rPr>
                <w:rFonts w:asciiTheme="minorEastAsia" w:eastAsiaTheme="minorEastAsia" w:hAnsiTheme="minorEastAsia" w:hint="eastAsia"/>
              </w:rPr>
              <w:t xml:space="preserve">基金份额上市的证券交易所 </w:t>
            </w:r>
          </w:p>
        </w:tc>
        <w:tc>
          <w:tcPr>
            <w:tcW w:w="3323" w:type="pct"/>
            <w:tcBorders>
              <w:top w:val="nil"/>
              <w:left w:val="nil"/>
              <w:bottom w:val="single" w:sz="4" w:space="0" w:color="000000"/>
              <w:right w:val="single" w:sz="4" w:space="0" w:color="000000"/>
            </w:tcBorders>
            <w:hideMark/>
          </w:tcPr>
          <w:p w14:paraId="08871E7E" w14:textId="77777777" w:rsidR="00E3349B" w:rsidRDefault="00E3349B">
            <w:pPr>
              <w:widowControl/>
              <w:spacing w:line="315" w:lineRule="atLeast"/>
              <w:jc w:val="left"/>
            </w:pPr>
            <w:r>
              <w:rPr>
                <w:rFonts w:asciiTheme="minorEastAsia" w:eastAsiaTheme="minorEastAsia" w:hAnsiTheme="minorEastAsia" w:hint="eastAsia"/>
              </w:rPr>
              <w:t>上海证券交易所</w:t>
            </w:r>
          </w:p>
        </w:tc>
      </w:tr>
      <w:tr w:rsidR="00746C83" w14:paraId="0D918A0C" w14:textId="77777777">
        <w:trPr>
          <w:divId w:val="297878596"/>
        </w:trPr>
        <w:tc>
          <w:tcPr>
            <w:tcW w:w="1677" w:type="pct"/>
            <w:tcBorders>
              <w:top w:val="nil"/>
              <w:left w:val="single" w:sz="4" w:space="0" w:color="000000"/>
              <w:bottom w:val="single" w:sz="4" w:space="0" w:color="000000"/>
              <w:right w:val="single" w:sz="4" w:space="0" w:color="000000"/>
            </w:tcBorders>
            <w:hideMark/>
          </w:tcPr>
          <w:p w14:paraId="7D067F9B" w14:textId="77777777" w:rsidR="00E3349B" w:rsidRDefault="00E3349B">
            <w:pPr>
              <w:widowControl/>
              <w:spacing w:line="315" w:lineRule="atLeast"/>
              <w:jc w:val="left"/>
            </w:pPr>
            <w:r>
              <w:rPr>
                <w:rFonts w:asciiTheme="minorEastAsia" w:eastAsiaTheme="minorEastAsia" w:hAnsiTheme="minorEastAsia" w:hint="eastAsia"/>
              </w:rPr>
              <w:t xml:space="preserve">上市日期 </w:t>
            </w:r>
          </w:p>
        </w:tc>
        <w:tc>
          <w:tcPr>
            <w:tcW w:w="3323" w:type="pct"/>
            <w:tcBorders>
              <w:top w:val="nil"/>
              <w:left w:val="nil"/>
              <w:bottom w:val="single" w:sz="4" w:space="0" w:color="000000"/>
              <w:right w:val="single" w:sz="4" w:space="0" w:color="000000"/>
            </w:tcBorders>
            <w:hideMark/>
          </w:tcPr>
          <w:p w14:paraId="7D5A5591" w14:textId="77777777" w:rsidR="00E3349B" w:rsidRDefault="00E3349B">
            <w:pPr>
              <w:widowControl/>
              <w:spacing w:line="315" w:lineRule="atLeast"/>
              <w:jc w:val="left"/>
            </w:pPr>
            <w:r>
              <w:rPr>
                <w:rFonts w:asciiTheme="minorEastAsia" w:eastAsiaTheme="minorEastAsia" w:hAnsiTheme="minorEastAsia" w:hint="eastAsia"/>
              </w:rPr>
              <w:t>2024年10月15日</w:t>
            </w:r>
          </w:p>
        </w:tc>
      </w:tr>
      <w:tr w:rsidR="00746C83" w14:paraId="3F93E8A1" w14:textId="77777777">
        <w:trPr>
          <w:divId w:val="297878596"/>
        </w:trPr>
        <w:tc>
          <w:tcPr>
            <w:tcW w:w="1677" w:type="pct"/>
            <w:tcBorders>
              <w:top w:val="nil"/>
              <w:left w:val="single" w:sz="4" w:space="0" w:color="000000"/>
              <w:bottom w:val="single" w:sz="4" w:space="0" w:color="000000"/>
              <w:right w:val="single" w:sz="4" w:space="0" w:color="000000"/>
            </w:tcBorders>
            <w:hideMark/>
          </w:tcPr>
          <w:p w14:paraId="2369B744" w14:textId="77777777" w:rsidR="00E3349B" w:rsidRDefault="00E3349B">
            <w:pPr>
              <w:widowControl/>
              <w:spacing w:line="315" w:lineRule="atLeast"/>
              <w:jc w:val="left"/>
            </w:pPr>
            <w:r>
              <w:rPr>
                <w:rFonts w:asciiTheme="minorEastAsia" w:eastAsiaTheme="minorEastAsia" w:hAnsiTheme="minorEastAsia" w:hint="eastAsia"/>
              </w:rPr>
              <w:t xml:space="preserve">基金管理人名称 </w:t>
            </w:r>
          </w:p>
        </w:tc>
        <w:tc>
          <w:tcPr>
            <w:tcW w:w="3323" w:type="pct"/>
            <w:tcBorders>
              <w:top w:val="nil"/>
              <w:left w:val="nil"/>
              <w:bottom w:val="single" w:sz="4" w:space="0" w:color="000000"/>
              <w:right w:val="single" w:sz="4" w:space="0" w:color="000000"/>
            </w:tcBorders>
            <w:hideMark/>
          </w:tcPr>
          <w:p w14:paraId="29A87B6E" w14:textId="77777777" w:rsidR="00E3349B" w:rsidRDefault="00E3349B">
            <w:pPr>
              <w:widowControl/>
              <w:spacing w:line="315" w:lineRule="atLeast"/>
              <w:jc w:val="left"/>
            </w:pPr>
            <w:r>
              <w:rPr>
                <w:rFonts w:asciiTheme="minorEastAsia" w:eastAsiaTheme="minorEastAsia" w:hAnsiTheme="minorEastAsia" w:hint="eastAsia"/>
              </w:rPr>
              <w:t>摩根基金管理（中国）有限公司</w:t>
            </w:r>
          </w:p>
        </w:tc>
      </w:tr>
      <w:tr w:rsidR="00746C83" w14:paraId="70B2AF5C" w14:textId="77777777">
        <w:trPr>
          <w:divId w:val="297878596"/>
        </w:trPr>
        <w:tc>
          <w:tcPr>
            <w:tcW w:w="1677" w:type="pct"/>
            <w:tcBorders>
              <w:top w:val="nil"/>
              <w:left w:val="single" w:sz="4" w:space="0" w:color="000000"/>
              <w:bottom w:val="single" w:sz="4" w:space="0" w:color="000000"/>
              <w:right w:val="single" w:sz="4" w:space="0" w:color="000000"/>
            </w:tcBorders>
            <w:hideMark/>
          </w:tcPr>
          <w:p w14:paraId="28502EC6" w14:textId="77777777" w:rsidR="00E3349B" w:rsidRDefault="00E3349B">
            <w:pPr>
              <w:widowControl/>
              <w:spacing w:line="315" w:lineRule="atLeast"/>
              <w:jc w:val="left"/>
            </w:pPr>
            <w:r>
              <w:rPr>
                <w:rFonts w:asciiTheme="minorEastAsia" w:eastAsiaTheme="minorEastAsia" w:hAnsiTheme="minorEastAsia" w:hint="eastAsia"/>
              </w:rPr>
              <w:t xml:space="preserve">基金托管人名称 </w:t>
            </w:r>
          </w:p>
        </w:tc>
        <w:tc>
          <w:tcPr>
            <w:tcW w:w="3323" w:type="pct"/>
            <w:tcBorders>
              <w:top w:val="nil"/>
              <w:left w:val="nil"/>
              <w:bottom w:val="single" w:sz="4" w:space="0" w:color="000000"/>
              <w:right w:val="single" w:sz="4" w:space="0" w:color="000000"/>
            </w:tcBorders>
            <w:hideMark/>
          </w:tcPr>
          <w:p w14:paraId="271F23F2" w14:textId="77777777" w:rsidR="00E3349B" w:rsidRDefault="00E3349B">
            <w:pPr>
              <w:widowControl/>
              <w:spacing w:line="315" w:lineRule="atLeast"/>
              <w:jc w:val="left"/>
            </w:pPr>
            <w:r>
              <w:rPr>
                <w:rFonts w:asciiTheme="minorEastAsia" w:eastAsiaTheme="minorEastAsia" w:hAnsiTheme="minorEastAsia" w:hint="eastAsia"/>
              </w:rPr>
              <w:t>平安银行股份有限公司</w:t>
            </w:r>
          </w:p>
        </w:tc>
      </w:tr>
    </w:tbl>
    <w:p w14:paraId="11FE6252" w14:textId="77777777" w:rsidR="00E3349B" w:rsidRDefault="00E3349B">
      <w:pPr>
        <w:pStyle w:val="XBRLTitle3"/>
        <w:numPr>
          <w:ilvl w:val="2"/>
          <w:numId w:val="2"/>
        </w:numPr>
        <w:spacing w:before="156"/>
        <w:ind w:left="0" w:firstLine="0"/>
      </w:pPr>
      <w:bookmarkStart w:id="45" w:name="_Toc17881667"/>
      <w:bookmarkStart w:id="46" w:name="_Toc492299864"/>
      <w:bookmarkStart w:id="47" w:name="_Toc466644448"/>
      <w:bookmarkStart w:id="48" w:name="_Toc475438079"/>
      <w:r>
        <w:rPr>
          <w:rFonts w:hAnsi="宋体" w:hint="eastAsia"/>
          <w:szCs w:val="24"/>
        </w:rPr>
        <w:t>目标基金</w:t>
      </w:r>
      <w:r>
        <w:rPr>
          <w:rFonts w:hint="eastAsia"/>
          <w:lang w:eastAsia="zh-CN"/>
        </w:rPr>
        <w:t>产品说明</w:t>
      </w:r>
      <w:bookmarkEnd w:id="45"/>
      <w:bookmarkEnd w:id="46"/>
      <w:bookmarkEnd w:id="47"/>
      <w:bookmarkEnd w:id="48"/>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286"/>
        <w:gridCol w:w="6549"/>
      </w:tblGrid>
      <w:tr w:rsidR="00746C83" w14:paraId="29504407" w14:textId="77777777">
        <w:trPr>
          <w:divId w:val="1166826129"/>
          <w:trHeight w:val="64"/>
        </w:trPr>
        <w:tc>
          <w:tcPr>
            <w:tcW w:w="1294" w:type="pct"/>
            <w:tcBorders>
              <w:top w:val="single" w:sz="4" w:space="0" w:color="000000"/>
              <w:left w:val="single" w:sz="4" w:space="0" w:color="000000"/>
              <w:bottom w:val="single" w:sz="4" w:space="0" w:color="000000"/>
              <w:right w:val="single" w:sz="4" w:space="0" w:color="000000"/>
            </w:tcBorders>
            <w:hideMark/>
          </w:tcPr>
          <w:p w14:paraId="670EAE0A" w14:textId="77777777" w:rsidR="00E3349B" w:rsidRDefault="00E3349B">
            <w:pPr>
              <w:widowControl/>
              <w:spacing w:line="315" w:lineRule="atLeast"/>
              <w:jc w:val="left"/>
            </w:pPr>
            <w:r>
              <w:rPr>
                <w:rFonts w:asciiTheme="minorEastAsia" w:eastAsiaTheme="minorEastAsia" w:hAnsiTheme="minorEastAsia" w:hint="eastAsia"/>
              </w:rPr>
              <w:t xml:space="preserve">投资目标 </w:t>
            </w:r>
          </w:p>
        </w:tc>
        <w:tc>
          <w:tcPr>
            <w:tcW w:w="3706" w:type="pct"/>
            <w:tcBorders>
              <w:top w:val="single" w:sz="4" w:space="0" w:color="000000"/>
              <w:left w:val="nil"/>
              <w:bottom w:val="single" w:sz="4" w:space="0" w:color="000000"/>
              <w:right w:val="single" w:sz="4" w:space="0" w:color="000000"/>
            </w:tcBorders>
            <w:hideMark/>
          </w:tcPr>
          <w:p w14:paraId="3937B610" w14:textId="77777777" w:rsidR="00E3349B" w:rsidRDefault="00E3349B">
            <w:pPr>
              <w:widowControl/>
              <w:spacing w:line="315" w:lineRule="atLeast"/>
              <w:jc w:val="left"/>
            </w:pPr>
            <w:r>
              <w:rPr>
                <w:rFonts w:asciiTheme="minorEastAsia" w:eastAsiaTheme="minorEastAsia" w:hAnsiTheme="minorEastAsia" w:hint="eastAsia"/>
              </w:rPr>
              <w:t>本基金进行被动指数化投资，紧密跟踪标的指数，追求跟踪偏离度和跟踪误差最小化。</w:t>
            </w:r>
          </w:p>
        </w:tc>
      </w:tr>
      <w:tr w:rsidR="00746C83" w14:paraId="0A9B6285" w14:textId="77777777">
        <w:trPr>
          <w:divId w:val="1166826129"/>
        </w:trPr>
        <w:tc>
          <w:tcPr>
            <w:tcW w:w="1294" w:type="pct"/>
            <w:tcBorders>
              <w:top w:val="nil"/>
              <w:left w:val="single" w:sz="4" w:space="0" w:color="000000"/>
              <w:bottom w:val="single" w:sz="4" w:space="0" w:color="000000"/>
              <w:right w:val="single" w:sz="4" w:space="0" w:color="000000"/>
            </w:tcBorders>
            <w:hideMark/>
          </w:tcPr>
          <w:p w14:paraId="074E8D93" w14:textId="77777777" w:rsidR="00E3349B" w:rsidRDefault="00E3349B">
            <w:pPr>
              <w:widowControl/>
              <w:spacing w:line="315" w:lineRule="atLeast"/>
              <w:jc w:val="left"/>
            </w:pPr>
            <w:r>
              <w:rPr>
                <w:rFonts w:asciiTheme="minorEastAsia" w:eastAsiaTheme="minorEastAsia" w:hAnsiTheme="minorEastAsia" w:hint="eastAsia"/>
              </w:rPr>
              <w:t xml:space="preserve">投资策略 </w:t>
            </w:r>
          </w:p>
        </w:tc>
        <w:tc>
          <w:tcPr>
            <w:tcW w:w="3706" w:type="pct"/>
            <w:tcBorders>
              <w:top w:val="nil"/>
              <w:left w:val="nil"/>
              <w:bottom w:val="single" w:sz="4" w:space="0" w:color="000000"/>
              <w:right w:val="single" w:sz="4" w:space="0" w:color="000000"/>
            </w:tcBorders>
            <w:hideMark/>
          </w:tcPr>
          <w:p w14:paraId="6B99E963" w14:textId="77777777" w:rsidR="00E3349B" w:rsidRDefault="00E3349B">
            <w:pPr>
              <w:widowControl/>
              <w:spacing w:line="315" w:lineRule="atLeast"/>
              <w:jc w:val="left"/>
            </w:pPr>
            <w:r>
              <w:rPr>
                <w:rFonts w:asciiTheme="minorEastAsia" w:eastAsiaTheme="minorEastAsia" w:hAnsiTheme="minorEastAsia" w:hint="eastAsia"/>
              </w:rPr>
              <w:t>本基金主要采用复制策略、替代策略及其他适当的策略以更好地跟踪标的指数，实现基金投资目标。本基金力争日均跟踪偏离度的绝对值不超过0.2%，年跟踪误差不超过2%。</w:t>
            </w:r>
            <w:r>
              <w:rPr>
                <w:rFonts w:asciiTheme="minorEastAsia" w:eastAsiaTheme="minorEastAsia" w:hAnsiTheme="minorEastAsia" w:hint="eastAsia"/>
              </w:rPr>
              <w:br/>
              <w:t>1、复制策略</w:t>
            </w:r>
            <w:r>
              <w:rPr>
                <w:rFonts w:asciiTheme="minorEastAsia" w:eastAsiaTheme="minorEastAsia" w:hAnsiTheme="minorEastAsia" w:hint="eastAsia"/>
              </w:rPr>
              <w:br/>
              <w:t>本基金主要采用完全复制法，按照标的指数成份股构成及其权重构建股票资产组合，并根据标的指数成份股及其权重的变化对股票组合进行动态调整。</w:t>
            </w:r>
            <w:r>
              <w:rPr>
                <w:rFonts w:asciiTheme="minorEastAsia" w:eastAsiaTheme="minorEastAsia" w:hAnsiTheme="minorEastAsia" w:hint="eastAsia"/>
              </w:rPr>
              <w:br/>
              <w:t>（1）定期调整</w:t>
            </w:r>
            <w:r>
              <w:rPr>
                <w:rFonts w:asciiTheme="minorEastAsia" w:eastAsiaTheme="minorEastAsia" w:hAnsiTheme="minorEastAsia" w:hint="eastAsia"/>
              </w:rPr>
              <w:br/>
              <w:t>本基金所构建的投资组合将定期根据所跟踪标的指数成份股的调整进行相应的跟踪调整。指数调整方案公布后，本基金将及时对现有组合的构</w:t>
            </w:r>
            <w:r>
              <w:rPr>
                <w:rFonts w:asciiTheme="minorEastAsia" w:eastAsiaTheme="minorEastAsia" w:hAnsiTheme="minorEastAsia" w:hint="eastAsia"/>
              </w:rPr>
              <w:lastRenderedPageBreak/>
              <w:t>成进行相应的调整，若成份股的集中调整短期内会对跟踪误差产生较大影响，将采用逐步调整的方式。</w:t>
            </w:r>
            <w:r>
              <w:rPr>
                <w:rFonts w:asciiTheme="minorEastAsia" w:eastAsiaTheme="minorEastAsia" w:hAnsiTheme="minorEastAsia" w:hint="eastAsia"/>
              </w:rPr>
              <w:br/>
              <w:t>（2）不定期调整</w:t>
            </w:r>
            <w:r>
              <w:rPr>
                <w:rFonts w:asciiTheme="minorEastAsia" w:eastAsiaTheme="minorEastAsia" w:hAnsiTheme="minorEastAsia" w:hint="eastAsia"/>
              </w:rPr>
              <w:br/>
              <w:t>1）根据指数编制规则，当标的指数成份股因增发、送配等股权变动而需进行成份股权</w:t>
            </w:r>
            <w:proofErr w:type="gramStart"/>
            <w:r>
              <w:rPr>
                <w:rFonts w:asciiTheme="minorEastAsia" w:eastAsiaTheme="minorEastAsia" w:hAnsiTheme="minorEastAsia" w:hint="eastAsia"/>
              </w:rPr>
              <w:t>重调整</w:t>
            </w:r>
            <w:proofErr w:type="gramEnd"/>
            <w:r>
              <w:rPr>
                <w:rFonts w:asciiTheme="minorEastAsia" w:eastAsiaTheme="minorEastAsia" w:hAnsiTheme="minorEastAsia" w:hint="eastAsia"/>
              </w:rPr>
              <w:t>时，本基金将根据标的指数权重比例的变化，进行相应调整。</w:t>
            </w:r>
            <w:r>
              <w:rPr>
                <w:rFonts w:asciiTheme="minorEastAsia" w:eastAsiaTheme="minorEastAsia" w:hAnsiTheme="minorEastAsia" w:hint="eastAsia"/>
              </w:rPr>
              <w:br/>
              <w:t>2）当标的指数成份股因停牌、流动性不足等因素导致基金无法按照指数权重进行配置，基金管理人将综合考虑跟踪误差和投资者利益，选择相关股票进行适当的替代。</w:t>
            </w:r>
            <w:r>
              <w:rPr>
                <w:rFonts w:asciiTheme="minorEastAsia" w:eastAsiaTheme="minorEastAsia" w:hAnsiTheme="minorEastAsia" w:hint="eastAsia"/>
              </w:rPr>
              <w:br/>
              <w:t>3）本基金将根据申购和赎回情况对股票投资组合进行调整，保证基金正常运行，从而有效跟踪标的指数。</w:t>
            </w:r>
            <w:r>
              <w:rPr>
                <w:rFonts w:asciiTheme="minorEastAsia" w:eastAsiaTheme="minorEastAsia" w:hAnsiTheme="minorEastAsia" w:hint="eastAsia"/>
              </w:rPr>
              <w:br/>
              <w:t>2、替代策略</w:t>
            </w:r>
            <w:r>
              <w:rPr>
                <w:rFonts w:asciiTheme="minorEastAsia" w:eastAsiaTheme="minorEastAsia" w:hAnsiTheme="minorEastAsia" w:hint="eastAsia"/>
              </w:rPr>
              <w:br/>
              <w:t>当预期成份股发生调整和成份股发生配股、增发、分红、长期停牌等行为时，或因基金的申购和赎回等对本基金跟踪标的指数的效果可能带来影响时，或因某些特殊情况导致流动性不足时，或法律法规的限制无法投资某只成份股，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w:t>
            </w:r>
            <w:r>
              <w:rPr>
                <w:rFonts w:asciiTheme="minorEastAsia" w:eastAsiaTheme="minorEastAsia" w:hAnsiTheme="minorEastAsia" w:hint="eastAsia"/>
              </w:rPr>
              <w:br/>
              <w:t>3、其他投资策略：包括股指期货投资策略、股票期权投资策略、债券投资策略、融资及转融通证券出借策略、存托凭证投资策略。</w:t>
            </w:r>
          </w:p>
        </w:tc>
      </w:tr>
      <w:tr w:rsidR="00746C83" w14:paraId="2B5AFC83" w14:textId="77777777">
        <w:trPr>
          <w:divId w:val="1166826129"/>
        </w:trPr>
        <w:tc>
          <w:tcPr>
            <w:tcW w:w="1294" w:type="pct"/>
            <w:tcBorders>
              <w:top w:val="nil"/>
              <w:left w:val="single" w:sz="4" w:space="0" w:color="000000"/>
              <w:bottom w:val="single" w:sz="4" w:space="0" w:color="000000"/>
              <w:right w:val="single" w:sz="4" w:space="0" w:color="000000"/>
            </w:tcBorders>
            <w:hideMark/>
          </w:tcPr>
          <w:p w14:paraId="061F3CFF" w14:textId="77777777" w:rsidR="00E3349B" w:rsidRDefault="00E3349B">
            <w:pPr>
              <w:widowControl/>
              <w:spacing w:line="315" w:lineRule="atLeast"/>
              <w:jc w:val="left"/>
            </w:pPr>
            <w:r>
              <w:rPr>
                <w:rFonts w:asciiTheme="minorEastAsia" w:eastAsiaTheme="minorEastAsia" w:hAnsiTheme="minorEastAsia" w:hint="eastAsia"/>
              </w:rPr>
              <w:lastRenderedPageBreak/>
              <w:t xml:space="preserve">业绩比较基准 </w:t>
            </w:r>
          </w:p>
        </w:tc>
        <w:tc>
          <w:tcPr>
            <w:tcW w:w="3706" w:type="pct"/>
            <w:tcBorders>
              <w:top w:val="nil"/>
              <w:left w:val="nil"/>
              <w:bottom w:val="single" w:sz="4" w:space="0" w:color="000000"/>
              <w:right w:val="single" w:sz="4" w:space="0" w:color="000000"/>
            </w:tcBorders>
            <w:hideMark/>
          </w:tcPr>
          <w:p w14:paraId="7773AA58" w14:textId="77777777" w:rsidR="00E3349B" w:rsidRDefault="00E3349B">
            <w:pPr>
              <w:widowControl/>
              <w:spacing w:line="315" w:lineRule="atLeast"/>
              <w:jc w:val="left"/>
            </w:pPr>
            <w:r>
              <w:rPr>
                <w:rFonts w:asciiTheme="minorEastAsia" w:eastAsiaTheme="minorEastAsia" w:hAnsiTheme="minorEastAsia" w:hint="eastAsia"/>
              </w:rPr>
              <w:t>本基金的业绩比较基准为标的指数，即中证A500指数收益率。</w:t>
            </w:r>
          </w:p>
        </w:tc>
      </w:tr>
      <w:tr w:rsidR="00746C83" w14:paraId="1BD3FC56" w14:textId="77777777">
        <w:trPr>
          <w:divId w:val="1166826129"/>
        </w:trPr>
        <w:tc>
          <w:tcPr>
            <w:tcW w:w="1294" w:type="pct"/>
            <w:tcBorders>
              <w:top w:val="nil"/>
              <w:left w:val="single" w:sz="4" w:space="0" w:color="000000"/>
              <w:bottom w:val="single" w:sz="4" w:space="0" w:color="000000"/>
              <w:right w:val="single" w:sz="4" w:space="0" w:color="000000"/>
            </w:tcBorders>
            <w:hideMark/>
          </w:tcPr>
          <w:p w14:paraId="5C9601E2" w14:textId="77777777" w:rsidR="00E3349B" w:rsidRDefault="00E3349B">
            <w:pPr>
              <w:widowControl/>
              <w:spacing w:line="315" w:lineRule="atLeast"/>
              <w:jc w:val="left"/>
            </w:pPr>
            <w:r>
              <w:rPr>
                <w:rFonts w:asciiTheme="minorEastAsia" w:eastAsiaTheme="minorEastAsia" w:hAnsiTheme="minorEastAsia" w:hint="eastAsia"/>
              </w:rPr>
              <w:t xml:space="preserve">风险收益特征 </w:t>
            </w:r>
          </w:p>
        </w:tc>
        <w:tc>
          <w:tcPr>
            <w:tcW w:w="3706" w:type="pct"/>
            <w:tcBorders>
              <w:top w:val="nil"/>
              <w:left w:val="nil"/>
              <w:bottom w:val="single" w:sz="4" w:space="0" w:color="000000"/>
              <w:right w:val="single" w:sz="4" w:space="0" w:color="000000"/>
            </w:tcBorders>
            <w:hideMark/>
          </w:tcPr>
          <w:p w14:paraId="01D32235" w14:textId="77777777" w:rsidR="00E3349B" w:rsidRDefault="00E3349B">
            <w:pPr>
              <w:widowControl/>
              <w:spacing w:line="315" w:lineRule="atLeast"/>
              <w:jc w:val="left"/>
            </w:pPr>
            <w:r>
              <w:rPr>
                <w:rFonts w:asciiTheme="minorEastAsia" w:eastAsiaTheme="minorEastAsia" w:hAnsiTheme="minorEastAsia" w:hint="eastAsia"/>
              </w:rPr>
              <w:t>本基金为股票</w:t>
            </w:r>
            <w:proofErr w:type="gramStart"/>
            <w:r>
              <w:rPr>
                <w:rFonts w:asciiTheme="minorEastAsia" w:eastAsiaTheme="minorEastAsia" w:hAnsiTheme="minorEastAsia" w:hint="eastAsia"/>
              </w:rPr>
              <w:t>型指数</w:t>
            </w:r>
            <w:proofErr w:type="gramEnd"/>
            <w:r>
              <w:rPr>
                <w:rFonts w:asciiTheme="minorEastAsia" w:eastAsiaTheme="minorEastAsia" w:hAnsiTheme="minorEastAsia" w:hint="eastAsia"/>
              </w:rPr>
              <w:t>基金，其预期风险和预期收益高于货币市场基金、债券型基金和混合型基金。本基金主要采用完全复制法跟踪标的指数的表现，具有与标的指数相似的风险收益特征。</w:t>
            </w:r>
          </w:p>
        </w:tc>
      </w:tr>
    </w:tbl>
    <w:p w14:paraId="2E8421BF" w14:textId="77777777" w:rsidR="00E3349B" w:rsidRDefault="00E3349B">
      <w:pPr>
        <w:pStyle w:val="XBRLTitle1"/>
        <w:spacing w:before="156"/>
        <w:ind w:left="425"/>
      </w:pPr>
      <w:bookmarkStart w:id="49" w:name="_Toc17881668"/>
      <w:bookmarkStart w:id="50" w:name="_Toc492299865"/>
      <w:bookmarkStart w:id="51" w:name="_Toc466644449"/>
      <w:bookmarkStart w:id="52" w:name="_Toc447872911"/>
      <w:bookmarkStart w:id="53" w:name="_Toc438646455"/>
      <w:bookmarkStart w:id="54" w:name="_Toc512627217"/>
      <w:bookmarkStart w:id="55" w:name="_Toc512694297"/>
      <w:bookmarkEnd w:id="39"/>
      <w:r>
        <w:rPr>
          <w:rFonts w:hAnsi="宋体" w:hint="eastAsia"/>
        </w:rPr>
        <w:t>主要财务指标和基金净值表现</w:t>
      </w:r>
      <w:bookmarkEnd w:id="49"/>
      <w:bookmarkEnd w:id="50"/>
      <w:bookmarkEnd w:id="51"/>
      <w:bookmarkEnd w:id="52"/>
      <w:bookmarkEnd w:id="53"/>
      <w:bookmarkEnd w:id="54"/>
      <w:bookmarkEnd w:id="55"/>
      <w:r>
        <w:rPr>
          <w:rFonts w:hAnsi="宋体" w:hint="eastAsia"/>
        </w:rPr>
        <w:t xml:space="preserve"> </w:t>
      </w:r>
    </w:p>
    <w:p w14:paraId="1E0F7734" w14:textId="77777777" w:rsidR="00E3349B" w:rsidRDefault="00E3349B">
      <w:pPr>
        <w:pStyle w:val="XBRLTitle2"/>
        <w:spacing w:before="156"/>
        <w:ind w:left="454"/>
      </w:pPr>
      <w:bookmarkStart w:id="56" w:name="_Toc17881669"/>
      <w:r>
        <w:rPr>
          <w:rFonts w:hAnsi="宋体" w:hint="eastAsia"/>
        </w:rPr>
        <w:t>主要财务指标</w:t>
      </w:r>
      <w:bookmarkEnd w:id="56"/>
      <w:bookmarkEnd w:id="31"/>
      <w:bookmarkEnd w:id="32"/>
      <w:bookmarkEnd w:id="33"/>
      <w:bookmarkEnd w:id="34"/>
      <w:bookmarkEnd w:id="35"/>
      <w:bookmarkEnd w:id="36"/>
    </w:p>
    <w:p w14:paraId="525CBF0F" w14:textId="77777777" w:rsidR="00E3349B" w:rsidRDefault="00E3349B">
      <w:pPr>
        <w:jc w:val="right"/>
        <w:divId w:val="427845453"/>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5"/>
        <w:gridCol w:w="1869"/>
        <w:gridCol w:w="1975"/>
        <w:gridCol w:w="1763"/>
        <w:gridCol w:w="1763"/>
      </w:tblGrid>
      <w:tr w:rsidR="00746C83" w14:paraId="0DF019DA" w14:textId="77777777">
        <w:trPr>
          <w:divId w:val="42784545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B1A92FE" w14:textId="77777777" w:rsidR="00E3349B" w:rsidRDefault="00E3349B">
            <w:pPr>
              <w:pStyle w:val="a5"/>
              <w:rPr>
                <w:rFonts w:hint="eastAsia"/>
              </w:rPr>
            </w:pPr>
            <w:r>
              <w:rPr>
                <w:rFonts w:hint="eastAsia"/>
                <w:kern w:val="2"/>
                <w:sz w:val="21"/>
                <w:lang w:eastAsia="zh-Hans"/>
              </w:rPr>
              <w:t xml:space="preserve">主要财务指标 </w:t>
            </w:r>
          </w:p>
        </w:tc>
        <w:tc>
          <w:tcPr>
            <w:tcW w:w="0" w:type="auto"/>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585ED5E" w14:textId="77777777" w:rsidR="00E3349B" w:rsidRDefault="00E3349B">
            <w:pPr>
              <w:pStyle w:val="a5"/>
              <w:jc w:val="center"/>
              <w:rPr>
                <w:rFonts w:hint="eastAsia"/>
              </w:rPr>
            </w:pPr>
            <w:r>
              <w:rPr>
                <w:rFonts w:hint="eastAsia"/>
                <w:kern w:val="2"/>
                <w:sz w:val="21"/>
                <w:szCs w:val="24"/>
                <w:lang w:eastAsia="zh-Hans"/>
              </w:rPr>
              <w:t xml:space="preserve">报告期（2025年4月1日-2025年6月30日） </w:t>
            </w:r>
          </w:p>
        </w:tc>
      </w:tr>
      <w:tr w:rsidR="00746C83" w14:paraId="043F5BB6" w14:textId="77777777">
        <w:trPr>
          <w:divId w:val="42784545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C667C" w14:textId="77777777" w:rsidR="00E3349B" w:rsidRDefault="00E3349B">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F9475EC" w14:textId="77777777" w:rsidR="00E3349B" w:rsidRDefault="00E3349B">
            <w:pPr>
              <w:jc w:val="center"/>
            </w:pPr>
            <w:r>
              <w:rPr>
                <w:rFonts w:ascii="宋体" w:hAnsi="宋体" w:hint="eastAsia"/>
                <w:szCs w:val="24"/>
                <w:lang w:eastAsia="zh-Hans"/>
              </w:rPr>
              <w:t>摩根中证A500ETF联接A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D7C8E2A" w14:textId="77777777" w:rsidR="00E3349B" w:rsidRDefault="00E3349B">
            <w:pPr>
              <w:jc w:val="center"/>
            </w:pPr>
            <w:r>
              <w:rPr>
                <w:rFonts w:ascii="宋体" w:hAnsi="宋体" w:hint="eastAsia"/>
                <w:szCs w:val="24"/>
                <w:lang w:eastAsia="zh-Hans"/>
              </w:rPr>
              <w:t>摩根中证A500ETF联接C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E66BA46" w14:textId="77777777" w:rsidR="00E3349B" w:rsidRDefault="00E3349B">
            <w:pPr>
              <w:jc w:val="center"/>
            </w:pPr>
            <w:r>
              <w:rPr>
                <w:rFonts w:ascii="宋体" w:hAnsi="宋体" w:hint="eastAsia"/>
                <w:szCs w:val="24"/>
                <w:lang w:eastAsia="zh-Hans"/>
              </w:rPr>
              <w:t>摩根中证A500ETF联接I</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604E12E" w14:textId="77777777" w:rsidR="00E3349B" w:rsidRDefault="00E3349B">
            <w:pPr>
              <w:jc w:val="center"/>
            </w:pPr>
            <w:r>
              <w:rPr>
                <w:rFonts w:ascii="宋体" w:hAnsi="宋体" w:hint="eastAsia"/>
                <w:szCs w:val="24"/>
                <w:lang w:eastAsia="zh-Hans"/>
              </w:rPr>
              <w:t>摩根中证A500ETF联接Y</w:t>
            </w:r>
          </w:p>
        </w:tc>
      </w:tr>
      <w:tr w:rsidR="00746C83" w14:paraId="613C671C" w14:textId="77777777">
        <w:trPr>
          <w:divId w:val="4278454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DADF8DD" w14:textId="77777777" w:rsidR="00E3349B" w:rsidRDefault="00E3349B">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630DC0C" w14:textId="77777777" w:rsidR="00E3349B" w:rsidRDefault="00E3349B">
            <w:pPr>
              <w:jc w:val="right"/>
            </w:pPr>
            <w:r>
              <w:rPr>
                <w:rFonts w:ascii="宋体" w:hAnsi="宋体" w:hint="eastAsia"/>
                <w:szCs w:val="24"/>
                <w:lang w:eastAsia="zh-Hans"/>
              </w:rPr>
              <w:t>-5,231,053.76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B76A72D" w14:textId="77777777" w:rsidR="00E3349B" w:rsidRDefault="00E3349B">
            <w:pPr>
              <w:jc w:val="right"/>
            </w:pPr>
            <w:r>
              <w:rPr>
                <w:rFonts w:ascii="宋体" w:hAnsi="宋体" w:hint="eastAsia"/>
                <w:szCs w:val="24"/>
                <w:lang w:eastAsia="zh-Hans"/>
              </w:rPr>
              <w:t>-15,266,205.76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1F85BFE" w14:textId="77777777" w:rsidR="00E3349B" w:rsidRDefault="00E3349B">
            <w:pPr>
              <w:jc w:val="right"/>
            </w:pPr>
            <w:r>
              <w:rPr>
                <w:rFonts w:ascii="宋体" w:hAnsi="宋体" w:hint="eastAsia"/>
                <w:szCs w:val="24"/>
                <w:lang w:eastAsia="zh-Hans"/>
              </w:rPr>
              <w:t>-18,868.83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FEDCF73" w14:textId="77777777" w:rsidR="00E3349B" w:rsidRDefault="00E3349B">
            <w:pPr>
              <w:jc w:val="right"/>
            </w:pPr>
            <w:r>
              <w:rPr>
                <w:rFonts w:ascii="宋体" w:hAnsi="宋体" w:hint="eastAsia"/>
                <w:szCs w:val="24"/>
                <w:lang w:eastAsia="zh-Hans"/>
              </w:rPr>
              <w:t>-26,189.12</w:t>
            </w:r>
          </w:p>
        </w:tc>
      </w:tr>
      <w:tr w:rsidR="00746C83" w14:paraId="0696845B" w14:textId="77777777">
        <w:trPr>
          <w:divId w:val="4278454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4C9295" w14:textId="77777777" w:rsidR="00E3349B" w:rsidRDefault="00E3349B">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5A0502B" w14:textId="77777777" w:rsidR="00E3349B" w:rsidRDefault="00E3349B">
            <w:pPr>
              <w:jc w:val="right"/>
            </w:pPr>
            <w:r>
              <w:rPr>
                <w:rFonts w:ascii="宋体" w:hAnsi="宋体" w:hint="eastAsia"/>
                <w:szCs w:val="24"/>
                <w:lang w:eastAsia="zh-Hans"/>
              </w:rPr>
              <w:t>11,664,082.66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2306CFF" w14:textId="77777777" w:rsidR="00E3349B" w:rsidRDefault="00E3349B">
            <w:pPr>
              <w:jc w:val="right"/>
            </w:pPr>
            <w:r>
              <w:rPr>
                <w:rFonts w:ascii="宋体" w:hAnsi="宋体" w:hint="eastAsia"/>
                <w:szCs w:val="24"/>
                <w:lang w:eastAsia="zh-Hans"/>
              </w:rPr>
              <w:t>31,805,425.54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6D23148" w14:textId="77777777" w:rsidR="00E3349B" w:rsidRDefault="00E3349B">
            <w:pPr>
              <w:jc w:val="right"/>
            </w:pPr>
            <w:r>
              <w:rPr>
                <w:rFonts w:ascii="宋体" w:hAnsi="宋体" w:hint="eastAsia"/>
                <w:szCs w:val="24"/>
                <w:lang w:eastAsia="zh-Hans"/>
              </w:rPr>
              <w:t>31,653.27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8B944F0" w14:textId="77777777" w:rsidR="00E3349B" w:rsidRDefault="00E3349B">
            <w:pPr>
              <w:jc w:val="right"/>
            </w:pPr>
            <w:r>
              <w:rPr>
                <w:rFonts w:ascii="宋体" w:hAnsi="宋体" w:hint="eastAsia"/>
                <w:szCs w:val="24"/>
                <w:lang w:eastAsia="zh-Hans"/>
              </w:rPr>
              <w:t>98,162.76</w:t>
            </w:r>
          </w:p>
        </w:tc>
      </w:tr>
      <w:tr w:rsidR="00746C83" w14:paraId="7983F489" w14:textId="77777777">
        <w:trPr>
          <w:divId w:val="4278454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7605061" w14:textId="77777777" w:rsidR="00E3349B" w:rsidRDefault="00E3349B">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4F8715B" w14:textId="77777777" w:rsidR="00E3349B" w:rsidRDefault="00E3349B">
            <w:pPr>
              <w:jc w:val="right"/>
            </w:pPr>
            <w:r>
              <w:rPr>
                <w:rFonts w:ascii="宋体" w:hAnsi="宋体" w:hint="eastAsia"/>
                <w:szCs w:val="24"/>
                <w:lang w:eastAsia="zh-Hans"/>
              </w:rPr>
              <w:t>0.0148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A217AE9" w14:textId="77777777" w:rsidR="00E3349B" w:rsidRDefault="00E3349B">
            <w:pPr>
              <w:jc w:val="right"/>
            </w:pPr>
            <w:r>
              <w:rPr>
                <w:rFonts w:ascii="宋体" w:hAnsi="宋体" w:hint="eastAsia"/>
                <w:szCs w:val="24"/>
                <w:lang w:eastAsia="zh-Hans"/>
              </w:rPr>
              <w:t>0.0148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752818" w14:textId="77777777" w:rsidR="00E3349B" w:rsidRDefault="00E3349B">
            <w:pPr>
              <w:jc w:val="right"/>
            </w:pPr>
            <w:r>
              <w:rPr>
                <w:rFonts w:ascii="宋体" w:hAnsi="宋体" w:hint="eastAsia"/>
                <w:szCs w:val="24"/>
                <w:lang w:eastAsia="zh-Hans"/>
              </w:rPr>
              <w:t>0.0115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8FE654" w14:textId="77777777" w:rsidR="00E3349B" w:rsidRDefault="00E3349B">
            <w:pPr>
              <w:jc w:val="right"/>
            </w:pPr>
            <w:r>
              <w:rPr>
                <w:rFonts w:ascii="宋体" w:hAnsi="宋体" w:hint="eastAsia"/>
                <w:szCs w:val="24"/>
                <w:lang w:eastAsia="zh-Hans"/>
              </w:rPr>
              <w:t>0.0253</w:t>
            </w:r>
          </w:p>
        </w:tc>
      </w:tr>
      <w:tr w:rsidR="00746C83" w14:paraId="7CAA5244" w14:textId="77777777">
        <w:trPr>
          <w:divId w:val="4278454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492BAC" w14:textId="77777777" w:rsidR="00E3349B" w:rsidRDefault="00E3349B">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1D41B8" w14:textId="77777777" w:rsidR="00E3349B" w:rsidRDefault="00E3349B">
            <w:pPr>
              <w:jc w:val="right"/>
            </w:pPr>
            <w:r>
              <w:rPr>
                <w:rFonts w:ascii="宋体" w:hAnsi="宋体" w:hint="eastAsia"/>
                <w:szCs w:val="24"/>
                <w:lang w:eastAsia="zh-Hans"/>
              </w:rPr>
              <w:t>720,260,624.00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D6F20B0" w14:textId="77777777" w:rsidR="00E3349B" w:rsidRDefault="00E3349B">
            <w:pPr>
              <w:jc w:val="right"/>
            </w:pPr>
            <w:r>
              <w:rPr>
                <w:rFonts w:ascii="宋体" w:hAnsi="宋体" w:hint="eastAsia"/>
                <w:szCs w:val="24"/>
                <w:lang w:eastAsia="zh-Hans"/>
              </w:rPr>
              <w:t>2,009,792,074.55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B45C88A" w14:textId="77777777" w:rsidR="00E3349B" w:rsidRDefault="00E3349B">
            <w:pPr>
              <w:jc w:val="right"/>
            </w:pPr>
            <w:r>
              <w:rPr>
                <w:rFonts w:ascii="宋体" w:hAnsi="宋体" w:hint="eastAsia"/>
                <w:szCs w:val="24"/>
                <w:lang w:eastAsia="zh-Hans"/>
              </w:rPr>
              <w:t>1,990,753.91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F2B56B6" w14:textId="77777777" w:rsidR="00E3349B" w:rsidRDefault="00E3349B">
            <w:pPr>
              <w:jc w:val="right"/>
            </w:pPr>
            <w:r>
              <w:rPr>
                <w:rFonts w:ascii="宋体" w:hAnsi="宋体" w:hint="eastAsia"/>
                <w:szCs w:val="24"/>
                <w:lang w:eastAsia="zh-Hans"/>
              </w:rPr>
              <w:t>3,763,933.31</w:t>
            </w:r>
          </w:p>
        </w:tc>
      </w:tr>
      <w:tr w:rsidR="00746C83" w14:paraId="5DB2DBD0" w14:textId="77777777">
        <w:trPr>
          <w:divId w:val="4278454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D22E5DA" w14:textId="77777777" w:rsidR="00E3349B" w:rsidRDefault="00E3349B">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D8AC72" w14:textId="77777777" w:rsidR="00E3349B" w:rsidRDefault="00E3349B">
            <w:pPr>
              <w:jc w:val="right"/>
            </w:pPr>
            <w:r>
              <w:rPr>
                <w:rFonts w:ascii="宋体" w:hAnsi="宋体" w:hint="eastAsia"/>
                <w:szCs w:val="24"/>
                <w:lang w:eastAsia="zh-Hans"/>
              </w:rPr>
              <w:t>0.9653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95C597F" w14:textId="77777777" w:rsidR="00E3349B" w:rsidRDefault="00E3349B">
            <w:pPr>
              <w:jc w:val="right"/>
            </w:pPr>
            <w:r>
              <w:rPr>
                <w:rFonts w:ascii="宋体" w:hAnsi="宋体" w:hint="eastAsia"/>
                <w:szCs w:val="24"/>
                <w:lang w:eastAsia="zh-Hans"/>
              </w:rPr>
              <w:t>0.9640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E22CEF" w14:textId="77777777" w:rsidR="00E3349B" w:rsidRDefault="00E3349B">
            <w:pPr>
              <w:jc w:val="right"/>
            </w:pPr>
            <w:r>
              <w:rPr>
                <w:rFonts w:ascii="宋体" w:hAnsi="宋体" w:hint="eastAsia"/>
                <w:szCs w:val="24"/>
                <w:lang w:eastAsia="zh-Hans"/>
              </w:rPr>
              <w:t>0.9648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DE2B7D2" w14:textId="77777777" w:rsidR="00E3349B" w:rsidRDefault="00E3349B">
            <w:pPr>
              <w:jc w:val="right"/>
            </w:pPr>
            <w:r>
              <w:rPr>
                <w:rFonts w:ascii="宋体" w:hAnsi="宋体" w:hint="eastAsia"/>
                <w:szCs w:val="24"/>
                <w:lang w:eastAsia="zh-Hans"/>
              </w:rPr>
              <w:t>0.9653</w:t>
            </w:r>
          </w:p>
        </w:tc>
      </w:tr>
    </w:tbl>
    <w:p w14:paraId="31A7A350" w14:textId="77777777" w:rsidR="00E3349B" w:rsidRDefault="00E3349B">
      <w:pPr>
        <w:wordWrap w:val="0"/>
        <w:spacing w:line="360" w:lineRule="auto"/>
        <w:jc w:val="left"/>
        <w:divId w:val="152533877"/>
      </w:pPr>
      <w:r>
        <w:rPr>
          <w:rFonts w:ascii="宋体" w:hAnsi="宋体" w:hint="eastAsia"/>
          <w:szCs w:val="21"/>
        </w:rPr>
        <w:lastRenderedPageBreak/>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07310B5C" w14:textId="77777777" w:rsidR="00E3349B" w:rsidRDefault="00E3349B">
      <w:pPr>
        <w:pStyle w:val="XBRLTitle2"/>
        <w:spacing w:before="156"/>
        <w:ind w:left="454"/>
      </w:pPr>
      <w:bookmarkStart w:id="57" w:name="_Toc17881670"/>
      <w:bookmarkStart w:id="58" w:name="_Toc492299867"/>
      <w:bookmarkStart w:id="59" w:name="_Toc466644451"/>
      <w:bookmarkStart w:id="60" w:name="_Toc447872913"/>
      <w:bookmarkStart w:id="61" w:name="_Toc438646457"/>
      <w:bookmarkStart w:id="62" w:name="_Toc512627219"/>
      <w:bookmarkStart w:id="63" w:name="_Toc512694299"/>
      <w:r>
        <w:rPr>
          <w:rFonts w:hAnsi="宋体" w:hint="eastAsia"/>
        </w:rPr>
        <w:t>基金净值表现</w:t>
      </w:r>
      <w:bookmarkEnd w:id="57"/>
      <w:bookmarkEnd w:id="58"/>
      <w:bookmarkEnd w:id="59"/>
      <w:bookmarkEnd w:id="60"/>
      <w:bookmarkEnd w:id="61"/>
      <w:bookmarkEnd w:id="62"/>
      <w:bookmarkEnd w:id="63"/>
      <w:r>
        <w:rPr>
          <w:rFonts w:hAnsi="宋体" w:hint="eastAsia"/>
        </w:rPr>
        <w:t xml:space="preserve"> </w:t>
      </w:r>
    </w:p>
    <w:p w14:paraId="7F8D6CFC" w14:textId="77777777" w:rsidR="00E3349B" w:rsidRDefault="00E3349B">
      <w:pPr>
        <w:pStyle w:val="XBRLTitle3"/>
        <w:numPr>
          <w:ilvl w:val="2"/>
          <w:numId w:val="2"/>
        </w:numPr>
        <w:spacing w:before="156"/>
        <w:ind w:left="0" w:firstLine="0"/>
      </w:pPr>
      <w:bookmarkStart w:id="64" w:name="_Toc17881671"/>
      <w:bookmarkStart w:id="65" w:name="_Toc492299868"/>
      <w:bookmarkStart w:id="66" w:name="_Toc466644452"/>
      <w:bookmarkStart w:id="67" w:name="_Toc447872914"/>
      <w:r>
        <w:rPr>
          <w:rFonts w:hAnsi="宋体" w:hint="eastAsia"/>
        </w:rPr>
        <w:t>基金份额净值增长率及其与同期业绩比较基准收益率的比较</w:t>
      </w:r>
      <w:bookmarkEnd w:id="64"/>
      <w:bookmarkEnd w:id="65"/>
      <w:bookmarkEnd w:id="66"/>
      <w:bookmarkEnd w:id="67"/>
      <w:r>
        <w:rPr>
          <w:rFonts w:hint="eastAsia"/>
          <w:lang w:eastAsia="zh-CN"/>
        </w:rPr>
        <w:t xml:space="preserve"> </w:t>
      </w:r>
    </w:p>
    <w:p w14:paraId="6F9AF1F6" w14:textId="77777777" w:rsidR="00E3349B" w:rsidRDefault="00E3349B">
      <w:pPr>
        <w:spacing w:line="360" w:lineRule="auto"/>
        <w:jc w:val="center"/>
        <w:divId w:val="1302809261"/>
      </w:pPr>
      <w:r>
        <w:rPr>
          <w:rFonts w:ascii="宋体" w:hAnsi="宋体" w:hint="eastAsia"/>
        </w:rPr>
        <w:t>摩根中证A500ETF联接A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46C83" w14:paraId="56BB2EA7" w14:textId="77777777">
        <w:trPr>
          <w:divId w:val="130280926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641524B" w14:textId="77777777" w:rsidR="00E3349B" w:rsidRDefault="00E3349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2FEDEB0" w14:textId="77777777" w:rsidR="00E3349B" w:rsidRDefault="00E3349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6B1DECD" w14:textId="77777777" w:rsidR="00E3349B" w:rsidRDefault="00E3349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BD48A6" w14:textId="77777777" w:rsidR="00E3349B" w:rsidRDefault="00E3349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898CA9E" w14:textId="77777777" w:rsidR="00E3349B" w:rsidRDefault="00E3349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A1DFB9" w14:textId="77777777" w:rsidR="00E3349B" w:rsidRDefault="00E3349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108B42" w14:textId="77777777" w:rsidR="00E3349B" w:rsidRDefault="00E3349B">
            <w:pPr>
              <w:spacing w:line="360" w:lineRule="auto"/>
              <w:jc w:val="center"/>
            </w:pPr>
            <w:r>
              <w:rPr>
                <w:rFonts w:ascii="宋体" w:hAnsi="宋体" w:hint="eastAsia"/>
              </w:rPr>
              <w:t xml:space="preserve">②－④ </w:t>
            </w:r>
          </w:p>
        </w:tc>
      </w:tr>
      <w:tr w:rsidR="00746C83" w14:paraId="5A761DF7" w14:textId="77777777">
        <w:trPr>
          <w:divId w:val="130280926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F9A80A" w14:textId="77777777" w:rsidR="00E3349B" w:rsidRDefault="00E3349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B06CA3" w14:textId="77777777" w:rsidR="00E3349B" w:rsidRDefault="00E3349B">
            <w:pPr>
              <w:spacing w:line="360" w:lineRule="auto"/>
              <w:jc w:val="right"/>
            </w:pPr>
            <w:r>
              <w:rPr>
                <w:rFonts w:ascii="宋体" w:hAnsi="宋体" w:hint="eastAsia"/>
              </w:rPr>
              <w:t xml:space="preserve">1.78%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447D5C" w14:textId="77777777" w:rsidR="00E3349B" w:rsidRDefault="00E3349B">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8A0B95" w14:textId="77777777" w:rsidR="00E3349B" w:rsidRDefault="00E3349B">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B592E" w14:textId="77777777" w:rsidR="00E3349B" w:rsidRDefault="00E3349B">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BC8EB8B" w14:textId="77777777" w:rsidR="00E3349B" w:rsidRDefault="00E3349B">
            <w:pPr>
              <w:spacing w:line="360" w:lineRule="auto"/>
              <w:jc w:val="right"/>
            </w:pPr>
            <w:r>
              <w:rPr>
                <w:rFonts w:ascii="宋体" w:hAnsi="宋体" w:hint="eastAsia"/>
              </w:rPr>
              <w:t xml:space="preserve">0.97%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00DEF5" w14:textId="77777777" w:rsidR="00E3349B" w:rsidRDefault="00E3349B">
            <w:pPr>
              <w:spacing w:line="360" w:lineRule="auto"/>
              <w:jc w:val="right"/>
            </w:pPr>
            <w:r>
              <w:rPr>
                <w:rFonts w:ascii="宋体" w:hAnsi="宋体" w:hint="eastAsia"/>
              </w:rPr>
              <w:t xml:space="preserve">0.00% </w:t>
            </w:r>
          </w:p>
        </w:tc>
      </w:tr>
      <w:tr w:rsidR="00746C83" w14:paraId="56A06A8F" w14:textId="77777777">
        <w:trPr>
          <w:divId w:val="130280926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687915" w14:textId="77777777" w:rsidR="00E3349B" w:rsidRDefault="00E3349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F9C0C4" w14:textId="77777777" w:rsidR="00E3349B" w:rsidRDefault="00E3349B">
            <w:pPr>
              <w:spacing w:line="360" w:lineRule="auto"/>
              <w:jc w:val="right"/>
            </w:pPr>
            <w:r>
              <w:rPr>
                <w:rFonts w:ascii="宋体" w:hAnsi="宋体" w:hint="eastAsia"/>
              </w:rPr>
              <w:t xml:space="preserve">1.53%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650A82" w14:textId="77777777" w:rsidR="00E3349B" w:rsidRDefault="00E3349B">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50BCEB" w14:textId="77777777" w:rsidR="00E3349B" w:rsidRDefault="00E3349B">
            <w:pPr>
              <w:spacing w:line="360" w:lineRule="auto"/>
              <w:jc w:val="right"/>
            </w:pPr>
            <w:r>
              <w:rPr>
                <w:rFonts w:ascii="宋体" w:hAnsi="宋体" w:hint="eastAsia"/>
              </w:rPr>
              <w:t xml:space="preserve">0.45%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C7D35" w14:textId="77777777" w:rsidR="00E3349B" w:rsidRDefault="00E3349B">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20C3225" w14:textId="77777777" w:rsidR="00E3349B" w:rsidRDefault="00E3349B">
            <w:pPr>
              <w:spacing w:line="360" w:lineRule="auto"/>
              <w:jc w:val="right"/>
            </w:pPr>
            <w:r>
              <w:rPr>
                <w:rFonts w:ascii="宋体" w:hAnsi="宋体" w:hint="eastAsia"/>
              </w:rPr>
              <w:t xml:space="preserve">1.08%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C91C0" w14:textId="77777777" w:rsidR="00E3349B" w:rsidRDefault="00E3349B">
            <w:pPr>
              <w:spacing w:line="360" w:lineRule="auto"/>
              <w:jc w:val="right"/>
            </w:pPr>
            <w:r>
              <w:rPr>
                <w:rFonts w:ascii="宋体" w:hAnsi="宋体" w:hint="eastAsia"/>
              </w:rPr>
              <w:t xml:space="preserve">0.00% </w:t>
            </w:r>
          </w:p>
        </w:tc>
      </w:tr>
      <w:tr w:rsidR="00746C83" w14:paraId="24206686" w14:textId="77777777">
        <w:trPr>
          <w:divId w:val="130280926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24DACC" w14:textId="77777777" w:rsidR="00E3349B" w:rsidRDefault="00E3349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EA9EB3" w14:textId="77777777" w:rsidR="00E3349B" w:rsidRDefault="00E3349B">
            <w:pPr>
              <w:spacing w:line="360" w:lineRule="auto"/>
              <w:jc w:val="right"/>
            </w:pPr>
            <w:r>
              <w:rPr>
                <w:rFonts w:ascii="宋体" w:hAnsi="宋体" w:hint="eastAsia"/>
              </w:rPr>
              <w:t xml:space="preserve">-3.47%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D703A9" w14:textId="77777777" w:rsidR="00E3349B" w:rsidRDefault="00E3349B">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B41A93" w14:textId="77777777" w:rsidR="00E3349B" w:rsidRDefault="00E3349B">
            <w:pPr>
              <w:spacing w:line="360" w:lineRule="auto"/>
              <w:jc w:val="right"/>
            </w:pPr>
            <w:r>
              <w:rPr>
                <w:rFonts w:ascii="宋体" w:hAnsi="宋体" w:hint="eastAsia"/>
              </w:rPr>
              <w:t xml:space="preserve">-4.49%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6C4B60" w14:textId="77777777" w:rsidR="00E3349B" w:rsidRDefault="00E3349B">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E9470C6" w14:textId="77777777" w:rsidR="00E3349B" w:rsidRDefault="00E3349B">
            <w:pPr>
              <w:spacing w:line="360" w:lineRule="auto"/>
              <w:jc w:val="right"/>
            </w:pPr>
            <w:r>
              <w:rPr>
                <w:rFonts w:ascii="宋体" w:hAnsi="宋体" w:hint="eastAsia"/>
              </w:rPr>
              <w:t xml:space="preserve">1.02%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B74009" w14:textId="77777777" w:rsidR="00E3349B" w:rsidRDefault="00E3349B">
            <w:pPr>
              <w:spacing w:line="360" w:lineRule="auto"/>
              <w:jc w:val="right"/>
            </w:pPr>
            <w:r>
              <w:rPr>
                <w:rFonts w:ascii="宋体" w:hAnsi="宋体" w:hint="eastAsia"/>
              </w:rPr>
              <w:t xml:space="preserve">-0.01% </w:t>
            </w:r>
          </w:p>
        </w:tc>
      </w:tr>
    </w:tbl>
    <w:p w14:paraId="0A09E093" w14:textId="77777777" w:rsidR="00E3349B" w:rsidRDefault="00E3349B">
      <w:pPr>
        <w:spacing w:line="360" w:lineRule="auto"/>
        <w:jc w:val="center"/>
        <w:divId w:val="870151167"/>
      </w:pPr>
      <w:r>
        <w:rPr>
          <w:rFonts w:ascii="宋体" w:hAnsi="宋体" w:hint="eastAsia"/>
        </w:rPr>
        <w:t>摩根中证A500ETF联接C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46C83" w14:paraId="7F8B635E" w14:textId="77777777">
        <w:trPr>
          <w:divId w:val="87015116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7F91C3A" w14:textId="77777777" w:rsidR="00E3349B" w:rsidRDefault="00E3349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ABCB914" w14:textId="77777777" w:rsidR="00E3349B" w:rsidRDefault="00E3349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5153690" w14:textId="77777777" w:rsidR="00E3349B" w:rsidRDefault="00E3349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9DB2DA4" w14:textId="77777777" w:rsidR="00E3349B" w:rsidRDefault="00E3349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72EC07" w14:textId="77777777" w:rsidR="00E3349B" w:rsidRDefault="00E3349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5C7B3" w14:textId="77777777" w:rsidR="00E3349B" w:rsidRDefault="00E3349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35ADADE" w14:textId="77777777" w:rsidR="00E3349B" w:rsidRDefault="00E3349B">
            <w:pPr>
              <w:spacing w:line="360" w:lineRule="auto"/>
              <w:jc w:val="center"/>
            </w:pPr>
            <w:r>
              <w:rPr>
                <w:rFonts w:ascii="宋体" w:hAnsi="宋体" w:hint="eastAsia"/>
              </w:rPr>
              <w:t xml:space="preserve">②－④ </w:t>
            </w:r>
          </w:p>
        </w:tc>
      </w:tr>
      <w:tr w:rsidR="00746C83" w14:paraId="109D88A3" w14:textId="77777777">
        <w:trPr>
          <w:divId w:val="8701511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6FFC92" w14:textId="77777777" w:rsidR="00E3349B" w:rsidRDefault="00E3349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392469" w14:textId="77777777" w:rsidR="00E3349B" w:rsidRDefault="00E3349B">
            <w:pPr>
              <w:spacing w:line="360" w:lineRule="auto"/>
              <w:jc w:val="right"/>
            </w:pPr>
            <w:r>
              <w:rPr>
                <w:rFonts w:ascii="宋体" w:hAnsi="宋体" w:hint="eastAsia"/>
              </w:rPr>
              <w:t xml:space="preserve">1.72%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36B2E7" w14:textId="77777777" w:rsidR="00E3349B" w:rsidRDefault="00E3349B">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7A0AD4" w14:textId="77777777" w:rsidR="00E3349B" w:rsidRDefault="00E3349B">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FE48BA" w14:textId="77777777" w:rsidR="00E3349B" w:rsidRDefault="00E3349B">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638B5A7" w14:textId="77777777" w:rsidR="00E3349B" w:rsidRDefault="00E3349B">
            <w:pPr>
              <w:spacing w:line="360" w:lineRule="auto"/>
              <w:jc w:val="right"/>
            </w:pPr>
            <w:r>
              <w:rPr>
                <w:rFonts w:ascii="宋体" w:hAnsi="宋体" w:hint="eastAsia"/>
              </w:rPr>
              <w:t xml:space="preserve">0.91%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9D9658" w14:textId="77777777" w:rsidR="00E3349B" w:rsidRDefault="00E3349B">
            <w:pPr>
              <w:spacing w:line="360" w:lineRule="auto"/>
              <w:jc w:val="right"/>
            </w:pPr>
            <w:r>
              <w:rPr>
                <w:rFonts w:ascii="宋体" w:hAnsi="宋体" w:hint="eastAsia"/>
              </w:rPr>
              <w:t xml:space="preserve">0.00% </w:t>
            </w:r>
          </w:p>
        </w:tc>
      </w:tr>
      <w:tr w:rsidR="00746C83" w14:paraId="5E19B1D1" w14:textId="77777777">
        <w:trPr>
          <w:divId w:val="8701511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8F8074" w14:textId="77777777" w:rsidR="00E3349B" w:rsidRDefault="00E3349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3F8E33" w14:textId="77777777" w:rsidR="00E3349B" w:rsidRDefault="00E3349B">
            <w:pPr>
              <w:spacing w:line="360" w:lineRule="auto"/>
              <w:jc w:val="right"/>
            </w:pPr>
            <w:r>
              <w:rPr>
                <w:rFonts w:ascii="宋体" w:hAnsi="宋体" w:hint="eastAsia"/>
              </w:rPr>
              <w:t xml:space="preserve">1.41%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3F0CE1" w14:textId="77777777" w:rsidR="00E3349B" w:rsidRDefault="00E3349B">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DDB8C1" w14:textId="77777777" w:rsidR="00E3349B" w:rsidRDefault="00E3349B">
            <w:pPr>
              <w:spacing w:line="360" w:lineRule="auto"/>
              <w:jc w:val="right"/>
            </w:pPr>
            <w:r>
              <w:rPr>
                <w:rFonts w:ascii="宋体" w:hAnsi="宋体" w:hint="eastAsia"/>
              </w:rPr>
              <w:t xml:space="preserve">0.45%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05939D" w14:textId="77777777" w:rsidR="00E3349B" w:rsidRDefault="00E3349B">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5FCD42A" w14:textId="77777777" w:rsidR="00E3349B" w:rsidRDefault="00E3349B">
            <w:pPr>
              <w:spacing w:line="360" w:lineRule="auto"/>
              <w:jc w:val="right"/>
            </w:pPr>
            <w:r>
              <w:rPr>
                <w:rFonts w:ascii="宋体" w:hAnsi="宋体" w:hint="eastAsia"/>
              </w:rPr>
              <w:t xml:space="preserve">0.96%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6418D7" w14:textId="77777777" w:rsidR="00E3349B" w:rsidRDefault="00E3349B">
            <w:pPr>
              <w:spacing w:line="360" w:lineRule="auto"/>
              <w:jc w:val="right"/>
            </w:pPr>
            <w:r>
              <w:rPr>
                <w:rFonts w:ascii="宋体" w:hAnsi="宋体" w:hint="eastAsia"/>
              </w:rPr>
              <w:t xml:space="preserve">0.00% </w:t>
            </w:r>
          </w:p>
        </w:tc>
      </w:tr>
      <w:tr w:rsidR="00746C83" w14:paraId="4D7DE9A9" w14:textId="77777777">
        <w:trPr>
          <w:divId w:val="8701511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C7843B" w14:textId="77777777" w:rsidR="00E3349B" w:rsidRDefault="00E3349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289516" w14:textId="77777777" w:rsidR="00E3349B" w:rsidRDefault="00E3349B">
            <w:pPr>
              <w:spacing w:line="360" w:lineRule="auto"/>
              <w:jc w:val="right"/>
            </w:pPr>
            <w:r>
              <w:rPr>
                <w:rFonts w:ascii="宋体" w:hAnsi="宋体" w:hint="eastAsia"/>
              </w:rPr>
              <w:t xml:space="preserve">-3.60%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EC5C08" w14:textId="77777777" w:rsidR="00E3349B" w:rsidRDefault="00E3349B">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93A699" w14:textId="77777777" w:rsidR="00E3349B" w:rsidRDefault="00E3349B">
            <w:pPr>
              <w:spacing w:line="360" w:lineRule="auto"/>
              <w:jc w:val="right"/>
            </w:pPr>
            <w:r>
              <w:rPr>
                <w:rFonts w:ascii="宋体" w:hAnsi="宋体" w:hint="eastAsia"/>
              </w:rPr>
              <w:t xml:space="preserve">-4.49%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6B39FD" w14:textId="77777777" w:rsidR="00E3349B" w:rsidRDefault="00E3349B">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F9C62CC" w14:textId="77777777" w:rsidR="00E3349B" w:rsidRDefault="00E3349B">
            <w:pPr>
              <w:spacing w:line="360" w:lineRule="auto"/>
              <w:jc w:val="right"/>
            </w:pPr>
            <w:r>
              <w:rPr>
                <w:rFonts w:ascii="宋体" w:hAnsi="宋体" w:hint="eastAsia"/>
              </w:rPr>
              <w:t xml:space="preserve">0.89%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86F550" w14:textId="77777777" w:rsidR="00E3349B" w:rsidRDefault="00E3349B">
            <w:pPr>
              <w:spacing w:line="360" w:lineRule="auto"/>
              <w:jc w:val="right"/>
            </w:pPr>
            <w:r>
              <w:rPr>
                <w:rFonts w:ascii="宋体" w:hAnsi="宋体" w:hint="eastAsia"/>
              </w:rPr>
              <w:t xml:space="preserve">-0.01% </w:t>
            </w:r>
          </w:p>
        </w:tc>
      </w:tr>
    </w:tbl>
    <w:p w14:paraId="7279CBF0" w14:textId="77777777" w:rsidR="00E3349B" w:rsidRDefault="00E3349B">
      <w:pPr>
        <w:spacing w:line="360" w:lineRule="auto"/>
        <w:jc w:val="center"/>
        <w:divId w:val="281574980"/>
      </w:pPr>
      <w:r>
        <w:rPr>
          <w:rFonts w:ascii="宋体" w:hAnsi="宋体" w:hint="eastAsia"/>
        </w:rPr>
        <w:t>摩根中证A500ETF联接I</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46C83" w14:paraId="15D66431" w14:textId="77777777">
        <w:trPr>
          <w:divId w:val="28157498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591A455" w14:textId="77777777" w:rsidR="00E3349B" w:rsidRDefault="00E3349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5A2B50" w14:textId="77777777" w:rsidR="00E3349B" w:rsidRDefault="00E3349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3CA57B" w14:textId="77777777" w:rsidR="00E3349B" w:rsidRDefault="00E3349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A53E9E" w14:textId="77777777" w:rsidR="00E3349B" w:rsidRDefault="00E3349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60128F" w14:textId="77777777" w:rsidR="00E3349B" w:rsidRDefault="00E3349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B4C5A6" w14:textId="77777777" w:rsidR="00E3349B" w:rsidRDefault="00E3349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0F5902" w14:textId="77777777" w:rsidR="00E3349B" w:rsidRDefault="00E3349B">
            <w:pPr>
              <w:spacing w:line="360" w:lineRule="auto"/>
              <w:jc w:val="center"/>
            </w:pPr>
            <w:r>
              <w:rPr>
                <w:rFonts w:ascii="宋体" w:hAnsi="宋体" w:hint="eastAsia"/>
              </w:rPr>
              <w:t xml:space="preserve">②－④ </w:t>
            </w:r>
          </w:p>
        </w:tc>
      </w:tr>
      <w:tr w:rsidR="00746C83" w14:paraId="66F47BC9" w14:textId="77777777">
        <w:trPr>
          <w:divId w:val="2815749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CE63B2" w14:textId="77777777" w:rsidR="00E3349B" w:rsidRDefault="00E3349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D390D5" w14:textId="77777777" w:rsidR="00E3349B" w:rsidRDefault="00E3349B">
            <w:pPr>
              <w:spacing w:line="360" w:lineRule="auto"/>
              <w:jc w:val="right"/>
            </w:pPr>
            <w:r>
              <w:rPr>
                <w:rFonts w:ascii="宋体" w:hAnsi="宋体" w:hint="eastAsia"/>
              </w:rPr>
              <w:t xml:space="preserve">1.75%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682E2B" w14:textId="77777777" w:rsidR="00E3349B" w:rsidRDefault="00E3349B">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C00BF2" w14:textId="77777777" w:rsidR="00E3349B" w:rsidRDefault="00E3349B">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974B83" w14:textId="77777777" w:rsidR="00E3349B" w:rsidRDefault="00E3349B">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F389929" w14:textId="77777777" w:rsidR="00E3349B" w:rsidRDefault="00E3349B">
            <w:pPr>
              <w:spacing w:line="360" w:lineRule="auto"/>
              <w:jc w:val="right"/>
            </w:pPr>
            <w:r>
              <w:rPr>
                <w:rFonts w:ascii="宋体" w:hAnsi="宋体" w:hint="eastAsia"/>
              </w:rPr>
              <w:t xml:space="preserve">0.94%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58990E" w14:textId="77777777" w:rsidR="00E3349B" w:rsidRDefault="00E3349B">
            <w:pPr>
              <w:spacing w:line="360" w:lineRule="auto"/>
              <w:jc w:val="right"/>
            </w:pPr>
            <w:r>
              <w:rPr>
                <w:rFonts w:ascii="宋体" w:hAnsi="宋体" w:hint="eastAsia"/>
              </w:rPr>
              <w:t xml:space="preserve">0.00% </w:t>
            </w:r>
          </w:p>
        </w:tc>
      </w:tr>
      <w:tr w:rsidR="00746C83" w14:paraId="1AADD7A2" w14:textId="77777777">
        <w:trPr>
          <w:divId w:val="2815749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3DB5B8" w14:textId="77777777" w:rsidR="00E3349B" w:rsidRDefault="00E3349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713CAA" w14:textId="77777777" w:rsidR="00E3349B" w:rsidRDefault="00E3349B">
            <w:pPr>
              <w:spacing w:line="360" w:lineRule="auto"/>
              <w:jc w:val="right"/>
            </w:pPr>
            <w:r>
              <w:rPr>
                <w:rFonts w:ascii="宋体" w:hAnsi="宋体" w:hint="eastAsia"/>
              </w:rPr>
              <w:t xml:space="preserve">1.47%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314A61" w14:textId="77777777" w:rsidR="00E3349B" w:rsidRDefault="00E3349B">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FF5890" w14:textId="77777777" w:rsidR="00E3349B" w:rsidRDefault="00E3349B">
            <w:pPr>
              <w:spacing w:line="360" w:lineRule="auto"/>
              <w:jc w:val="right"/>
            </w:pPr>
            <w:r>
              <w:rPr>
                <w:rFonts w:ascii="宋体" w:hAnsi="宋体" w:hint="eastAsia"/>
              </w:rPr>
              <w:t xml:space="preserve">0.45%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F54064" w14:textId="77777777" w:rsidR="00E3349B" w:rsidRDefault="00E3349B">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BB3F905" w14:textId="77777777" w:rsidR="00E3349B" w:rsidRDefault="00E3349B">
            <w:pPr>
              <w:spacing w:line="360" w:lineRule="auto"/>
              <w:jc w:val="right"/>
            </w:pPr>
            <w:r>
              <w:rPr>
                <w:rFonts w:ascii="宋体" w:hAnsi="宋体" w:hint="eastAsia"/>
              </w:rPr>
              <w:t xml:space="preserve">1.02%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65139B" w14:textId="77777777" w:rsidR="00E3349B" w:rsidRDefault="00E3349B">
            <w:pPr>
              <w:spacing w:line="360" w:lineRule="auto"/>
              <w:jc w:val="right"/>
            </w:pPr>
            <w:r>
              <w:rPr>
                <w:rFonts w:ascii="宋体" w:hAnsi="宋体" w:hint="eastAsia"/>
              </w:rPr>
              <w:t xml:space="preserve">0.00% </w:t>
            </w:r>
          </w:p>
        </w:tc>
      </w:tr>
      <w:tr w:rsidR="00746C83" w14:paraId="52DE9B5B" w14:textId="77777777">
        <w:trPr>
          <w:divId w:val="2815749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362FC8" w14:textId="77777777" w:rsidR="00E3349B" w:rsidRDefault="00E3349B">
            <w:pPr>
              <w:spacing w:line="360" w:lineRule="auto"/>
              <w:jc w:val="center"/>
            </w:pPr>
            <w:r>
              <w:rPr>
                <w:rFonts w:ascii="宋体" w:hAnsi="宋体" w:hint="eastAsia"/>
              </w:rPr>
              <w:t>自基金合同</w:t>
            </w:r>
            <w:r>
              <w:rPr>
                <w:rFonts w:ascii="宋体" w:hAnsi="宋体" w:hint="eastAsia"/>
              </w:rPr>
              <w:lastRenderedPageBreak/>
              <w:t>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D3BB89" w14:textId="77777777" w:rsidR="00E3349B" w:rsidRDefault="00E3349B">
            <w:pPr>
              <w:spacing w:line="360" w:lineRule="auto"/>
              <w:jc w:val="right"/>
            </w:pPr>
            <w:r>
              <w:rPr>
                <w:rFonts w:ascii="宋体" w:hAnsi="宋体" w:hint="eastAsia"/>
              </w:rPr>
              <w:lastRenderedPageBreak/>
              <w:t xml:space="preserve">0.03%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CE533A" w14:textId="77777777" w:rsidR="00E3349B" w:rsidRDefault="00E3349B">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5BDDD2" w14:textId="77777777" w:rsidR="00E3349B" w:rsidRDefault="00E3349B">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597D9C" w14:textId="77777777" w:rsidR="00E3349B" w:rsidRDefault="00E3349B">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134859E" w14:textId="77777777" w:rsidR="00E3349B" w:rsidRDefault="00E3349B">
            <w:pPr>
              <w:spacing w:line="360" w:lineRule="auto"/>
              <w:jc w:val="right"/>
            </w:pPr>
            <w:r>
              <w:rPr>
                <w:rFonts w:ascii="宋体" w:hAnsi="宋体" w:hint="eastAsia"/>
              </w:rPr>
              <w:t xml:space="preserve">1.08%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6BDDD" w14:textId="77777777" w:rsidR="00E3349B" w:rsidRDefault="00E3349B">
            <w:pPr>
              <w:spacing w:line="360" w:lineRule="auto"/>
              <w:jc w:val="right"/>
            </w:pPr>
            <w:r>
              <w:rPr>
                <w:rFonts w:ascii="宋体" w:hAnsi="宋体" w:hint="eastAsia"/>
              </w:rPr>
              <w:t xml:space="preserve">0.00% </w:t>
            </w:r>
          </w:p>
        </w:tc>
      </w:tr>
    </w:tbl>
    <w:p w14:paraId="40FACFB8" w14:textId="77777777" w:rsidR="00E3349B" w:rsidRDefault="00E3349B">
      <w:pPr>
        <w:spacing w:line="360" w:lineRule="auto"/>
        <w:jc w:val="center"/>
        <w:divId w:val="1946843054"/>
      </w:pPr>
      <w:r>
        <w:rPr>
          <w:rFonts w:ascii="宋体" w:hAnsi="宋体" w:hint="eastAsia"/>
        </w:rPr>
        <w:t>摩根中证A500ETF联接Y</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46C83" w14:paraId="7F46D7C2" w14:textId="77777777">
        <w:trPr>
          <w:divId w:val="194684305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0FFA1A1" w14:textId="77777777" w:rsidR="00E3349B" w:rsidRDefault="00E3349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9E88AE3" w14:textId="77777777" w:rsidR="00E3349B" w:rsidRDefault="00E3349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24E170" w14:textId="77777777" w:rsidR="00E3349B" w:rsidRDefault="00E3349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6E9374A" w14:textId="77777777" w:rsidR="00E3349B" w:rsidRDefault="00E3349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BFAF52A" w14:textId="77777777" w:rsidR="00E3349B" w:rsidRDefault="00E3349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9C1996" w14:textId="77777777" w:rsidR="00E3349B" w:rsidRDefault="00E3349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8E545A" w14:textId="77777777" w:rsidR="00E3349B" w:rsidRDefault="00E3349B">
            <w:pPr>
              <w:spacing w:line="360" w:lineRule="auto"/>
              <w:jc w:val="center"/>
            </w:pPr>
            <w:r>
              <w:rPr>
                <w:rFonts w:ascii="宋体" w:hAnsi="宋体" w:hint="eastAsia"/>
              </w:rPr>
              <w:t xml:space="preserve">②－④ </w:t>
            </w:r>
          </w:p>
        </w:tc>
      </w:tr>
      <w:tr w:rsidR="00746C83" w14:paraId="24D32A01" w14:textId="77777777">
        <w:trPr>
          <w:divId w:val="194684305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D0303A" w14:textId="77777777" w:rsidR="00E3349B" w:rsidRDefault="00E3349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D6F98F" w14:textId="77777777" w:rsidR="00E3349B" w:rsidRDefault="00E3349B">
            <w:pPr>
              <w:spacing w:line="360" w:lineRule="auto"/>
              <w:jc w:val="right"/>
            </w:pPr>
            <w:r>
              <w:rPr>
                <w:rFonts w:ascii="宋体" w:hAnsi="宋体" w:hint="eastAsia"/>
              </w:rPr>
              <w:t xml:space="preserve">1.77%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30D0A5" w14:textId="77777777" w:rsidR="00E3349B" w:rsidRDefault="00E3349B">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C120C8" w14:textId="77777777" w:rsidR="00E3349B" w:rsidRDefault="00E3349B">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138681" w14:textId="77777777" w:rsidR="00E3349B" w:rsidRDefault="00E3349B">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D1BC16E" w14:textId="77777777" w:rsidR="00E3349B" w:rsidRDefault="00E3349B">
            <w:pPr>
              <w:spacing w:line="360" w:lineRule="auto"/>
              <w:jc w:val="right"/>
            </w:pPr>
            <w:r>
              <w:rPr>
                <w:rFonts w:ascii="宋体" w:hAnsi="宋体" w:hint="eastAsia"/>
              </w:rPr>
              <w:t xml:space="preserve">0.96%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D86623" w14:textId="77777777" w:rsidR="00E3349B" w:rsidRDefault="00E3349B">
            <w:pPr>
              <w:spacing w:line="360" w:lineRule="auto"/>
              <w:jc w:val="right"/>
            </w:pPr>
            <w:r>
              <w:rPr>
                <w:rFonts w:ascii="宋体" w:hAnsi="宋体" w:hint="eastAsia"/>
              </w:rPr>
              <w:t xml:space="preserve">0.00% </w:t>
            </w:r>
          </w:p>
        </w:tc>
      </w:tr>
      <w:tr w:rsidR="00746C83" w14:paraId="46AECD2B" w14:textId="77777777">
        <w:trPr>
          <w:divId w:val="194684305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FF214F" w14:textId="77777777" w:rsidR="00E3349B" w:rsidRDefault="00E3349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DAF55" w14:textId="77777777" w:rsidR="00E3349B" w:rsidRDefault="00E3349B">
            <w:pPr>
              <w:spacing w:line="360" w:lineRule="auto"/>
              <w:jc w:val="right"/>
            </w:pPr>
            <w:r>
              <w:rPr>
                <w:rFonts w:ascii="宋体" w:hAnsi="宋体" w:hint="eastAsia"/>
              </w:rPr>
              <w:t xml:space="preserve">1.51%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2C55B4" w14:textId="77777777" w:rsidR="00E3349B" w:rsidRDefault="00E3349B">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E09DC0" w14:textId="77777777" w:rsidR="00E3349B" w:rsidRDefault="00E3349B">
            <w:pPr>
              <w:spacing w:line="360" w:lineRule="auto"/>
              <w:jc w:val="right"/>
            </w:pPr>
            <w:r>
              <w:rPr>
                <w:rFonts w:ascii="宋体" w:hAnsi="宋体" w:hint="eastAsia"/>
              </w:rPr>
              <w:t xml:space="preserve">0.45%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10B3E7" w14:textId="77777777" w:rsidR="00E3349B" w:rsidRDefault="00E3349B">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DD286FF" w14:textId="77777777" w:rsidR="00E3349B" w:rsidRDefault="00E3349B">
            <w:pPr>
              <w:spacing w:line="360" w:lineRule="auto"/>
              <w:jc w:val="right"/>
            </w:pPr>
            <w:r>
              <w:rPr>
                <w:rFonts w:ascii="宋体" w:hAnsi="宋体" w:hint="eastAsia"/>
              </w:rPr>
              <w:t xml:space="preserve">1.06%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91DBED" w14:textId="77777777" w:rsidR="00E3349B" w:rsidRDefault="00E3349B">
            <w:pPr>
              <w:spacing w:line="360" w:lineRule="auto"/>
              <w:jc w:val="right"/>
            </w:pPr>
            <w:r>
              <w:rPr>
                <w:rFonts w:ascii="宋体" w:hAnsi="宋体" w:hint="eastAsia"/>
              </w:rPr>
              <w:t xml:space="preserve">0.00% </w:t>
            </w:r>
          </w:p>
        </w:tc>
      </w:tr>
      <w:tr w:rsidR="00746C83" w14:paraId="12D7FD4A" w14:textId="77777777">
        <w:trPr>
          <w:divId w:val="194684305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01BBB2" w14:textId="77777777" w:rsidR="00E3349B" w:rsidRDefault="00E3349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8A63AB" w14:textId="77777777" w:rsidR="00E3349B" w:rsidRDefault="00E3349B">
            <w:pPr>
              <w:spacing w:line="360" w:lineRule="auto"/>
              <w:jc w:val="right"/>
            </w:pPr>
            <w:r>
              <w:rPr>
                <w:rFonts w:ascii="宋体" w:hAnsi="宋体" w:hint="eastAsia"/>
              </w:rPr>
              <w:t xml:space="preserve">0.73%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1E8650" w14:textId="77777777" w:rsidR="00E3349B" w:rsidRDefault="00E3349B">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139A2E" w14:textId="77777777" w:rsidR="00E3349B" w:rsidRDefault="00E3349B">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0EBEEF" w14:textId="77777777" w:rsidR="00E3349B" w:rsidRDefault="00E3349B">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1BFCA11" w14:textId="77777777" w:rsidR="00E3349B" w:rsidRDefault="00E3349B">
            <w:pPr>
              <w:spacing w:line="360" w:lineRule="auto"/>
              <w:jc w:val="right"/>
            </w:pPr>
            <w:r>
              <w:rPr>
                <w:rFonts w:ascii="宋体" w:hAnsi="宋体" w:hint="eastAsia"/>
              </w:rPr>
              <w:t xml:space="preserve">1.12%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7AF97" w14:textId="77777777" w:rsidR="00E3349B" w:rsidRDefault="00E3349B">
            <w:pPr>
              <w:spacing w:line="360" w:lineRule="auto"/>
              <w:jc w:val="right"/>
            </w:pPr>
            <w:r>
              <w:rPr>
                <w:rFonts w:ascii="宋体" w:hAnsi="宋体" w:hint="eastAsia"/>
              </w:rPr>
              <w:t xml:space="preserve">0.00% </w:t>
            </w:r>
          </w:p>
        </w:tc>
      </w:tr>
    </w:tbl>
    <w:p w14:paraId="031CB3AA" w14:textId="77777777" w:rsidR="00E3349B" w:rsidRDefault="00E3349B">
      <w:pPr>
        <w:pStyle w:val="XBRLTitle3"/>
        <w:numPr>
          <w:ilvl w:val="2"/>
          <w:numId w:val="2"/>
        </w:numPr>
        <w:spacing w:before="156"/>
        <w:ind w:left="0" w:firstLine="0"/>
      </w:pPr>
      <w:bookmarkStart w:id="68" w:name="_Toc17881672"/>
      <w:bookmarkStart w:id="69" w:name="_Toc492299869"/>
      <w:bookmarkStart w:id="70" w:name="_Toc466644453"/>
      <w:bookmarkStart w:id="71" w:name="_Toc447872915"/>
      <w:r>
        <w:rPr>
          <w:rFonts w:hAnsi="宋体" w:hint="eastAsia"/>
        </w:rPr>
        <w:t>自基金合同生效以来基金累计净值增长率变动及其与同期业绩比较基准收益率变动的比较</w:t>
      </w:r>
      <w:bookmarkEnd w:id="68"/>
      <w:bookmarkEnd w:id="69"/>
      <w:bookmarkEnd w:id="70"/>
      <w:bookmarkEnd w:id="71"/>
      <w:r>
        <w:rPr>
          <w:rStyle w:val="spelle"/>
          <w:rFonts w:hAnsi="宋体" w:hint="eastAsia"/>
        </w:rPr>
        <w:t xml:space="preserve"> </w:t>
      </w:r>
    </w:p>
    <w:p w14:paraId="7F252193" w14:textId="77777777" w:rsidR="00E3349B" w:rsidRDefault="00E3349B">
      <w:pPr>
        <w:spacing w:line="360" w:lineRule="auto"/>
        <w:jc w:val="left"/>
        <w:divId w:val="2037459793"/>
      </w:pPr>
      <w:bookmarkStart w:id="72" w:name="m07_04_07_09_tab"/>
      <w:bookmarkStart w:id="73" w:name="m07_04_07_09"/>
      <w:r>
        <w:rPr>
          <w:rFonts w:ascii="宋体" w:hAnsi="宋体" w:hint="eastAsia"/>
          <w:noProof/>
        </w:rPr>
        <w:drawing>
          <wp:inline distT="0" distB="0" distL="0" distR="0" wp14:anchorId="7BD35BBD" wp14:editId="7673513A">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4E85F3AC" w14:textId="77777777" w:rsidR="00E3349B" w:rsidRDefault="00E3349B">
      <w:pPr>
        <w:spacing w:line="360" w:lineRule="auto"/>
        <w:jc w:val="left"/>
        <w:divId w:val="1500270440"/>
      </w:pPr>
      <w:r>
        <w:rPr>
          <w:rFonts w:ascii="宋体" w:hAnsi="宋体" w:hint="eastAsia"/>
          <w:noProof/>
        </w:rPr>
        <w:lastRenderedPageBreak/>
        <w:drawing>
          <wp:inline distT="0" distB="0" distL="0" distR="0" wp14:anchorId="410009BE" wp14:editId="3982989D">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3E1F437" w14:textId="77777777" w:rsidR="00E3349B" w:rsidRDefault="00E3349B">
      <w:pPr>
        <w:spacing w:line="360" w:lineRule="auto"/>
        <w:jc w:val="left"/>
        <w:divId w:val="2016567941"/>
      </w:pPr>
      <w:r>
        <w:rPr>
          <w:rFonts w:ascii="宋体" w:hAnsi="宋体" w:hint="eastAsia"/>
          <w:noProof/>
        </w:rPr>
        <w:drawing>
          <wp:inline distT="0" distB="0" distL="0" distR="0" wp14:anchorId="622589A9" wp14:editId="551F154D">
            <wp:extent cx="5229860" cy="301117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E629695" w14:textId="77777777" w:rsidR="00E3349B" w:rsidRDefault="00E3349B">
      <w:pPr>
        <w:spacing w:line="360" w:lineRule="auto"/>
        <w:jc w:val="left"/>
        <w:divId w:val="613292541"/>
      </w:pPr>
      <w:r>
        <w:rPr>
          <w:rFonts w:ascii="宋体" w:hAnsi="宋体" w:hint="eastAsia"/>
          <w:noProof/>
        </w:rPr>
        <w:lastRenderedPageBreak/>
        <w:drawing>
          <wp:inline distT="0" distB="0" distL="0" distR="0" wp14:anchorId="2480FCF2" wp14:editId="03749ED1">
            <wp:extent cx="5229860" cy="301117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5DEDED9A" w14:textId="77777777" w:rsidR="009254A7" w:rsidRDefault="00E3349B">
      <w:pPr>
        <w:spacing w:line="360" w:lineRule="auto"/>
        <w:rPr>
          <w:rFonts w:ascii="宋体" w:hAnsi="宋体" w:hint="eastAsia"/>
          <w:lang w:eastAsia="zh-Hans"/>
        </w:rPr>
      </w:pPr>
      <w:r>
        <w:rPr>
          <w:rFonts w:ascii="宋体" w:hAnsi="宋体" w:hint="eastAsia"/>
        </w:rPr>
        <w:t>注：</w:t>
      </w:r>
      <w:r>
        <w:rPr>
          <w:rFonts w:ascii="宋体" w:hAnsi="宋体" w:hint="eastAsia"/>
          <w:lang w:eastAsia="zh-Hans"/>
        </w:rPr>
        <w:t>本基金合同生效日为2024年11月11日，截至本报告期末本基金合同生效未满一年。</w:t>
      </w:r>
    </w:p>
    <w:p w14:paraId="7737993C" w14:textId="6F8861AA" w:rsidR="00E3349B" w:rsidRDefault="009254A7" w:rsidP="009254A7">
      <w:pPr>
        <w:spacing w:line="360" w:lineRule="auto"/>
        <w:ind w:left="420"/>
      </w:pPr>
      <w:r>
        <w:rPr>
          <w:rFonts w:ascii="宋体" w:hAnsi="宋体" w:hint="eastAsia"/>
          <w:lang w:eastAsia="zh-Hans"/>
        </w:rPr>
        <w:t>本基金自 2024年12月9日起增加I类份额，相关数据按实际存续期计算。</w:t>
      </w:r>
      <w:r>
        <w:rPr>
          <w:rFonts w:ascii="宋体" w:hAnsi="宋体" w:hint="eastAsia"/>
          <w:lang w:eastAsia="zh-Hans"/>
        </w:rPr>
        <w:br/>
        <w:t>本基金自 2024年12月13日起增加Y类份额，相关数据按实际存续期计算。</w:t>
      </w:r>
      <w:r w:rsidR="00E3349B">
        <w:rPr>
          <w:rFonts w:ascii="宋体" w:hAnsi="宋体" w:hint="eastAsia"/>
          <w:lang w:eastAsia="zh-Hans"/>
        </w:rPr>
        <w:br/>
        <w:t>本基金建仓期为本基金合同生效日起　6　个月，建仓期结束时资产配置比例符合本基金基金合同规定。</w:t>
      </w:r>
      <w:r w:rsidR="00E3349B">
        <w:rPr>
          <w:rFonts w:ascii="宋体" w:hAnsi="宋体" w:hint="eastAsia"/>
          <w:kern w:val="0"/>
          <w:lang w:eastAsia="zh-Hans"/>
        </w:rPr>
        <w:t xml:space="preserve"> </w:t>
      </w:r>
      <w:bookmarkEnd w:id="72"/>
      <w:bookmarkEnd w:id="73"/>
      <w:bookmarkEnd w:id="15"/>
    </w:p>
    <w:p w14:paraId="2AFE7B19" w14:textId="77777777" w:rsidR="00E3349B" w:rsidRDefault="00E3349B">
      <w:pPr>
        <w:pStyle w:val="XBRLTitle1"/>
        <w:spacing w:before="156"/>
        <w:ind w:left="425"/>
      </w:pPr>
      <w:bookmarkStart w:id="74" w:name="_Toc17881674"/>
      <w:bookmarkStart w:id="75" w:name="_Toc492299870"/>
      <w:bookmarkStart w:id="76" w:name="_Toc466644454"/>
      <w:bookmarkStart w:id="77" w:name="_Toc447872916"/>
      <w:bookmarkStart w:id="78" w:name="_Toc438646458"/>
      <w:bookmarkStart w:id="79" w:name="_Toc512627220"/>
      <w:bookmarkStart w:id="80" w:name="_Toc512694300"/>
      <w:r>
        <w:rPr>
          <w:rFonts w:hAnsi="宋体" w:hint="eastAsia"/>
        </w:rPr>
        <w:t>管理人报告</w:t>
      </w:r>
      <w:bookmarkEnd w:id="74"/>
      <w:bookmarkEnd w:id="75"/>
      <w:bookmarkEnd w:id="76"/>
      <w:bookmarkEnd w:id="77"/>
      <w:bookmarkEnd w:id="78"/>
      <w:bookmarkEnd w:id="79"/>
      <w:bookmarkEnd w:id="80"/>
      <w:r>
        <w:rPr>
          <w:rFonts w:hAnsi="宋体" w:hint="eastAsia"/>
        </w:rPr>
        <w:t xml:space="preserve"> </w:t>
      </w:r>
    </w:p>
    <w:p w14:paraId="7FC541EC" w14:textId="77777777" w:rsidR="00E3349B" w:rsidRDefault="00E3349B">
      <w:pPr>
        <w:pStyle w:val="XBRLTitle2"/>
        <w:spacing w:before="156"/>
        <w:ind w:left="454"/>
      </w:pPr>
      <w:bookmarkStart w:id="81" w:name="_Toc17881675"/>
      <w:bookmarkStart w:id="82" w:name="_Toc492299871"/>
      <w:bookmarkStart w:id="83" w:name="_Toc466644455"/>
      <w:bookmarkStart w:id="84" w:name="_Toc447872917"/>
      <w:bookmarkStart w:id="85" w:name="_Toc438646459"/>
      <w:bookmarkStart w:id="86" w:name="_Toc512627221"/>
      <w:bookmarkStart w:id="87" w:name="_Toc512694301"/>
      <w:r>
        <w:rPr>
          <w:rFonts w:hAnsi="宋体" w:hint="eastAsia"/>
        </w:rPr>
        <w:t>基金经理（或基金经理小组）简介</w:t>
      </w:r>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746C83" w14:paraId="74E870AC" w14:textId="77777777">
        <w:trPr>
          <w:divId w:val="174085736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7F04C0" w14:textId="77777777" w:rsidR="00E3349B" w:rsidRDefault="00E3349B">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62A12" w14:textId="77777777" w:rsidR="00E3349B" w:rsidRDefault="00E3349B">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8B2BB" w14:textId="77777777" w:rsidR="00E3349B" w:rsidRDefault="00E3349B">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D80A2" w14:textId="77777777" w:rsidR="00E3349B" w:rsidRDefault="00E3349B">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DC9261" w14:textId="77777777" w:rsidR="00E3349B" w:rsidRDefault="00E3349B">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746C83" w14:paraId="0C673E2C" w14:textId="77777777">
        <w:trPr>
          <w:divId w:val="174085736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763BC" w14:textId="77777777" w:rsidR="00E3349B" w:rsidRDefault="00E3349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9D07B" w14:textId="77777777" w:rsidR="00E3349B" w:rsidRDefault="00E3349B">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FC677" w14:textId="77777777" w:rsidR="00E3349B" w:rsidRDefault="00E3349B">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D9D85" w14:textId="77777777" w:rsidR="00E3349B" w:rsidRDefault="00E3349B">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0CC70" w14:textId="77777777" w:rsidR="00E3349B" w:rsidRDefault="00E3349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FA55A" w14:textId="77777777" w:rsidR="00E3349B" w:rsidRDefault="00E3349B">
            <w:pPr>
              <w:widowControl/>
              <w:jc w:val="left"/>
            </w:pPr>
          </w:p>
        </w:tc>
      </w:tr>
      <w:tr w:rsidR="00746C83" w14:paraId="4C54E341" w14:textId="77777777">
        <w:trPr>
          <w:divId w:val="174085736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C8D49B" w14:textId="77777777" w:rsidR="00E3349B" w:rsidRDefault="00E3349B">
            <w:pPr>
              <w:jc w:val="center"/>
            </w:pPr>
            <w:r>
              <w:rPr>
                <w:rFonts w:ascii="宋体" w:hAnsi="宋体" w:hint="eastAsia"/>
                <w:szCs w:val="24"/>
                <w:lang w:eastAsia="zh-Hans"/>
              </w:rPr>
              <w:t>韩秀一</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91281C" w14:textId="77777777" w:rsidR="00E3349B" w:rsidRDefault="00E3349B">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C7FEF" w14:textId="77777777" w:rsidR="00E3349B" w:rsidRDefault="00E3349B">
            <w:pPr>
              <w:jc w:val="center"/>
            </w:pPr>
            <w:r>
              <w:rPr>
                <w:rFonts w:ascii="宋体" w:hAnsi="宋体" w:hint="eastAsia"/>
                <w:szCs w:val="24"/>
                <w:lang w:eastAsia="zh-Hans"/>
              </w:rPr>
              <w:t>2024年11月11日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84AB6C" w14:textId="77777777" w:rsidR="00E3349B" w:rsidRDefault="00E3349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11F88" w14:textId="77777777" w:rsidR="00E3349B" w:rsidRDefault="00E3349B">
            <w:pPr>
              <w:jc w:val="center"/>
            </w:pPr>
            <w:r>
              <w:rPr>
                <w:rFonts w:ascii="宋体" w:hAnsi="宋体" w:hint="eastAsia"/>
                <w:szCs w:val="24"/>
                <w:lang w:eastAsia="zh-Hans"/>
              </w:rPr>
              <w:t>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138152" w14:textId="77777777" w:rsidR="00E3349B" w:rsidRDefault="00E3349B">
            <w:pPr>
              <w:jc w:val="left"/>
            </w:pPr>
            <w:r>
              <w:rPr>
                <w:rFonts w:ascii="宋体" w:hAnsi="宋体" w:hint="eastAsia"/>
                <w:szCs w:val="24"/>
                <w:lang w:eastAsia="zh-Hans"/>
              </w:rPr>
              <w:t>韩秀一先生曾任中国国际金融股份有限公司资产管理部分析员。自2020年7月加入摩根基金管理（中国）有限公司（原上投摩根基金管理有限公司），历任研究员、研究员兼投资经理助理，现任指数及量化投资部基金经理。</w:t>
            </w:r>
          </w:p>
        </w:tc>
      </w:tr>
    </w:tbl>
    <w:p w14:paraId="6F9F24DA" w14:textId="77777777" w:rsidR="00E3349B" w:rsidRDefault="00E3349B">
      <w:pPr>
        <w:wordWrap w:val="0"/>
        <w:spacing w:line="360" w:lineRule="auto"/>
        <w:jc w:val="left"/>
        <w:divId w:val="425854800"/>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4755C325" w14:textId="77777777" w:rsidR="00E3349B" w:rsidRDefault="00E3349B">
      <w:pPr>
        <w:pStyle w:val="XBRLTitle2"/>
        <w:spacing w:before="156"/>
        <w:ind w:left="454"/>
      </w:pPr>
      <w:bookmarkStart w:id="89" w:name="_Toc17881676"/>
      <w:bookmarkStart w:id="90" w:name="_Toc492299872"/>
      <w:bookmarkStart w:id="91" w:name="_Toc466644456"/>
      <w:bookmarkStart w:id="92" w:name="_Toc447872918"/>
      <w:bookmarkStart w:id="93" w:name="_Toc438646460"/>
      <w:bookmarkStart w:id="94" w:name="_Toc512627222"/>
      <w:bookmarkStart w:id="95" w:name="_Toc512694302"/>
      <w:bookmarkStart w:id="96" w:name="m402"/>
      <w:r>
        <w:rPr>
          <w:rFonts w:hAnsi="宋体" w:hint="eastAsia"/>
          <w:lang w:eastAsia="zh-CN"/>
        </w:rPr>
        <w:t>管理人对报告期内本基金运作遵规守信情况的说明</w:t>
      </w:r>
      <w:bookmarkEnd w:id="89"/>
      <w:bookmarkEnd w:id="90"/>
      <w:bookmarkEnd w:id="91"/>
      <w:bookmarkEnd w:id="92"/>
      <w:bookmarkEnd w:id="93"/>
      <w:bookmarkEnd w:id="94"/>
      <w:bookmarkEnd w:id="95"/>
      <w:r>
        <w:rPr>
          <w:rFonts w:hAnsi="宋体" w:hint="eastAsia"/>
        </w:rPr>
        <w:t xml:space="preserve"> </w:t>
      </w:r>
      <w:bookmarkEnd w:id="96"/>
    </w:p>
    <w:p w14:paraId="402C3756" w14:textId="77777777" w:rsidR="00E3349B" w:rsidRDefault="00E3349B">
      <w:pPr>
        <w:spacing w:line="360" w:lineRule="auto"/>
        <w:ind w:firstLineChars="200" w:firstLine="420"/>
        <w:jc w:val="left"/>
      </w:pPr>
      <w:bookmarkStart w:id="97" w:name="m404_01_0570"/>
      <w:r>
        <w:rPr>
          <w:rFonts w:ascii="宋体" w:hAnsi="宋体" w:cs="宋体" w:hint="eastAsia"/>
          <w:color w:val="000000"/>
          <w:kern w:val="0"/>
        </w:rPr>
        <w:t>在本报告期内，基金管理人不存在损害基金份额持有人利益的行为，在控制风险的前提下，</w:t>
      </w:r>
      <w:r>
        <w:rPr>
          <w:rFonts w:ascii="宋体" w:hAnsi="宋体" w:cs="宋体" w:hint="eastAsia"/>
          <w:color w:val="000000"/>
          <w:kern w:val="0"/>
        </w:rPr>
        <w:lastRenderedPageBreak/>
        <w:t>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7B53B05C" w14:textId="77777777" w:rsidR="00E3349B" w:rsidRDefault="00E3349B">
      <w:pPr>
        <w:pStyle w:val="XBRLTitle2"/>
        <w:spacing w:before="156"/>
        <w:ind w:left="454"/>
      </w:pPr>
      <w:bookmarkStart w:id="98" w:name="m403"/>
      <w:bookmarkStart w:id="99" w:name="_Toc492299873"/>
      <w:bookmarkStart w:id="100" w:name="_Toc466644457"/>
      <w:bookmarkStart w:id="101" w:name="_Toc447872919"/>
      <w:bookmarkStart w:id="102" w:name="_Toc438646462"/>
      <w:bookmarkStart w:id="103" w:name="_Toc512627223"/>
      <w:bookmarkStart w:id="104" w:name="_Toc512694303"/>
      <w:bookmarkStart w:id="105" w:name="_Toc17881677"/>
      <w:bookmarkEnd w:id="98"/>
      <w:r>
        <w:rPr>
          <w:rFonts w:hAnsi="宋体" w:hint="eastAsia"/>
        </w:rPr>
        <w:t>公平交易专项说明</w:t>
      </w:r>
      <w:bookmarkEnd w:id="99"/>
      <w:bookmarkEnd w:id="100"/>
      <w:bookmarkEnd w:id="101"/>
      <w:bookmarkEnd w:id="102"/>
      <w:bookmarkEnd w:id="103"/>
      <w:bookmarkEnd w:id="104"/>
      <w:bookmarkEnd w:id="105"/>
      <w:r>
        <w:rPr>
          <w:rFonts w:hAnsi="宋体" w:hint="eastAsia"/>
        </w:rPr>
        <w:t xml:space="preserve"> </w:t>
      </w:r>
    </w:p>
    <w:p w14:paraId="54A1BC9F" w14:textId="77777777" w:rsidR="00E3349B" w:rsidRDefault="00E3349B">
      <w:pPr>
        <w:pStyle w:val="XBRLTitle3"/>
        <w:numPr>
          <w:ilvl w:val="2"/>
          <w:numId w:val="2"/>
        </w:numPr>
        <w:spacing w:before="156"/>
        <w:ind w:left="0" w:firstLine="0"/>
      </w:pPr>
      <w:bookmarkStart w:id="106" w:name="_Toc17881678"/>
      <w:bookmarkStart w:id="107" w:name="_Toc492299874"/>
      <w:bookmarkStart w:id="108" w:name="_Toc466644458"/>
      <w:bookmarkStart w:id="109" w:name="_Toc447872920"/>
      <w:r>
        <w:rPr>
          <w:rFonts w:hAnsi="宋体" w:hint="eastAsia"/>
        </w:rPr>
        <w:t>公平交易制度的执行情况</w:t>
      </w:r>
      <w:bookmarkEnd w:id="106"/>
      <w:bookmarkEnd w:id="107"/>
      <w:bookmarkEnd w:id="108"/>
      <w:bookmarkEnd w:id="109"/>
    </w:p>
    <w:p w14:paraId="5BCDFBB3" w14:textId="77777777" w:rsidR="00E3349B" w:rsidRDefault="00E3349B">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083DD700" w14:textId="77777777" w:rsidR="00E3349B" w:rsidRDefault="00E3349B">
      <w:pPr>
        <w:pStyle w:val="XBRLTitle3"/>
        <w:numPr>
          <w:ilvl w:val="2"/>
          <w:numId w:val="2"/>
        </w:numPr>
        <w:spacing w:before="156"/>
        <w:ind w:left="0" w:firstLine="0"/>
      </w:pPr>
      <w:bookmarkStart w:id="110" w:name="_Toc17881679"/>
      <w:bookmarkStart w:id="111" w:name="_Toc492299875"/>
      <w:bookmarkStart w:id="112" w:name="_Toc466644459"/>
      <w:bookmarkStart w:id="113" w:name="_Toc447872921"/>
      <w:bookmarkStart w:id="114" w:name="m404_01_0578"/>
      <w:bookmarkEnd w:id="97"/>
      <w:r>
        <w:rPr>
          <w:rFonts w:hAnsi="宋体" w:hint="eastAsia"/>
        </w:rPr>
        <w:t>异常交易行为的专项说明</w:t>
      </w:r>
      <w:bookmarkEnd w:id="110"/>
      <w:bookmarkEnd w:id="111"/>
      <w:bookmarkEnd w:id="112"/>
      <w:bookmarkEnd w:id="113"/>
    </w:p>
    <w:p w14:paraId="476DCDBA" w14:textId="77777777" w:rsidR="00E3349B" w:rsidRDefault="00E3349B">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5A7A3149" w14:textId="77777777" w:rsidR="00E3349B" w:rsidRDefault="00E3349B">
      <w:pPr>
        <w:pStyle w:val="XBRLTitle2"/>
        <w:spacing w:before="156"/>
        <w:ind w:left="454"/>
      </w:pPr>
      <w:bookmarkStart w:id="115" w:name="_Toc17881680"/>
      <w:bookmarkStart w:id="116" w:name="_Toc492299876"/>
      <w:bookmarkStart w:id="117" w:name="_Toc466644460"/>
      <w:bookmarkStart w:id="118" w:name="_Toc447872922"/>
      <w:bookmarkStart w:id="119" w:name="_Toc438646463"/>
      <w:bookmarkStart w:id="120" w:name="_Toc512627224"/>
      <w:bookmarkStart w:id="121" w:name="_Toc512694304"/>
      <w:bookmarkEnd w:id="114"/>
      <w:r>
        <w:rPr>
          <w:rFonts w:hAnsi="宋体" w:hint="eastAsia"/>
        </w:rPr>
        <w:t>报告期内基金的投资策略和运作分析</w:t>
      </w:r>
      <w:bookmarkEnd w:id="115"/>
      <w:bookmarkEnd w:id="116"/>
      <w:bookmarkEnd w:id="117"/>
      <w:bookmarkEnd w:id="118"/>
      <w:bookmarkEnd w:id="119"/>
      <w:bookmarkEnd w:id="120"/>
      <w:bookmarkEnd w:id="121"/>
      <w:r>
        <w:rPr>
          <w:rFonts w:hAnsi="宋体" w:hint="eastAsia"/>
        </w:rPr>
        <w:t xml:space="preserve"> </w:t>
      </w:r>
    </w:p>
    <w:p w14:paraId="1CC199C2" w14:textId="61988B13" w:rsidR="00E3349B" w:rsidRDefault="00E3349B">
      <w:pPr>
        <w:spacing w:line="360" w:lineRule="auto"/>
        <w:ind w:firstLineChars="200" w:firstLine="420"/>
        <w:jc w:val="left"/>
      </w:pPr>
      <w:bookmarkStart w:id="122" w:name="m405_01_2550"/>
      <w:r>
        <w:rPr>
          <w:rFonts w:ascii="宋体" w:hAnsi="宋体" w:cs="宋体" w:hint="eastAsia"/>
          <w:color w:val="000000"/>
          <w:kern w:val="0"/>
        </w:rPr>
        <w:t>四月份以来，全球市场出现震荡，国内权益市场呈现“V”型走势。市场整体呈现出小盘强、大盘弱的格局。二季度中证A50下跌0.98%，中证A500涨幅0.84%，中证1000涨幅2.08%，中证2000涨幅7.62%。原因是A股站在新一轮扩张周期的起点，但考虑到贸易关税扰动企业经营和扩张的预期，本轮新周期的初期弹性偏弱，反而是场内充裕的流动性推动小微盘股票结构化行情。同时上半年量化私募在小微盘的超额吸引了投资者的资金，进一步助推小微盘的资金流流入。但目前我们认为，大盘蓝筹指数经过调整已经到了配置性价比的时点。本基金采用被动投资的方法跟踪标的指数，争取跟踪误差保持在合理范围内。</w:t>
      </w:r>
      <w:r>
        <w:rPr>
          <w:rFonts w:ascii="宋体" w:hAnsi="宋体" w:cs="宋体" w:hint="eastAsia"/>
          <w:color w:val="000000"/>
          <w:kern w:val="0"/>
        </w:rPr>
        <w:br/>
        <w:t xml:space="preserve">　　从</w:t>
      </w:r>
      <w:proofErr w:type="gramStart"/>
      <w:r>
        <w:rPr>
          <w:rFonts w:ascii="宋体" w:hAnsi="宋体" w:cs="宋体" w:hint="eastAsia"/>
          <w:color w:val="000000"/>
          <w:kern w:val="0"/>
        </w:rPr>
        <w:t>一</w:t>
      </w:r>
      <w:proofErr w:type="gramEnd"/>
      <w:r>
        <w:rPr>
          <w:rFonts w:ascii="宋体" w:hAnsi="宋体" w:cs="宋体" w:hint="eastAsia"/>
          <w:color w:val="000000"/>
          <w:kern w:val="0"/>
        </w:rPr>
        <w:t>季报基本面来看，可以发现A</w:t>
      </w:r>
      <w:proofErr w:type="gramStart"/>
      <w:r>
        <w:rPr>
          <w:rFonts w:ascii="宋体" w:hAnsi="宋体" w:cs="宋体" w:hint="eastAsia"/>
          <w:color w:val="000000"/>
          <w:kern w:val="0"/>
        </w:rPr>
        <w:t>股非金融</w:t>
      </w:r>
      <w:proofErr w:type="gramEnd"/>
      <w:r>
        <w:rPr>
          <w:rFonts w:ascii="宋体" w:hAnsi="宋体" w:cs="宋体" w:hint="eastAsia"/>
          <w:color w:val="000000"/>
          <w:kern w:val="0"/>
        </w:rPr>
        <w:t>企业结束了连续8个季度的利润负增长，2025</w:t>
      </w:r>
      <w:r>
        <w:rPr>
          <w:rFonts w:ascii="宋体" w:hAnsi="宋体" w:cs="宋体" w:hint="eastAsia"/>
          <w:color w:val="000000"/>
          <w:kern w:val="0"/>
        </w:rPr>
        <w:lastRenderedPageBreak/>
        <w:t>年一季度累计净利润同比增速为+4.2%。A股企业盈利情况已经探底回升，后续弹性仍有待观察。同时看到企业的内生动能开始转暖。企业毛利率和净利率出现小幅反弹，资产</w:t>
      </w:r>
      <w:proofErr w:type="gramStart"/>
      <w:r>
        <w:rPr>
          <w:rFonts w:ascii="宋体" w:hAnsi="宋体" w:cs="宋体" w:hint="eastAsia"/>
          <w:color w:val="000000"/>
          <w:kern w:val="0"/>
        </w:rPr>
        <w:t>负债率企稳</w:t>
      </w:r>
      <w:proofErr w:type="gramEnd"/>
      <w:r>
        <w:rPr>
          <w:rFonts w:ascii="宋体" w:hAnsi="宋体" w:cs="宋体" w:hint="eastAsia"/>
          <w:color w:val="000000"/>
          <w:kern w:val="0"/>
        </w:rPr>
        <w:t>，主要经营现金流好转。</w:t>
      </w:r>
      <w:r>
        <w:rPr>
          <w:rFonts w:ascii="宋体" w:hAnsi="宋体" w:cs="宋体" w:hint="eastAsia"/>
          <w:color w:val="000000"/>
          <w:kern w:val="0"/>
        </w:rPr>
        <w:br/>
        <w:t xml:space="preserve">　　截止到2025年二季度，中证A500指数最新估值回落到13.9倍左右，股息</w:t>
      </w:r>
      <w:proofErr w:type="gramStart"/>
      <w:r>
        <w:rPr>
          <w:rFonts w:ascii="宋体" w:hAnsi="宋体" w:cs="宋体" w:hint="eastAsia"/>
          <w:color w:val="000000"/>
          <w:kern w:val="0"/>
        </w:rPr>
        <w:t>率经过</w:t>
      </w:r>
      <w:proofErr w:type="gramEnd"/>
      <w:r>
        <w:rPr>
          <w:rFonts w:ascii="宋体" w:hAnsi="宋体" w:cs="宋体" w:hint="eastAsia"/>
          <w:color w:val="000000"/>
          <w:kern w:val="0"/>
        </w:rPr>
        <w:t>指数成分调整回升至3%附近，处于比较有性价比的配置区间。二季度国内十年期国债利率进一步下行，从1.80%左右下降到1.65%左右，使得高股息资产仍然有着比较强的吸引力。今年港股大幅跑赢A股，AH溢价已经回落到130左右，处于5年来的低点。考虑到两地市场的分红税率的差异，A</w:t>
      </w:r>
      <w:proofErr w:type="gramStart"/>
      <w:r>
        <w:rPr>
          <w:rFonts w:ascii="宋体" w:hAnsi="宋体" w:cs="宋体" w:hint="eastAsia"/>
          <w:color w:val="000000"/>
          <w:kern w:val="0"/>
        </w:rPr>
        <w:t>股蓝筹</w:t>
      </w:r>
      <w:proofErr w:type="gramEnd"/>
      <w:r>
        <w:rPr>
          <w:rFonts w:ascii="宋体" w:hAnsi="宋体" w:cs="宋体" w:hint="eastAsia"/>
          <w:color w:val="000000"/>
          <w:kern w:val="0"/>
        </w:rPr>
        <w:t>指数的性价比开始凸显。伴随着成本改善、股东回报力度和稳定度增强，行业龙头的ROE已领先全A非金融开始回升，市场的重估逻辑有望从流动性驱动到增强潜力驱动。</w:t>
      </w:r>
      <w:r>
        <w:rPr>
          <w:rFonts w:ascii="宋体" w:hAnsi="宋体" w:cs="宋体" w:hint="eastAsia"/>
          <w:color w:val="000000"/>
          <w:kern w:val="0"/>
        </w:rPr>
        <w:br/>
        <w:t xml:space="preserve">　　公</w:t>
      </w:r>
      <w:proofErr w:type="gramStart"/>
      <w:r>
        <w:rPr>
          <w:rFonts w:ascii="宋体" w:hAnsi="宋体" w:cs="宋体" w:hint="eastAsia"/>
          <w:color w:val="000000"/>
          <w:kern w:val="0"/>
        </w:rPr>
        <w:t>募基金</w:t>
      </w:r>
      <w:proofErr w:type="gramEnd"/>
      <w:r>
        <w:rPr>
          <w:rFonts w:ascii="宋体" w:hAnsi="宋体" w:cs="宋体" w:hint="eastAsia"/>
          <w:color w:val="000000"/>
          <w:kern w:val="0"/>
        </w:rPr>
        <w:t>改革背景下政策强调公</w:t>
      </w:r>
      <w:proofErr w:type="gramStart"/>
      <w:r>
        <w:rPr>
          <w:rFonts w:ascii="宋体" w:hAnsi="宋体" w:cs="宋体" w:hint="eastAsia"/>
          <w:color w:val="000000"/>
          <w:kern w:val="0"/>
        </w:rPr>
        <w:t>募产品</w:t>
      </w:r>
      <w:proofErr w:type="gramEnd"/>
      <w:r>
        <w:rPr>
          <w:rFonts w:ascii="宋体" w:hAnsi="宋体" w:cs="宋体" w:hint="eastAsia"/>
          <w:color w:val="000000"/>
          <w:kern w:val="0"/>
        </w:rPr>
        <w:t>相对基准的超额收益，并设立奖惩制度，未来基准指数的重要性有望进一步提升，中证A500作为兼具均衡和代表性</w:t>
      </w:r>
      <w:proofErr w:type="gramStart"/>
      <w:r>
        <w:rPr>
          <w:rFonts w:ascii="宋体" w:hAnsi="宋体" w:cs="宋体" w:hint="eastAsia"/>
          <w:color w:val="000000"/>
          <w:kern w:val="0"/>
        </w:rPr>
        <w:t>的宽基指数</w:t>
      </w:r>
      <w:proofErr w:type="gramEnd"/>
      <w:r>
        <w:rPr>
          <w:rFonts w:ascii="宋体" w:hAnsi="宋体" w:cs="宋体" w:hint="eastAsia"/>
          <w:color w:val="000000"/>
          <w:kern w:val="0"/>
        </w:rPr>
        <w:t>，有望看到主动权益基金基准向中证A500转移。中证A500当前PE-TTM处于近10年中位数附近，显著</w:t>
      </w:r>
      <w:proofErr w:type="gramStart"/>
      <w:r>
        <w:rPr>
          <w:rFonts w:ascii="宋体" w:hAnsi="宋体" w:cs="宋体" w:hint="eastAsia"/>
          <w:color w:val="000000"/>
          <w:kern w:val="0"/>
        </w:rPr>
        <w:t>低于科创</w:t>
      </w:r>
      <w:proofErr w:type="gramEnd"/>
      <w:r>
        <w:rPr>
          <w:rFonts w:ascii="宋体" w:hAnsi="宋体" w:cs="宋体" w:hint="eastAsia"/>
          <w:color w:val="000000"/>
          <w:kern w:val="0"/>
        </w:rPr>
        <w:t>50、中证1000、中证2000等指数。</w:t>
      </w:r>
      <w:r>
        <w:rPr>
          <w:rFonts w:ascii="宋体" w:hAnsi="宋体" w:cs="宋体" w:hint="eastAsia"/>
          <w:color w:val="000000"/>
          <w:kern w:val="0"/>
        </w:rPr>
        <w:br/>
        <w:t xml:space="preserve">　　海外方面，从美国开始“关税战”以来，大家开始担忧美国债务问题的纪律性，所以资金开始向相对低估的非美市场流入，欧洲首先受益比较明显，国内近期人民币相对其他非美货币开始补涨，汇率从7.35左右升值到7.16左右，利好海外投资者的流入。海外投资者普遍对中国经济和消费的逐步复苏持更积极态度，中国核心资产的估值仍然在全球范围内相对低估，消费政策预期等催化下配置</w:t>
      </w:r>
      <w:proofErr w:type="gramStart"/>
      <w:r>
        <w:rPr>
          <w:rFonts w:ascii="宋体" w:hAnsi="宋体" w:cs="宋体" w:hint="eastAsia"/>
          <w:color w:val="000000"/>
          <w:kern w:val="0"/>
        </w:rPr>
        <w:t>型外资</w:t>
      </w:r>
      <w:proofErr w:type="gramEnd"/>
      <w:r>
        <w:rPr>
          <w:rFonts w:ascii="宋体" w:hAnsi="宋体" w:cs="宋体" w:hint="eastAsia"/>
          <w:color w:val="000000"/>
          <w:kern w:val="0"/>
        </w:rPr>
        <w:t>有望进一步回流中国核心资产。</w:t>
      </w:r>
    </w:p>
    <w:p w14:paraId="4A3471F4" w14:textId="77777777" w:rsidR="00E3349B" w:rsidRDefault="00E3349B">
      <w:pPr>
        <w:pStyle w:val="XBRLTitle2"/>
        <w:spacing w:before="156"/>
        <w:ind w:left="454"/>
      </w:pPr>
      <w:bookmarkStart w:id="123" w:name="_Toc17881681"/>
      <w:bookmarkStart w:id="124" w:name="_Toc466644462"/>
      <w:bookmarkStart w:id="125" w:name="_Toc447872924"/>
      <w:bookmarkStart w:id="126" w:name="_Toc492299877"/>
      <w:bookmarkStart w:id="127" w:name="_Toc512627225"/>
      <w:bookmarkStart w:id="128" w:name="_Toc512694305"/>
      <w:bookmarkStart w:id="129" w:name="m405_01_2549"/>
      <w:bookmarkEnd w:id="122"/>
      <w:r>
        <w:rPr>
          <w:rFonts w:hint="eastAsia"/>
        </w:rPr>
        <w:t>报告期内基金的业绩表现</w:t>
      </w:r>
      <w:bookmarkEnd w:id="123"/>
      <w:bookmarkEnd w:id="124"/>
      <w:bookmarkEnd w:id="125"/>
      <w:bookmarkEnd w:id="126"/>
      <w:bookmarkEnd w:id="127"/>
      <w:bookmarkEnd w:id="128"/>
      <w:bookmarkEnd w:id="129"/>
    </w:p>
    <w:p w14:paraId="59048C9C" w14:textId="77777777" w:rsidR="00E3349B" w:rsidRDefault="00E3349B">
      <w:pPr>
        <w:spacing w:line="360" w:lineRule="auto"/>
        <w:ind w:firstLineChars="200" w:firstLine="420"/>
      </w:pPr>
      <w:r>
        <w:rPr>
          <w:rFonts w:ascii="宋体" w:hAnsi="宋体" w:hint="eastAsia"/>
        </w:rPr>
        <w:t>本报告期摩根中证A500ETF联接A份额净值增长率为：1.78%，同期业绩比较基准收益率为：0.81%；</w:t>
      </w:r>
      <w:r>
        <w:rPr>
          <w:rFonts w:ascii="宋体" w:hAnsi="宋体" w:hint="eastAsia"/>
        </w:rPr>
        <w:br/>
        <w:t xml:space="preserve">　　摩根中证A500ETF联接C份额净值增长率为：1.72%，同期业绩比较基准收益率为：0.81%；</w:t>
      </w:r>
      <w:r>
        <w:rPr>
          <w:rFonts w:ascii="宋体" w:hAnsi="宋体" w:hint="eastAsia"/>
        </w:rPr>
        <w:br/>
        <w:t xml:space="preserve">　　摩根中证A500ETF联接I份额净值增长率为：1.75%，同期业绩比较基准收益率为：0.81%；</w:t>
      </w:r>
      <w:r>
        <w:rPr>
          <w:rFonts w:ascii="宋体" w:hAnsi="宋体" w:hint="eastAsia"/>
        </w:rPr>
        <w:br/>
        <w:t xml:space="preserve">　　摩根中证A500ETF联接Y份额净值增长率为：1.77%，同期业绩比较基准收益率为：0.81%。</w:t>
      </w:r>
    </w:p>
    <w:p w14:paraId="1E9316E3" w14:textId="77777777" w:rsidR="00E3349B" w:rsidRDefault="00E3349B">
      <w:pPr>
        <w:pStyle w:val="XBRLTitle2"/>
        <w:spacing w:before="156"/>
        <w:ind w:left="454"/>
      </w:pPr>
      <w:bookmarkStart w:id="130" w:name="m406"/>
      <w:bookmarkStart w:id="131" w:name="_Toc17881682"/>
      <w:bookmarkStart w:id="132" w:name="_Toc466644464"/>
      <w:bookmarkStart w:id="133" w:name="_Toc447872926"/>
      <w:bookmarkStart w:id="134" w:name="_Toc438646465"/>
      <w:bookmarkStart w:id="135" w:name="_Toc492299878"/>
      <w:bookmarkStart w:id="136" w:name="_Toc512627226"/>
      <w:bookmarkStart w:id="137" w:name="_Toc512694306"/>
      <w:bookmarkStart w:id="138" w:name="m407"/>
      <w:bookmarkEnd w:id="130"/>
      <w:r>
        <w:rPr>
          <w:rFonts w:hAnsi="宋体" w:hint="eastAsia"/>
        </w:rPr>
        <w:t>报告期内基金持有人数或基金资产净值预警说明</w:t>
      </w:r>
      <w:bookmarkEnd w:id="131"/>
      <w:bookmarkEnd w:id="132"/>
      <w:bookmarkEnd w:id="133"/>
      <w:bookmarkEnd w:id="134"/>
      <w:bookmarkEnd w:id="135"/>
      <w:bookmarkEnd w:id="136"/>
      <w:bookmarkEnd w:id="137"/>
      <w:r>
        <w:rPr>
          <w:rFonts w:hAnsi="宋体" w:hint="eastAsia"/>
        </w:rPr>
        <w:t xml:space="preserve"> </w:t>
      </w:r>
    </w:p>
    <w:p w14:paraId="0BE1D09E" w14:textId="77777777" w:rsidR="00E3349B" w:rsidRDefault="00E3349B">
      <w:pPr>
        <w:spacing w:line="360" w:lineRule="auto"/>
        <w:ind w:firstLineChars="200" w:firstLine="420"/>
        <w:jc w:val="left"/>
      </w:pPr>
      <w:r>
        <w:rPr>
          <w:rFonts w:ascii="宋体" w:hAnsi="宋体" w:hint="eastAsia"/>
        </w:rPr>
        <w:t>无。</w:t>
      </w:r>
    </w:p>
    <w:p w14:paraId="710D022E" w14:textId="77777777" w:rsidR="00E3349B" w:rsidRDefault="00E3349B">
      <w:pPr>
        <w:pStyle w:val="XBRLTitle1"/>
        <w:spacing w:before="156"/>
        <w:ind w:left="425"/>
      </w:pPr>
      <w:bookmarkStart w:id="139" w:name="_Toc17881683"/>
      <w:bookmarkStart w:id="140" w:name="_Toc492299879"/>
      <w:bookmarkStart w:id="141" w:name="_Toc466644465"/>
      <w:bookmarkStart w:id="142" w:name="_Toc447872927"/>
      <w:bookmarkStart w:id="143" w:name="_Toc438646466"/>
      <w:bookmarkStart w:id="144" w:name="_Toc512627227"/>
      <w:bookmarkStart w:id="145" w:name="_Toc512694307"/>
      <w:bookmarkEnd w:id="138"/>
      <w:r>
        <w:rPr>
          <w:rFonts w:hAnsi="宋体" w:hint="eastAsia"/>
        </w:rPr>
        <w:t>投资组合报告</w:t>
      </w:r>
      <w:bookmarkEnd w:id="139"/>
      <w:bookmarkEnd w:id="140"/>
      <w:bookmarkEnd w:id="141"/>
      <w:bookmarkEnd w:id="142"/>
      <w:bookmarkEnd w:id="143"/>
      <w:bookmarkEnd w:id="144"/>
      <w:bookmarkEnd w:id="145"/>
      <w:r>
        <w:rPr>
          <w:rFonts w:hAnsi="宋体" w:hint="eastAsia"/>
        </w:rPr>
        <w:t xml:space="preserve"> </w:t>
      </w:r>
    </w:p>
    <w:p w14:paraId="1B19952D" w14:textId="77777777" w:rsidR="00E3349B" w:rsidRDefault="00E3349B">
      <w:pPr>
        <w:pStyle w:val="XBRLTitle2"/>
        <w:spacing w:before="156"/>
        <w:ind w:left="454"/>
      </w:pPr>
      <w:bookmarkStart w:id="146" w:name="_Toc17881684"/>
      <w:bookmarkStart w:id="147" w:name="_Toc512627228"/>
      <w:bookmarkStart w:id="148" w:name="_Toc492299880"/>
      <w:bookmarkStart w:id="149" w:name="_Toc466644466"/>
      <w:bookmarkStart w:id="150" w:name="_Toc447872928"/>
      <w:bookmarkStart w:id="151" w:name="_Toc438646467"/>
      <w:bookmarkStart w:id="152" w:name="_Toc512694308"/>
      <w:bookmarkStart w:id="153" w:name="m501"/>
      <w:r>
        <w:rPr>
          <w:rFonts w:hAnsi="宋体" w:hint="eastAsia"/>
        </w:rPr>
        <w:t>报告期末基金资产组合情况</w:t>
      </w:r>
      <w:bookmarkEnd w:id="146"/>
      <w:bookmarkEnd w:id="147"/>
      <w:bookmarkEnd w:id="148"/>
      <w:bookmarkEnd w:id="149"/>
      <w:bookmarkEnd w:id="150"/>
      <w:bookmarkEnd w:id="151"/>
      <w:bookmarkEnd w:id="152"/>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746C83" w14:paraId="7486C92B"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7C9991" w14:textId="77777777" w:rsidR="00E3349B" w:rsidRDefault="00E3349B">
            <w:pPr>
              <w:jc w:val="center"/>
            </w:pPr>
            <w:bookmarkStart w:id="154" w:name="m08QD_01_tab"/>
            <w:bookmarkEnd w:id="15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A1C2EB0" w14:textId="77777777" w:rsidR="00E3349B" w:rsidRDefault="00E3349B">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1637D5B4" w14:textId="77777777" w:rsidR="00E3349B" w:rsidRDefault="00E3349B">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70E23F8" w14:textId="77777777" w:rsidR="00E3349B" w:rsidRDefault="00E3349B">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746C83" w14:paraId="20E9C1F4"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1E05BFF" w14:textId="77777777" w:rsidR="00E3349B" w:rsidRDefault="00E3349B">
            <w:pPr>
              <w:jc w:val="center"/>
            </w:pPr>
            <w:r>
              <w:rPr>
                <w:rFonts w:ascii="宋体" w:hAnsi="宋体" w:hint="eastAsia"/>
                <w:color w:val="000000"/>
                <w:lang w:eastAsia="zh-Hans"/>
              </w:rPr>
              <w:lastRenderedPageBreak/>
              <w:t xml:space="preserve">1 </w:t>
            </w:r>
          </w:p>
        </w:tc>
        <w:tc>
          <w:tcPr>
            <w:tcW w:w="1979" w:type="pct"/>
            <w:tcBorders>
              <w:top w:val="single" w:sz="4" w:space="0" w:color="auto"/>
              <w:left w:val="nil"/>
              <w:bottom w:val="single" w:sz="4" w:space="0" w:color="auto"/>
              <w:right w:val="single" w:sz="4" w:space="0" w:color="auto"/>
            </w:tcBorders>
            <w:vAlign w:val="center"/>
            <w:hideMark/>
          </w:tcPr>
          <w:p w14:paraId="47363CB3" w14:textId="77777777" w:rsidR="00E3349B" w:rsidRDefault="00E3349B">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6C36AA2" w14:textId="77777777" w:rsidR="00E3349B" w:rsidRDefault="00E334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1DE86E5" w14:textId="77777777" w:rsidR="00E3349B" w:rsidRDefault="00E3349B">
            <w:pPr>
              <w:jc w:val="right"/>
            </w:pPr>
            <w:r>
              <w:rPr>
                <w:rFonts w:ascii="宋体" w:hAnsi="宋体" w:hint="eastAsia"/>
                <w:szCs w:val="24"/>
                <w:lang w:eastAsia="zh-Hans"/>
              </w:rPr>
              <w:t>-</w:t>
            </w:r>
          </w:p>
        </w:tc>
      </w:tr>
      <w:tr w:rsidR="00746C83" w14:paraId="01A3424E"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2C28169" w14:textId="77777777" w:rsidR="00E3349B" w:rsidRDefault="00E3349B">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AEB75D5" w14:textId="77777777" w:rsidR="00E3349B" w:rsidRDefault="00E3349B">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6143A4D" w14:textId="77777777" w:rsidR="00E3349B" w:rsidRDefault="00E334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10D9895" w14:textId="77777777" w:rsidR="00E3349B" w:rsidRDefault="00E3349B">
            <w:pPr>
              <w:jc w:val="right"/>
            </w:pPr>
            <w:r>
              <w:rPr>
                <w:rFonts w:ascii="宋体" w:hAnsi="宋体" w:hint="eastAsia"/>
                <w:szCs w:val="24"/>
                <w:lang w:eastAsia="zh-Hans"/>
              </w:rPr>
              <w:t>-</w:t>
            </w:r>
          </w:p>
        </w:tc>
      </w:tr>
      <w:tr w:rsidR="00746C83" w14:paraId="3BE363C5"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F336A53" w14:textId="77777777" w:rsidR="00E3349B" w:rsidRDefault="00E3349B">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2282DC23" w14:textId="77777777" w:rsidR="00E3349B" w:rsidRDefault="00E3349B">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43FE1D" w14:textId="77777777" w:rsidR="00E3349B" w:rsidRDefault="00E3349B">
            <w:pPr>
              <w:jc w:val="right"/>
            </w:pPr>
            <w:r>
              <w:rPr>
                <w:rFonts w:ascii="宋体" w:hAnsi="宋体" w:hint="eastAsia"/>
                <w:szCs w:val="24"/>
                <w:lang w:eastAsia="zh-Hans"/>
              </w:rPr>
              <w:t>2,601,189,798.21</w:t>
            </w:r>
          </w:p>
        </w:tc>
        <w:tc>
          <w:tcPr>
            <w:tcW w:w="1333" w:type="pct"/>
            <w:tcBorders>
              <w:top w:val="single" w:sz="4" w:space="0" w:color="auto"/>
              <w:left w:val="nil"/>
              <w:bottom w:val="single" w:sz="4" w:space="0" w:color="auto"/>
              <w:right w:val="single" w:sz="4" w:space="0" w:color="auto"/>
            </w:tcBorders>
            <w:vAlign w:val="center"/>
            <w:hideMark/>
          </w:tcPr>
          <w:p w14:paraId="78785860" w14:textId="77777777" w:rsidR="00E3349B" w:rsidRDefault="00E3349B">
            <w:pPr>
              <w:jc w:val="right"/>
            </w:pPr>
            <w:r>
              <w:rPr>
                <w:rFonts w:ascii="宋体" w:hAnsi="宋体" w:hint="eastAsia"/>
                <w:szCs w:val="24"/>
                <w:lang w:eastAsia="zh-Hans"/>
              </w:rPr>
              <w:t>94.29</w:t>
            </w:r>
          </w:p>
        </w:tc>
      </w:tr>
      <w:tr w:rsidR="00746C83" w14:paraId="16491F0A"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D775103" w14:textId="77777777" w:rsidR="00E3349B" w:rsidRDefault="00E3349B">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056BAEC5" w14:textId="77777777" w:rsidR="00E3349B" w:rsidRDefault="00E3349B">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F1C6468" w14:textId="77777777" w:rsidR="00E3349B" w:rsidRDefault="00E334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F449D08" w14:textId="77777777" w:rsidR="00E3349B" w:rsidRDefault="00E3349B">
            <w:pPr>
              <w:jc w:val="right"/>
            </w:pPr>
            <w:r>
              <w:rPr>
                <w:rFonts w:ascii="宋体" w:hAnsi="宋体" w:hint="eastAsia"/>
                <w:szCs w:val="24"/>
                <w:lang w:eastAsia="zh-Hans"/>
              </w:rPr>
              <w:t>-</w:t>
            </w:r>
          </w:p>
        </w:tc>
      </w:tr>
      <w:tr w:rsidR="00746C83" w14:paraId="0357C33B"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E388207" w14:textId="77777777" w:rsidR="00E3349B" w:rsidRDefault="00E3349B">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8E0ED48" w14:textId="77777777" w:rsidR="00E3349B" w:rsidRDefault="00E3349B">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7FBB979" w14:textId="77777777" w:rsidR="00E3349B" w:rsidRDefault="00E334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F073A62" w14:textId="77777777" w:rsidR="00E3349B" w:rsidRDefault="00E3349B">
            <w:pPr>
              <w:jc w:val="right"/>
            </w:pPr>
            <w:r>
              <w:rPr>
                <w:rFonts w:ascii="宋体" w:hAnsi="宋体" w:hint="eastAsia"/>
                <w:szCs w:val="24"/>
                <w:lang w:eastAsia="zh-Hans"/>
              </w:rPr>
              <w:t>-</w:t>
            </w:r>
          </w:p>
        </w:tc>
      </w:tr>
      <w:tr w:rsidR="00746C83" w14:paraId="5CCA4EAD"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8E96B33" w14:textId="77777777" w:rsidR="00E3349B" w:rsidRDefault="00E3349B">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DC26949" w14:textId="77777777" w:rsidR="00E3349B" w:rsidRDefault="00E3349B">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64DBC41" w14:textId="77777777" w:rsidR="00E3349B" w:rsidRDefault="00E334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F3C064C" w14:textId="77777777" w:rsidR="00E3349B" w:rsidRDefault="00E3349B">
            <w:pPr>
              <w:jc w:val="right"/>
            </w:pPr>
            <w:r>
              <w:rPr>
                <w:rFonts w:ascii="宋体" w:hAnsi="宋体" w:hint="eastAsia"/>
                <w:szCs w:val="24"/>
                <w:lang w:eastAsia="zh-Hans"/>
              </w:rPr>
              <w:t>-</w:t>
            </w:r>
          </w:p>
        </w:tc>
      </w:tr>
      <w:tr w:rsidR="00746C83" w14:paraId="0D6F8666"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8391E1C" w14:textId="77777777" w:rsidR="00E3349B" w:rsidRDefault="00E3349B">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2244FB27" w14:textId="77777777" w:rsidR="00E3349B" w:rsidRDefault="00E3349B">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B63DEFC" w14:textId="77777777" w:rsidR="00E3349B" w:rsidRDefault="00E334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16E3EE4" w14:textId="77777777" w:rsidR="00E3349B" w:rsidRDefault="00E3349B">
            <w:pPr>
              <w:jc w:val="right"/>
            </w:pPr>
            <w:r>
              <w:rPr>
                <w:rFonts w:ascii="宋体" w:hAnsi="宋体" w:hint="eastAsia"/>
                <w:szCs w:val="24"/>
                <w:lang w:eastAsia="zh-Hans"/>
              </w:rPr>
              <w:t>-</w:t>
            </w:r>
          </w:p>
        </w:tc>
      </w:tr>
      <w:tr w:rsidR="00746C83" w14:paraId="43ECE384"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A83BB2B" w14:textId="77777777" w:rsidR="00E3349B" w:rsidRDefault="00E3349B">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7AB0185D" w14:textId="77777777" w:rsidR="00E3349B" w:rsidRDefault="00E3349B">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0A3AD62" w14:textId="77777777" w:rsidR="00E3349B" w:rsidRDefault="00E334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23F5D59" w14:textId="77777777" w:rsidR="00E3349B" w:rsidRDefault="00E3349B">
            <w:pPr>
              <w:jc w:val="right"/>
            </w:pPr>
            <w:r>
              <w:rPr>
                <w:rFonts w:ascii="宋体" w:hAnsi="宋体" w:hint="eastAsia"/>
                <w:szCs w:val="24"/>
                <w:lang w:eastAsia="zh-Hans"/>
              </w:rPr>
              <w:t>-</w:t>
            </w:r>
          </w:p>
        </w:tc>
      </w:tr>
      <w:tr w:rsidR="00746C83" w14:paraId="13316AC8"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1E12407" w14:textId="77777777" w:rsidR="00E3349B" w:rsidRDefault="00E3349B">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65302204" w14:textId="77777777" w:rsidR="00E3349B" w:rsidRDefault="00E3349B">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295EEDD" w14:textId="77777777" w:rsidR="00E3349B" w:rsidRDefault="00E334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CF94DFB" w14:textId="77777777" w:rsidR="00E3349B" w:rsidRDefault="00E3349B">
            <w:pPr>
              <w:jc w:val="right"/>
            </w:pPr>
            <w:r>
              <w:rPr>
                <w:rFonts w:ascii="宋体" w:hAnsi="宋体" w:hint="eastAsia"/>
                <w:szCs w:val="24"/>
                <w:lang w:eastAsia="zh-Hans"/>
              </w:rPr>
              <w:t>-</w:t>
            </w:r>
          </w:p>
        </w:tc>
      </w:tr>
      <w:tr w:rsidR="00746C83" w14:paraId="4167ED43"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9DA47E8" w14:textId="77777777" w:rsidR="00E3349B" w:rsidRDefault="00E3349B">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6057388" w14:textId="77777777" w:rsidR="00E3349B" w:rsidRDefault="00E3349B">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A2E29F5" w14:textId="77777777" w:rsidR="00E3349B" w:rsidRDefault="00E334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80C7817" w14:textId="77777777" w:rsidR="00E3349B" w:rsidRDefault="00E3349B">
            <w:pPr>
              <w:jc w:val="right"/>
            </w:pPr>
            <w:r>
              <w:rPr>
                <w:rFonts w:ascii="宋体" w:hAnsi="宋体" w:hint="eastAsia"/>
                <w:szCs w:val="24"/>
                <w:lang w:eastAsia="zh-Hans"/>
              </w:rPr>
              <w:t>-</w:t>
            </w:r>
          </w:p>
        </w:tc>
      </w:tr>
      <w:tr w:rsidR="00746C83" w14:paraId="3A708EF9"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B05F430" w14:textId="77777777" w:rsidR="00E3349B" w:rsidRDefault="00E3349B">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3E75AEE7" w14:textId="77777777" w:rsidR="00E3349B" w:rsidRDefault="00E3349B">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3C3A91D" w14:textId="77777777" w:rsidR="00E3349B" w:rsidRDefault="00E3349B">
            <w:pPr>
              <w:jc w:val="right"/>
            </w:pPr>
            <w:r>
              <w:rPr>
                <w:rFonts w:ascii="宋体" w:hAnsi="宋体" w:hint="eastAsia"/>
                <w:szCs w:val="24"/>
                <w:lang w:eastAsia="zh-Hans"/>
              </w:rPr>
              <w:t>156,124,153.67</w:t>
            </w:r>
          </w:p>
        </w:tc>
        <w:tc>
          <w:tcPr>
            <w:tcW w:w="1333" w:type="pct"/>
            <w:tcBorders>
              <w:top w:val="single" w:sz="4" w:space="0" w:color="auto"/>
              <w:left w:val="nil"/>
              <w:bottom w:val="single" w:sz="4" w:space="0" w:color="auto"/>
              <w:right w:val="single" w:sz="4" w:space="0" w:color="auto"/>
            </w:tcBorders>
            <w:vAlign w:val="center"/>
            <w:hideMark/>
          </w:tcPr>
          <w:p w14:paraId="443B852B" w14:textId="77777777" w:rsidR="00E3349B" w:rsidRDefault="00E3349B">
            <w:pPr>
              <w:jc w:val="right"/>
            </w:pPr>
            <w:r>
              <w:rPr>
                <w:rFonts w:ascii="宋体" w:hAnsi="宋体" w:hint="eastAsia"/>
                <w:szCs w:val="24"/>
                <w:lang w:eastAsia="zh-Hans"/>
              </w:rPr>
              <w:t>5.66</w:t>
            </w:r>
          </w:p>
        </w:tc>
      </w:tr>
      <w:tr w:rsidR="00746C83" w14:paraId="10D06B17"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B29C3D2" w14:textId="77777777" w:rsidR="00E3349B" w:rsidRDefault="00E3349B">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5C4A0F34" w14:textId="77777777" w:rsidR="00E3349B" w:rsidRDefault="00E3349B">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0361569" w14:textId="77777777" w:rsidR="00E3349B" w:rsidRDefault="00E3349B">
            <w:pPr>
              <w:jc w:val="right"/>
            </w:pPr>
            <w:r>
              <w:rPr>
                <w:rFonts w:ascii="宋体" w:hAnsi="宋体" w:hint="eastAsia"/>
                <w:szCs w:val="24"/>
                <w:lang w:eastAsia="zh-Hans"/>
              </w:rPr>
              <w:t>1,423,004.64</w:t>
            </w:r>
          </w:p>
        </w:tc>
        <w:tc>
          <w:tcPr>
            <w:tcW w:w="1333" w:type="pct"/>
            <w:tcBorders>
              <w:top w:val="single" w:sz="4" w:space="0" w:color="auto"/>
              <w:left w:val="nil"/>
              <w:bottom w:val="single" w:sz="4" w:space="0" w:color="auto"/>
              <w:right w:val="single" w:sz="4" w:space="0" w:color="auto"/>
            </w:tcBorders>
            <w:vAlign w:val="center"/>
            <w:hideMark/>
          </w:tcPr>
          <w:p w14:paraId="55E0169D" w14:textId="77777777" w:rsidR="00E3349B" w:rsidRDefault="00E3349B">
            <w:pPr>
              <w:jc w:val="right"/>
            </w:pPr>
            <w:r>
              <w:rPr>
                <w:rFonts w:ascii="宋体" w:hAnsi="宋体" w:hint="eastAsia"/>
                <w:szCs w:val="24"/>
                <w:lang w:eastAsia="zh-Hans"/>
              </w:rPr>
              <w:t>0.05</w:t>
            </w:r>
          </w:p>
        </w:tc>
      </w:tr>
      <w:tr w:rsidR="00746C83" w14:paraId="694CE421" w14:textId="77777777">
        <w:trPr>
          <w:divId w:val="1765082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6A913F8" w14:textId="77777777" w:rsidR="00E3349B" w:rsidRDefault="00E3349B">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3F6FD6ED" w14:textId="77777777" w:rsidR="00E3349B" w:rsidRDefault="00E3349B">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0952707" w14:textId="77777777" w:rsidR="00E3349B" w:rsidRDefault="00E3349B">
            <w:pPr>
              <w:jc w:val="right"/>
            </w:pPr>
            <w:r>
              <w:rPr>
                <w:rFonts w:ascii="宋体" w:hAnsi="宋体" w:hint="eastAsia"/>
                <w:szCs w:val="24"/>
                <w:lang w:eastAsia="zh-Hans"/>
              </w:rPr>
              <w:t>2,758,736,956.52</w:t>
            </w:r>
          </w:p>
        </w:tc>
        <w:tc>
          <w:tcPr>
            <w:tcW w:w="1333" w:type="pct"/>
            <w:tcBorders>
              <w:top w:val="single" w:sz="4" w:space="0" w:color="auto"/>
              <w:left w:val="nil"/>
              <w:bottom w:val="single" w:sz="4" w:space="0" w:color="auto"/>
              <w:right w:val="single" w:sz="4" w:space="0" w:color="auto"/>
            </w:tcBorders>
            <w:vAlign w:val="center"/>
            <w:hideMark/>
          </w:tcPr>
          <w:p w14:paraId="350704B8" w14:textId="77777777" w:rsidR="00E3349B" w:rsidRDefault="00E3349B">
            <w:pPr>
              <w:jc w:val="right"/>
            </w:pPr>
            <w:r>
              <w:rPr>
                <w:rFonts w:ascii="宋体" w:hAnsi="宋体" w:hint="eastAsia"/>
                <w:szCs w:val="24"/>
                <w:lang w:eastAsia="zh-Hans"/>
              </w:rPr>
              <w:t>100.00</w:t>
            </w:r>
          </w:p>
        </w:tc>
      </w:tr>
    </w:tbl>
    <w:p w14:paraId="45D8A54C" w14:textId="77777777" w:rsidR="00E3349B" w:rsidRDefault="00E3349B">
      <w:pPr>
        <w:pStyle w:val="XBRLTitle2"/>
        <w:spacing w:before="156"/>
        <w:ind w:left="454"/>
      </w:pPr>
      <w:bookmarkStart w:id="155" w:name="_Toc17881685"/>
      <w:bookmarkStart w:id="156" w:name="_Toc492299881"/>
      <w:bookmarkStart w:id="157" w:name="_Toc438646468"/>
      <w:bookmarkStart w:id="158" w:name="_Toc475467580"/>
      <w:bookmarkStart w:id="159" w:name="_Toc512627229"/>
      <w:bookmarkStart w:id="160" w:name="_Toc512694309"/>
      <w:bookmarkEnd w:id="153"/>
      <w:r>
        <w:rPr>
          <w:rFonts w:hAnsi="宋体" w:hint="eastAsia"/>
        </w:rPr>
        <w:t>报告期末按行业分类的股票投资组合</w:t>
      </w:r>
      <w:bookmarkEnd w:id="155"/>
      <w:r>
        <w:rPr>
          <w:rFonts w:hAnsi="宋体" w:hint="eastAsia"/>
          <w:lang w:eastAsia="zh-CN"/>
        </w:rPr>
        <w:t xml:space="preserve"> </w:t>
      </w:r>
    </w:p>
    <w:p w14:paraId="234A3040" w14:textId="77777777" w:rsidR="00E3349B" w:rsidRDefault="00E3349B">
      <w:pPr>
        <w:pStyle w:val="XBRLTitle3"/>
        <w:numPr>
          <w:ilvl w:val="2"/>
          <w:numId w:val="2"/>
        </w:numPr>
        <w:spacing w:before="156"/>
        <w:ind w:left="0" w:firstLine="0"/>
      </w:pPr>
      <w:bookmarkStart w:id="161" w:name="_Toc17881686"/>
      <w:bookmarkStart w:id="162" w:name="_Toc492299882"/>
      <w:bookmarkStart w:id="163" w:name="_Toc475467581"/>
      <w:r>
        <w:rPr>
          <w:rFonts w:hAnsi="宋体" w:hint="eastAsia"/>
        </w:rPr>
        <w:t>报告期末按行业分类的境内股票投资组合</w:t>
      </w:r>
      <w:bookmarkEnd w:id="161"/>
      <w:r>
        <w:rPr>
          <w:rFonts w:hint="eastAsia"/>
          <w:lang w:eastAsia="zh-CN"/>
        </w:rPr>
        <w:t xml:space="preserve"> </w:t>
      </w:r>
    </w:p>
    <w:p w14:paraId="7029C058" w14:textId="77777777" w:rsidR="00E3349B" w:rsidRDefault="00E3349B">
      <w:pPr>
        <w:spacing w:line="360" w:lineRule="auto"/>
        <w:ind w:firstLineChars="200" w:firstLine="420"/>
        <w:divId w:val="557402081"/>
      </w:pPr>
      <w:r>
        <w:rPr>
          <w:rFonts w:ascii="宋体" w:hAnsi="宋体" w:hint="eastAsia"/>
          <w:szCs w:val="21"/>
          <w:lang w:eastAsia="zh-Hans"/>
        </w:rPr>
        <w:t>本基金本报告期末未持有境内股票。</w:t>
      </w:r>
    </w:p>
    <w:p w14:paraId="0CC4D98C" w14:textId="77777777" w:rsidR="00E3349B" w:rsidRDefault="00E3349B">
      <w:pPr>
        <w:pStyle w:val="XBRLTitle3"/>
        <w:numPr>
          <w:ilvl w:val="2"/>
          <w:numId w:val="2"/>
        </w:numPr>
        <w:spacing w:before="156"/>
        <w:ind w:left="0" w:firstLine="0"/>
      </w:pPr>
      <w:bookmarkStart w:id="164" w:name="_Toc17881687"/>
      <w:bookmarkStart w:id="165" w:name="_Toc492299883"/>
      <w:bookmarkStart w:id="166" w:name="_Toc475467582"/>
      <w:bookmarkStart w:id="167" w:name="m502_tab"/>
      <w:r>
        <w:rPr>
          <w:rFonts w:hAnsi="宋体" w:hint="eastAsia"/>
        </w:rPr>
        <w:t>报告期末按行业分类的港股通投资股票投资组合</w:t>
      </w:r>
      <w:bookmarkEnd w:id="164"/>
      <w:bookmarkEnd w:id="165"/>
      <w:bookmarkEnd w:id="166"/>
      <w:r>
        <w:rPr>
          <w:rFonts w:hint="eastAsia"/>
          <w:szCs w:val="24"/>
        </w:rPr>
        <w:t xml:space="preserve"> </w:t>
      </w:r>
    </w:p>
    <w:p w14:paraId="76DA80C9" w14:textId="77777777" w:rsidR="00E3349B" w:rsidRDefault="00E3349B">
      <w:pPr>
        <w:spacing w:line="360" w:lineRule="auto"/>
        <w:ind w:firstLineChars="200" w:firstLine="420"/>
        <w:divId w:val="519659994"/>
      </w:pPr>
      <w:r>
        <w:rPr>
          <w:rFonts w:ascii="宋体" w:hAnsi="宋体" w:hint="eastAsia"/>
          <w:szCs w:val="21"/>
          <w:lang w:eastAsia="zh-Hans"/>
        </w:rPr>
        <w:t>本基金本报告期末未持有港股通股票　。</w:t>
      </w:r>
    </w:p>
    <w:p w14:paraId="378B9050" w14:textId="77777777" w:rsidR="00E3349B" w:rsidRDefault="00E3349B">
      <w:pPr>
        <w:pStyle w:val="XBRLTitle2"/>
        <w:spacing w:before="156"/>
        <w:ind w:left="454"/>
      </w:pPr>
      <w:bookmarkStart w:id="168" w:name="_Toc1788168512"/>
      <w:r>
        <w:rPr>
          <w:rFonts w:hAnsi="宋体" w:hint="eastAsia"/>
        </w:rPr>
        <w:t>期末按公允价值占基金资产净值比例大小排序的股票投资明细</w:t>
      </w:r>
      <w:bookmarkEnd w:id="168"/>
      <w:bookmarkEnd w:id="156"/>
      <w:bookmarkEnd w:id="157"/>
      <w:bookmarkEnd w:id="158"/>
      <w:bookmarkEnd w:id="159"/>
      <w:bookmarkEnd w:id="160"/>
      <w:r>
        <w:rPr>
          <w:rFonts w:hAnsi="宋体" w:hint="eastAsia"/>
          <w:lang w:eastAsia="zh-CN"/>
        </w:rPr>
        <w:t xml:space="preserve"> </w:t>
      </w:r>
    </w:p>
    <w:p w14:paraId="002C191E" w14:textId="77777777" w:rsidR="00E3349B" w:rsidRDefault="00E3349B">
      <w:pPr>
        <w:pStyle w:val="XBRLTitle3"/>
        <w:numPr>
          <w:ilvl w:val="2"/>
          <w:numId w:val="2"/>
        </w:numPr>
        <w:spacing w:before="156"/>
        <w:ind w:left="0" w:firstLine="0"/>
      </w:pPr>
      <w:bookmarkStart w:id="169" w:name="_Toc1788168513"/>
      <w:r>
        <w:rPr>
          <w:rFonts w:hAnsi="宋体" w:hint="eastAsia"/>
        </w:rPr>
        <w:t>报告期末按公允价值占基金资产净值比例大小排序的前十名股票投资明细</w:t>
      </w:r>
      <w:bookmarkEnd w:id="169"/>
      <w:bookmarkEnd w:id="162"/>
      <w:bookmarkEnd w:id="163"/>
      <w:r>
        <w:rPr>
          <w:rFonts w:hint="eastAsia"/>
          <w:lang w:eastAsia="zh-CN"/>
        </w:rPr>
        <w:t xml:space="preserve"> </w:t>
      </w:r>
    </w:p>
    <w:p w14:paraId="36CC5563" w14:textId="77777777" w:rsidR="00E3349B" w:rsidRDefault="00E3349B">
      <w:pPr>
        <w:spacing w:line="360" w:lineRule="auto"/>
        <w:ind w:firstLineChars="200" w:firstLine="420"/>
        <w:jc w:val="left"/>
      </w:pPr>
      <w:r>
        <w:rPr>
          <w:rFonts w:ascii="宋体" w:hAnsi="宋体" w:hint="eastAsia"/>
          <w:color w:val="000000"/>
          <w:szCs w:val="21"/>
          <w:lang w:eastAsia="zh-Hans"/>
        </w:rPr>
        <w:t>本基金本报告期末未持有股票。</w:t>
      </w:r>
    </w:p>
    <w:p w14:paraId="57F4875D" w14:textId="77777777" w:rsidR="00E3349B" w:rsidRDefault="00E3349B">
      <w:pPr>
        <w:pStyle w:val="XBRLTitle2"/>
        <w:spacing w:before="156"/>
        <w:ind w:left="454"/>
      </w:pPr>
      <w:bookmarkStart w:id="170" w:name="_Toc17881689"/>
      <w:bookmarkStart w:id="171" w:name="_Toc512627231"/>
      <w:bookmarkStart w:id="172" w:name="_Toc492299885"/>
      <w:bookmarkStart w:id="173" w:name="_Toc466644469"/>
      <w:bookmarkStart w:id="174" w:name="_Toc447872931"/>
      <w:bookmarkStart w:id="175" w:name="_Toc438646471"/>
      <w:bookmarkStart w:id="176" w:name="_Toc512694311"/>
      <w:bookmarkStart w:id="177" w:name="m505"/>
      <w:bookmarkEnd w:id="167"/>
      <w:r>
        <w:rPr>
          <w:rFonts w:hAnsi="宋体" w:hint="eastAsia"/>
        </w:rPr>
        <w:t>报告期末按债券品种分类的债券投资组合</w:t>
      </w:r>
      <w:bookmarkEnd w:id="170"/>
      <w:bookmarkEnd w:id="171"/>
      <w:bookmarkEnd w:id="172"/>
      <w:bookmarkEnd w:id="173"/>
      <w:bookmarkEnd w:id="174"/>
      <w:bookmarkEnd w:id="175"/>
      <w:bookmarkEnd w:id="176"/>
      <w:r>
        <w:rPr>
          <w:rFonts w:hAnsi="宋体" w:hint="eastAsia"/>
        </w:rPr>
        <w:t xml:space="preserve"> </w:t>
      </w:r>
    </w:p>
    <w:p w14:paraId="5AF9DF30" w14:textId="77777777" w:rsidR="00E3349B" w:rsidRDefault="00E3349B">
      <w:pPr>
        <w:spacing w:line="360" w:lineRule="auto"/>
        <w:ind w:firstLineChars="200" w:firstLine="420"/>
        <w:jc w:val="left"/>
      </w:pPr>
      <w:r>
        <w:rPr>
          <w:rFonts w:ascii="宋体" w:hAnsi="宋体" w:hint="eastAsia"/>
        </w:rPr>
        <w:t>本基金本报告期末未持有债券。</w:t>
      </w:r>
      <w:bookmarkStart w:id="178" w:name="m08QD_06"/>
      <w:bookmarkEnd w:id="178"/>
      <w:r>
        <w:rPr>
          <w:rFonts w:ascii="宋体" w:hAnsi="宋体" w:hint="eastAsia"/>
        </w:rPr>
        <w:t xml:space="preserve"> </w:t>
      </w:r>
    </w:p>
    <w:p w14:paraId="3EF41D90" w14:textId="77777777" w:rsidR="00E3349B" w:rsidRDefault="00E3349B">
      <w:pPr>
        <w:pStyle w:val="XBRLTitle2"/>
        <w:spacing w:before="156"/>
        <w:ind w:left="454"/>
      </w:pPr>
      <w:bookmarkStart w:id="179" w:name="_Toc17881690"/>
      <w:bookmarkStart w:id="180" w:name="_Toc512627232"/>
      <w:bookmarkStart w:id="181" w:name="_Toc492299886"/>
      <w:bookmarkStart w:id="182" w:name="_Toc466644470"/>
      <w:bookmarkStart w:id="183" w:name="_Toc447872932"/>
      <w:bookmarkStart w:id="184" w:name="_Toc438646472"/>
      <w:bookmarkStart w:id="185" w:name="_Toc512694312"/>
      <w:bookmarkStart w:id="186" w:name="m506"/>
      <w:bookmarkEnd w:id="177"/>
      <w:r>
        <w:rPr>
          <w:rFonts w:hAnsi="宋体" w:hint="eastAsia"/>
        </w:rPr>
        <w:t>报告期末按公允价值占基金资产净值比例大小排序的前五名债券投资明细</w:t>
      </w:r>
      <w:bookmarkEnd w:id="179"/>
      <w:bookmarkEnd w:id="180"/>
      <w:bookmarkEnd w:id="181"/>
      <w:bookmarkEnd w:id="182"/>
      <w:bookmarkEnd w:id="183"/>
      <w:bookmarkEnd w:id="184"/>
      <w:bookmarkEnd w:id="185"/>
      <w:r>
        <w:rPr>
          <w:rFonts w:hAnsi="宋体" w:hint="eastAsia"/>
        </w:rPr>
        <w:t xml:space="preserve"> </w:t>
      </w:r>
    </w:p>
    <w:p w14:paraId="361EF115" w14:textId="77777777" w:rsidR="00E3349B" w:rsidRDefault="00E3349B">
      <w:pPr>
        <w:spacing w:line="360" w:lineRule="auto"/>
        <w:ind w:firstLineChars="200" w:firstLine="420"/>
        <w:jc w:val="left"/>
      </w:pPr>
      <w:r>
        <w:rPr>
          <w:rFonts w:ascii="宋体" w:hAnsi="宋体" w:hint="eastAsia"/>
          <w:color w:val="000000"/>
          <w:szCs w:val="21"/>
          <w:lang w:eastAsia="zh-Hans"/>
        </w:rPr>
        <w:t>本基金本报告期末未持有债券。</w:t>
      </w:r>
    </w:p>
    <w:p w14:paraId="5C138F50" w14:textId="77777777" w:rsidR="00E3349B" w:rsidRDefault="00E3349B">
      <w:pPr>
        <w:pStyle w:val="XBRLTitle2"/>
        <w:spacing w:before="156"/>
        <w:ind w:left="454"/>
      </w:pPr>
      <w:bookmarkStart w:id="187" w:name="_Toc17881691"/>
      <w:bookmarkStart w:id="188" w:name="_Toc512627233"/>
      <w:bookmarkStart w:id="189" w:name="_Toc492299887"/>
      <w:bookmarkStart w:id="190" w:name="_Toc466644471"/>
      <w:bookmarkStart w:id="191" w:name="_Toc447872933"/>
      <w:bookmarkStart w:id="192" w:name="_Toc438646473"/>
      <w:bookmarkStart w:id="193" w:name="_Toc512694313"/>
      <w:bookmarkStart w:id="194" w:name="m507"/>
      <w:bookmarkEnd w:id="186"/>
      <w:r>
        <w:rPr>
          <w:rFonts w:hAnsi="宋体" w:hint="eastAsia"/>
        </w:rPr>
        <w:t>报告期末按公允价值占基金资产净值比例大小排序的前十名资产支持证券投资明细</w:t>
      </w:r>
      <w:bookmarkEnd w:id="187"/>
      <w:bookmarkEnd w:id="188"/>
      <w:bookmarkEnd w:id="189"/>
      <w:bookmarkEnd w:id="190"/>
      <w:bookmarkEnd w:id="191"/>
      <w:bookmarkEnd w:id="192"/>
      <w:bookmarkEnd w:id="193"/>
      <w:r>
        <w:rPr>
          <w:rFonts w:hAnsi="宋体" w:hint="eastAsia"/>
        </w:rPr>
        <w:t xml:space="preserve"> </w:t>
      </w:r>
    </w:p>
    <w:p w14:paraId="756DE459" w14:textId="77777777" w:rsidR="00E3349B" w:rsidRDefault="00E3349B">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13DE26F1" w14:textId="77777777" w:rsidR="00E3349B" w:rsidRDefault="00E3349B">
      <w:pPr>
        <w:pStyle w:val="XBRLTitle2"/>
        <w:spacing w:before="156"/>
        <w:ind w:left="454"/>
      </w:pPr>
      <w:bookmarkStart w:id="195" w:name="_Toc17881692"/>
      <w:bookmarkStart w:id="196" w:name="_Toc512627234"/>
      <w:bookmarkStart w:id="197" w:name="_Toc492299888"/>
      <w:bookmarkStart w:id="198" w:name="_Toc466644472"/>
      <w:bookmarkStart w:id="199" w:name="_Toc447872934"/>
      <w:bookmarkStart w:id="200" w:name="_Toc438646474"/>
      <w:bookmarkStart w:id="201" w:name="_Toc512694314"/>
      <w:bookmarkStart w:id="202" w:name="m508"/>
      <w:bookmarkEnd w:id="194"/>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95"/>
      <w:bookmarkEnd w:id="196"/>
      <w:bookmarkEnd w:id="197"/>
      <w:bookmarkEnd w:id="198"/>
      <w:bookmarkEnd w:id="199"/>
      <w:bookmarkEnd w:id="200"/>
      <w:bookmarkEnd w:id="201"/>
      <w:r>
        <w:rPr>
          <w:rFonts w:hAnsi="宋体" w:hint="eastAsia"/>
        </w:rPr>
        <w:t xml:space="preserve"> </w:t>
      </w:r>
    </w:p>
    <w:p w14:paraId="4C88A1B9" w14:textId="77777777" w:rsidR="00E3349B" w:rsidRDefault="00E3349B">
      <w:pPr>
        <w:spacing w:line="360" w:lineRule="auto"/>
        <w:ind w:firstLineChars="200" w:firstLine="420"/>
        <w:divId w:val="392896793"/>
      </w:pPr>
      <w:r>
        <w:rPr>
          <w:rFonts w:ascii="宋体" w:hAnsi="宋体" w:hint="eastAsia"/>
          <w:szCs w:val="21"/>
          <w:lang w:eastAsia="zh-Hans"/>
        </w:rPr>
        <w:t>本基金本报告期末未持有贵金属。</w:t>
      </w:r>
    </w:p>
    <w:p w14:paraId="30B11C8F" w14:textId="77777777" w:rsidR="00E3349B" w:rsidRDefault="00E3349B">
      <w:pPr>
        <w:pStyle w:val="XBRLTitle2"/>
        <w:spacing w:before="156"/>
        <w:ind w:left="454"/>
      </w:pPr>
      <w:bookmarkStart w:id="203" w:name="_Toc17881693"/>
      <w:bookmarkStart w:id="204" w:name="_Toc512627235"/>
      <w:bookmarkStart w:id="205" w:name="_Toc492299889"/>
      <w:bookmarkStart w:id="206" w:name="_Toc466644473"/>
      <w:bookmarkStart w:id="207" w:name="_Toc447872935"/>
      <w:bookmarkStart w:id="208" w:name="_Toc438646475"/>
      <w:bookmarkStart w:id="209" w:name="_Toc512694315"/>
      <w:bookmarkStart w:id="210" w:name="m509"/>
      <w:bookmarkEnd w:id="202"/>
      <w:r>
        <w:rPr>
          <w:rFonts w:hAnsi="宋体" w:hint="eastAsia"/>
        </w:rPr>
        <w:t>报告期末按公允价值占基金资产净值比例大小排序的前</w:t>
      </w:r>
      <w:r>
        <w:rPr>
          <w:rFonts w:hAnsi="宋体" w:hint="eastAsia"/>
          <w:lang w:eastAsia="zh-CN"/>
        </w:rPr>
        <w:t>五</w:t>
      </w:r>
      <w:r>
        <w:rPr>
          <w:rFonts w:hAnsi="宋体" w:hint="eastAsia"/>
        </w:rPr>
        <w:t>名</w:t>
      </w:r>
      <w:r>
        <w:rPr>
          <w:rFonts w:hAnsi="宋体" w:hint="eastAsia"/>
          <w:lang w:eastAsia="zh-CN"/>
        </w:rPr>
        <w:t>权证</w:t>
      </w:r>
      <w:r>
        <w:rPr>
          <w:rFonts w:hAnsi="宋体" w:hint="eastAsia"/>
        </w:rPr>
        <w:t>投资明细</w:t>
      </w:r>
      <w:bookmarkEnd w:id="203"/>
      <w:bookmarkEnd w:id="204"/>
      <w:bookmarkEnd w:id="205"/>
      <w:bookmarkEnd w:id="206"/>
      <w:bookmarkEnd w:id="207"/>
      <w:bookmarkEnd w:id="208"/>
      <w:bookmarkEnd w:id="209"/>
      <w:r>
        <w:rPr>
          <w:rFonts w:hAnsi="宋体" w:hint="eastAsia"/>
        </w:rPr>
        <w:t xml:space="preserve"> </w:t>
      </w:r>
    </w:p>
    <w:p w14:paraId="15A17870" w14:textId="77777777" w:rsidR="00E3349B" w:rsidRDefault="00E3349B">
      <w:pPr>
        <w:spacing w:line="360" w:lineRule="auto"/>
        <w:ind w:firstLineChars="200" w:firstLine="420"/>
        <w:divId w:val="1082415259"/>
      </w:pPr>
      <w:r>
        <w:rPr>
          <w:rFonts w:ascii="宋体" w:hAnsi="宋体" w:hint="eastAsia"/>
          <w:szCs w:val="21"/>
          <w:lang w:eastAsia="zh-Hans"/>
        </w:rPr>
        <w:t>本基金本报告期末未持有权证。</w:t>
      </w:r>
    </w:p>
    <w:p w14:paraId="6E961609" w14:textId="77777777" w:rsidR="00E3349B" w:rsidRDefault="00E3349B">
      <w:pPr>
        <w:pStyle w:val="XBRLTitle2"/>
        <w:spacing w:before="156"/>
        <w:ind w:left="454"/>
      </w:pPr>
      <w:bookmarkStart w:id="211" w:name="_Toc17881694"/>
      <w:bookmarkStart w:id="212" w:name="_Toc512627236"/>
      <w:bookmarkStart w:id="213" w:name="_Toc492299890"/>
      <w:bookmarkStart w:id="214" w:name="_Toc466644474"/>
      <w:bookmarkStart w:id="215" w:name="_Toc512694316"/>
      <w:r>
        <w:rPr>
          <w:rFonts w:hAnsi="宋体" w:hint="eastAsia"/>
          <w:kern w:val="2"/>
        </w:rPr>
        <w:t>报告期末按公允价值占基金资产净值比例大小排序的前十名基金投资明细</w:t>
      </w:r>
      <w:bookmarkEnd w:id="211"/>
      <w:bookmarkEnd w:id="212"/>
      <w:bookmarkEnd w:id="213"/>
      <w:bookmarkEnd w:id="214"/>
      <w:bookmarkEnd w:id="215"/>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098"/>
        <w:gridCol w:w="1162"/>
        <w:gridCol w:w="1081"/>
        <w:gridCol w:w="1153"/>
        <w:gridCol w:w="1148"/>
        <w:gridCol w:w="1896"/>
        <w:gridCol w:w="1297"/>
      </w:tblGrid>
      <w:tr w:rsidR="00746C83" w14:paraId="103213F1" w14:textId="77777777">
        <w:trPr>
          <w:divId w:val="22563972"/>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D83DB3" w14:textId="77777777" w:rsidR="00E3349B" w:rsidRDefault="00E3349B">
            <w:pPr>
              <w:pStyle w:val="a5"/>
              <w:spacing w:before="0" w:beforeAutospacing="0" w:after="0" w:afterAutospacing="0"/>
              <w:ind w:firstLineChars="50" w:firstLine="105"/>
              <w:jc w:val="center"/>
              <w:rPr>
                <w:rFonts w:hint="eastAsia"/>
              </w:rPr>
            </w:pPr>
            <w:bookmarkStart w:id="216" w:name="OLE_LINK41"/>
            <w:bookmarkStart w:id="217" w:name="OLE_LINK42"/>
            <w:bookmarkStart w:id="218" w:name="OLE_LINK45"/>
            <w:bookmarkStart w:id="219" w:name="OLE_LINK46"/>
            <w:bookmarkStart w:id="220" w:name="m08QD_10"/>
            <w:r>
              <w:rPr>
                <w:rFonts w:hint="eastAsia"/>
                <w:kern w:val="2"/>
                <w:sz w:val="21"/>
              </w:rPr>
              <w:lastRenderedPageBreak/>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8C3BB32" w14:textId="77777777" w:rsidR="00E3349B" w:rsidRDefault="00E3349B">
            <w:pPr>
              <w:pStyle w:val="a5"/>
              <w:spacing w:before="0" w:beforeAutospacing="0" w:after="0" w:afterAutospacing="0"/>
              <w:jc w:val="center"/>
              <w:rPr>
                <w:rFonts w:hint="eastAsia"/>
              </w:rPr>
            </w:pPr>
            <w:r>
              <w:rPr>
                <w:rFonts w:hint="eastAsia"/>
                <w:kern w:val="2"/>
                <w:sz w:val="21"/>
              </w:rPr>
              <w:t>基金名称</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7F1255D" w14:textId="77777777" w:rsidR="00E3349B" w:rsidRDefault="00E3349B">
            <w:pPr>
              <w:pStyle w:val="a5"/>
              <w:spacing w:before="0" w:beforeAutospacing="0" w:after="0" w:afterAutospacing="0"/>
              <w:jc w:val="center"/>
              <w:rPr>
                <w:rFonts w:hint="eastAsia"/>
              </w:rPr>
            </w:pPr>
            <w:r>
              <w:rPr>
                <w:rFonts w:hint="eastAsia"/>
                <w:kern w:val="2"/>
                <w:sz w:val="21"/>
              </w:rPr>
              <w:t>基金类型</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9331D1A" w14:textId="77777777" w:rsidR="00E3349B" w:rsidRDefault="00E3349B">
            <w:pPr>
              <w:pStyle w:val="a5"/>
              <w:spacing w:before="0" w:beforeAutospacing="0" w:after="0" w:afterAutospacing="0"/>
              <w:jc w:val="center"/>
              <w:rPr>
                <w:rFonts w:hint="eastAsia"/>
              </w:rPr>
            </w:pPr>
            <w:r>
              <w:rPr>
                <w:rFonts w:hint="eastAsia"/>
                <w:kern w:val="2"/>
                <w:sz w:val="21"/>
              </w:rPr>
              <w:t>运作方式</w:t>
            </w:r>
            <w:r>
              <w:rPr>
                <w:rFonts w:hint="eastAsia"/>
                <w:kern w:val="2"/>
                <w:sz w:val="21"/>
                <w:lang w:eastAsia="zh-Hans"/>
              </w:rPr>
              <w:t xml:space="preserve"> </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8F050C0" w14:textId="77777777" w:rsidR="00E3349B" w:rsidRDefault="00E3349B">
            <w:pPr>
              <w:pStyle w:val="a5"/>
              <w:spacing w:before="0" w:beforeAutospacing="0" w:after="0" w:afterAutospacing="0"/>
              <w:jc w:val="center"/>
              <w:rPr>
                <w:rFonts w:hint="eastAsia"/>
              </w:rPr>
            </w:pPr>
            <w:r>
              <w:rPr>
                <w:rFonts w:hint="eastAsia"/>
                <w:kern w:val="2"/>
                <w:sz w:val="21"/>
              </w:rPr>
              <w:t>管理人</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656BB93" w14:textId="77777777" w:rsidR="00E3349B" w:rsidRDefault="00E3349B">
            <w:pPr>
              <w:pStyle w:val="a5"/>
              <w:spacing w:before="0" w:beforeAutospacing="0" w:after="0" w:afterAutospacing="0"/>
              <w:jc w:val="center"/>
              <w:rPr>
                <w:rFonts w:hint="eastAsia"/>
              </w:rPr>
            </w:pPr>
            <w:r>
              <w:rPr>
                <w:rFonts w:hint="eastAsia"/>
                <w:kern w:val="2"/>
                <w:sz w:val="21"/>
              </w:rPr>
              <w:t>公允价值（元）</w:t>
            </w:r>
            <w:r>
              <w:rPr>
                <w:rFonts w:hint="eastAsia"/>
                <w:kern w:val="2"/>
                <w:sz w:val="21"/>
                <w:lang w:eastAsia="zh-Hans"/>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866F0D6" w14:textId="77777777" w:rsidR="00E3349B" w:rsidRDefault="00E3349B">
            <w:pPr>
              <w:pStyle w:val="a5"/>
              <w:spacing w:before="0" w:beforeAutospacing="0" w:after="0" w:afterAutospacing="0"/>
              <w:jc w:val="center"/>
              <w:rPr>
                <w:rFonts w:hint="eastAsia"/>
              </w:rPr>
            </w:pPr>
            <w:r>
              <w:rPr>
                <w:rFonts w:hint="eastAsia"/>
                <w:kern w:val="2"/>
                <w:sz w:val="21"/>
              </w:rPr>
              <w:t>占基金资产净值比例（%）</w:t>
            </w:r>
            <w:r>
              <w:rPr>
                <w:rFonts w:hint="eastAsia"/>
                <w:kern w:val="2"/>
                <w:sz w:val="21"/>
                <w:lang w:eastAsia="zh-Hans"/>
              </w:rPr>
              <w:t xml:space="preserve"> </w:t>
            </w:r>
          </w:p>
        </w:tc>
      </w:tr>
      <w:tr w:rsidR="00746C83" w14:paraId="1A0388AA" w14:textId="77777777">
        <w:trPr>
          <w:divId w:val="22563972"/>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33C1FD" w14:textId="77777777" w:rsidR="00E3349B" w:rsidRDefault="00E3349B">
            <w:pPr>
              <w:pStyle w:val="a5"/>
              <w:spacing w:before="0" w:beforeAutospacing="0" w:after="0" w:afterAutospacing="0"/>
              <w:ind w:firstLineChars="50" w:firstLine="105"/>
              <w:jc w:val="center"/>
              <w:rPr>
                <w:rFonts w:hint="eastAsia"/>
              </w:rPr>
            </w:pPr>
            <w:r>
              <w:rPr>
                <w:rFonts w:hint="eastAsia"/>
                <w:kern w:val="2"/>
                <w:sz w:val="21"/>
                <w:lang w:eastAsia="zh-Hans"/>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A60504" w14:textId="77777777" w:rsidR="00E3349B" w:rsidRDefault="00E3349B">
            <w:pPr>
              <w:pStyle w:val="a5"/>
              <w:spacing w:before="0" w:beforeAutospacing="0" w:after="0" w:afterAutospacing="0"/>
              <w:jc w:val="center"/>
              <w:rPr>
                <w:rFonts w:hint="eastAsia"/>
              </w:rPr>
            </w:pPr>
            <w:r>
              <w:rPr>
                <w:rFonts w:hint="eastAsia"/>
                <w:kern w:val="2"/>
                <w:sz w:val="21"/>
                <w:lang w:eastAsia="zh-Hans"/>
              </w:rPr>
              <w:t>摩根中证A500ETF</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B38E7" w14:textId="77777777" w:rsidR="00E3349B" w:rsidRDefault="00E3349B">
            <w:pPr>
              <w:pStyle w:val="a5"/>
              <w:spacing w:before="0" w:beforeAutospacing="0" w:after="0" w:afterAutospacing="0"/>
              <w:jc w:val="center"/>
              <w:rPr>
                <w:rFonts w:hint="eastAsia"/>
              </w:rPr>
            </w:pPr>
            <w:r>
              <w:rPr>
                <w:rFonts w:hint="eastAsia"/>
                <w:kern w:val="2"/>
                <w:sz w:val="21"/>
                <w:lang w:eastAsia="zh-Hans"/>
              </w:rPr>
              <w:t>股票型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62D694" w14:textId="77777777" w:rsidR="00E3349B" w:rsidRDefault="00E3349B">
            <w:pPr>
              <w:pStyle w:val="a5"/>
              <w:spacing w:before="0" w:beforeAutospacing="0" w:after="0" w:afterAutospacing="0"/>
              <w:jc w:val="center"/>
              <w:rPr>
                <w:rFonts w:hint="eastAsia"/>
              </w:rPr>
            </w:pPr>
            <w:r>
              <w:rPr>
                <w:rFonts w:hint="eastAsia"/>
                <w:kern w:val="2"/>
                <w:sz w:val="21"/>
                <w:lang w:eastAsia="zh-Hans"/>
              </w:rPr>
              <w:t>交易型开放式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CEAB61" w14:textId="77777777" w:rsidR="00E3349B" w:rsidRDefault="00E3349B">
            <w:pPr>
              <w:pStyle w:val="a5"/>
              <w:spacing w:before="0" w:beforeAutospacing="0" w:after="0" w:afterAutospacing="0"/>
              <w:jc w:val="center"/>
              <w:rPr>
                <w:rFonts w:hint="eastAsia"/>
              </w:rPr>
            </w:pPr>
            <w:r>
              <w:rPr>
                <w:rFonts w:hint="eastAsia"/>
                <w:kern w:val="2"/>
                <w:sz w:val="21"/>
                <w:lang w:eastAsia="zh-Hans"/>
              </w:rPr>
              <w:t>摩根基金管理（中国）有限公司</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918A40" w14:textId="77777777" w:rsidR="00E3349B" w:rsidRDefault="00E3349B">
            <w:pPr>
              <w:pStyle w:val="a5"/>
              <w:spacing w:before="0" w:beforeAutospacing="0" w:after="0" w:afterAutospacing="0"/>
              <w:jc w:val="right"/>
              <w:rPr>
                <w:rFonts w:hint="eastAsia"/>
              </w:rPr>
            </w:pPr>
            <w:r>
              <w:rPr>
                <w:rFonts w:hint="eastAsia"/>
                <w:kern w:val="2"/>
                <w:sz w:val="21"/>
                <w:lang w:eastAsia="zh-Hans"/>
              </w:rPr>
              <w:t>2,601,189,798.21</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715CD7" w14:textId="77777777" w:rsidR="00E3349B" w:rsidRDefault="00E3349B">
            <w:pPr>
              <w:pStyle w:val="a5"/>
              <w:spacing w:before="0" w:beforeAutospacing="0" w:after="0" w:afterAutospacing="0"/>
              <w:jc w:val="right"/>
              <w:rPr>
                <w:rFonts w:hint="eastAsia"/>
              </w:rPr>
            </w:pPr>
            <w:r>
              <w:rPr>
                <w:rFonts w:hint="eastAsia"/>
                <w:kern w:val="2"/>
                <w:sz w:val="21"/>
                <w:lang w:eastAsia="zh-Hans"/>
              </w:rPr>
              <w:t>95.08</w:t>
            </w:r>
            <w:bookmarkEnd w:id="216"/>
            <w:bookmarkEnd w:id="217"/>
            <w:bookmarkEnd w:id="218"/>
            <w:bookmarkEnd w:id="219"/>
            <w:bookmarkEnd w:id="220"/>
          </w:p>
        </w:tc>
      </w:tr>
    </w:tbl>
    <w:p w14:paraId="149E978F" w14:textId="77777777" w:rsidR="00E3349B" w:rsidRDefault="00E3349B">
      <w:pPr>
        <w:pStyle w:val="XBRLTitle2"/>
        <w:spacing w:before="156"/>
        <w:ind w:left="454"/>
      </w:pPr>
      <w:bookmarkStart w:id="221" w:name="_Toc17881695"/>
      <w:bookmarkStart w:id="222" w:name="_Toc492299891"/>
      <w:bookmarkStart w:id="223" w:name="_Toc466644475"/>
      <w:bookmarkStart w:id="224" w:name="_Toc447872936"/>
      <w:bookmarkStart w:id="225" w:name="_Toc512627237"/>
      <w:bookmarkStart w:id="226" w:name="_Toc512694317"/>
      <w:r>
        <w:rPr>
          <w:rFonts w:hAnsi="宋体" w:hint="eastAsia"/>
        </w:rPr>
        <w:t>报告期末本基金投资的股指期货交易情况说明</w:t>
      </w:r>
      <w:bookmarkEnd w:id="221"/>
      <w:bookmarkEnd w:id="222"/>
      <w:bookmarkEnd w:id="223"/>
      <w:bookmarkEnd w:id="224"/>
      <w:bookmarkEnd w:id="225"/>
      <w:bookmarkEnd w:id="226"/>
      <w:r>
        <w:rPr>
          <w:rFonts w:hAnsi="宋体" w:hint="eastAsia"/>
        </w:rPr>
        <w:t xml:space="preserve"> </w:t>
      </w:r>
      <w:bookmarkEnd w:id="210"/>
    </w:p>
    <w:p w14:paraId="23290C76" w14:textId="77777777" w:rsidR="00E3349B" w:rsidRDefault="00E3349B">
      <w:pPr>
        <w:spacing w:line="360" w:lineRule="auto"/>
        <w:ind w:firstLineChars="200" w:firstLine="420"/>
        <w:divId w:val="856042830"/>
      </w:pPr>
      <w:r>
        <w:rPr>
          <w:rFonts w:ascii="宋体" w:hAnsi="宋体" w:hint="eastAsia"/>
          <w:szCs w:val="21"/>
          <w:lang w:eastAsia="zh-Hans"/>
        </w:rPr>
        <w:t>本基金本报告期末未持有股指期货。</w:t>
      </w:r>
    </w:p>
    <w:p w14:paraId="78CFD797" w14:textId="77777777" w:rsidR="00E3349B" w:rsidRDefault="00E3349B">
      <w:pPr>
        <w:pStyle w:val="XBRLTitle2"/>
        <w:spacing w:before="156"/>
        <w:ind w:left="454"/>
      </w:pPr>
      <w:bookmarkStart w:id="227" w:name="_Toc17881698"/>
      <w:bookmarkStart w:id="228" w:name="_Toc492299894"/>
      <w:bookmarkStart w:id="229" w:name="_Toc466644478"/>
      <w:bookmarkStart w:id="230" w:name="_Toc447872939"/>
      <w:bookmarkStart w:id="231" w:name="_Toc512627238"/>
      <w:bookmarkStart w:id="232" w:name="_Toc512694318"/>
      <w:bookmarkStart w:id="233" w:name="_Toc438646476"/>
      <w:r>
        <w:rPr>
          <w:rFonts w:hAnsi="宋体" w:hint="eastAsia"/>
        </w:rPr>
        <w:t>报告期末本基金投资的国债期货交易情况说明</w:t>
      </w:r>
      <w:bookmarkEnd w:id="227"/>
      <w:bookmarkEnd w:id="228"/>
      <w:bookmarkEnd w:id="229"/>
      <w:bookmarkEnd w:id="230"/>
      <w:bookmarkEnd w:id="231"/>
      <w:bookmarkEnd w:id="232"/>
      <w:bookmarkEnd w:id="233"/>
      <w:r>
        <w:rPr>
          <w:rFonts w:hAnsi="宋体" w:hint="eastAsia"/>
        </w:rPr>
        <w:t xml:space="preserve"> </w:t>
      </w:r>
    </w:p>
    <w:p w14:paraId="588EBC0E" w14:textId="77777777" w:rsidR="00E3349B" w:rsidRDefault="00E3349B">
      <w:pPr>
        <w:spacing w:line="360" w:lineRule="auto"/>
        <w:ind w:firstLineChars="200" w:firstLine="420"/>
        <w:divId w:val="506405623"/>
      </w:pPr>
      <w:bookmarkStart w:id="234" w:name="m510_01_1597"/>
      <w:bookmarkStart w:id="235" w:name="m510_01_1598"/>
      <w:bookmarkEnd w:id="234"/>
      <w:r>
        <w:rPr>
          <w:rFonts w:ascii="宋体" w:hAnsi="宋体" w:hint="eastAsia"/>
          <w:szCs w:val="21"/>
          <w:lang w:eastAsia="zh-Hans"/>
        </w:rPr>
        <w:t>本基金本报告期末未持有国债期货。</w:t>
      </w:r>
    </w:p>
    <w:p w14:paraId="76D15D31" w14:textId="77777777" w:rsidR="00E3349B" w:rsidRDefault="00E3349B">
      <w:pPr>
        <w:pStyle w:val="XBRLTitle2"/>
        <w:spacing w:before="156"/>
        <w:ind w:left="454"/>
      </w:pPr>
      <w:bookmarkStart w:id="236" w:name="_Toc17881702"/>
      <w:bookmarkStart w:id="237" w:name="_Toc492299898"/>
      <w:bookmarkStart w:id="238" w:name="_Toc466644482"/>
      <w:bookmarkStart w:id="239" w:name="_Toc447872943"/>
      <w:bookmarkStart w:id="240" w:name="_Toc512627239"/>
      <w:bookmarkStart w:id="241" w:name="_Toc512694319"/>
      <w:r>
        <w:rPr>
          <w:rFonts w:hint="eastAsia"/>
        </w:rPr>
        <w:t>投资组合报告附注</w:t>
      </w:r>
      <w:bookmarkEnd w:id="236"/>
      <w:bookmarkEnd w:id="237"/>
      <w:bookmarkEnd w:id="238"/>
      <w:bookmarkEnd w:id="239"/>
      <w:bookmarkEnd w:id="240"/>
      <w:bookmarkEnd w:id="241"/>
    </w:p>
    <w:p w14:paraId="58F12785" w14:textId="77777777" w:rsidR="00E3349B" w:rsidRDefault="00E3349B">
      <w:pPr>
        <w:pStyle w:val="XBRLTitle3"/>
        <w:numPr>
          <w:ilvl w:val="2"/>
          <w:numId w:val="2"/>
        </w:numPr>
        <w:spacing w:before="156"/>
        <w:ind w:left="0" w:firstLine="0"/>
      </w:pPr>
      <w:bookmarkStart w:id="242" w:name="_Toc512519515"/>
      <w:bookmarkStart w:id="243" w:name="_Toc481075083"/>
      <w:bookmarkStart w:id="244" w:name="_Toc490050036"/>
      <w:bookmarkStart w:id="245" w:name="_Toc513295927"/>
      <w:bookmarkStart w:id="246" w:name="_Toc17881703"/>
      <w:r>
        <w:rPr>
          <w:rFonts w:hint="eastAsia"/>
          <w:lang w:eastAsia="zh-CN"/>
        </w:rPr>
        <w:t xml:space="preserve"> </w:t>
      </w:r>
      <w:bookmarkEnd w:id="242"/>
      <w:bookmarkEnd w:id="243"/>
      <w:bookmarkEnd w:id="244"/>
      <w:bookmarkEnd w:id="245"/>
      <w:bookmarkEnd w:id="246"/>
    </w:p>
    <w:p w14:paraId="368609EF" w14:textId="77777777" w:rsidR="00E3349B" w:rsidRDefault="00E3349B">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4F37EFE3" w14:textId="77777777" w:rsidR="00E3349B" w:rsidRDefault="00E3349B">
      <w:pPr>
        <w:pStyle w:val="XBRLTitle3"/>
        <w:numPr>
          <w:ilvl w:val="2"/>
          <w:numId w:val="2"/>
        </w:numPr>
        <w:spacing w:before="156"/>
        <w:ind w:left="0" w:firstLine="0"/>
      </w:pPr>
      <w:bookmarkStart w:id="247" w:name="_Toc512519516"/>
      <w:bookmarkStart w:id="248" w:name="_Toc481075084"/>
      <w:bookmarkStart w:id="249" w:name="_Toc490050037"/>
      <w:bookmarkStart w:id="250" w:name="_Toc513295928"/>
      <w:bookmarkStart w:id="251" w:name="_Toc17881704"/>
      <w:r>
        <w:rPr>
          <w:rFonts w:hint="eastAsia"/>
          <w:lang w:eastAsia="zh-CN"/>
        </w:rPr>
        <w:t xml:space="preserve"> </w:t>
      </w:r>
      <w:bookmarkEnd w:id="247"/>
      <w:bookmarkEnd w:id="248"/>
      <w:bookmarkEnd w:id="249"/>
      <w:bookmarkEnd w:id="250"/>
      <w:bookmarkEnd w:id="251"/>
    </w:p>
    <w:p w14:paraId="2FFABE0B" w14:textId="77777777" w:rsidR="00E3349B" w:rsidRDefault="00E3349B">
      <w:pPr>
        <w:spacing w:line="360" w:lineRule="auto"/>
        <w:ind w:firstLineChars="200" w:firstLine="420"/>
      </w:pPr>
      <w:r>
        <w:rPr>
          <w:rFonts w:ascii="宋体" w:hAnsi="宋体" w:hint="eastAsia"/>
        </w:rPr>
        <w:t>报告期内本基金投资的前十名股票中没有在基金合同规定备选股票库之外的股票。</w:t>
      </w:r>
    </w:p>
    <w:p w14:paraId="41597906" w14:textId="77777777" w:rsidR="00E3349B" w:rsidRDefault="00E3349B">
      <w:pPr>
        <w:pStyle w:val="XBRLTitle3"/>
        <w:numPr>
          <w:ilvl w:val="2"/>
          <w:numId w:val="2"/>
        </w:numPr>
        <w:spacing w:before="156"/>
        <w:ind w:left="0" w:firstLine="0"/>
      </w:pPr>
      <w:bookmarkStart w:id="252" w:name="_Toc17881705"/>
      <w:bookmarkStart w:id="253" w:name="_Toc492299901"/>
      <w:bookmarkStart w:id="254" w:name="_Toc466644485"/>
      <w:bookmarkStart w:id="255" w:name="_Toc447872946"/>
      <w:bookmarkStart w:id="256" w:name="m510_02"/>
      <w:bookmarkEnd w:id="235"/>
      <w:r>
        <w:rPr>
          <w:rFonts w:hAnsi="宋体" w:hint="eastAsia"/>
        </w:rPr>
        <w:t>其他资产构成</w:t>
      </w:r>
      <w:bookmarkEnd w:id="252"/>
      <w:bookmarkEnd w:id="253"/>
      <w:bookmarkEnd w:id="254"/>
      <w:bookmarkEnd w:id="2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746C83" w14:paraId="4793D04F" w14:textId="77777777">
        <w:trPr>
          <w:divId w:val="57042942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4AA88" w14:textId="77777777" w:rsidR="00E3349B" w:rsidRDefault="00E3349B">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EE499" w14:textId="77777777" w:rsidR="00E3349B" w:rsidRDefault="00E3349B">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E4761C" w14:textId="77777777" w:rsidR="00E3349B" w:rsidRDefault="00E3349B">
            <w:pPr>
              <w:jc w:val="center"/>
            </w:pPr>
            <w:r>
              <w:rPr>
                <w:rFonts w:ascii="宋体" w:hAnsi="宋体" w:hint="eastAsia"/>
              </w:rPr>
              <w:t>金额（元）</w:t>
            </w:r>
            <w:r>
              <w:t xml:space="preserve"> </w:t>
            </w:r>
          </w:p>
        </w:tc>
      </w:tr>
      <w:tr w:rsidR="00746C83" w14:paraId="3B9D0095" w14:textId="77777777">
        <w:trPr>
          <w:divId w:val="57042942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AB5320" w14:textId="77777777" w:rsidR="00E3349B" w:rsidRDefault="00E3349B">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A09FBC" w14:textId="77777777" w:rsidR="00E3349B" w:rsidRDefault="00E3349B">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1CB01C" w14:textId="77777777" w:rsidR="00E3349B" w:rsidRDefault="00E3349B">
            <w:pPr>
              <w:jc w:val="right"/>
            </w:pPr>
            <w:r>
              <w:rPr>
                <w:rFonts w:ascii="宋体" w:hAnsi="宋体" w:hint="eastAsia"/>
              </w:rPr>
              <w:t>-</w:t>
            </w:r>
          </w:p>
        </w:tc>
      </w:tr>
      <w:tr w:rsidR="00746C83" w14:paraId="531693A8" w14:textId="77777777">
        <w:trPr>
          <w:divId w:val="57042942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2C28E0" w14:textId="77777777" w:rsidR="00E3349B" w:rsidRDefault="00E3349B">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28DD8F" w14:textId="77777777" w:rsidR="00E3349B" w:rsidRDefault="00E3349B">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89C07" w14:textId="77777777" w:rsidR="00E3349B" w:rsidRDefault="00E3349B">
            <w:pPr>
              <w:jc w:val="right"/>
            </w:pPr>
            <w:r>
              <w:rPr>
                <w:rFonts w:ascii="宋体" w:hAnsi="宋体" w:hint="eastAsia"/>
              </w:rPr>
              <w:t>-</w:t>
            </w:r>
          </w:p>
        </w:tc>
      </w:tr>
      <w:tr w:rsidR="00746C83" w14:paraId="28958BFB" w14:textId="77777777">
        <w:trPr>
          <w:divId w:val="57042942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2B6914" w14:textId="77777777" w:rsidR="00E3349B" w:rsidRDefault="00E3349B">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6ADDF6" w14:textId="77777777" w:rsidR="00E3349B" w:rsidRDefault="00E3349B">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D1FAF7" w14:textId="77777777" w:rsidR="00E3349B" w:rsidRDefault="00E3349B">
            <w:pPr>
              <w:jc w:val="right"/>
            </w:pPr>
            <w:r>
              <w:rPr>
                <w:rFonts w:ascii="宋体" w:hAnsi="宋体" w:hint="eastAsia"/>
              </w:rPr>
              <w:t>-</w:t>
            </w:r>
          </w:p>
        </w:tc>
      </w:tr>
      <w:tr w:rsidR="00746C83" w14:paraId="1AFCC6B3" w14:textId="77777777">
        <w:trPr>
          <w:divId w:val="57042942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27E325" w14:textId="77777777" w:rsidR="00E3349B" w:rsidRDefault="00E3349B">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41B670" w14:textId="77777777" w:rsidR="00E3349B" w:rsidRDefault="00E3349B">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00E924" w14:textId="77777777" w:rsidR="00E3349B" w:rsidRDefault="00E3349B">
            <w:pPr>
              <w:jc w:val="right"/>
            </w:pPr>
            <w:r>
              <w:rPr>
                <w:rFonts w:ascii="宋体" w:hAnsi="宋体" w:hint="eastAsia"/>
              </w:rPr>
              <w:t>-</w:t>
            </w:r>
          </w:p>
        </w:tc>
      </w:tr>
      <w:tr w:rsidR="00746C83" w14:paraId="6992A2AA" w14:textId="77777777">
        <w:trPr>
          <w:divId w:val="57042942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5F727B" w14:textId="77777777" w:rsidR="00E3349B" w:rsidRDefault="00E3349B">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B7B987" w14:textId="77777777" w:rsidR="00E3349B" w:rsidRDefault="00E3349B">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55545F" w14:textId="77777777" w:rsidR="00E3349B" w:rsidRDefault="00E3349B">
            <w:pPr>
              <w:jc w:val="right"/>
            </w:pPr>
            <w:r>
              <w:rPr>
                <w:rFonts w:ascii="宋体" w:hAnsi="宋体" w:hint="eastAsia"/>
              </w:rPr>
              <w:t>1,423,004.64</w:t>
            </w:r>
          </w:p>
        </w:tc>
      </w:tr>
      <w:tr w:rsidR="00746C83" w14:paraId="151BEA23" w14:textId="77777777">
        <w:trPr>
          <w:divId w:val="57042942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775203" w14:textId="77777777" w:rsidR="00E3349B" w:rsidRDefault="00E3349B">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921967" w14:textId="77777777" w:rsidR="00E3349B" w:rsidRDefault="00E3349B">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E555DD" w14:textId="77777777" w:rsidR="00E3349B" w:rsidRDefault="00E3349B">
            <w:pPr>
              <w:jc w:val="right"/>
            </w:pPr>
            <w:r>
              <w:rPr>
                <w:rFonts w:ascii="宋体" w:hAnsi="宋体" w:hint="eastAsia"/>
              </w:rPr>
              <w:t>-</w:t>
            </w:r>
          </w:p>
        </w:tc>
      </w:tr>
      <w:tr w:rsidR="00746C83" w14:paraId="250B6A96" w14:textId="77777777">
        <w:trPr>
          <w:divId w:val="57042942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F1F4F0" w14:textId="77777777" w:rsidR="00E3349B" w:rsidRDefault="00E3349B">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4E8C2E" w14:textId="77777777" w:rsidR="00E3349B" w:rsidRDefault="00E3349B">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649740" w14:textId="77777777" w:rsidR="00E3349B" w:rsidRDefault="00E3349B">
            <w:pPr>
              <w:jc w:val="right"/>
            </w:pPr>
            <w:r>
              <w:rPr>
                <w:rFonts w:ascii="宋体" w:hAnsi="宋体" w:hint="eastAsia"/>
              </w:rPr>
              <w:t>-</w:t>
            </w:r>
          </w:p>
        </w:tc>
      </w:tr>
      <w:tr w:rsidR="00746C83" w14:paraId="2A4115A8" w14:textId="77777777">
        <w:trPr>
          <w:divId w:val="57042942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04CB64" w14:textId="77777777" w:rsidR="00E3349B" w:rsidRDefault="00E3349B">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FB9F6F" w14:textId="77777777" w:rsidR="00E3349B" w:rsidRDefault="00E3349B">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203293" w14:textId="77777777" w:rsidR="00E3349B" w:rsidRDefault="00E3349B">
            <w:pPr>
              <w:jc w:val="right"/>
            </w:pPr>
            <w:r>
              <w:rPr>
                <w:rFonts w:ascii="宋体" w:hAnsi="宋体" w:hint="eastAsia"/>
              </w:rPr>
              <w:t>1,423,004.64</w:t>
            </w:r>
          </w:p>
        </w:tc>
      </w:tr>
    </w:tbl>
    <w:p w14:paraId="1DE8A95F" w14:textId="77777777" w:rsidR="00E3349B" w:rsidRDefault="00E3349B">
      <w:pPr>
        <w:pStyle w:val="XBRLTitle3"/>
        <w:numPr>
          <w:ilvl w:val="2"/>
          <w:numId w:val="2"/>
        </w:numPr>
        <w:spacing w:before="156"/>
        <w:ind w:left="0" w:firstLine="0"/>
      </w:pPr>
      <w:bookmarkStart w:id="257" w:name="_Toc17881706"/>
      <w:bookmarkStart w:id="258" w:name="_Toc492299902"/>
      <w:bookmarkStart w:id="259" w:name="_Toc466644486"/>
      <w:bookmarkStart w:id="260" w:name="_Toc447872947"/>
      <w:bookmarkStart w:id="261" w:name="m510_03"/>
      <w:bookmarkEnd w:id="256"/>
      <w:r>
        <w:rPr>
          <w:rFonts w:hAnsi="宋体" w:hint="eastAsia"/>
        </w:rPr>
        <w:t>报告期末持有的处于转股期的可转换债券明细</w:t>
      </w:r>
      <w:bookmarkEnd w:id="257"/>
      <w:bookmarkEnd w:id="258"/>
      <w:bookmarkEnd w:id="259"/>
      <w:bookmarkEnd w:id="260"/>
    </w:p>
    <w:p w14:paraId="01B6651A" w14:textId="77777777" w:rsidR="00E3349B" w:rsidRDefault="00E3349B">
      <w:pPr>
        <w:spacing w:line="360" w:lineRule="auto"/>
        <w:ind w:firstLineChars="200" w:firstLine="420"/>
        <w:jc w:val="left"/>
      </w:pPr>
      <w:r>
        <w:rPr>
          <w:rFonts w:ascii="宋体" w:hAnsi="宋体" w:hint="eastAsia"/>
        </w:rPr>
        <w:t xml:space="preserve">本基金本报告期末未持有处于转股期的可转换债券。 </w:t>
      </w:r>
    </w:p>
    <w:p w14:paraId="4D5143C7" w14:textId="77777777" w:rsidR="00E3349B" w:rsidRDefault="00E3349B">
      <w:pPr>
        <w:pStyle w:val="XBRLTitle3"/>
        <w:numPr>
          <w:ilvl w:val="2"/>
          <w:numId w:val="2"/>
        </w:numPr>
        <w:spacing w:before="156"/>
        <w:ind w:left="0" w:firstLine="0"/>
      </w:pPr>
      <w:bookmarkStart w:id="262" w:name="_Toc17881707"/>
      <w:bookmarkStart w:id="263" w:name="_Toc492299903"/>
      <w:bookmarkStart w:id="264" w:name="_Toc466644487"/>
      <w:bookmarkStart w:id="265" w:name="_Toc447872948"/>
      <w:bookmarkStart w:id="266" w:name="m510_04"/>
      <w:bookmarkEnd w:id="261"/>
      <w:r>
        <w:rPr>
          <w:rFonts w:hAnsi="宋体" w:hint="eastAsia"/>
        </w:rPr>
        <w:t>报告期末前十名股票中存在流通受限情况的说明</w:t>
      </w:r>
      <w:bookmarkEnd w:id="262"/>
      <w:bookmarkEnd w:id="263"/>
      <w:bookmarkEnd w:id="264"/>
      <w:bookmarkEnd w:id="265"/>
    </w:p>
    <w:p w14:paraId="41A1FF03" w14:textId="77777777" w:rsidR="00E3349B" w:rsidRDefault="00E3349B">
      <w:pPr>
        <w:spacing w:line="360" w:lineRule="auto"/>
        <w:ind w:firstLineChars="200" w:firstLine="420"/>
        <w:jc w:val="left"/>
        <w:divId w:val="583228894"/>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7"/>
      <w:bookmarkEnd w:id="18"/>
      <w:bookmarkEnd w:id="19"/>
      <w:bookmarkEnd w:id="20"/>
      <w:bookmarkEnd w:id="16"/>
    </w:p>
    <w:p w14:paraId="7EC0FF23" w14:textId="77777777" w:rsidR="00E3349B" w:rsidRDefault="00E3349B">
      <w:pPr>
        <w:pStyle w:val="XBRLTitle3"/>
        <w:numPr>
          <w:ilvl w:val="2"/>
          <w:numId w:val="2"/>
        </w:numPr>
        <w:spacing w:before="156"/>
        <w:ind w:left="0" w:firstLine="0"/>
      </w:pPr>
      <w:bookmarkStart w:id="267" w:name="_Toc17881708"/>
      <w:bookmarkStart w:id="268" w:name="_Toc492299904"/>
      <w:bookmarkStart w:id="269" w:name="_Toc466644488"/>
      <w:bookmarkStart w:id="270" w:name="_Toc447872949"/>
      <w:bookmarkStart w:id="271" w:name="m510_05_1678"/>
      <w:bookmarkEnd w:id="266"/>
      <w:r>
        <w:rPr>
          <w:rFonts w:hAnsi="宋体" w:hint="eastAsia"/>
        </w:rPr>
        <w:t>投资组合报告附注的其他文字描述部分</w:t>
      </w:r>
      <w:bookmarkEnd w:id="267"/>
      <w:bookmarkEnd w:id="268"/>
      <w:bookmarkEnd w:id="269"/>
      <w:bookmarkEnd w:id="270"/>
      <w:r>
        <w:rPr>
          <w:rFonts w:hint="eastAsia"/>
          <w:sz w:val="21"/>
        </w:rPr>
        <w:t xml:space="preserve"> </w:t>
      </w:r>
    </w:p>
    <w:p w14:paraId="4D08D4E1" w14:textId="77777777" w:rsidR="00E3349B" w:rsidRDefault="00E3349B">
      <w:pPr>
        <w:spacing w:line="360" w:lineRule="auto"/>
        <w:ind w:firstLineChars="200" w:firstLine="420"/>
        <w:jc w:val="left"/>
      </w:pPr>
      <w:r>
        <w:rPr>
          <w:rFonts w:ascii="宋体" w:hAnsi="宋体" w:hint="eastAsia"/>
        </w:rPr>
        <w:t>因四舍五入原因，投资组合报告中分项之和与合计可能存在尾差。</w:t>
      </w:r>
    </w:p>
    <w:p w14:paraId="66DB9C9E" w14:textId="77777777" w:rsidR="00E3349B" w:rsidRDefault="00E3349B">
      <w:pPr>
        <w:pStyle w:val="XBRLTitle1"/>
        <w:spacing w:before="156"/>
        <w:ind w:left="425"/>
      </w:pPr>
      <w:bookmarkStart w:id="272" w:name="_Toc17881709"/>
      <w:bookmarkStart w:id="273" w:name="_Toc512627240"/>
      <w:bookmarkStart w:id="274" w:name="_Toc492299905"/>
      <w:bookmarkStart w:id="275" w:name="_Toc466644489"/>
      <w:bookmarkStart w:id="276" w:name="_Toc447872950"/>
      <w:bookmarkStart w:id="277" w:name="_Toc438646477"/>
      <w:bookmarkStart w:id="278" w:name="_Toc512694320"/>
      <w:bookmarkStart w:id="279" w:name="m601"/>
      <w:bookmarkEnd w:id="271"/>
      <w:r>
        <w:rPr>
          <w:rFonts w:hAnsi="宋体" w:hint="eastAsia"/>
        </w:rPr>
        <w:lastRenderedPageBreak/>
        <w:t>开放式基金份额变动</w:t>
      </w:r>
      <w:bookmarkEnd w:id="272"/>
      <w:bookmarkEnd w:id="273"/>
      <w:bookmarkEnd w:id="274"/>
      <w:bookmarkEnd w:id="275"/>
      <w:bookmarkEnd w:id="276"/>
      <w:bookmarkEnd w:id="277"/>
      <w:bookmarkEnd w:id="278"/>
      <w:r>
        <w:rPr>
          <w:rFonts w:hAnsi="宋体" w:hint="eastAsia"/>
        </w:rPr>
        <w:t xml:space="preserve"> </w:t>
      </w:r>
    </w:p>
    <w:p w14:paraId="12145449" w14:textId="77777777" w:rsidR="00E3349B" w:rsidRDefault="00E3349B">
      <w:pPr>
        <w:jc w:val="right"/>
      </w:pPr>
      <w:bookmarkStart w:id="280" w:name="m601_tab"/>
      <w:r>
        <w:rPr>
          <w:rFonts w:ascii="宋体" w:hAnsi="宋体" w:hint="eastAsia"/>
        </w:rPr>
        <w:t xml:space="preserve">                                                                             </w:t>
      </w:r>
    </w:p>
    <w:p w14:paraId="30F223CD" w14:textId="77777777" w:rsidR="00E3349B" w:rsidRDefault="00E3349B">
      <w:pPr>
        <w:wordWrap w:val="0"/>
        <w:spacing w:line="360" w:lineRule="auto"/>
        <w:jc w:val="right"/>
        <w:divId w:val="1621644380"/>
      </w:pPr>
      <w:bookmarkStart w:id="281"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480"/>
        <w:gridCol w:w="1690"/>
        <w:gridCol w:w="1270"/>
        <w:gridCol w:w="1270"/>
      </w:tblGrid>
      <w:tr w:rsidR="00746C83" w14:paraId="42E917A6" w14:textId="77777777">
        <w:trPr>
          <w:divId w:val="162164438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4543A8D" w14:textId="77777777" w:rsidR="00E3349B" w:rsidRDefault="00E3349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282" w:name="m10_01" w:colFirst="1" w:colLast="4"/>
            <w:bookmarkEnd w:id="281"/>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570D36" w14:textId="77777777" w:rsidR="00E3349B" w:rsidRDefault="00E3349B">
            <w:pPr>
              <w:ind w:right="3"/>
              <w:jc w:val="center"/>
            </w:pPr>
            <w:r>
              <w:rPr>
                <w:rFonts w:ascii="宋体" w:hAnsi="宋体" w:hint="eastAsia"/>
                <w:lang w:eastAsia="zh-Hans"/>
              </w:rPr>
              <w:t>摩根中证A500ETF联接A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A2B03A" w14:textId="77777777" w:rsidR="00E3349B" w:rsidRDefault="00E3349B">
            <w:pPr>
              <w:ind w:right="3"/>
              <w:jc w:val="center"/>
            </w:pPr>
            <w:r>
              <w:rPr>
                <w:rFonts w:ascii="宋体" w:hAnsi="宋体" w:hint="eastAsia"/>
                <w:lang w:eastAsia="zh-Hans"/>
              </w:rPr>
              <w:t>摩根中证A500ETF联接C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F7237" w14:textId="77777777" w:rsidR="00E3349B" w:rsidRDefault="00E3349B">
            <w:pPr>
              <w:ind w:right="3"/>
              <w:jc w:val="center"/>
            </w:pPr>
            <w:r>
              <w:rPr>
                <w:rFonts w:ascii="宋体" w:hAnsi="宋体" w:hint="eastAsia"/>
                <w:lang w:eastAsia="zh-Hans"/>
              </w:rPr>
              <w:t>摩根中证A500ETF联接I</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DD9D52" w14:textId="77777777" w:rsidR="00E3349B" w:rsidRDefault="00E3349B">
            <w:pPr>
              <w:ind w:right="3"/>
              <w:jc w:val="center"/>
            </w:pPr>
            <w:r>
              <w:rPr>
                <w:rFonts w:ascii="宋体" w:hAnsi="宋体" w:hint="eastAsia"/>
                <w:lang w:eastAsia="zh-Hans"/>
              </w:rPr>
              <w:t>摩根中证A500ETF联接Y</w:t>
            </w:r>
            <w:r>
              <w:rPr>
                <w:rFonts w:ascii="宋体" w:hAnsi="宋体" w:hint="eastAsia"/>
                <w:kern w:val="0"/>
                <w:szCs w:val="24"/>
                <w:lang w:eastAsia="zh-Hans"/>
              </w:rPr>
              <w:t xml:space="preserve"> </w:t>
            </w:r>
          </w:p>
        </w:tc>
      </w:tr>
      <w:tr w:rsidR="00746C83" w14:paraId="443F0527" w14:textId="77777777">
        <w:trPr>
          <w:divId w:val="162164438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3D1260" w14:textId="77777777" w:rsidR="00E3349B" w:rsidRDefault="00E3349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F6A2E6" w14:textId="77777777" w:rsidR="00E3349B" w:rsidRDefault="00E3349B">
            <w:pPr>
              <w:jc w:val="right"/>
            </w:pPr>
            <w:r>
              <w:rPr>
                <w:rFonts w:ascii="宋体" w:hAnsi="宋体" w:hint="eastAsia"/>
              </w:rPr>
              <w:t>819,801,615.17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D429FA" w14:textId="77777777" w:rsidR="00E3349B" w:rsidRDefault="00E3349B">
            <w:pPr>
              <w:jc w:val="right"/>
            </w:pPr>
            <w:r>
              <w:rPr>
                <w:rFonts w:ascii="宋体" w:hAnsi="宋体" w:hint="eastAsia"/>
              </w:rPr>
              <w:t>2,227,477,056.41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5B0CD3" w14:textId="77777777" w:rsidR="00E3349B" w:rsidRDefault="00E3349B">
            <w:pPr>
              <w:jc w:val="right"/>
            </w:pPr>
            <w:r>
              <w:rPr>
                <w:rFonts w:ascii="宋体" w:hAnsi="宋体" w:hint="eastAsia"/>
              </w:rPr>
              <w:t>2,819,275.23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07CC8D" w14:textId="77777777" w:rsidR="00E3349B" w:rsidRDefault="00E3349B">
            <w:pPr>
              <w:jc w:val="right"/>
            </w:pPr>
            <w:r>
              <w:rPr>
                <w:rFonts w:ascii="宋体" w:hAnsi="宋体" w:hint="eastAsia"/>
              </w:rPr>
              <w:t>3,427,369.67</w:t>
            </w:r>
          </w:p>
        </w:tc>
      </w:tr>
      <w:tr w:rsidR="00746C83" w14:paraId="6BA9E3F7" w14:textId="77777777">
        <w:trPr>
          <w:divId w:val="162164438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B59165" w14:textId="77777777" w:rsidR="00E3349B" w:rsidRDefault="00E3349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979C92" w14:textId="77777777" w:rsidR="00E3349B" w:rsidRDefault="00E3349B">
            <w:pPr>
              <w:jc w:val="right"/>
            </w:pPr>
            <w:r>
              <w:rPr>
                <w:rFonts w:ascii="宋体" w:hAnsi="宋体" w:hint="eastAsia"/>
              </w:rPr>
              <w:t>41,016,881.22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5E4E74" w14:textId="77777777" w:rsidR="00E3349B" w:rsidRDefault="00E3349B">
            <w:pPr>
              <w:jc w:val="right"/>
            </w:pPr>
            <w:r>
              <w:rPr>
                <w:rFonts w:ascii="宋体" w:hAnsi="宋体" w:hint="eastAsia"/>
              </w:rPr>
              <w:t>167,879,642.17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F48191" w14:textId="77777777" w:rsidR="00E3349B" w:rsidRDefault="00E3349B">
            <w:pPr>
              <w:jc w:val="right"/>
            </w:pPr>
            <w:r>
              <w:rPr>
                <w:rFonts w:ascii="宋体" w:hAnsi="宋体" w:hint="eastAsia"/>
              </w:rPr>
              <w:t>2,339,052.27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1B982F" w14:textId="77777777" w:rsidR="00E3349B" w:rsidRDefault="00E3349B">
            <w:pPr>
              <w:jc w:val="right"/>
            </w:pPr>
            <w:r>
              <w:rPr>
                <w:rFonts w:ascii="宋体" w:hAnsi="宋体" w:hint="eastAsia"/>
              </w:rPr>
              <w:t>936,424.99</w:t>
            </w:r>
          </w:p>
        </w:tc>
      </w:tr>
      <w:tr w:rsidR="00746C83" w14:paraId="0F7384A7" w14:textId="77777777">
        <w:trPr>
          <w:divId w:val="162164438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9B70F7" w14:textId="77777777" w:rsidR="00E3349B" w:rsidRDefault="00E3349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49A5D9" w14:textId="77777777" w:rsidR="00E3349B" w:rsidRDefault="00E3349B">
            <w:pPr>
              <w:jc w:val="right"/>
            </w:pPr>
            <w:r>
              <w:rPr>
                <w:rFonts w:ascii="宋体" w:hAnsi="宋体" w:hint="eastAsia"/>
              </w:rPr>
              <w:t>114,635,166.70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6C41E2" w14:textId="77777777" w:rsidR="00E3349B" w:rsidRDefault="00E3349B">
            <w:pPr>
              <w:jc w:val="right"/>
            </w:pPr>
            <w:r>
              <w:rPr>
                <w:rFonts w:ascii="宋体" w:hAnsi="宋体" w:hint="eastAsia"/>
              </w:rPr>
              <w:t>310,596,079.31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2862F4" w14:textId="77777777" w:rsidR="00E3349B" w:rsidRDefault="00E3349B">
            <w:pPr>
              <w:jc w:val="right"/>
            </w:pPr>
            <w:r>
              <w:rPr>
                <w:rFonts w:ascii="宋体" w:hAnsi="宋体" w:hint="eastAsia"/>
              </w:rPr>
              <w:t>3,094,871.26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D68FB0B" w14:textId="77777777" w:rsidR="00E3349B" w:rsidRDefault="00E3349B">
            <w:pPr>
              <w:jc w:val="right"/>
            </w:pPr>
            <w:r>
              <w:rPr>
                <w:rFonts w:ascii="宋体" w:hAnsi="宋体" w:hint="eastAsia"/>
              </w:rPr>
              <w:t>464,550.74</w:t>
            </w:r>
          </w:p>
        </w:tc>
      </w:tr>
      <w:tr w:rsidR="00746C83" w14:paraId="48FECE13" w14:textId="77777777">
        <w:trPr>
          <w:divId w:val="162164438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B4C239" w14:textId="77777777" w:rsidR="00E3349B" w:rsidRDefault="00E3349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8BF073" w14:textId="77777777" w:rsidR="00E3349B" w:rsidRDefault="00E3349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94739F" w14:textId="77777777" w:rsidR="00E3349B" w:rsidRDefault="00E3349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2480BE" w14:textId="77777777" w:rsidR="00E3349B" w:rsidRDefault="00E3349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6BB4AB" w14:textId="77777777" w:rsidR="00E3349B" w:rsidRDefault="00E3349B">
            <w:pPr>
              <w:jc w:val="right"/>
            </w:pPr>
            <w:r>
              <w:rPr>
                <w:rFonts w:ascii="宋体" w:hAnsi="宋体" w:hint="eastAsia"/>
              </w:rPr>
              <w:t>-</w:t>
            </w:r>
          </w:p>
        </w:tc>
      </w:tr>
      <w:tr w:rsidR="00746C83" w14:paraId="4FF9C4BA" w14:textId="77777777">
        <w:trPr>
          <w:divId w:val="162164438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349374" w14:textId="77777777" w:rsidR="00E3349B" w:rsidRDefault="00E3349B">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09C033" w14:textId="77777777" w:rsidR="00E3349B" w:rsidRDefault="00E3349B">
            <w:pPr>
              <w:jc w:val="right"/>
            </w:pPr>
            <w:r>
              <w:rPr>
                <w:rFonts w:ascii="宋体" w:hAnsi="宋体" w:hint="eastAsia"/>
              </w:rPr>
              <w:t>746,183,329.69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1F567F" w14:textId="77777777" w:rsidR="00E3349B" w:rsidRDefault="00E3349B">
            <w:pPr>
              <w:jc w:val="right"/>
            </w:pPr>
            <w:r>
              <w:rPr>
                <w:rFonts w:ascii="宋体" w:hAnsi="宋体" w:hint="eastAsia"/>
              </w:rPr>
              <w:t>2,084,760,619.27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46042E" w14:textId="77777777" w:rsidR="00E3349B" w:rsidRDefault="00E3349B">
            <w:pPr>
              <w:jc w:val="right"/>
            </w:pPr>
            <w:r>
              <w:rPr>
                <w:rFonts w:ascii="宋体" w:hAnsi="宋体" w:hint="eastAsia"/>
              </w:rPr>
              <w:t>2,063,456.24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1B1B78" w14:textId="77777777" w:rsidR="00E3349B" w:rsidRDefault="00E3349B">
            <w:pPr>
              <w:jc w:val="right"/>
            </w:pPr>
            <w:r>
              <w:rPr>
                <w:rFonts w:ascii="宋体" w:hAnsi="宋体" w:hint="eastAsia"/>
              </w:rPr>
              <w:t>3,899,243.92</w:t>
            </w:r>
          </w:p>
        </w:tc>
      </w:tr>
    </w:tbl>
    <w:p w14:paraId="3BFCF042" w14:textId="77777777" w:rsidR="00E3349B" w:rsidRDefault="00E3349B">
      <w:pPr>
        <w:spacing w:line="360" w:lineRule="auto"/>
        <w:jc w:val="left"/>
        <w:divId w:val="1621644380"/>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82"/>
      <w:r>
        <w:rPr>
          <w:rFonts w:ascii="宋体" w:hAnsi="宋体" w:hint="eastAsia"/>
        </w:rPr>
        <w:t xml:space="preserve"> </w:t>
      </w:r>
    </w:p>
    <w:p w14:paraId="7199E1E6" w14:textId="77777777" w:rsidR="00E3349B" w:rsidRDefault="00E3349B">
      <w:pPr>
        <w:pStyle w:val="XBRLTitle1"/>
        <w:spacing w:before="156"/>
        <w:ind w:left="425"/>
      </w:pPr>
      <w:bookmarkStart w:id="283" w:name="_Toc17881710"/>
      <w:bookmarkStart w:id="284" w:name="_Toc492299906"/>
      <w:bookmarkStart w:id="285" w:name="_Toc466644490"/>
      <w:bookmarkStart w:id="286" w:name="_Toc447872951"/>
      <w:bookmarkStart w:id="287" w:name="_Toc438646478"/>
      <w:bookmarkStart w:id="288" w:name="_Toc512627241"/>
      <w:bookmarkStart w:id="289" w:name="_Toc512694321"/>
      <w:bookmarkStart w:id="290" w:name="m7manage01"/>
      <w:bookmarkEnd w:id="280"/>
      <w:bookmarkEnd w:id="279"/>
      <w:r>
        <w:rPr>
          <w:rFonts w:hint="eastAsia"/>
        </w:rPr>
        <w:t>基金管理人运用固有资金投资本基金情况</w:t>
      </w:r>
      <w:bookmarkEnd w:id="283"/>
      <w:bookmarkEnd w:id="284"/>
      <w:bookmarkEnd w:id="285"/>
      <w:bookmarkEnd w:id="286"/>
      <w:bookmarkEnd w:id="287"/>
      <w:bookmarkEnd w:id="288"/>
      <w:bookmarkEnd w:id="289"/>
      <w:bookmarkEnd w:id="290"/>
    </w:p>
    <w:p w14:paraId="377C3129" w14:textId="77777777" w:rsidR="00E3349B" w:rsidRDefault="00E3349B">
      <w:pPr>
        <w:pStyle w:val="XBRLTitle2"/>
        <w:spacing w:before="156"/>
        <w:ind w:left="454"/>
      </w:pPr>
      <w:bookmarkStart w:id="291" w:name="_Toc17881711"/>
      <w:bookmarkStart w:id="292" w:name="_Toc492299907"/>
      <w:bookmarkStart w:id="293" w:name="_Toc466644491"/>
      <w:bookmarkStart w:id="294" w:name="_Toc458599606"/>
      <w:bookmarkStart w:id="295" w:name="_Toc462325491"/>
      <w:bookmarkStart w:id="296" w:name="_Toc512627242"/>
      <w:bookmarkStart w:id="297" w:name="_Toc512694322"/>
      <w:r>
        <w:rPr>
          <w:rFonts w:hint="eastAsia"/>
        </w:rPr>
        <w:t>基金管理人持有本基金份额变动情况</w:t>
      </w:r>
      <w:bookmarkEnd w:id="291"/>
      <w:bookmarkEnd w:id="292"/>
      <w:bookmarkEnd w:id="293"/>
      <w:bookmarkEnd w:id="294"/>
      <w:bookmarkEnd w:id="295"/>
      <w:bookmarkEnd w:id="296"/>
      <w:bookmarkEnd w:id="297"/>
      <w:r>
        <w:rPr>
          <w:rFonts w:hint="eastAsia"/>
          <w:lang w:eastAsia="zh-CN"/>
        </w:rPr>
        <w:t xml:space="preserve"> </w:t>
      </w:r>
    </w:p>
    <w:p w14:paraId="3276CE6F" w14:textId="77777777" w:rsidR="00E3349B" w:rsidRDefault="00E3349B">
      <w:pPr>
        <w:spacing w:line="360" w:lineRule="auto"/>
        <w:ind w:firstLineChars="200" w:firstLine="420"/>
        <w:jc w:val="left"/>
        <w:divId w:val="1920096531"/>
      </w:pPr>
      <w:r>
        <w:rPr>
          <w:rFonts w:ascii="宋体" w:hAnsi="宋体" w:hint="eastAsia"/>
          <w:szCs w:val="21"/>
          <w:lang w:eastAsia="zh-Hans"/>
        </w:rPr>
        <w:t>无。</w:t>
      </w:r>
      <w:r>
        <w:rPr>
          <w:rFonts w:ascii="宋体" w:hAnsi="宋体" w:hint="eastAsia"/>
          <w:szCs w:val="21"/>
        </w:rPr>
        <w:t xml:space="preserve"> </w:t>
      </w:r>
    </w:p>
    <w:p w14:paraId="12DA3851" w14:textId="77777777" w:rsidR="00E3349B" w:rsidRDefault="00E3349B">
      <w:pPr>
        <w:pStyle w:val="XBRLTitle2"/>
        <w:spacing w:before="156"/>
        <w:ind w:left="454"/>
      </w:pPr>
      <w:bookmarkStart w:id="298" w:name="_Toc17881712"/>
      <w:bookmarkStart w:id="299" w:name="_Toc492299908"/>
      <w:bookmarkStart w:id="300" w:name="_Toc466644492"/>
      <w:bookmarkStart w:id="301" w:name="_Toc458599607"/>
      <w:bookmarkStart w:id="302" w:name="_Toc462325492"/>
      <w:bookmarkStart w:id="303" w:name="_Toc512627243"/>
      <w:bookmarkStart w:id="304" w:name="_Toc512694323"/>
      <w:r>
        <w:rPr>
          <w:rFonts w:hint="eastAsia"/>
        </w:rPr>
        <w:t>基金管理人运用固有资金投资本基金交易明细</w:t>
      </w:r>
      <w:bookmarkEnd w:id="298"/>
      <w:bookmarkEnd w:id="299"/>
      <w:bookmarkEnd w:id="300"/>
      <w:bookmarkEnd w:id="301"/>
      <w:bookmarkEnd w:id="302"/>
      <w:bookmarkEnd w:id="303"/>
      <w:bookmarkEnd w:id="304"/>
      <w:r>
        <w:rPr>
          <w:rFonts w:hint="eastAsia"/>
          <w:lang w:eastAsia="zh-CN"/>
        </w:rPr>
        <w:t xml:space="preserve"> </w:t>
      </w:r>
    </w:p>
    <w:p w14:paraId="58AF338C" w14:textId="77777777" w:rsidR="00E3349B" w:rsidRDefault="00E3349B">
      <w:pPr>
        <w:spacing w:line="360" w:lineRule="auto"/>
        <w:ind w:firstLineChars="200" w:firstLine="420"/>
        <w:jc w:val="left"/>
        <w:divId w:val="1275399621"/>
      </w:pPr>
      <w:r>
        <w:rPr>
          <w:rFonts w:ascii="宋体" w:hAnsi="宋体" w:hint="eastAsia"/>
          <w:lang w:eastAsia="zh-Hans"/>
        </w:rPr>
        <w:t>无。</w:t>
      </w:r>
      <w:r>
        <w:rPr>
          <w:rFonts w:ascii="宋体" w:hAnsi="宋体" w:hint="eastAsia"/>
        </w:rPr>
        <w:t xml:space="preserve"> </w:t>
      </w:r>
    </w:p>
    <w:p w14:paraId="54595D92" w14:textId="77777777" w:rsidR="00E3349B" w:rsidRDefault="00E3349B">
      <w:pPr>
        <w:pStyle w:val="XBRLTitle1"/>
        <w:spacing w:before="156"/>
        <w:ind w:left="425"/>
      </w:pPr>
      <w:bookmarkStart w:id="305" w:name="_Toc17881714"/>
      <w:bookmarkStart w:id="306" w:name="_Toc479856294"/>
      <w:bookmarkStart w:id="307" w:name="_Toc492299909"/>
      <w:bookmarkStart w:id="308" w:name="_Toc512627244"/>
      <w:bookmarkStart w:id="309" w:name="_Toc512694324"/>
      <w:bookmarkStart w:id="310" w:name="m701"/>
      <w:r>
        <w:rPr>
          <w:rFonts w:hint="eastAsia"/>
        </w:rPr>
        <w:t>影响投资者决策的其他重要信息</w:t>
      </w:r>
      <w:bookmarkEnd w:id="305"/>
      <w:bookmarkEnd w:id="306"/>
      <w:bookmarkEnd w:id="307"/>
      <w:bookmarkEnd w:id="308"/>
      <w:bookmarkEnd w:id="309"/>
      <w:r>
        <w:rPr>
          <w:rFonts w:hint="eastAsia"/>
          <w:lang w:eastAsia="zh-CN"/>
        </w:rPr>
        <w:t xml:space="preserve"> </w:t>
      </w:r>
    </w:p>
    <w:p w14:paraId="03679078" w14:textId="77777777" w:rsidR="00E3349B" w:rsidRDefault="00E3349B">
      <w:pPr>
        <w:pStyle w:val="XBRLTitle2"/>
        <w:spacing w:before="156"/>
        <w:ind w:left="454"/>
      </w:pPr>
      <w:bookmarkStart w:id="311" w:name="_Toc17881715"/>
      <w:bookmarkStart w:id="312" w:name="_Toc492299910"/>
      <w:bookmarkStart w:id="313" w:name="_Toc512627245"/>
      <w:bookmarkStart w:id="314" w:name="_Toc512694325"/>
      <w:r>
        <w:rPr>
          <w:rFonts w:hint="eastAsia"/>
          <w:kern w:val="0"/>
        </w:rPr>
        <w:t>报告期内单一投资者持有基金份额比例达到或超过20%的情况</w:t>
      </w:r>
      <w:bookmarkEnd w:id="311"/>
      <w:bookmarkEnd w:id="312"/>
      <w:bookmarkEnd w:id="313"/>
      <w:bookmarkEnd w:id="314"/>
      <w:r>
        <w:rPr>
          <w:rFonts w:hint="eastAsia"/>
          <w:kern w:val="0"/>
          <w:lang w:eastAsia="zh-CN"/>
        </w:rPr>
        <w:t xml:space="preserve"> </w:t>
      </w:r>
    </w:p>
    <w:bookmarkEnd w:id="37"/>
    <w:bookmarkEnd w:id="38"/>
    <w:bookmarkEnd w:id="21"/>
    <w:p w14:paraId="371E0AAF" w14:textId="77777777" w:rsidR="00E3349B" w:rsidRDefault="00E3349B">
      <w:pPr>
        <w:spacing w:line="360" w:lineRule="auto"/>
        <w:ind w:firstLineChars="200" w:firstLine="420"/>
        <w:divId w:val="973365095"/>
        <w:rPr>
          <w:rFonts w:ascii="宋体" w:hAnsi="宋体" w:hint="eastAsia"/>
          <w:szCs w:val="21"/>
          <w:lang w:eastAsia="zh-Hans"/>
        </w:rPr>
      </w:pPr>
      <w:r>
        <w:rPr>
          <w:rFonts w:ascii="宋体" w:hAnsi="宋体" w:hint="eastAsia"/>
          <w:szCs w:val="21"/>
          <w:lang w:eastAsia="zh-Hans"/>
        </w:rPr>
        <w:t>无。</w:t>
      </w:r>
    </w:p>
    <w:p w14:paraId="168CB32B" w14:textId="77777777" w:rsidR="00E3349B" w:rsidRDefault="00E3349B">
      <w:pPr>
        <w:pStyle w:val="XBRLTitle1"/>
        <w:spacing w:before="156"/>
        <w:ind w:left="425"/>
      </w:pPr>
      <w:bookmarkStart w:id="315" w:name="_Toc17881717"/>
      <w:bookmarkStart w:id="316" w:name="_Toc466644495"/>
      <w:bookmarkStart w:id="317" w:name="_Toc447872955"/>
      <w:bookmarkStart w:id="318" w:name="_Toc438646481"/>
      <w:bookmarkStart w:id="319" w:name="_Toc492299912"/>
      <w:bookmarkStart w:id="320" w:name="_Toc512627247"/>
      <w:bookmarkStart w:id="321" w:name="_Toc512694327"/>
      <w:bookmarkEnd w:id="310"/>
      <w:r>
        <w:rPr>
          <w:rFonts w:hint="eastAsia"/>
        </w:rPr>
        <w:t>备查文件目录</w:t>
      </w:r>
      <w:bookmarkEnd w:id="315"/>
      <w:bookmarkEnd w:id="316"/>
      <w:bookmarkEnd w:id="317"/>
      <w:bookmarkEnd w:id="318"/>
      <w:bookmarkEnd w:id="319"/>
      <w:bookmarkEnd w:id="320"/>
      <w:bookmarkEnd w:id="321"/>
    </w:p>
    <w:p w14:paraId="2EC23910" w14:textId="77777777" w:rsidR="00E3349B" w:rsidRDefault="00E3349B">
      <w:pPr>
        <w:pStyle w:val="XBRLTitle2"/>
        <w:spacing w:before="156"/>
        <w:ind w:left="454"/>
      </w:pPr>
      <w:bookmarkStart w:id="322" w:name="_Toc438646482"/>
      <w:bookmarkStart w:id="323" w:name="_Toc17881718"/>
      <w:bookmarkStart w:id="324" w:name="_Toc492299913"/>
      <w:bookmarkStart w:id="325" w:name="_Toc466644496"/>
      <w:bookmarkStart w:id="326" w:name="_Toc447872956"/>
      <w:bookmarkStart w:id="327" w:name="_Toc512627248"/>
      <w:bookmarkStart w:id="328" w:name="_Toc512694328"/>
      <w:bookmarkStart w:id="329" w:name="m801_01_1733"/>
      <w:r>
        <w:rPr>
          <w:rFonts w:hAnsi="宋体" w:hint="eastAsia"/>
        </w:rPr>
        <w:t>备查文件目录</w:t>
      </w:r>
      <w:bookmarkEnd w:id="322"/>
      <w:bookmarkEnd w:id="323"/>
      <w:bookmarkEnd w:id="324"/>
      <w:bookmarkEnd w:id="325"/>
      <w:bookmarkEnd w:id="326"/>
      <w:bookmarkEnd w:id="327"/>
      <w:bookmarkEnd w:id="328"/>
      <w:r>
        <w:rPr>
          <w:rFonts w:hAnsi="宋体" w:hint="eastAsia"/>
        </w:rPr>
        <w:t xml:space="preserve"> </w:t>
      </w:r>
    </w:p>
    <w:p w14:paraId="6C13D661" w14:textId="77777777" w:rsidR="00E3349B" w:rsidRDefault="00E3349B">
      <w:pPr>
        <w:spacing w:line="360" w:lineRule="auto"/>
        <w:ind w:firstLineChars="200" w:firstLine="420"/>
        <w:jc w:val="left"/>
      </w:pPr>
      <w:r>
        <w:rPr>
          <w:rFonts w:ascii="宋体" w:hAnsi="宋体" w:cs="宋体" w:hint="eastAsia"/>
          <w:color w:val="000000"/>
          <w:kern w:val="0"/>
        </w:rPr>
        <w:t>（一）中国证监会准予摩根中证A500交易型开放式指数证券投资基金联接基金募集注册的文件</w:t>
      </w:r>
      <w:r>
        <w:rPr>
          <w:rFonts w:ascii="宋体" w:hAnsi="宋体" w:cs="宋体" w:hint="eastAsia"/>
          <w:color w:val="000000"/>
          <w:kern w:val="0"/>
        </w:rPr>
        <w:br/>
        <w:t xml:space="preserve">　　（二）摩根中证A500交易型开放式指数证券投资基金联接</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（三）摩根中证A500交易型开放式指数证券投资基金联接基金托管协议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r>
      <w:r>
        <w:rPr>
          <w:rFonts w:ascii="宋体" w:hAnsi="宋体" w:cs="宋体" w:hint="eastAsia"/>
          <w:color w:val="000000"/>
          <w:kern w:val="0"/>
        </w:rPr>
        <w:lastRenderedPageBreak/>
        <w:t xml:space="preserve">　　（八）中国证监会要求的其他文件</w:t>
      </w:r>
    </w:p>
    <w:p w14:paraId="50143096" w14:textId="77777777" w:rsidR="00E3349B" w:rsidRDefault="00E3349B">
      <w:pPr>
        <w:pStyle w:val="XBRLTitle2"/>
        <w:spacing w:before="156"/>
        <w:ind w:left="454"/>
      </w:pPr>
      <w:bookmarkStart w:id="330" w:name="_Toc438646483"/>
      <w:bookmarkStart w:id="331" w:name="_Toc17881719"/>
      <w:bookmarkStart w:id="332" w:name="_Toc492299914"/>
      <w:bookmarkStart w:id="333" w:name="_Toc466644497"/>
      <w:bookmarkStart w:id="334" w:name="_Toc447872957"/>
      <w:bookmarkStart w:id="335" w:name="_Toc512627249"/>
      <w:bookmarkStart w:id="336" w:name="_Toc512694329"/>
      <w:bookmarkStart w:id="337" w:name="m801_01_1734"/>
      <w:bookmarkEnd w:id="329"/>
      <w:r>
        <w:rPr>
          <w:rFonts w:hAnsi="宋体" w:hint="eastAsia"/>
        </w:rPr>
        <w:t>存放地点</w:t>
      </w:r>
      <w:bookmarkEnd w:id="330"/>
      <w:bookmarkEnd w:id="331"/>
      <w:bookmarkEnd w:id="332"/>
      <w:bookmarkEnd w:id="333"/>
      <w:bookmarkEnd w:id="334"/>
      <w:bookmarkEnd w:id="335"/>
      <w:bookmarkEnd w:id="336"/>
      <w:r>
        <w:rPr>
          <w:rFonts w:hAnsi="宋体" w:hint="eastAsia"/>
        </w:rPr>
        <w:t xml:space="preserve"> </w:t>
      </w:r>
    </w:p>
    <w:p w14:paraId="3198D351" w14:textId="77777777" w:rsidR="00E3349B" w:rsidRDefault="00E3349B">
      <w:pPr>
        <w:spacing w:line="360" w:lineRule="auto"/>
        <w:ind w:firstLineChars="200" w:firstLine="420"/>
        <w:jc w:val="left"/>
      </w:pPr>
      <w:r>
        <w:rPr>
          <w:rFonts w:ascii="宋体" w:hAnsi="宋体" w:cs="宋体" w:hint="eastAsia"/>
          <w:color w:val="000000"/>
          <w:kern w:val="0"/>
        </w:rPr>
        <w:t>基金管理人或基金托管人住所。</w:t>
      </w:r>
    </w:p>
    <w:p w14:paraId="4EEFA8AF" w14:textId="77777777" w:rsidR="00E3349B" w:rsidRDefault="00E3349B">
      <w:pPr>
        <w:pStyle w:val="XBRLTitle2"/>
        <w:spacing w:before="156"/>
        <w:ind w:left="454"/>
      </w:pPr>
      <w:bookmarkStart w:id="338" w:name="_Toc438646484"/>
      <w:bookmarkStart w:id="339" w:name="_Toc17881720"/>
      <w:bookmarkStart w:id="340" w:name="_Toc492299915"/>
      <w:bookmarkStart w:id="341" w:name="_Toc466644498"/>
      <w:bookmarkStart w:id="342" w:name="_Toc447872958"/>
      <w:bookmarkStart w:id="343" w:name="_Toc512627250"/>
      <w:bookmarkStart w:id="344" w:name="_Toc512694330"/>
      <w:bookmarkStart w:id="345" w:name="m801_01_1735"/>
      <w:bookmarkEnd w:id="337"/>
      <w:r>
        <w:rPr>
          <w:rFonts w:hAnsi="宋体" w:hint="eastAsia"/>
        </w:rPr>
        <w:t>查阅方式</w:t>
      </w:r>
      <w:bookmarkEnd w:id="338"/>
      <w:bookmarkEnd w:id="339"/>
      <w:bookmarkEnd w:id="340"/>
      <w:bookmarkEnd w:id="341"/>
      <w:bookmarkEnd w:id="342"/>
      <w:bookmarkEnd w:id="343"/>
      <w:bookmarkEnd w:id="344"/>
      <w:r>
        <w:rPr>
          <w:rFonts w:hAnsi="宋体" w:hint="eastAsia"/>
        </w:rPr>
        <w:t xml:space="preserve"> </w:t>
      </w:r>
    </w:p>
    <w:p w14:paraId="5B272EBE" w14:textId="77777777" w:rsidR="00E3349B" w:rsidRDefault="00E3349B">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2"/>
      <w:r>
        <w:rPr>
          <w:rFonts w:ascii="宋体" w:hAnsi="宋体" w:cs="宋体" w:hint="eastAsia"/>
          <w:color w:val="000000"/>
          <w:kern w:val="0"/>
        </w:rPr>
        <w:t xml:space="preserve"> </w:t>
      </w:r>
    </w:p>
    <w:bookmarkEnd w:id="345"/>
    <w:p w14:paraId="093921D1" w14:textId="77777777" w:rsidR="00E3349B" w:rsidRDefault="00E3349B">
      <w:pPr>
        <w:jc w:val="right"/>
        <w:rPr>
          <w:rFonts w:ascii="宋体" w:hAnsi="宋体" w:hint="eastAsia"/>
          <w:sz w:val="24"/>
        </w:rPr>
      </w:pPr>
      <w:r>
        <w:rPr>
          <w:rFonts w:ascii="宋体" w:hAnsi="宋体" w:hint="eastAsia"/>
          <w:sz w:val="24"/>
        </w:rPr>
        <w:t xml:space="preserve">　 </w:t>
      </w:r>
    </w:p>
    <w:p w14:paraId="6FD30CE4" w14:textId="77777777" w:rsidR="00E3349B" w:rsidRDefault="00E3349B">
      <w:pPr>
        <w:ind w:firstLineChars="600" w:firstLine="1687"/>
        <w:jc w:val="left"/>
      </w:pPr>
      <w:r>
        <w:rPr>
          <w:rFonts w:ascii="宋体" w:hAnsi="宋体" w:hint="eastAsia"/>
          <w:b/>
          <w:bCs/>
          <w:sz w:val="28"/>
          <w:szCs w:val="30"/>
        </w:rPr>
        <w:t xml:space="preserve">　 </w:t>
      </w:r>
    </w:p>
    <w:p w14:paraId="0EA268FD" w14:textId="77777777" w:rsidR="00E3349B" w:rsidRDefault="00E3349B">
      <w:pPr>
        <w:ind w:firstLineChars="600" w:firstLine="1446"/>
        <w:jc w:val="right"/>
      </w:pPr>
      <w:r>
        <w:rPr>
          <w:rFonts w:ascii="宋体" w:hAnsi="宋体" w:hint="eastAsia"/>
          <w:b/>
          <w:bCs/>
          <w:sz w:val="24"/>
          <w:szCs w:val="24"/>
        </w:rPr>
        <w:t>摩根基金管理（中国）有限公司</w:t>
      </w:r>
    </w:p>
    <w:p w14:paraId="07A26397" w14:textId="77777777" w:rsidR="00E3349B" w:rsidRDefault="00E3349B">
      <w:pPr>
        <w:ind w:firstLineChars="600" w:firstLine="1446"/>
        <w:jc w:val="right"/>
      </w:pPr>
      <w:r>
        <w:rPr>
          <w:rFonts w:ascii="宋体" w:hAnsi="宋体" w:hint="eastAsia"/>
          <w:b/>
          <w:bCs/>
          <w:sz w:val="24"/>
          <w:szCs w:val="24"/>
        </w:rPr>
        <w:t>2025年7月21日</w:t>
      </w:r>
    </w:p>
    <w:sectPr w:rsidR="00E3349B">
      <w:headerReference w:type="default" r:id="rId12"/>
      <w:footerReference w:type="defaul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40A78" w14:textId="77777777" w:rsidR="00E3349B" w:rsidRDefault="00E3349B">
      <w:pPr>
        <w:rPr>
          <w:szCs w:val="21"/>
        </w:rPr>
      </w:pPr>
      <w:r>
        <w:rPr>
          <w:szCs w:val="21"/>
        </w:rPr>
        <w:separator/>
      </w:r>
      <w:r>
        <w:rPr>
          <w:szCs w:val="21"/>
        </w:rPr>
        <w:t xml:space="preserve"> </w:t>
      </w:r>
    </w:p>
  </w:endnote>
  <w:endnote w:type="continuationSeparator" w:id="0">
    <w:p w14:paraId="44903281" w14:textId="77777777" w:rsidR="00E3349B" w:rsidRDefault="00E3349B">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5D59" w14:textId="77777777" w:rsidR="00E3349B" w:rsidRDefault="00E3349B">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7</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096C5" w14:textId="77777777" w:rsidR="00E3349B" w:rsidRDefault="00E3349B">
      <w:pPr>
        <w:rPr>
          <w:szCs w:val="21"/>
        </w:rPr>
      </w:pPr>
      <w:r>
        <w:rPr>
          <w:szCs w:val="21"/>
        </w:rPr>
        <w:separator/>
      </w:r>
      <w:r>
        <w:rPr>
          <w:szCs w:val="21"/>
        </w:rPr>
        <w:t xml:space="preserve"> </w:t>
      </w:r>
    </w:p>
  </w:footnote>
  <w:footnote w:type="continuationSeparator" w:id="0">
    <w:p w14:paraId="54E2B057" w14:textId="77777777" w:rsidR="00E3349B" w:rsidRDefault="00E3349B">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BEEC" w14:textId="77777777" w:rsidR="00E3349B" w:rsidRDefault="00E3349B">
    <w:pPr>
      <w:pStyle w:val="aa"/>
      <w:jc w:val="right"/>
    </w:pPr>
    <w:r>
      <w:rPr>
        <w:rFonts w:ascii="宋体" w:hAnsi="宋体" w:hint="eastAsia"/>
      </w:rPr>
      <w:t>摩根中证A500交易型开放式指数证券投资基金联接基金2025年第2季度报告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A332285A"/>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suff w:val="space"/>
      <w:lvlText w:val="%1.%2.%3"/>
      <w:lvlJc w:val="left"/>
      <w:pPr>
        <w:ind w:left="908"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802695823">
    <w:abstractNumId w:val="0"/>
  </w:num>
  <w:num w:numId="2" w16cid:durableId="1564366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bordersDoNotSurroundHeader/>
  <w:bordersDoNotSurroundFooter/>
  <w:proofState w:grammar="clean"/>
  <w:defaultTabStop w:val="420"/>
  <w:drawingGridHorizontalSpacing w:val="107"/>
  <w:drawingGridVerticalSpacing w:val="156"/>
  <w:displayHorizontalDrawingGridEvery w:val="0"/>
  <w:displayVerticalDrawingGridEvery w:val="2"/>
  <w:characterSpacingControl w:val="compressPunctuation"/>
  <w:doNotValidateAgainstSchema/>
  <w:doNotDemarcateInvalidXml/>
  <w:hdrShapeDefaults>
    <o:shapedefaults v:ext="edit" spidmax="11059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9B"/>
    <w:rsid w:val="00141B3A"/>
    <w:rsid w:val="00312C9A"/>
    <w:rsid w:val="004F4007"/>
    <w:rsid w:val="005C5AF1"/>
    <w:rsid w:val="00746C83"/>
    <w:rsid w:val="00863D68"/>
    <w:rsid w:val="009254A7"/>
    <w:rsid w:val="00A231D2"/>
    <w:rsid w:val="00E3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D258756"/>
  <w15:chartTrackingRefBased/>
  <w15:docId w15:val="{BA955B4B-0B31-4BF7-BAE8-DE8124C6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rPr>
      <w:rFonts w:asciiTheme="majorHAnsi" w:eastAsiaTheme="majorEastAsia" w:hAnsiTheme="majorHAnsi" w:cstheme="majorBidi"/>
      <w:color w:val="365F91" w:themeColor="accent1" w:themeShade="BF"/>
      <w:kern w:val="2"/>
      <w:sz w:val="48"/>
      <w:szCs w:val="48"/>
    </w:rPr>
  </w:style>
  <w:style w:type="character" w:customStyle="1" w:styleId="20">
    <w:name w:val="标题 2 字符"/>
    <w:basedOn w:val="a0"/>
    <w:uiPriority w:val="9"/>
    <w:rPr>
      <w:rFonts w:asciiTheme="majorHAnsi" w:eastAsiaTheme="majorEastAsia" w:hAnsiTheme="majorHAnsi" w:cstheme="majorBidi"/>
      <w:color w:val="365F91" w:themeColor="accent1" w:themeShade="BF"/>
      <w:kern w:val="2"/>
      <w:sz w:val="40"/>
      <w:szCs w:val="40"/>
    </w:rPr>
  </w:style>
  <w:style w:type="character" w:customStyle="1" w:styleId="30">
    <w:name w:val="标题 3 字符"/>
    <w:basedOn w:val="a0"/>
    <w:uiPriority w:val="9"/>
    <w:rPr>
      <w:rFonts w:asciiTheme="majorHAnsi" w:eastAsiaTheme="majorEastAsia" w:hAnsiTheme="majorHAnsi" w:cstheme="majorBidi"/>
      <w:color w:val="365F91" w:themeColor="accent1" w:themeShade="BF"/>
      <w:kern w:val="2"/>
      <w:sz w:val="32"/>
      <w:szCs w:val="32"/>
    </w:rPr>
  </w:style>
  <w:style w:type="character" w:customStyle="1" w:styleId="40">
    <w:name w:val="标题 4 字符"/>
    <w:basedOn w:val="a0"/>
    <w:rPr>
      <w:rFonts w:asciiTheme="minorHAnsi" w:eastAsiaTheme="minorEastAsia" w:hAnsiTheme="minorHAnsi" w:cstheme="majorBidi"/>
      <w:color w:val="365F91" w:themeColor="accent1" w:themeShade="BF"/>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rPr>
      <w:kern w:val="2"/>
      <w:sz w:val="18"/>
      <w:szCs w:val="18"/>
    </w:rPr>
  </w:style>
  <w:style w:type="paragraph" w:styleId="a8">
    <w:name w:val="annotation text"/>
    <w:basedOn w:val="a"/>
    <w:link w:val="13"/>
    <w:uiPriority w:val="99"/>
    <w:semiHidden/>
    <w:unhideWhenUsed/>
    <w:pPr>
      <w:jc w:val="left"/>
    </w:pPr>
  </w:style>
  <w:style w:type="character" w:customStyle="1" w:styleId="a9">
    <w:name w:val="批注文字 字符"/>
    <w:basedOn w:val="a0"/>
    <w:uiPriority w:val="99"/>
    <w:semiHidden/>
    <w:rPr>
      <w:kern w:val="2"/>
      <w:sz w:val="21"/>
    </w:rPr>
  </w:style>
  <w:style w:type="paragraph" w:styleId="aa">
    <w:name w:val="header"/>
    <w:basedOn w:val="a"/>
    <w:link w:val="14"/>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rPr>
      <w:kern w:val="2"/>
      <w:sz w:val="18"/>
      <w:szCs w:val="18"/>
    </w:rPr>
  </w:style>
  <w:style w:type="paragraph" w:styleId="ac">
    <w:name w:val="footer"/>
    <w:basedOn w:val="a"/>
    <w:link w:val="15"/>
    <w:uiPriority w:val="99"/>
    <w:pPr>
      <w:tabs>
        <w:tab w:val="center" w:pos="4153"/>
        <w:tab w:val="right" w:pos="8306"/>
      </w:tabs>
      <w:snapToGrid w:val="0"/>
      <w:jc w:val="left"/>
    </w:pPr>
    <w:rPr>
      <w:sz w:val="18"/>
      <w:szCs w:val="18"/>
    </w:rPr>
  </w:style>
  <w:style w:type="character" w:customStyle="1" w:styleId="ad">
    <w:name w:val="页脚 字符"/>
    <w:basedOn w:val="a0"/>
    <w:uiPriority w:val="99"/>
    <w:rPr>
      <w:kern w:val="2"/>
      <w:sz w:val="18"/>
      <w:szCs w:val="18"/>
    </w:rPr>
  </w:style>
  <w:style w:type="paragraph" w:styleId="ae">
    <w:name w:val="Title"/>
    <w:basedOn w:val="1"/>
    <w:next w:val="2"/>
    <w:link w:val="16"/>
    <w:uiPriority w:val="10"/>
    <w:qFormat/>
    <w:pPr>
      <w:keepNext w:val="0"/>
      <w:keepLines w:val="0"/>
      <w:spacing w:before="240" w:after="60" w:line="240" w:lineRule="auto"/>
      <w:jc w:val="center"/>
    </w:pPr>
    <w:rPr>
      <w:rFonts w:ascii="Cambria" w:hAnsi="Cambria"/>
      <w:kern w:val="0"/>
      <w:sz w:val="32"/>
      <w:szCs w:val="32"/>
    </w:rPr>
  </w:style>
  <w:style w:type="character" w:customStyle="1" w:styleId="af">
    <w:name w:val="标题 字符"/>
    <w:basedOn w:val="a0"/>
    <w:uiPriority w:val="10"/>
    <w:rPr>
      <w:rFonts w:asciiTheme="majorHAnsi" w:eastAsiaTheme="majorEastAsia" w:hAnsiTheme="majorHAnsi" w:cstheme="majorBidi"/>
      <w:spacing w:val="-10"/>
      <w:kern w:val="28"/>
      <w:sz w:val="56"/>
      <w:szCs w:val="56"/>
    </w:rPr>
  </w:style>
  <w:style w:type="paragraph" w:styleId="af0">
    <w:name w:val="Subtitle"/>
    <w:basedOn w:val="2"/>
    <w:next w:val="3"/>
    <w:link w:val="17"/>
    <w:qFormat/>
    <w:pPr>
      <w:spacing w:before="240" w:after="60" w:line="312" w:lineRule="auto"/>
      <w:jc w:val="left"/>
    </w:pPr>
    <w:rPr>
      <w:rFonts w:cs="Times New Roman"/>
      <w:bCs w:val="0"/>
      <w:kern w:val="28"/>
      <w:sz w:val="24"/>
    </w:rPr>
  </w:style>
  <w:style w:type="character" w:customStyle="1" w:styleId="af1">
    <w:name w:val="副标题 字符"/>
    <w:basedOn w:val="a0"/>
    <w:rPr>
      <w:rFonts w:asciiTheme="majorHAnsi" w:eastAsiaTheme="majorEastAsia" w:hAnsiTheme="majorHAnsi" w:cstheme="majorBidi"/>
      <w:color w:val="595959" w:themeColor="text1" w:themeTint="A6"/>
      <w:spacing w:val="15"/>
      <w:kern w:val="2"/>
      <w:sz w:val="28"/>
      <w:szCs w:val="28"/>
    </w:rPr>
  </w:style>
  <w:style w:type="paragraph" w:styleId="af2">
    <w:name w:val="Date"/>
    <w:basedOn w:val="a"/>
    <w:next w:val="a"/>
    <w:link w:val="18"/>
    <w:rPr>
      <w:rFonts w:ascii="宋体"/>
      <w:sz w:val="32"/>
      <w:lang w:val="x-none" w:eastAsia="x-none"/>
    </w:rPr>
  </w:style>
  <w:style w:type="character" w:customStyle="1" w:styleId="af3">
    <w:name w:val="日期 字符"/>
    <w:basedOn w:val="a0"/>
    <w:rPr>
      <w:kern w:val="2"/>
      <w:sz w:val="21"/>
    </w:rPr>
  </w:style>
  <w:style w:type="paragraph" w:styleId="af4">
    <w:name w:val="Document Map"/>
    <w:basedOn w:val="a"/>
    <w:link w:val="19"/>
    <w:pPr>
      <w:shd w:val="clear" w:color="auto" w:fill="000080"/>
    </w:pPr>
  </w:style>
  <w:style w:type="character" w:customStyle="1" w:styleId="af5">
    <w:name w:val="文档结构图 字符"/>
    <w:basedOn w:val="a0"/>
    <w:rPr>
      <w:rFonts w:ascii="Microsoft YaHei UI" w:eastAsia="Microsoft YaHei UI"/>
      <w:kern w:val="2"/>
      <w:sz w:val="18"/>
      <w:szCs w:val="18"/>
    </w:rPr>
  </w:style>
  <w:style w:type="paragraph" w:styleId="af6">
    <w:name w:val="Balloon Text"/>
    <w:basedOn w:val="a"/>
    <w:link w:val="1a"/>
    <w:uiPriority w:val="99"/>
    <w:semiHidden/>
    <w:unhideWhenUsed/>
    <w:rPr>
      <w:sz w:val="18"/>
      <w:szCs w:val="18"/>
    </w:rPr>
  </w:style>
  <w:style w:type="character" w:customStyle="1" w:styleId="af7">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f0"/>
    <w:next w:val="4"/>
    <w:qFormat/>
    <w:pPr>
      <w:numPr>
        <w:ilvl w:val="5"/>
        <w:numId w:val="2"/>
      </w:numPr>
      <w:spacing w:beforeLines="50" w:before="0" w:after="0" w:line="240" w:lineRule="auto"/>
      <w:ind w:left="2042"/>
      <w:outlineLvl w:val="9"/>
    </w:pPr>
    <w:rPr>
      <w:bCs/>
    </w:rPr>
  </w:style>
  <w:style w:type="paragraph" w:customStyle="1" w:styleId="af8">
    <w:name w:val="次标题"/>
    <w:basedOn w:val="3"/>
    <w:next w:val="a"/>
    <w:pPr>
      <w:spacing w:before="120" w:after="120"/>
      <w:jc w:val="left"/>
    </w:pPr>
    <w:rPr>
      <w:rFonts w:ascii="宋体" w:hAnsi="宋体"/>
      <w:sz w:val="21"/>
    </w:rPr>
  </w:style>
  <w:style w:type="paragraph" w:customStyle="1" w:styleId="XBRL6">
    <w:name w:val="XBRL标题6"/>
    <w:basedOn w:val="af0"/>
    <w:next w:val="4"/>
    <w:qFormat/>
    <w:pPr>
      <w:spacing w:beforeLines="50" w:before="0" w:after="0" w:line="240" w:lineRule="auto"/>
      <w:outlineLvl w:val="9"/>
    </w:pPr>
    <w:rPr>
      <w:bCs/>
    </w:rPr>
  </w:style>
  <w:style w:type="paragraph" w:customStyle="1" w:styleId="XBRL2">
    <w:name w:val="XBRL标题2"/>
    <w:basedOn w:val="af0"/>
    <w:next w:val="4"/>
    <w:qFormat/>
    <w:pPr>
      <w:spacing w:beforeLines="50" w:before="0" w:after="0" w:line="240" w:lineRule="auto"/>
    </w:pPr>
    <w:rPr>
      <w:bCs/>
    </w:rPr>
  </w:style>
  <w:style w:type="paragraph" w:customStyle="1" w:styleId="XBRL3">
    <w:name w:val="XBRL标题3"/>
    <w:basedOn w:val="af0"/>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f0"/>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f0"/>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f0"/>
    <w:next w:val="4"/>
    <w:qFormat/>
    <w:pPr>
      <w:spacing w:beforeLines="50" w:before="0" w:after="0" w:line="240" w:lineRule="auto"/>
      <w:outlineLvl w:val="9"/>
    </w:pPr>
    <w:rPr>
      <w:bCs/>
    </w:rPr>
  </w:style>
  <w:style w:type="paragraph" w:customStyle="1" w:styleId="XBRL4">
    <w:name w:val="XBRL标题4"/>
    <w:basedOn w:val="af0"/>
    <w:next w:val="4"/>
    <w:qFormat/>
    <w:pPr>
      <w:spacing w:beforeLines="50" w:before="0" w:after="0" w:line="240" w:lineRule="auto"/>
      <w:outlineLvl w:val="9"/>
    </w:pPr>
    <w:rPr>
      <w:bCs/>
    </w:rPr>
  </w:style>
  <w:style w:type="paragraph" w:customStyle="1" w:styleId="XBRLTitle4">
    <w:name w:val="XBRLTitle4"/>
    <w:basedOn w:val="af0"/>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f0"/>
    <w:next w:val="4"/>
    <w:autoRedefine/>
    <w:qFormat/>
    <w:pPr>
      <w:keepNext w:val="0"/>
      <w:keepLines w:val="0"/>
      <w:spacing w:beforeLines="50" w:before="0" w:after="0" w:line="240" w:lineRule="auto"/>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9">
    <w:name w:val="footnote reference"/>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13">
    <w:name w:val="批注文字 字符1"/>
    <w:basedOn w:val="a0"/>
    <w:link w:val="a8"/>
    <w:uiPriority w:val="99"/>
    <w:semiHidden/>
    <w:locked/>
    <w:rPr>
      <w:kern w:val="2"/>
      <w:sz w:val="21"/>
    </w:rPr>
  </w:style>
  <w:style w:type="character" w:customStyle="1" w:styleId="14">
    <w:name w:val="页眉 字符1"/>
    <w:basedOn w:val="a0"/>
    <w:link w:val="aa"/>
    <w:locked/>
    <w:rPr>
      <w:kern w:val="2"/>
      <w:sz w:val="18"/>
      <w:szCs w:val="18"/>
    </w:rPr>
  </w:style>
  <w:style w:type="character" w:customStyle="1" w:styleId="15">
    <w:name w:val="页脚 字符1"/>
    <w:basedOn w:val="a0"/>
    <w:link w:val="ac"/>
    <w:uiPriority w:val="99"/>
    <w:locked/>
    <w:rPr>
      <w:kern w:val="2"/>
      <w:sz w:val="18"/>
      <w:szCs w:val="18"/>
    </w:rPr>
  </w:style>
  <w:style w:type="character" w:customStyle="1" w:styleId="16">
    <w:name w:val="标题 字符1"/>
    <w:link w:val="ae"/>
    <w:uiPriority w:val="10"/>
    <w:locked/>
    <w:rPr>
      <w:rFonts w:ascii="Cambria" w:hAnsi="Cambria" w:cs="Times New Roman" w:hint="default"/>
      <w:b/>
      <w:bCs/>
      <w:sz w:val="32"/>
      <w:szCs w:val="32"/>
    </w:rPr>
  </w:style>
  <w:style w:type="character" w:customStyle="1" w:styleId="17">
    <w:name w:val="副标题 字符1"/>
    <w:link w:val="af0"/>
    <w:locked/>
    <w:rPr>
      <w:rFonts w:ascii="Cambria" w:eastAsia="宋体" w:hAnsi="Cambria" w:cs="Times New Roman" w:hint="default"/>
      <w:b/>
      <w:bCs w:val="0"/>
      <w:kern w:val="28"/>
      <w:sz w:val="24"/>
      <w:szCs w:val="32"/>
    </w:rPr>
  </w:style>
  <w:style w:type="character" w:customStyle="1" w:styleId="18">
    <w:name w:val="日期 字符1"/>
    <w:link w:val="af2"/>
    <w:locked/>
    <w:rPr>
      <w:rFonts w:ascii="宋体" w:eastAsia="宋体" w:hAnsi="宋体" w:hint="eastAsia"/>
      <w:kern w:val="2"/>
      <w:sz w:val="32"/>
    </w:rPr>
  </w:style>
  <w:style w:type="character" w:customStyle="1" w:styleId="19">
    <w:name w:val="文档结构图 字符1"/>
    <w:basedOn w:val="a0"/>
    <w:link w:val="af4"/>
    <w:locked/>
    <w:rPr>
      <w:rFonts w:ascii="宋体" w:eastAsia="宋体" w:hAnsi="宋体" w:hint="eastAsia"/>
      <w:kern w:val="2"/>
      <w:sz w:val="18"/>
      <w:szCs w:val="18"/>
    </w:rPr>
  </w:style>
  <w:style w:type="character" w:customStyle="1" w:styleId="1a">
    <w:name w:val="批注框文本 字符1"/>
    <w:basedOn w:val="a0"/>
    <w:link w:val="af6"/>
    <w:uiPriority w:val="99"/>
    <w:semiHidden/>
    <w:locked/>
    <w:rPr>
      <w:kern w:val="2"/>
      <w:sz w:val="18"/>
      <w:szCs w:val="18"/>
    </w:rPr>
  </w:style>
  <w:style w:type="table" w:styleId="afa">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spelle">
    <w:name w:val="spelle"/>
    <w:basedOn w:val="a0"/>
  </w:style>
  <w:style w:type="character" w:customStyle="1" w:styleId="grame">
    <w:name w:val="grame"/>
    <w:basedOn w:val="a0"/>
  </w:style>
  <w:style w:type="character" w:customStyle="1" w:styleId="Char0">
    <w:name w:val="页眉 Char"/>
    <w:basedOn w:val="a0"/>
    <w:locked/>
    <w:rPr>
      <w:kern w:val="2"/>
      <w:sz w:val="18"/>
      <w:szCs w:val="18"/>
    </w:rPr>
  </w:style>
  <w:style w:type="paragraph" w:styleId="afb">
    <w:name w:val="Revision"/>
    <w:hidden/>
    <w:uiPriority w:val="99"/>
    <w:unhideWhenUsed/>
    <w:rsid w:val="005C5A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3877">
      <w:marLeft w:val="0"/>
      <w:marRight w:val="0"/>
      <w:marTop w:val="0"/>
      <w:marBottom w:val="0"/>
      <w:divBdr>
        <w:top w:val="none" w:sz="0" w:space="0" w:color="auto"/>
        <w:left w:val="none" w:sz="0" w:space="0" w:color="auto"/>
        <w:bottom w:val="none" w:sz="0" w:space="0" w:color="auto"/>
        <w:right w:val="none" w:sz="0" w:space="0" w:color="auto"/>
      </w:divBdr>
      <w:divsChild>
        <w:div w:id="427845453">
          <w:marLeft w:val="0"/>
          <w:marRight w:val="0"/>
          <w:marTop w:val="0"/>
          <w:marBottom w:val="0"/>
          <w:divBdr>
            <w:top w:val="none" w:sz="0" w:space="0" w:color="auto"/>
            <w:left w:val="none" w:sz="0" w:space="0" w:color="auto"/>
            <w:bottom w:val="none" w:sz="0" w:space="0" w:color="auto"/>
            <w:right w:val="none" w:sz="0" w:space="0" w:color="auto"/>
          </w:divBdr>
        </w:div>
      </w:divsChild>
    </w:div>
    <w:div w:id="154229641">
      <w:marLeft w:val="0"/>
      <w:marRight w:val="0"/>
      <w:marTop w:val="0"/>
      <w:marBottom w:val="0"/>
      <w:divBdr>
        <w:top w:val="none" w:sz="0" w:space="0" w:color="auto"/>
        <w:left w:val="none" w:sz="0" w:space="0" w:color="auto"/>
        <w:bottom w:val="none" w:sz="0" w:space="0" w:color="auto"/>
        <w:right w:val="none" w:sz="0" w:space="0" w:color="auto"/>
      </w:divBdr>
      <w:divsChild>
        <w:div w:id="22563972">
          <w:marLeft w:val="0"/>
          <w:marRight w:val="0"/>
          <w:marTop w:val="0"/>
          <w:marBottom w:val="0"/>
          <w:divBdr>
            <w:top w:val="none" w:sz="0" w:space="0" w:color="auto"/>
            <w:left w:val="none" w:sz="0" w:space="0" w:color="auto"/>
            <w:bottom w:val="none" w:sz="0" w:space="0" w:color="auto"/>
            <w:right w:val="none" w:sz="0" w:space="0" w:color="auto"/>
          </w:divBdr>
        </w:div>
      </w:divsChild>
    </w:div>
    <w:div w:id="392896793">
      <w:marLeft w:val="0"/>
      <w:marRight w:val="0"/>
      <w:marTop w:val="0"/>
      <w:marBottom w:val="0"/>
      <w:divBdr>
        <w:top w:val="none" w:sz="0" w:space="0" w:color="auto"/>
        <w:left w:val="none" w:sz="0" w:space="0" w:color="auto"/>
        <w:bottom w:val="none" w:sz="0" w:space="0" w:color="auto"/>
        <w:right w:val="none" w:sz="0" w:space="0" w:color="auto"/>
      </w:divBdr>
    </w:div>
    <w:div w:id="425854800">
      <w:marLeft w:val="0"/>
      <w:marRight w:val="0"/>
      <w:marTop w:val="0"/>
      <w:marBottom w:val="0"/>
      <w:divBdr>
        <w:top w:val="none" w:sz="0" w:space="0" w:color="auto"/>
        <w:left w:val="none" w:sz="0" w:space="0" w:color="auto"/>
        <w:bottom w:val="none" w:sz="0" w:space="0" w:color="auto"/>
        <w:right w:val="none" w:sz="0" w:space="0" w:color="auto"/>
      </w:divBdr>
      <w:divsChild>
        <w:div w:id="1740857365">
          <w:marLeft w:val="0"/>
          <w:marRight w:val="0"/>
          <w:marTop w:val="0"/>
          <w:marBottom w:val="0"/>
          <w:divBdr>
            <w:top w:val="none" w:sz="0" w:space="0" w:color="auto"/>
            <w:left w:val="none" w:sz="0" w:space="0" w:color="auto"/>
            <w:bottom w:val="none" w:sz="0" w:space="0" w:color="auto"/>
            <w:right w:val="none" w:sz="0" w:space="0" w:color="auto"/>
          </w:divBdr>
        </w:div>
      </w:divsChild>
    </w:div>
    <w:div w:id="506405623">
      <w:marLeft w:val="0"/>
      <w:marRight w:val="0"/>
      <w:marTop w:val="0"/>
      <w:marBottom w:val="0"/>
      <w:divBdr>
        <w:top w:val="none" w:sz="0" w:space="0" w:color="auto"/>
        <w:left w:val="none" w:sz="0" w:space="0" w:color="auto"/>
        <w:bottom w:val="none" w:sz="0" w:space="0" w:color="auto"/>
        <w:right w:val="none" w:sz="0" w:space="0" w:color="auto"/>
      </w:divBdr>
    </w:div>
    <w:div w:id="512115161">
      <w:marLeft w:val="0"/>
      <w:marRight w:val="0"/>
      <w:marTop w:val="0"/>
      <w:marBottom w:val="0"/>
      <w:divBdr>
        <w:top w:val="none" w:sz="0" w:space="0" w:color="auto"/>
        <w:left w:val="none" w:sz="0" w:space="0" w:color="auto"/>
        <w:bottom w:val="none" w:sz="0" w:space="0" w:color="auto"/>
        <w:right w:val="none" w:sz="0" w:space="0" w:color="auto"/>
      </w:divBdr>
      <w:divsChild>
        <w:div w:id="1166826129">
          <w:marLeft w:val="0"/>
          <w:marRight w:val="0"/>
          <w:marTop w:val="0"/>
          <w:marBottom w:val="0"/>
          <w:divBdr>
            <w:top w:val="none" w:sz="0" w:space="0" w:color="auto"/>
            <w:left w:val="none" w:sz="0" w:space="0" w:color="auto"/>
            <w:bottom w:val="none" w:sz="0" w:space="0" w:color="auto"/>
            <w:right w:val="none" w:sz="0" w:space="0" w:color="auto"/>
          </w:divBdr>
        </w:div>
      </w:divsChild>
    </w:div>
    <w:div w:id="519659994">
      <w:marLeft w:val="0"/>
      <w:marRight w:val="0"/>
      <w:marTop w:val="0"/>
      <w:marBottom w:val="0"/>
      <w:divBdr>
        <w:top w:val="none" w:sz="0" w:space="0" w:color="auto"/>
        <w:left w:val="none" w:sz="0" w:space="0" w:color="auto"/>
        <w:bottom w:val="none" w:sz="0" w:space="0" w:color="auto"/>
        <w:right w:val="none" w:sz="0" w:space="0" w:color="auto"/>
      </w:divBdr>
    </w:div>
    <w:div w:id="557402081">
      <w:marLeft w:val="0"/>
      <w:marRight w:val="0"/>
      <w:marTop w:val="0"/>
      <w:marBottom w:val="0"/>
      <w:divBdr>
        <w:top w:val="none" w:sz="0" w:space="0" w:color="auto"/>
        <w:left w:val="none" w:sz="0" w:space="0" w:color="auto"/>
        <w:bottom w:val="none" w:sz="0" w:space="0" w:color="auto"/>
        <w:right w:val="none" w:sz="0" w:space="0" w:color="auto"/>
      </w:divBdr>
    </w:div>
    <w:div w:id="583228894">
      <w:marLeft w:val="0"/>
      <w:marRight w:val="0"/>
      <w:marTop w:val="0"/>
      <w:marBottom w:val="0"/>
      <w:divBdr>
        <w:top w:val="none" w:sz="0" w:space="0" w:color="auto"/>
        <w:left w:val="none" w:sz="0" w:space="0" w:color="auto"/>
        <w:bottom w:val="none" w:sz="0" w:space="0" w:color="auto"/>
        <w:right w:val="none" w:sz="0" w:space="0" w:color="auto"/>
      </w:divBdr>
    </w:div>
    <w:div w:id="613292541">
      <w:marLeft w:val="0"/>
      <w:marRight w:val="0"/>
      <w:marTop w:val="0"/>
      <w:marBottom w:val="0"/>
      <w:divBdr>
        <w:top w:val="none" w:sz="0" w:space="0" w:color="auto"/>
        <w:left w:val="none" w:sz="0" w:space="0" w:color="auto"/>
        <w:bottom w:val="none" w:sz="0" w:space="0" w:color="auto"/>
        <w:right w:val="none" w:sz="0" w:space="0" w:color="auto"/>
      </w:divBdr>
    </w:div>
    <w:div w:id="725495347">
      <w:marLeft w:val="0"/>
      <w:marRight w:val="0"/>
      <w:marTop w:val="0"/>
      <w:marBottom w:val="0"/>
      <w:divBdr>
        <w:top w:val="none" w:sz="0" w:space="0" w:color="auto"/>
        <w:left w:val="none" w:sz="0" w:space="0" w:color="auto"/>
        <w:bottom w:val="none" w:sz="0" w:space="0" w:color="auto"/>
        <w:right w:val="none" w:sz="0" w:space="0" w:color="auto"/>
      </w:divBdr>
    </w:div>
    <w:div w:id="856042830">
      <w:marLeft w:val="0"/>
      <w:marRight w:val="0"/>
      <w:marTop w:val="0"/>
      <w:marBottom w:val="0"/>
      <w:divBdr>
        <w:top w:val="none" w:sz="0" w:space="0" w:color="auto"/>
        <w:left w:val="none" w:sz="0" w:space="0" w:color="auto"/>
        <w:bottom w:val="none" w:sz="0" w:space="0" w:color="auto"/>
        <w:right w:val="none" w:sz="0" w:space="0" w:color="auto"/>
      </w:divBdr>
    </w:div>
    <w:div w:id="973365095">
      <w:marLeft w:val="0"/>
      <w:marRight w:val="0"/>
      <w:marTop w:val="0"/>
      <w:marBottom w:val="0"/>
      <w:divBdr>
        <w:top w:val="none" w:sz="0" w:space="0" w:color="auto"/>
        <w:left w:val="none" w:sz="0" w:space="0" w:color="auto"/>
        <w:bottom w:val="none" w:sz="0" w:space="0" w:color="auto"/>
        <w:right w:val="none" w:sz="0" w:space="0" w:color="auto"/>
      </w:divBdr>
    </w:div>
    <w:div w:id="1082415259">
      <w:marLeft w:val="0"/>
      <w:marRight w:val="0"/>
      <w:marTop w:val="0"/>
      <w:marBottom w:val="0"/>
      <w:divBdr>
        <w:top w:val="none" w:sz="0" w:space="0" w:color="auto"/>
        <w:left w:val="none" w:sz="0" w:space="0" w:color="auto"/>
        <w:bottom w:val="none" w:sz="0" w:space="0" w:color="auto"/>
        <w:right w:val="none" w:sz="0" w:space="0" w:color="auto"/>
      </w:divBdr>
    </w:div>
    <w:div w:id="1120029982">
      <w:marLeft w:val="0"/>
      <w:marRight w:val="0"/>
      <w:marTop w:val="0"/>
      <w:marBottom w:val="0"/>
      <w:divBdr>
        <w:top w:val="none" w:sz="0" w:space="0" w:color="auto"/>
        <w:left w:val="none" w:sz="0" w:space="0" w:color="auto"/>
        <w:bottom w:val="none" w:sz="0" w:space="0" w:color="auto"/>
        <w:right w:val="none" w:sz="0" w:space="0" w:color="auto"/>
      </w:divBdr>
      <w:divsChild>
        <w:div w:id="176508241">
          <w:marLeft w:val="0"/>
          <w:marRight w:val="0"/>
          <w:marTop w:val="0"/>
          <w:marBottom w:val="0"/>
          <w:divBdr>
            <w:top w:val="none" w:sz="0" w:space="0" w:color="auto"/>
            <w:left w:val="none" w:sz="0" w:space="0" w:color="auto"/>
            <w:bottom w:val="none" w:sz="0" w:space="0" w:color="auto"/>
            <w:right w:val="none" w:sz="0" w:space="0" w:color="auto"/>
          </w:divBdr>
        </w:div>
      </w:divsChild>
    </w:div>
    <w:div w:id="1275399621">
      <w:marLeft w:val="0"/>
      <w:marRight w:val="0"/>
      <w:marTop w:val="0"/>
      <w:marBottom w:val="0"/>
      <w:divBdr>
        <w:top w:val="none" w:sz="0" w:space="0" w:color="auto"/>
        <w:left w:val="none" w:sz="0" w:space="0" w:color="auto"/>
        <w:bottom w:val="none" w:sz="0" w:space="0" w:color="auto"/>
        <w:right w:val="none" w:sz="0" w:space="0" w:color="auto"/>
      </w:divBdr>
    </w:div>
    <w:div w:id="1500270440">
      <w:marLeft w:val="0"/>
      <w:marRight w:val="0"/>
      <w:marTop w:val="0"/>
      <w:marBottom w:val="0"/>
      <w:divBdr>
        <w:top w:val="none" w:sz="0" w:space="0" w:color="auto"/>
        <w:left w:val="none" w:sz="0" w:space="0" w:color="auto"/>
        <w:bottom w:val="none" w:sz="0" w:space="0" w:color="auto"/>
        <w:right w:val="none" w:sz="0" w:space="0" w:color="auto"/>
      </w:divBdr>
    </w:div>
    <w:div w:id="1621644380">
      <w:marLeft w:val="0"/>
      <w:marRight w:val="0"/>
      <w:marTop w:val="0"/>
      <w:marBottom w:val="0"/>
      <w:divBdr>
        <w:top w:val="none" w:sz="0" w:space="0" w:color="auto"/>
        <w:left w:val="none" w:sz="0" w:space="0" w:color="auto"/>
        <w:bottom w:val="none" w:sz="0" w:space="0" w:color="auto"/>
        <w:right w:val="none" w:sz="0" w:space="0" w:color="auto"/>
      </w:divBdr>
    </w:div>
    <w:div w:id="1728450891">
      <w:marLeft w:val="0"/>
      <w:marRight w:val="0"/>
      <w:marTop w:val="0"/>
      <w:marBottom w:val="0"/>
      <w:divBdr>
        <w:top w:val="none" w:sz="0" w:space="0" w:color="auto"/>
        <w:left w:val="none" w:sz="0" w:space="0" w:color="auto"/>
        <w:bottom w:val="none" w:sz="0" w:space="0" w:color="auto"/>
        <w:right w:val="none" w:sz="0" w:space="0" w:color="auto"/>
      </w:divBdr>
      <w:divsChild>
        <w:div w:id="1302809261">
          <w:marLeft w:val="0"/>
          <w:marRight w:val="0"/>
          <w:marTop w:val="0"/>
          <w:marBottom w:val="0"/>
          <w:divBdr>
            <w:top w:val="none" w:sz="0" w:space="0" w:color="auto"/>
            <w:left w:val="none" w:sz="0" w:space="0" w:color="auto"/>
            <w:bottom w:val="none" w:sz="0" w:space="0" w:color="auto"/>
            <w:right w:val="none" w:sz="0" w:space="0" w:color="auto"/>
          </w:divBdr>
        </w:div>
        <w:div w:id="870151167">
          <w:marLeft w:val="0"/>
          <w:marRight w:val="0"/>
          <w:marTop w:val="0"/>
          <w:marBottom w:val="0"/>
          <w:divBdr>
            <w:top w:val="none" w:sz="0" w:space="0" w:color="auto"/>
            <w:left w:val="none" w:sz="0" w:space="0" w:color="auto"/>
            <w:bottom w:val="none" w:sz="0" w:space="0" w:color="auto"/>
            <w:right w:val="none" w:sz="0" w:space="0" w:color="auto"/>
          </w:divBdr>
        </w:div>
        <w:div w:id="281574980">
          <w:marLeft w:val="0"/>
          <w:marRight w:val="0"/>
          <w:marTop w:val="0"/>
          <w:marBottom w:val="0"/>
          <w:divBdr>
            <w:top w:val="none" w:sz="0" w:space="0" w:color="auto"/>
            <w:left w:val="none" w:sz="0" w:space="0" w:color="auto"/>
            <w:bottom w:val="none" w:sz="0" w:space="0" w:color="auto"/>
            <w:right w:val="none" w:sz="0" w:space="0" w:color="auto"/>
          </w:divBdr>
        </w:div>
        <w:div w:id="1946843054">
          <w:marLeft w:val="0"/>
          <w:marRight w:val="0"/>
          <w:marTop w:val="0"/>
          <w:marBottom w:val="0"/>
          <w:divBdr>
            <w:top w:val="none" w:sz="0" w:space="0" w:color="auto"/>
            <w:left w:val="none" w:sz="0" w:space="0" w:color="auto"/>
            <w:bottom w:val="none" w:sz="0" w:space="0" w:color="auto"/>
            <w:right w:val="none" w:sz="0" w:space="0" w:color="auto"/>
          </w:divBdr>
        </w:div>
      </w:divsChild>
    </w:div>
    <w:div w:id="1857116331">
      <w:marLeft w:val="0"/>
      <w:marRight w:val="0"/>
      <w:marTop w:val="0"/>
      <w:marBottom w:val="0"/>
      <w:divBdr>
        <w:top w:val="none" w:sz="0" w:space="0" w:color="auto"/>
        <w:left w:val="none" w:sz="0" w:space="0" w:color="auto"/>
        <w:bottom w:val="none" w:sz="0" w:space="0" w:color="auto"/>
        <w:right w:val="none" w:sz="0" w:space="0" w:color="auto"/>
      </w:divBdr>
      <w:divsChild>
        <w:div w:id="297878596">
          <w:marLeft w:val="0"/>
          <w:marRight w:val="0"/>
          <w:marTop w:val="0"/>
          <w:marBottom w:val="0"/>
          <w:divBdr>
            <w:top w:val="none" w:sz="0" w:space="0" w:color="auto"/>
            <w:left w:val="none" w:sz="0" w:space="0" w:color="auto"/>
            <w:bottom w:val="none" w:sz="0" w:space="0" w:color="auto"/>
            <w:right w:val="none" w:sz="0" w:space="0" w:color="auto"/>
          </w:divBdr>
        </w:div>
      </w:divsChild>
    </w:div>
    <w:div w:id="1920096531">
      <w:marLeft w:val="0"/>
      <w:marRight w:val="0"/>
      <w:marTop w:val="0"/>
      <w:marBottom w:val="0"/>
      <w:divBdr>
        <w:top w:val="none" w:sz="0" w:space="0" w:color="auto"/>
        <w:left w:val="none" w:sz="0" w:space="0" w:color="auto"/>
        <w:bottom w:val="none" w:sz="0" w:space="0" w:color="auto"/>
        <w:right w:val="none" w:sz="0" w:space="0" w:color="auto"/>
      </w:divBdr>
    </w:div>
    <w:div w:id="1953053901">
      <w:marLeft w:val="0"/>
      <w:marRight w:val="0"/>
      <w:marTop w:val="0"/>
      <w:marBottom w:val="0"/>
      <w:divBdr>
        <w:top w:val="none" w:sz="0" w:space="0" w:color="auto"/>
        <w:left w:val="none" w:sz="0" w:space="0" w:color="auto"/>
        <w:bottom w:val="none" w:sz="0" w:space="0" w:color="auto"/>
        <w:right w:val="none" w:sz="0" w:space="0" w:color="auto"/>
      </w:divBdr>
      <w:divsChild>
        <w:div w:id="570429427">
          <w:marLeft w:val="0"/>
          <w:marRight w:val="0"/>
          <w:marTop w:val="0"/>
          <w:marBottom w:val="0"/>
          <w:divBdr>
            <w:top w:val="none" w:sz="0" w:space="0" w:color="auto"/>
            <w:left w:val="none" w:sz="0" w:space="0" w:color="auto"/>
            <w:bottom w:val="none" w:sz="0" w:space="0" w:color="auto"/>
            <w:right w:val="none" w:sz="0" w:space="0" w:color="auto"/>
          </w:divBdr>
        </w:div>
      </w:divsChild>
    </w:div>
    <w:div w:id="2016567941">
      <w:marLeft w:val="0"/>
      <w:marRight w:val="0"/>
      <w:marTop w:val="0"/>
      <w:marBottom w:val="0"/>
      <w:divBdr>
        <w:top w:val="none" w:sz="0" w:space="0" w:color="auto"/>
        <w:left w:val="none" w:sz="0" w:space="0" w:color="auto"/>
        <w:bottom w:val="none" w:sz="0" w:space="0" w:color="auto"/>
        <w:right w:val="none" w:sz="0" w:space="0" w:color="auto"/>
      </w:divBdr>
    </w:div>
    <w:div w:id="20374597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F255-8C29-4B5D-8D37-A49299DB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Heming.Huang@TA</cp:lastModifiedBy>
  <cp:revision>5</cp:revision>
  <dcterms:created xsi:type="dcterms:W3CDTF">2025-07-14T11:54:00Z</dcterms:created>
  <dcterms:modified xsi:type="dcterms:W3CDTF">2025-07-18T08:24:00Z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