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EB0EC5" w14:textId="77777777" w:rsidR="003A1A8C" w:rsidRDefault="003A1A8C">
      <w:pPr>
        <w:rPr>
          <w:rFonts w:ascii="宋体" w:hAnsi="宋体" w:hint="eastAsia"/>
          <w:sz w:val="48"/>
        </w:rPr>
      </w:pPr>
      <w:r>
        <w:rPr>
          <w:rFonts w:ascii="宋体" w:hAnsi="宋体" w:hint="eastAsia"/>
          <w:sz w:val="48"/>
        </w:rPr>
        <w:t xml:space="preserve">　 </w:t>
      </w:r>
    </w:p>
    <w:p w14:paraId="6BA248BF" w14:textId="77777777" w:rsidR="003A1A8C" w:rsidRDefault="003A1A8C">
      <w:pPr>
        <w:rPr>
          <w:rFonts w:ascii="宋体" w:hAnsi="宋体" w:hint="eastAsia"/>
          <w:sz w:val="48"/>
        </w:rPr>
      </w:pPr>
      <w:r>
        <w:rPr>
          <w:rFonts w:ascii="宋体" w:hAnsi="宋体" w:hint="eastAsia"/>
          <w:sz w:val="48"/>
        </w:rPr>
        <w:t xml:space="preserve">　 </w:t>
      </w:r>
    </w:p>
    <w:p w14:paraId="4BCDB588" w14:textId="77777777" w:rsidR="003A1A8C" w:rsidRDefault="003A1A8C">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摩根中证A500交易型开放式指数证券投资基金联接基金</w:t>
      </w:r>
      <w:r>
        <w:rPr>
          <w:rFonts w:ascii="宋体" w:hAnsi="宋体" w:hint="eastAsia"/>
          <w:b/>
          <w:bCs/>
          <w:color w:val="000000" w:themeColor="text1"/>
          <w:sz w:val="48"/>
          <w:szCs w:val="30"/>
        </w:rPr>
        <w:br/>
        <w:t>2025年第4季度报告</w:t>
      </w:r>
    </w:p>
    <w:p w14:paraId="2DB9FCD9" w14:textId="77777777" w:rsidR="003A1A8C" w:rsidRDefault="003A1A8C">
      <w:pPr>
        <w:jc w:val="center"/>
        <w:rPr>
          <w:rFonts w:ascii="宋体" w:hAnsi="宋体" w:hint="eastAsia"/>
          <w:sz w:val="28"/>
          <w:szCs w:val="30"/>
        </w:rPr>
      </w:pPr>
      <w:r>
        <w:rPr>
          <w:rFonts w:ascii="宋体" w:hAnsi="宋体" w:hint="eastAsia"/>
          <w:sz w:val="28"/>
          <w:szCs w:val="30"/>
        </w:rPr>
        <w:t xml:space="preserve">　 </w:t>
      </w:r>
    </w:p>
    <w:p w14:paraId="5325CD86" w14:textId="77777777" w:rsidR="003A1A8C" w:rsidRDefault="003A1A8C">
      <w:pPr>
        <w:jc w:val="center"/>
      </w:pPr>
      <w:r>
        <w:rPr>
          <w:rFonts w:ascii="宋体" w:hAnsi="宋体" w:hint="eastAsia"/>
          <w:b/>
          <w:bCs/>
          <w:sz w:val="28"/>
          <w:szCs w:val="30"/>
        </w:rPr>
        <w:t>2025年12月31日</w:t>
      </w:r>
    </w:p>
    <w:p w14:paraId="6C4A6C76" w14:textId="77777777" w:rsidR="003A1A8C" w:rsidRDefault="003A1A8C">
      <w:pPr>
        <w:jc w:val="center"/>
        <w:rPr>
          <w:rFonts w:ascii="宋体" w:hAnsi="宋体" w:hint="eastAsia"/>
          <w:sz w:val="28"/>
          <w:szCs w:val="30"/>
        </w:rPr>
      </w:pPr>
      <w:r>
        <w:rPr>
          <w:rFonts w:ascii="宋体" w:hAnsi="宋体" w:hint="eastAsia"/>
          <w:sz w:val="28"/>
          <w:szCs w:val="30"/>
        </w:rPr>
        <w:t xml:space="preserve">　 </w:t>
      </w:r>
    </w:p>
    <w:p w14:paraId="7E2FE273" w14:textId="77777777" w:rsidR="003A1A8C" w:rsidRDefault="003A1A8C">
      <w:pPr>
        <w:jc w:val="center"/>
        <w:rPr>
          <w:rFonts w:ascii="宋体" w:hAnsi="宋体" w:hint="eastAsia"/>
          <w:sz w:val="28"/>
          <w:szCs w:val="30"/>
        </w:rPr>
      </w:pPr>
      <w:r>
        <w:rPr>
          <w:rFonts w:ascii="宋体" w:hAnsi="宋体" w:hint="eastAsia"/>
          <w:sz w:val="28"/>
          <w:szCs w:val="30"/>
        </w:rPr>
        <w:t xml:space="preserve">　 </w:t>
      </w:r>
    </w:p>
    <w:p w14:paraId="0E0F5216" w14:textId="77777777" w:rsidR="003A1A8C" w:rsidRDefault="003A1A8C">
      <w:pPr>
        <w:jc w:val="center"/>
        <w:rPr>
          <w:rFonts w:ascii="宋体" w:hAnsi="宋体" w:hint="eastAsia"/>
          <w:sz w:val="28"/>
          <w:szCs w:val="30"/>
        </w:rPr>
      </w:pPr>
      <w:r>
        <w:rPr>
          <w:rFonts w:ascii="宋体" w:hAnsi="宋体" w:hint="eastAsia"/>
          <w:sz w:val="28"/>
          <w:szCs w:val="30"/>
        </w:rPr>
        <w:t xml:space="preserve">　 </w:t>
      </w:r>
    </w:p>
    <w:p w14:paraId="7CCCD6A7" w14:textId="77777777" w:rsidR="003A1A8C" w:rsidRDefault="003A1A8C">
      <w:pPr>
        <w:jc w:val="center"/>
        <w:rPr>
          <w:rFonts w:ascii="宋体" w:hAnsi="宋体" w:hint="eastAsia"/>
          <w:sz w:val="28"/>
          <w:szCs w:val="30"/>
        </w:rPr>
      </w:pPr>
      <w:r>
        <w:rPr>
          <w:rFonts w:ascii="宋体" w:hAnsi="宋体" w:hint="eastAsia"/>
          <w:sz w:val="28"/>
          <w:szCs w:val="30"/>
        </w:rPr>
        <w:t xml:space="preserve">　 </w:t>
      </w:r>
    </w:p>
    <w:p w14:paraId="5953BB81" w14:textId="77777777" w:rsidR="003A1A8C" w:rsidRDefault="003A1A8C">
      <w:pPr>
        <w:jc w:val="center"/>
        <w:rPr>
          <w:rFonts w:ascii="宋体" w:hAnsi="宋体" w:hint="eastAsia"/>
          <w:sz w:val="28"/>
          <w:szCs w:val="30"/>
        </w:rPr>
      </w:pPr>
      <w:r>
        <w:rPr>
          <w:rFonts w:ascii="宋体" w:hAnsi="宋体" w:hint="eastAsia"/>
          <w:sz w:val="28"/>
          <w:szCs w:val="30"/>
        </w:rPr>
        <w:t xml:space="preserve">　 </w:t>
      </w:r>
    </w:p>
    <w:p w14:paraId="7C4D20FF" w14:textId="77777777" w:rsidR="003A1A8C" w:rsidRDefault="003A1A8C">
      <w:pPr>
        <w:jc w:val="center"/>
        <w:rPr>
          <w:rFonts w:ascii="宋体" w:hAnsi="宋体" w:hint="eastAsia"/>
          <w:sz w:val="28"/>
          <w:szCs w:val="30"/>
        </w:rPr>
      </w:pPr>
      <w:r>
        <w:rPr>
          <w:rFonts w:ascii="宋体" w:hAnsi="宋体" w:hint="eastAsia"/>
          <w:sz w:val="28"/>
          <w:szCs w:val="30"/>
        </w:rPr>
        <w:t xml:space="preserve">　 </w:t>
      </w:r>
    </w:p>
    <w:p w14:paraId="35F7CE60" w14:textId="77777777" w:rsidR="003A1A8C" w:rsidRDefault="003A1A8C">
      <w:pPr>
        <w:jc w:val="center"/>
        <w:rPr>
          <w:rFonts w:ascii="宋体" w:hAnsi="宋体" w:hint="eastAsia"/>
          <w:sz w:val="28"/>
          <w:szCs w:val="30"/>
        </w:rPr>
      </w:pPr>
      <w:r>
        <w:rPr>
          <w:rFonts w:ascii="宋体" w:hAnsi="宋体" w:hint="eastAsia"/>
          <w:sz w:val="28"/>
          <w:szCs w:val="30"/>
        </w:rPr>
        <w:t xml:space="preserve">　 </w:t>
      </w:r>
    </w:p>
    <w:p w14:paraId="7EB4F68A" w14:textId="77777777" w:rsidR="003A1A8C" w:rsidRDefault="003A1A8C">
      <w:pPr>
        <w:jc w:val="center"/>
        <w:rPr>
          <w:rFonts w:ascii="宋体" w:hAnsi="宋体" w:hint="eastAsia"/>
          <w:sz w:val="28"/>
          <w:szCs w:val="30"/>
        </w:rPr>
      </w:pPr>
      <w:r>
        <w:rPr>
          <w:rFonts w:ascii="宋体" w:hAnsi="宋体" w:hint="eastAsia"/>
          <w:sz w:val="28"/>
          <w:szCs w:val="30"/>
        </w:rPr>
        <w:t xml:space="preserve">　 </w:t>
      </w:r>
    </w:p>
    <w:p w14:paraId="7F62F8C6" w14:textId="77777777" w:rsidR="003A1A8C" w:rsidRDefault="003A1A8C">
      <w:pPr>
        <w:jc w:val="center"/>
        <w:rPr>
          <w:rFonts w:ascii="宋体" w:hAnsi="宋体" w:hint="eastAsia"/>
          <w:sz w:val="28"/>
          <w:szCs w:val="30"/>
        </w:rPr>
      </w:pPr>
      <w:r>
        <w:rPr>
          <w:rFonts w:ascii="宋体" w:hAnsi="宋体" w:hint="eastAsia"/>
          <w:sz w:val="28"/>
          <w:szCs w:val="30"/>
        </w:rPr>
        <w:t xml:space="preserve">　 </w:t>
      </w:r>
    </w:p>
    <w:p w14:paraId="12EED2D2" w14:textId="77777777" w:rsidR="003A1A8C" w:rsidRDefault="003A1A8C">
      <w:pPr>
        <w:jc w:val="center"/>
        <w:rPr>
          <w:rFonts w:ascii="宋体" w:hAnsi="宋体" w:hint="eastAsia"/>
          <w:sz w:val="28"/>
          <w:szCs w:val="30"/>
        </w:rPr>
      </w:pPr>
      <w:r>
        <w:rPr>
          <w:rFonts w:ascii="宋体" w:hAnsi="宋体" w:hint="eastAsia"/>
          <w:sz w:val="28"/>
          <w:szCs w:val="30"/>
        </w:rPr>
        <w:t xml:space="preserve">　 </w:t>
      </w:r>
    </w:p>
    <w:p w14:paraId="6F1A84BF" w14:textId="77777777" w:rsidR="003A1A8C" w:rsidRDefault="003A1A8C">
      <w:pPr>
        <w:jc w:val="center"/>
        <w:rPr>
          <w:rFonts w:ascii="宋体" w:hAnsi="宋体" w:hint="eastAsia"/>
          <w:sz w:val="28"/>
          <w:szCs w:val="30"/>
        </w:rPr>
      </w:pPr>
      <w:r>
        <w:rPr>
          <w:rFonts w:ascii="宋体" w:hAnsi="宋体" w:hint="eastAsia"/>
          <w:sz w:val="28"/>
          <w:szCs w:val="30"/>
        </w:rPr>
        <w:t xml:space="preserve">　 </w:t>
      </w:r>
    </w:p>
    <w:p w14:paraId="67639802" w14:textId="77777777" w:rsidR="003A1A8C" w:rsidRDefault="003A1A8C">
      <w:pPr>
        <w:ind w:firstLineChars="800" w:firstLine="2249"/>
        <w:jc w:val="left"/>
      </w:pPr>
      <w:r>
        <w:rPr>
          <w:rFonts w:ascii="宋体" w:hAnsi="宋体" w:hint="eastAsia"/>
          <w:b/>
          <w:bCs/>
          <w:sz w:val="28"/>
          <w:szCs w:val="30"/>
        </w:rPr>
        <w:t>基金管理人：摩根基金管理（中国）有限公司</w:t>
      </w:r>
    </w:p>
    <w:p w14:paraId="72CB720B" w14:textId="77777777" w:rsidR="003A1A8C" w:rsidRDefault="003A1A8C">
      <w:pPr>
        <w:ind w:firstLineChars="800" w:firstLine="2249"/>
        <w:jc w:val="left"/>
      </w:pPr>
      <w:r>
        <w:rPr>
          <w:rFonts w:ascii="宋体" w:hAnsi="宋体" w:hint="eastAsia"/>
          <w:b/>
          <w:bCs/>
          <w:sz w:val="28"/>
          <w:szCs w:val="30"/>
        </w:rPr>
        <w:t>基金托管人：平安银行股份有限公司</w:t>
      </w:r>
    </w:p>
    <w:p w14:paraId="01E310BA" w14:textId="77777777" w:rsidR="003A1A8C" w:rsidRDefault="003A1A8C">
      <w:pPr>
        <w:ind w:firstLineChars="800" w:firstLine="2249"/>
        <w:jc w:val="left"/>
      </w:pPr>
      <w:r>
        <w:rPr>
          <w:rFonts w:ascii="宋体" w:hAnsi="宋体" w:hint="eastAsia"/>
          <w:b/>
          <w:bCs/>
          <w:sz w:val="28"/>
          <w:szCs w:val="30"/>
        </w:rPr>
        <w:t>报告送出日期：2026年1月22日</w:t>
      </w:r>
    </w:p>
    <w:p w14:paraId="7F056571" w14:textId="77777777" w:rsidR="003A1A8C" w:rsidRDefault="003A1A8C">
      <w:pPr>
        <w:pStyle w:val="XBRLTitle1"/>
        <w:spacing w:before="156"/>
        <w:ind w:left="425"/>
      </w:pPr>
      <w:r>
        <w:rPr>
          <w:rFonts w:hAnsi="宋体" w:cs="宋体" w:hint="eastAsia"/>
          <w:color w:val="404040"/>
          <w:kern w:val="0"/>
        </w:rPr>
        <w:br w:type="page"/>
      </w:r>
      <w:bookmarkStart w:id="7" w:name="_Toc17881663"/>
      <w:bookmarkStart w:id="8" w:name="_Toc512627214"/>
      <w:bookmarkStart w:id="9" w:name="_Toc492299860"/>
      <w:bookmarkStart w:id="10" w:name="_Toc466644444"/>
      <w:bookmarkStart w:id="11" w:name="_Toc447872908"/>
      <w:bookmarkStart w:id="12" w:name="_Toc438646451"/>
      <w:bookmarkStart w:id="13" w:name="_Toc512694294"/>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0D1190E6" w14:textId="77777777" w:rsidR="003A1A8C" w:rsidRDefault="003A1A8C">
      <w:pPr>
        <w:spacing w:line="360" w:lineRule="auto"/>
        <w:ind w:firstLineChars="200" w:firstLine="420"/>
      </w:pPr>
      <w:bookmarkStart w:id="17" w:name="m502"/>
      <w:bookmarkStart w:id="18" w:name="_Toc438646470"/>
      <w:bookmarkStart w:id="19" w:name="m504"/>
      <w:bookmarkStart w:id="20" w:name="m08QD_01"/>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5F080DF" w14:textId="77777777" w:rsidR="003A1A8C" w:rsidRDefault="003A1A8C">
      <w:pPr>
        <w:pStyle w:val="XBRLTitle1"/>
        <w:spacing w:before="156"/>
        <w:ind w:left="425"/>
      </w:pPr>
      <w:bookmarkStart w:id="23" w:name="_Toc17881664"/>
      <w:bookmarkStart w:id="24" w:name="_Toc492299861"/>
      <w:bookmarkStart w:id="25" w:name="_Toc466644445"/>
      <w:bookmarkStart w:id="26" w:name="_Toc447872909"/>
      <w:bookmarkStart w:id="27" w:name="_Toc438646452"/>
      <w:bookmarkStart w:id="28" w:name="_Toc512627215"/>
      <w:bookmarkStart w:id="29" w:name="_Toc512694295"/>
      <w:bookmarkEnd w:id="14"/>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p w14:paraId="268CE97E" w14:textId="77777777" w:rsidR="003A1A8C" w:rsidRDefault="003A1A8C">
      <w:pPr>
        <w:pStyle w:val="XBRLTitle2"/>
        <w:spacing w:before="156"/>
        <w:ind w:left="454"/>
      </w:pPr>
      <w:bookmarkStart w:id="30" w:name="_Toc17881665"/>
      <w:bookmarkStart w:id="31" w:name="_Toc492299866"/>
      <w:bookmarkStart w:id="32" w:name="_Toc466644450"/>
      <w:bookmarkStart w:id="33" w:name="_Toc447872912"/>
      <w:bookmarkStart w:id="34" w:name="_Toc438646456"/>
      <w:bookmarkStart w:id="35" w:name="_Toc512627218"/>
      <w:bookmarkStart w:id="36" w:name="_Toc512694298"/>
      <w:bookmarkStart w:id="37" w:name="m401_tab"/>
      <w:bookmarkStart w:id="38" w:name="m401"/>
      <w:proofErr w:type="spellStart"/>
      <w:r>
        <w:rPr>
          <w:rFonts w:hAnsi="宋体" w:hint="eastAsia"/>
        </w:rPr>
        <w:t>基金基本情况</w:t>
      </w:r>
      <w:bookmarkEnd w:id="30"/>
      <w:proofErr w:type="spellEnd"/>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1500"/>
        <w:gridCol w:w="1500"/>
        <w:gridCol w:w="1290"/>
        <w:gridCol w:w="1290"/>
      </w:tblGrid>
      <w:tr w:rsidR="003851FF" w14:paraId="552A9702" w14:textId="77777777">
        <w:trPr>
          <w:divId w:val="53832005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E651A1" w14:textId="77777777" w:rsidR="003A1A8C" w:rsidRDefault="003A1A8C">
            <w:pPr>
              <w:jc w:val="left"/>
            </w:pPr>
            <w:r>
              <w:rPr>
                <w:rFonts w:ascii="宋体" w:hAnsi="宋体" w:hint="eastAsia"/>
              </w:rPr>
              <w:t>基金简称</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D65292" w14:textId="77777777" w:rsidR="003A1A8C" w:rsidRDefault="003A1A8C">
            <w:pPr>
              <w:jc w:val="left"/>
            </w:pPr>
            <w:r>
              <w:rPr>
                <w:rFonts w:ascii="宋体" w:hAnsi="宋体" w:hint="eastAsia"/>
                <w:szCs w:val="24"/>
                <w:lang w:eastAsia="zh-Hans"/>
              </w:rPr>
              <w:t>摩根中证A500ETF联接</w:t>
            </w:r>
            <w:r>
              <w:rPr>
                <w:rFonts w:ascii="宋体" w:hAnsi="宋体" w:hint="eastAsia"/>
                <w:lang w:eastAsia="zh-Hans"/>
              </w:rPr>
              <w:t xml:space="preserve"> </w:t>
            </w:r>
          </w:p>
        </w:tc>
      </w:tr>
      <w:tr w:rsidR="003851FF" w14:paraId="67686D10" w14:textId="77777777">
        <w:trPr>
          <w:divId w:val="5383200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F01E1D" w14:textId="77777777" w:rsidR="003A1A8C" w:rsidRDefault="003A1A8C">
            <w:pPr>
              <w:jc w:val="left"/>
            </w:pPr>
            <w:r>
              <w:rPr>
                <w:rFonts w:ascii="宋体" w:hAnsi="宋体" w:hint="eastAsia"/>
              </w:rPr>
              <w:t>基金主代码</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C01813" w14:textId="77777777" w:rsidR="003A1A8C" w:rsidRDefault="003A1A8C">
            <w:pPr>
              <w:jc w:val="left"/>
            </w:pPr>
            <w:r>
              <w:rPr>
                <w:rFonts w:ascii="宋体" w:hAnsi="宋体" w:hint="eastAsia"/>
                <w:lang w:eastAsia="zh-Hans"/>
              </w:rPr>
              <w:t>022436</w:t>
            </w:r>
          </w:p>
        </w:tc>
      </w:tr>
      <w:tr w:rsidR="003851FF" w14:paraId="37737799" w14:textId="77777777">
        <w:trPr>
          <w:divId w:val="5383200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2CE8B0" w14:textId="77777777" w:rsidR="003A1A8C" w:rsidRDefault="003A1A8C">
            <w:pPr>
              <w:jc w:val="left"/>
            </w:pPr>
            <w:bookmarkStart w:id="39" w:name="OLE_LINK1"/>
            <w:r>
              <w:rPr>
                <w:rFonts w:ascii="宋体" w:hAnsi="宋体" w:hint="eastAsia"/>
              </w:rPr>
              <w:t>基金运作方式</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E774AA" w14:textId="77777777" w:rsidR="003A1A8C" w:rsidRDefault="003A1A8C">
            <w:pPr>
              <w:jc w:val="left"/>
            </w:pPr>
            <w:r>
              <w:rPr>
                <w:rFonts w:ascii="宋体" w:hAnsi="宋体" w:hint="eastAsia"/>
                <w:lang w:eastAsia="zh-Hans"/>
              </w:rPr>
              <w:t>契约型开放式</w:t>
            </w:r>
          </w:p>
        </w:tc>
      </w:tr>
      <w:tr w:rsidR="003851FF" w14:paraId="5FF91996" w14:textId="77777777">
        <w:trPr>
          <w:divId w:val="5383200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BFFA41" w14:textId="77777777" w:rsidR="003A1A8C" w:rsidRDefault="003A1A8C">
            <w:pPr>
              <w:jc w:val="left"/>
            </w:pPr>
            <w:r>
              <w:rPr>
                <w:rFonts w:ascii="宋体" w:hAnsi="宋体" w:hint="eastAsia"/>
              </w:rPr>
              <w:t>基金合同生效日</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F06900" w14:textId="77777777" w:rsidR="003A1A8C" w:rsidRDefault="003A1A8C">
            <w:pPr>
              <w:jc w:val="left"/>
            </w:pPr>
            <w:r>
              <w:rPr>
                <w:rFonts w:ascii="宋体" w:hAnsi="宋体" w:hint="eastAsia"/>
                <w:lang w:eastAsia="zh-Hans"/>
              </w:rPr>
              <w:t>2024年11月11日</w:t>
            </w:r>
          </w:p>
        </w:tc>
      </w:tr>
      <w:tr w:rsidR="003851FF" w14:paraId="75C30655" w14:textId="77777777">
        <w:trPr>
          <w:divId w:val="5383200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57819B" w14:textId="77777777" w:rsidR="003A1A8C" w:rsidRDefault="003A1A8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1409A7" w14:textId="77777777" w:rsidR="003A1A8C" w:rsidRDefault="003A1A8C">
            <w:pPr>
              <w:jc w:val="left"/>
            </w:pPr>
            <w:r>
              <w:rPr>
                <w:rFonts w:ascii="宋体" w:hAnsi="宋体" w:hint="eastAsia"/>
                <w:lang w:eastAsia="zh-Hans"/>
              </w:rPr>
              <w:t>1,411,896,711.10</w:t>
            </w:r>
            <w:r>
              <w:rPr>
                <w:rFonts w:hint="eastAsia"/>
              </w:rPr>
              <w:t>份</w:t>
            </w:r>
            <w:r>
              <w:rPr>
                <w:rFonts w:ascii="宋体" w:hAnsi="宋体" w:hint="eastAsia"/>
                <w:lang w:eastAsia="zh-Hans"/>
              </w:rPr>
              <w:t xml:space="preserve"> </w:t>
            </w:r>
          </w:p>
        </w:tc>
      </w:tr>
      <w:tr w:rsidR="003851FF" w14:paraId="3E73F288" w14:textId="77777777">
        <w:trPr>
          <w:divId w:val="5383200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D6F3B2" w14:textId="77777777" w:rsidR="003A1A8C" w:rsidRDefault="003A1A8C">
            <w:pPr>
              <w:jc w:val="left"/>
            </w:pPr>
            <w:r>
              <w:rPr>
                <w:rFonts w:ascii="宋体" w:hAnsi="宋体" w:hint="eastAsia"/>
              </w:rPr>
              <w:t>投资目标</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4FE794" w14:textId="77777777" w:rsidR="003A1A8C" w:rsidRDefault="003A1A8C">
            <w:pPr>
              <w:jc w:val="left"/>
            </w:pPr>
            <w:r>
              <w:rPr>
                <w:rFonts w:ascii="宋体" w:hAnsi="宋体" w:hint="eastAsia"/>
                <w:lang w:eastAsia="zh-Hans"/>
              </w:rPr>
              <w:t>通过对目标ETF的投资，追求跟踪标的指数，获得与指数收益相似的回报。</w:t>
            </w:r>
          </w:p>
        </w:tc>
      </w:tr>
      <w:tr w:rsidR="003851FF" w14:paraId="5A6EC06D" w14:textId="77777777">
        <w:trPr>
          <w:divId w:val="5383200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2C161D" w14:textId="77777777" w:rsidR="003A1A8C" w:rsidRDefault="003A1A8C">
            <w:pPr>
              <w:jc w:val="left"/>
            </w:pPr>
            <w:r>
              <w:rPr>
                <w:rFonts w:ascii="宋体" w:hAnsi="宋体" w:hint="eastAsia"/>
              </w:rPr>
              <w:t>投资策略</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590DAF" w14:textId="77777777" w:rsidR="003A1A8C" w:rsidRDefault="003A1A8C">
            <w:pPr>
              <w:jc w:val="left"/>
            </w:pPr>
            <w:r>
              <w:rPr>
                <w:rFonts w:ascii="宋体" w:hAnsi="宋体" w:hint="eastAsia"/>
                <w:lang w:eastAsia="zh-Hans"/>
              </w:rPr>
              <w:t>本基金为摩根中证A500交易型开放式指数证券投资基金的联接基金，通过将基金资产主要投资于目标ETF，以实现对标的指数的跟踪。本基金力争日均跟踪偏离度的绝对值不超过0.35%，年跟踪误差不超过4%。如因标的指数编制规则调整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的资产不低于基金资产净值的90%。本基金主要通过申购、赎回或二级市场买卖的方式投资于目标ETF。当目标ETF申购、赎回或交易模式进行了变更或调整，本基金也将作相应的变更或调整，无需召开基金份额持有人大会。本基金</w:t>
            </w:r>
            <w:r>
              <w:rPr>
                <w:rFonts w:ascii="宋体" w:hAnsi="宋体" w:hint="eastAsia"/>
                <w:lang w:eastAsia="zh-Hans"/>
              </w:rPr>
              <w:lastRenderedPageBreak/>
              <w:t>在综合考虑合规、风险、效率、成本等因素的基础上，决定采用申赎的方式或二级市场交易的方式进行目标ETF的买卖。本基金还可适度参与目标ETF基金份额交易和申购、赎回之间的套利，以增强基金收益。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2、其他投资策略包括股票投资策略、金融衍生品投资策略、债券投资策略、融资及转融通证券出借策略、存托凭证投资策略</w:t>
            </w:r>
          </w:p>
        </w:tc>
      </w:tr>
      <w:tr w:rsidR="003851FF" w14:paraId="2CECF783" w14:textId="77777777">
        <w:trPr>
          <w:divId w:val="5383200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D8F05F" w14:textId="77777777" w:rsidR="003A1A8C" w:rsidRDefault="003A1A8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8A5BB4" w14:textId="77777777" w:rsidR="003A1A8C" w:rsidRDefault="003A1A8C">
            <w:pPr>
              <w:jc w:val="left"/>
            </w:pPr>
            <w:r>
              <w:rPr>
                <w:rFonts w:ascii="宋体" w:hAnsi="宋体" w:hint="eastAsia"/>
                <w:lang w:eastAsia="zh-Hans"/>
              </w:rPr>
              <w:t>中证A500指数收益率×95%+银行活期存款利率（税后）×5%</w:t>
            </w:r>
          </w:p>
        </w:tc>
      </w:tr>
      <w:tr w:rsidR="003851FF" w14:paraId="2AD5B857" w14:textId="77777777">
        <w:trPr>
          <w:divId w:val="5383200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E01E61" w14:textId="77777777" w:rsidR="003A1A8C" w:rsidRDefault="003A1A8C">
            <w:pPr>
              <w:jc w:val="left"/>
            </w:pPr>
            <w:r>
              <w:rPr>
                <w:rFonts w:ascii="宋体" w:hAnsi="宋体" w:hint="eastAsia"/>
              </w:rPr>
              <w:t>风险收益特征</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FA3525" w14:textId="77777777" w:rsidR="003A1A8C" w:rsidRDefault="003A1A8C">
            <w:pPr>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p>
        </w:tc>
      </w:tr>
      <w:tr w:rsidR="003851FF" w14:paraId="1E713BE0" w14:textId="77777777">
        <w:trPr>
          <w:divId w:val="5383200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0DAAA9" w14:textId="77777777" w:rsidR="003A1A8C" w:rsidRDefault="003A1A8C">
            <w:pPr>
              <w:jc w:val="left"/>
            </w:pPr>
            <w:r>
              <w:rPr>
                <w:rFonts w:ascii="宋体" w:hAnsi="宋体" w:hint="eastAsia"/>
              </w:rPr>
              <w:t>基金管理人</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58F30D" w14:textId="77777777" w:rsidR="003A1A8C" w:rsidRDefault="003A1A8C">
            <w:pPr>
              <w:jc w:val="left"/>
            </w:pPr>
            <w:r>
              <w:rPr>
                <w:rFonts w:ascii="宋体" w:hAnsi="宋体" w:hint="eastAsia"/>
                <w:lang w:eastAsia="zh-Hans"/>
              </w:rPr>
              <w:t>摩根基金管理（中国）有限公司</w:t>
            </w:r>
          </w:p>
        </w:tc>
      </w:tr>
      <w:tr w:rsidR="003851FF" w14:paraId="02021465" w14:textId="77777777">
        <w:trPr>
          <w:divId w:val="5383200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12C77B" w14:textId="77777777" w:rsidR="003A1A8C" w:rsidRDefault="003A1A8C">
            <w:pPr>
              <w:jc w:val="left"/>
            </w:pPr>
            <w:r>
              <w:rPr>
                <w:rFonts w:ascii="宋体" w:hAnsi="宋体" w:hint="eastAsia"/>
              </w:rPr>
              <w:t>基金托管人</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7BA1FB" w14:textId="77777777" w:rsidR="003A1A8C" w:rsidRDefault="003A1A8C">
            <w:pPr>
              <w:jc w:val="left"/>
            </w:pPr>
            <w:r>
              <w:rPr>
                <w:rFonts w:ascii="宋体" w:hAnsi="宋体" w:hint="eastAsia"/>
                <w:lang w:eastAsia="zh-Hans"/>
              </w:rPr>
              <w:t>平安银行股份有限公司</w:t>
            </w:r>
          </w:p>
        </w:tc>
      </w:tr>
      <w:tr w:rsidR="003851FF" w14:paraId="2AEF2DCF" w14:textId="77777777">
        <w:trPr>
          <w:divId w:val="53832005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D523FC" w14:textId="77777777" w:rsidR="003A1A8C" w:rsidRDefault="003A1A8C">
            <w:pPr>
              <w:jc w:val="left"/>
            </w:pPr>
            <w:bookmarkStart w:id="40" w:name="m02_01" w:colFirst="1" w:colLast="4"/>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D2445B" w14:textId="77777777" w:rsidR="003A1A8C" w:rsidRDefault="003A1A8C">
            <w:pPr>
              <w:jc w:val="center"/>
            </w:pPr>
            <w:r>
              <w:rPr>
                <w:rFonts w:ascii="宋体" w:hAnsi="宋体" w:hint="eastAsia"/>
                <w:lang w:eastAsia="zh-Hans"/>
              </w:rPr>
              <w:t>摩根中证A500ETF联接A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951E50" w14:textId="77777777" w:rsidR="003A1A8C" w:rsidRDefault="003A1A8C">
            <w:pPr>
              <w:jc w:val="center"/>
            </w:pPr>
            <w:r>
              <w:rPr>
                <w:rFonts w:ascii="宋体" w:hAnsi="宋体" w:hint="eastAsia"/>
                <w:lang w:eastAsia="zh-Hans"/>
              </w:rPr>
              <w:t>摩根中证A500ETF联接C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B8D94C" w14:textId="77777777" w:rsidR="003A1A8C" w:rsidRDefault="003A1A8C">
            <w:pPr>
              <w:jc w:val="center"/>
            </w:pPr>
            <w:r>
              <w:rPr>
                <w:rFonts w:ascii="宋体" w:hAnsi="宋体" w:hint="eastAsia"/>
                <w:lang w:eastAsia="zh-Hans"/>
              </w:rPr>
              <w:t>摩根中证A500ETF联接I</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5752A93" w14:textId="77777777" w:rsidR="003A1A8C" w:rsidRDefault="003A1A8C">
            <w:pPr>
              <w:jc w:val="center"/>
            </w:pPr>
            <w:r>
              <w:rPr>
                <w:rFonts w:ascii="宋体" w:hAnsi="宋体" w:hint="eastAsia"/>
                <w:lang w:eastAsia="zh-Hans"/>
              </w:rPr>
              <w:t>摩根中证A500ETF联接Y</w:t>
            </w:r>
            <w:r>
              <w:rPr>
                <w:rFonts w:ascii="宋体" w:hAnsi="宋体" w:hint="eastAsia"/>
                <w:kern w:val="0"/>
                <w:sz w:val="20"/>
                <w:lang w:eastAsia="zh-Hans"/>
              </w:rPr>
              <w:t xml:space="preserve"> </w:t>
            </w:r>
          </w:p>
        </w:tc>
      </w:tr>
      <w:tr w:rsidR="003851FF" w14:paraId="2B73AF15" w14:textId="77777777">
        <w:trPr>
          <w:divId w:val="53832005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BD20F6" w14:textId="77777777" w:rsidR="003A1A8C" w:rsidRDefault="003A1A8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A65123" w14:textId="77777777" w:rsidR="003A1A8C" w:rsidRDefault="003A1A8C">
            <w:pPr>
              <w:jc w:val="center"/>
            </w:pPr>
            <w:r>
              <w:rPr>
                <w:rFonts w:ascii="宋体" w:hAnsi="宋体" w:hint="eastAsia"/>
                <w:lang w:eastAsia="zh-Hans"/>
              </w:rPr>
              <w:t>022436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5838867" w14:textId="77777777" w:rsidR="003A1A8C" w:rsidRDefault="003A1A8C">
            <w:pPr>
              <w:jc w:val="center"/>
            </w:pPr>
            <w:r>
              <w:rPr>
                <w:rFonts w:ascii="宋体" w:hAnsi="宋体" w:hint="eastAsia"/>
                <w:lang w:eastAsia="zh-Hans"/>
              </w:rPr>
              <w:t>022437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14A557" w14:textId="77777777" w:rsidR="003A1A8C" w:rsidRDefault="003A1A8C">
            <w:pPr>
              <w:jc w:val="center"/>
            </w:pPr>
            <w:r>
              <w:rPr>
                <w:rFonts w:ascii="宋体" w:hAnsi="宋体" w:hint="eastAsia"/>
                <w:lang w:eastAsia="zh-Hans"/>
              </w:rPr>
              <w:t>022759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D17F736" w14:textId="77777777" w:rsidR="003A1A8C" w:rsidRDefault="003A1A8C">
            <w:pPr>
              <w:jc w:val="center"/>
            </w:pPr>
            <w:r>
              <w:rPr>
                <w:rFonts w:ascii="宋体" w:hAnsi="宋体" w:hint="eastAsia"/>
                <w:lang w:eastAsia="zh-Hans"/>
              </w:rPr>
              <w:t>022911</w:t>
            </w:r>
            <w:r>
              <w:rPr>
                <w:rFonts w:ascii="宋体" w:hAnsi="宋体" w:hint="eastAsia"/>
                <w:kern w:val="0"/>
                <w:sz w:val="20"/>
                <w:lang w:eastAsia="zh-Hans"/>
              </w:rPr>
              <w:t xml:space="preserve"> </w:t>
            </w:r>
          </w:p>
        </w:tc>
      </w:tr>
      <w:bookmarkEnd w:id="40"/>
      <w:tr w:rsidR="003851FF" w14:paraId="0EDD3515" w14:textId="77777777">
        <w:trPr>
          <w:divId w:val="53832005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1071A7" w14:textId="77777777" w:rsidR="003A1A8C" w:rsidRDefault="003A1A8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4CFE9" w14:textId="77777777" w:rsidR="003A1A8C" w:rsidRDefault="003A1A8C">
            <w:pPr>
              <w:jc w:val="center"/>
            </w:pPr>
            <w:r>
              <w:rPr>
                <w:rFonts w:ascii="宋体" w:hAnsi="宋体" w:hint="eastAsia"/>
                <w:lang w:eastAsia="zh-Hans"/>
              </w:rPr>
              <w:t>571,645,975.78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8F8FC" w14:textId="77777777" w:rsidR="003A1A8C" w:rsidRDefault="003A1A8C">
            <w:pPr>
              <w:jc w:val="center"/>
            </w:pPr>
            <w:r>
              <w:rPr>
                <w:rFonts w:ascii="宋体" w:hAnsi="宋体" w:hint="eastAsia"/>
                <w:lang w:eastAsia="zh-Hans"/>
              </w:rPr>
              <w:t>825,237,038.04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49F22" w14:textId="77777777" w:rsidR="003A1A8C" w:rsidRDefault="003A1A8C">
            <w:pPr>
              <w:jc w:val="center"/>
            </w:pPr>
            <w:r>
              <w:rPr>
                <w:rFonts w:ascii="宋体" w:hAnsi="宋体" w:hint="eastAsia"/>
                <w:lang w:eastAsia="zh-Hans"/>
              </w:rPr>
              <w:t>7,750,891.32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9AF0C" w14:textId="77777777" w:rsidR="003A1A8C" w:rsidRDefault="003A1A8C">
            <w:pPr>
              <w:jc w:val="center"/>
            </w:pPr>
            <w:r>
              <w:rPr>
                <w:rFonts w:ascii="宋体" w:hAnsi="宋体" w:hint="eastAsia"/>
                <w:lang w:eastAsia="zh-Hans"/>
              </w:rPr>
              <w:t>7,262,805.96</w:t>
            </w:r>
            <w:r>
              <w:rPr>
                <w:rFonts w:hint="eastAsia"/>
              </w:rPr>
              <w:t>份</w:t>
            </w:r>
            <w:r>
              <w:rPr>
                <w:rFonts w:ascii="宋体" w:hAnsi="宋体" w:hint="eastAsia"/>
                <w:lang w:eastAsia="zh-Hans"/>
              </w:rPr>
              <w:t xml:space="preserve"> </w:t>
            </w:r>
          </w:p>
        </w:tc>
      </w:tr>
    </w:tbl>
    <w:p w14:paraId="574A1250" w14:textId="77777777" w:rsidR="003A1A8C" w:rsidRDefault="003A1A8C">
      <w:pPr>
        <w:pStyle w:val="XBRLTitle3"/>
        <w:numPr>
          <w:ilvl w:val="2"/>
          <w:numId w:val="2"/>
        </w:numPr>
        <w:spacing w:before="156"/>
        <w:ind w:left="0" w:firstLine="0"/>
      </w:pPr>
      <w:bookmarkStart w:id="41" w:name="_Toc17881666"/>
      <w:bookmarkStart w:id="42" w:name="_Toc492299863"/>
      <w:bookmarkStart w:id="43" w:name="_Toc466644447"/>
      <w:bookmarkStart w:id="44" w:name="_Toc475438078"/>
      <w:proofErr w:type="spellStart"/>
      <w:r>
        <w:rPr>
          <w:rFonts w:hAnsi="宋体" w:hint="eastAsia"/>
          <w:szCs w:val="24"/>
        </w:rPr>
        <w:t>目标基金基本情况</w:t>
      </w:r>
      <w:bookmarkEnd w:id="41"/>
      <w:bookmarkEnd w:id="42"/>
      <w:bookmarkEnd w:id="43"/>
      <w:bookmarkEnd w:id="44"/>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3851FF" w14:paraId="6045410A" w14:textId="77777777">
        <w:trPr>
          <w:divId w:val="945308139"/>
          <w:trHeight w:val="64"/>
        </w:trPr>
        <w:tc>
          <w:tcPr>
            <w:tcW w:w="1677" w:type="pct"/>
            <w:tcBorders>
              <w:top w:val="single" w:sz="4" w:space="0" w:color="000000"/>
              <w:left w:val="single" w:sz="4" w:space="0" w:color="000000"/>
              <w:bottom w:val="single" w:sz="4" w:space="0" w:color="000000"/>
              <w:right w:val="single" w:sz="4" w:space="0" w:color="000000"/>
            </w:tcBorders>
            <w:hideMark/>
          </w:tcPr>
          <w:p w14:paraId="4FAD5CEE" w14:textId="77777777" w:rsidR="003A1A8C" w:rsidRDefault="003A1A8C">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48D2F672" w14:textId="77777777" w:rsidR="003A1A8C" w:rsidRDefault="003A1A8C">
            <w:pPr>
              <w:widowControl/>
              <w:spacing w:line="315" w:lineRule="atLeast"/>
              <w:jc w:val="left"/>
            </w:pPr>
            <w:r>
              <w:rPr>
                <w:rFonts w:asciiTheme="minorEastAsia" w:eastAsiaTheme="minorEastAsia" w:hAnsiTheme="minorEastAsia" w:hint="eastAsia"/>
              </w:rPr>
              <w:t>摩根中证A500交易型开放式指数证券投资基金</w:t>
            </w:r>
          </w:p>
        </w:tc>
      </w:tr>
      <w:tr w:rsidR="003851FF" w14:paraId="7ADE74D1" w14:textId="77777777">
        <w:trPr>
          <w:divId w:val="945308139"/>
        </w:trPr>
        <w:tc>
          <w:tcPr>
            <w:tcW w:w="1677" w:type="pct"/>
            <w:tcBorders>
              <w:top w:val="nil"/>
              <w:left w:val="single" w:sz="4" w:space="0" w:color="000000"/>
              <w:bottom w:val="single" w:sz="4" w:space="0" w:color="000000"/>
              <w:right w:val="single" w:sz="4" w:space="0" w:color="000000"/>
            </w:tcBorders>
            <w:hideMark/>
          </w:tcPr>
          <w:p w14:paraId="5BDCFD5D" w14:textId="77777777" w:rsidR="003A1A8C" w:rsidRDefault="003A1A8C">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47F0C5BB" w14:textId="77777777" w:rsidR="003A1A8C" w:rsidRDefault="003A1A8C">
            <w:pPr>
              <w:widowControl/>
              <w:spacing w:line="315" w:lineRule="atLeast"/>
              <w:jc w:val="left"/>
            </w:pPr>
            <w:r>
              <w:rPr>
                <w:rFonts w:asciiTheme="minorEastAsia" w:eastAsiaTheme="minorEastAsia" w:hAnsiTheme="minorEastAsia" w:hint="eastAsia"/>
              </w:rPr>
              <w:t>560530</w:t>
            </w:r>
          </w:p>
        </w:tc>
      </w:tr>
      <w:tr w:rsidR="003851FF" w14:paraId="71EB0A6A" w14:textId="77777777">
        <w:trPr>
          <w:divId w:val="945308139"/>
        </w:trPr>
        <w:tc>
          <w:tcPr>
            <w:tcW w:w="1677" w:type="pct"/>
            <w:tcBorders>
              <w:top w:val="nil"/>
              <w:left w:val="single" w:sz="4" w:space="0" w:color="000000"/>
              <w:bottom w:val="single" w:sz="4" w:space="0" w:color="000000"/>
              <w:right w:val="single" w:sz="4" w:space="0" w:color="000000"/>
            </w:tcBorders>
            <w:hideMark/>
          </w:tcPr>
          <w:p w14:paraId="4334669E" w14:textId="77777777" w:rsidR="003A1A8C" w:rsidRDefault="003A1A8C">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4C519C6E" w14:textId="77777777" w:rsidR="003A1A8C" w:rsidRDefault="003A1A8C">
            <w:pPr>
              <w:widowControl/>
              <w:spacing w:line="315" w:lineRule="atLeast"/>
              <w:jc w:val="left"/>
            </w:pPr>
            <w:r>
              <w:rPr>
                <w:rFonts w:asciiTheme="minorEastAsia" w:eastAsiaTheme="minorEastAsia" w:hAnsiTheme="minorEastAsia" w:hint="eastAsia"/>
              </w:rPr>
              <w:t>交易型开放式</w:t>
            </w:r>
          </w:p>
        </w:tc>
      </w:tr>
      <w:tr w:rsidR="003851FF" w14:paraId="3C6E53CB" w14:textId="77777777">
        <w:trPr>
          <w:divId w:val="945308139"/>
        </w:trPr>
        <w:tc>
          <w:tcPr>
            <w:tcW w:w="1677" w:type="pct"/>
            <w:tcBorders>
              <w:top w:val="nil"/>
              <w:left w:val="single" w:sz="4" w:space="0" w:color="000000"/>
              <w:bottom w:val="single" w:sz="4" w:space="0" w:color="000000"/>
              <w:right w:val="single" w:sz="4" w:space="0" w:color="000000"/>
            </w:tcBorders>
            <w:hideMark/>
          </w:tcPr>
          <w:p w14:paraId="60FB7845" w14:textId="77777777" w:rsidR="003A1A8C" w:rsidRDefault="003A1A8C">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2A41E155" w14:textId="77777777" w:rsidR="003A1A8C" w:rsidRDefault="003A1A8C">
            <w:pPr>
              <w:widowControl/>
              <w:spacing w:line="315" w:lineRule="atLeast"/>
              <w:jc w:val="left"/>
            </w:pPr>
            <w:r>
              <w:rPr>
                <w:rFonts w:asciiTheme="minorEastAsia" w:eastAsiaTheme="minorEastAsia" w:hAnsiTheme="minorEastAsia" w:hint="eastAsia"/>
              </w:rPr>
              <w:t>2024年9月24日</w:t>
            </w:r>
          </w:p>
        </w:tc>
      </w:tr>
      <w:tr w:rsidR="003851FF" w14:paraId="59B0EE8C" w14:textId="77777777">
        <w:trPr>
          <w:divId w:val="945308139"/>
        </w:trPr>
        <w:tc>
          <w:tcPr>
            <w:tcW w:w="1677" w:type="pct"/>
            <w:tcBorders>
              <w:top w:val="nil"/>
              <w:left w:val="single" w:sz="4" w:space="0" w:color="000000"/>
              <w:bottom w:val="single" w:sz="4" w:space="0" w:color="000000"/>
              <w:right w:val="single" w:sz="4" w:space="0" w:color="000000"/>
            </w:tcBorders>
            <w:hideMark/>
          </w:tcPr>
          <w:p w14:paraId="6F916B62" w14:textId="77777777" w:rsidR="003A1A8C" w:rsidRDefault="003A1A8C">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38D18A3C" w14:textId="77777777" w:rsidR="003A1A8C" w:rsidRDefault="003A1A8C">
            <w:pPr>
              <w:widowControl/>
              <w:spacing w:line="315" w:lineRule="atLeast"/>
              <w:jc w:val="left"/>
            </w:pPr>
            <w:r>
              <w:rPr>
                <w:rFonts w:asciiTheme="minorEastAsia" w:eastAsiaTheme="minorEastAsia" w:hAnsiTheme="minorEastAsia" w:hint="eastAsia"/>
              </w:rPr>
              <w:t>上海证券交易所</w:t>
            </w:r>
          </w:p>
        </w:tc>
      </w:tr>
      <w:tr w:rsidR="003851FF" w14:paraId="56E415D9" w14:textId="77777777">
        <w:trPr>
          <w:divId w:val="945308139"/>
        </w:trPr>
        <w:tc>
          <w:tcPr>
            <w:tcW w:w="1677" w:type="pct"/>
            <w:tcBorders>
              <w:top w:val="nil"/>
              <w:left w:val="single" w:sz="4" w:space="0" w:color="000000"/>
              <w:bottom w:val="single" w:sz="4" w:space="0" w:color="000000"/>
              <w:right w:val="single" w:sz="4" w:space="0" w:color="000000"/>
            </w:tcBorders>
            <w:hideMark/>
          </w:tcPr>
          <w:p w14:paraId="73BC4706" w14:textId="77777777" w:rsidR="003A1A8C" w:rsidRDefault="003A1A8C">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18FDAD0A" w14:textId="77777777" w:rsidR="003A1A8C" w:rsidRDefault="003A1A8C">
            <w:pPr>
              <w:widowControl/>
              <w:spacing w:line="315" w:lineRule="atLeast"/>
              <w:jc w:val="left"/>
            </w:pPr>
            <w:r>
              <w:rPr>
                <w:rFonts w:asciiTheme="minorEastAsia" w:eastAsiaTheme="minorEastAsia" w:hAnsiTheme="minorEastAsia" w:hint="eastAsia"/>
              </w:rPr>
              <w:t>2024年10月15日</w:t>
            </w:r>
          </w:p>
        </w:tc>
      </w:tr>
      <w:tr w:rsidR="003851FF" w14:paraId="29EC1282" w14:textId="77777777">
        <w:trPr>
          <w:divId w:val="945308139"/>
        </w:trPr>
        <w:tc>
          <w:tcPr>
            <w:tcW w:w="1677" w:type="pct"/>
            <w:tcBorders>
              <w:top w:val="nil"/>
              <w:left w:val="single" w:sz="4" w:space="0" w:color="000000"/>
              <w:bottom w:val="single" w:sz="4" w:space="0" w:color="000000"/>
              <w:right w:val="single" w:sz="4" w:space="0" w:color="000000"/>
            </w:tcBorders>
            <w:hideMark/>
          </w:tcPr>
          <w:p w14:paraId="07270F09" w14:textId="77777777" w:rsidR="003A1A8C" w:rsidRDefault="003A1A8C">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007880A6" w14:textId="77777777" w:rsidR="003A1A8C" w:rsidRDefault="003A1A8C">
            <w:pPr>
              <w:widowControl/>
              <w:spacing w:line="315" w:lineRule="atLeast"/>
              <w:jc w:val="left"/>
            </w:pPr>
            <w:r>
              <w:rPr>
                <w:rFonts w:asciiTheme="minorEastAsia" w:eastAsiaTheme="minorEastAsia" w:hAnsiTheme="minorEastAsia" w:hint="eastAsia"/>
              </w:rPr>
              <w:t>摩根基金管理（中国）有限公司</w:t>
            </w:r>
          </w:p>
        </w:tc>
      </w:tr>
      <w:tr w:rsidR="003851FF" w14:paraId="0EBDC72C" w14:textId="77777777">
        <w:trPr>
          <w:divId w:val="945308139"/>
        </w:trPr>
        <w:tc>
          <w:tcPr>
            <w:tcW w:w="1677" w:type="pct"/>
            <w:tcBorders>
              <w:top w:val="nil"/>
              <w:left w:val="single" w:sz="4" w:space="0" w:color="000000"/>
              <w:bottom w:val="single" w:sz="4" w:space="0" w:color="000000"/>
              <w:right w:val="single" w:sz="4" w:space="0" w:color="000000"/>
            </w:tcBorders>
            <w:hideMark/>
          </w:tcPr>
          <w:p w14:paraId="608ED387" w14:textId="77777777" w:rsidR="003A1A8C" w:rsidRDefault="003A1A8C">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6255C043" w14:textId="77777777" w:rsidR="003A1A8C" w:rsidRDefault="003A1A8C">
            <w:pPr>
              <w:widowControl/>
              <w:spacing w:line="315" w:lineRule="atLeast"/>
              <w:jc w:val="left"/>
            </w:pPr>
            <w:r>
              <w:rPr>
                <w:rFonts w:asciiTheme="minorEastAsia" w:eastAsiaTheme="minorEastAsia" w:hAnsiTheme="minorEastAsia" w:hint="eastAsia"/>
              </w:rPr>
              <w:t>平安银行股份有限公司</w:t>
            </w:r>
          </w:p>
        </w:tc>
      </w:tr>
    </w:tbl>
    <w:p w14:paraId="218EADFD" w14:textId="77777777" w:rsidR="003A1A8C" w:rsidRDefault="003A1A8C">
      <w:pPr>
        <w:pStyle w:val="XBRLTitle3"/>
        <w:numPr>
          <w:ilvl w:val="2"/>
          <w:numId w:val="2"/>
        </w:numPr>
        <w:spacing w:before="156"/>
        <w:ind w:left="0" w:firstLine="0"/>
      </w:pPr>
      <w:bookmarkStart w:id="45" w:name="_Toc17881667"/>
      <w:bookmarkStart w:id="46" w:name="_Toc492299864"/>
      <w:bookmarkStart w:id="47" w:name="_Toc466644448"/>
      <w:bookmarkStart w:id="48" w:name="_Toc475438079"/>
      <w:proofErr w:type="spellStart"/>
      <w:r>
        <w:rPr>
          <w:rFonts w:hAnsi="宋体" w:hint="eastAsia"/>
          <w:szCs w:val="24"/>
        </w:rPr>
        <w:t>目标基金</w:t>
      </w:r>
      <w:r>
        <w:rPr>
          <w:rFonts w:hint="eastAsia"/>
          <w:lang w:eastAsia="zh-CN"/>
        </w:rPr>
        <w:t>产品说明</w:t>
      </w:r>
      <w:bookmarkEnd w:id="45"/>
      <w:bookmarkEnd w:id="46"/>
      <w:bookmarkEnd w:id="47"/>
      <w:bookmarkEnd w:id="48"/>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3851FF" w14:paraId="7A5EBBA5" w14:textId="77777777">
        <w:trPr>
          <w:divId w:val="1132750966"/>
          <w:trHeight w:val="64"/>
        </w:trPr>
        <w:tc>
          <w:tcPr>
            <w:tcW w:w="1294" w:type="pct"/>
            <w:tcBorders>
              <w:top w:val="single" w:sz="4" w:space="0" w:color="000000"/>
              <w:left w:val="single" w:sz="4" w:space="0" w:color="000000"/>
              <w:bottom w:val="single" w:sz="4" w:space="0" w:color="000000"/>
              <w:right w:val="single" w:sz="4" w:space="0" w:color="000000"/>
            </w:tcBorders>
            <w:hideMark/>
          </w:tcPr>
          <w:p w14:paraId="79B595ED" w14:textId="77777777" w:rsidR="003A1A8C" w:rsidRDefault="003A1A8C">
            <w:pPr>
              <w:widowControl/>
              <w:spacing w:line="315" w:lineRule="atLeast"/>
              <w:jc w:val="left"/>
            </w:pPr>
            <w:r>
              <w:rPr>
                <w:rFonts w:asciiTheme="minorEastAsia" w:eastAsiaTheme="minorEastAsia" w:hAnsiTheme="minorEastAsia" w:hint="eastAsia"/>
              </w:rPr>
              <w:t xml:space="preserve">投资目标 </w:t>
            </w:r>
          </w:p>
        </w:tc>
        <w:tc>
          <w:tcPr>
            <w:tcW w:w="3706" w:type="pct"/>
            <w:tcBorders>
              <w:top w:val="single" w:sz="4" w:space="0" w:color="000000"/>
              <w:left w:val="nil"/>
              <w:bottom w:val="single" w:sz="4" w:space="0" w:color="000000"/>
              <w:right w:val="single" w:sz="4" w:space="0" w:color="000000"/>
            </w:tcBorders>
            <w:hideMark/>
          </w:tcPr>
          <w:p w14:paraId="4645AF31" w14:textId="77777777" w:rsidR="003A1A8C" w:rsidRDefault="003A1A8C">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3851FF" w14:paraId="7B135A36" w14:textId="77777777">
        <w:trPr>
          <w:divId w:val="1132750966"/>
        </w:trPr>
        <w:tc>
          <w:tcPr>
            <w:tcW w:w="1294" w:type="pct"/>
            <w:tcBorders>
              <w:top w:val="nil"/>
              <w:left w:val="single" w:sz="4" w:space="0" w:color="000000"/>
              <w:bottom w:val="single" w:sz="4" w:space="0" w:color="000000"/>
              <w:right w:val="single" w:sz="4" w:space="0" w:color="000000"/>
            </w:tcBorders>
            <w:hideMark/>
          </w:tcPr>
          <w:p w14:paraId="1F51A8C5" w14:textId="77777777" w:rsidR="003A1A8C" w:rsidRDefault="003A1A8C">
            <w:pPr>
              <w:widowControl/>
              <w:spacing w:line="315" w:lineRule="atLeast"/>
              <w:jc w:val="left"/>
            </w:pPr>
            <w:r>
              <w:rPr>
                <w:rFonts w:asciiTheme="minorEastAsia" w:eastAsiaTheme="minorEastAsia" w:hAnsiTheme="minorEastAsia" w:hint="eastAsia"/>
              </w:rPr>
              <w:t xml:space="preserve">投资策略 </w:t>
            </w:r>
          </w:p>
        </w:tc>
        <w:tc>
          <w:tcPr>
            <w:tcW w:w="3706" w:type="pct"/>
            <w:tcBorders>
              <w:top w:val="nil"/>
              <w:left w:val="nil"/>
              <w:bottom w:val="single" w:sz="4" w:space="0" w:color="000000"/>
              <w:right w:val="single" w:sz="4" w:space="0" w:color="000000"/>
            </w:tcBorders>
            <w:hideMark/>
          </w:tcPr>
          <w:p w14:paraId="1AC462EA" w14:textId="77777777" w:rsidR="003A1A8C" w:rsidRDefault="003A1A8C">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w:t>
            </w:r>
            <w:r>
              <w:rPr>
                <w:rFonts w:asciiTheme="minorEastAsia" w:eastAsiaTheme="minorEastAsia" w:hAnsiTheme="minorEastAsia" w:hint="eastAsia"/>
              </w:rPr>
              <w:lastRenderedPageBreak/>
              <w:t>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p>
        </w:tc>
      </w:tr>
      <w:tr w:rsidR="003851FF" w14:paraId="5397F856" w14:textId="77777777">
        <w:trPr>
          <w:divId w:val="1132750966"/>
        </w:trPr>
        <w:tc>
          <w:tcPr>
            <w:tcW w:w="1294" w:type="pct"/>
            <w:tcBorders>
              <w:top w:val="nil"/>
              <w:left w:val="single" w:sz="4" w:space="0" w:color="000000"/>
              <w:bottom w:val="single" w:sz="4" w:space="0" w:color="000000"/>
              <w:right w:val="single" w:sz="4" w:space="0" w:color="000000"/>
            </w:tcBorders>
            <w:hideMark/>
          </w:tcPr>
          <w:p w14:paraId="3078B417" w14:textId="77777777" w:rsidR="003A1A8C" w:rsidRDefault="003A1A8C">
            <w:pPr>
              <w:widowControl/>
              <w:spacing w:line="315" w:lineRule="atLeast"/>
              <w:jc w:val="left"/>
            </w:pPr>
            <w:r>
              <w:rPr>
                <w:rFonts w:asciiTheme="minorEastAsia" w:eastAsiaTheme="minorEastAsia" w:hAnsiTheme="minorEastAsia" w:hint="eastAsia"/>
              </w:rPr>
              <w:lastRenderedPageBreak/>
              <w:t xml:space="preserve">业绩比较基准 </w:t>
            </w:r>
          </w:p>
        </w:tc>
        <w:tc>
          <w:tcPr>
            <w:tcW w:w="3706" w:type="pct"/>
            <w:tcBorders>
              <w:top w:val="nil"/>
              <w:left w:val="nil"/>
              <w:bottom w:val="single" w:sz="4" w:space="0" w:color="000000"/>
              <w:right w:val="single" w:sz="4" w:space="0" w:color="000000"/>
            </w:tcBorders>
            <w:hideMark/>
          </w:tcPr>
          <w:p w14:paraId="21A1B48B" w14:textId="77777777" w:rsidR="003A1A8C" w:rsidRDefault="003A1A8C">
            <w:pPr>
              <w:widowControl/>
              <w:spacing w:line="315" w:lineRule="atLeast"/>
              <w:jc w:val="left"/>
            </w:pPr>
            <w:r>
              <w:rPr>
                <w:rFonts w:asciiTheme="minorEastAsia" w:eastAsiaTheme="minorEastAsia" w:hAnsiTheme="minorEastAsia" w:hint="eastAsia"/>
              </w:rPr>
              <w:t>本基金的业绩比较基准为标的指数，即中证A500指数收益率。</w:t>
            </w:r>
          </w:p>
        </w:tc>
      </w:tr>
      <w:tr w:rsidR="003851FF" w14:paraId="72EA10EB" w14:textId="77777777">
        <w:trPr>
          <w:divId w:val="1132750966"/>
        </w:trPr>
        <w:tc>
          <w:tcPr>
            <w:tcW w:w="1294" w:type="pct"/>
            <w:tcBorders>
              <w:top w:val="nil"/>
              <w:left w:val="single" w:sz="4" w:space="0" w:color="000000"/>
              <w:bottom w:val="single" w:sz="4" w:space="0" w:color="000000"/>
              <w:right w:val="single" w:sz="4" w:space="0" w:color="000000"/>
            </w:tcBorders>
            <w:hideMark/>
          </w:tcPr>
          <w:p w14:paraId="081ECBCB" w14:textId="77777777" w:rsidR="003A1A8C" w:rsidRDefault="003A1A8C">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207CE857" w14:textId="77777777" w:rsidR="003A1A8C" w:rsidRDefault="003A1A8C">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本基金为股票型指数基金，其预期风险和预期收益高于货币市场基金、债券型基金和混合型基金。本基金主要采用完全复制法跟踪标的指数的表现，具有与标的指数相似的风险收益特征。</w:t>
            </w:r>
          </w:p>
        </w:tc>
      </w:tr>
    </w:tbl>
    <w:p w14:paraId="1897F3DF" w14:textId="77777777" w:rsidR="003A1A8C" w:rsidRDefault="003A1A8C">
      <w:pPr>
        <w:pStyle w:val="XBRLTitle1"/>
        <w:spacing w:before="156"/>
        <w:ind w:left="425"/>
      </w:pPr>
      <w:bookmarkStart w:id="49" w:name="_Toc17881668"/>
      <w:bookmarkStart w:id="50" w:name="_Toc492299865"/>
      <w:bookmarkStart w:id="51" w:name="_Toc466644449"/>
      <w:bookmarkStart w:id="52" w:name="_Toc447872911"/>
      <w:bookmarkStart w:id="53" w:name="_Toc438646455"/>
      <w:bookmarkStart w:id="54" w:name="_Toc512627217"/>
      <w:bookmarkStart w:id="55" w:name="_Toc512694297"/>
      <w:bookmarkEnd w:id="39"/>
      <w:proofErr w:type="spellStart"/>
      <w:r>
        <w:rPr>
          <w:rFonts w:hAnsi="宋体" w:hint="eastAsia"/>
        </w:rPr>
        <w:t>主要财务指标和基金净值表现</w:t>
      </w:r>
      <w:bookmarkEnd w:id="49"/>
      <w:bookmarkEnd w:id="50"/>
      <w:bookmarkEnd w:id="51"/>
      <w:bookmarkEnd w:id="52"/>
      <w:bookmarkEnd w:id="53"/>
      <w:bookmarkEnd w:id="54"/>
      <w:bookmarkEnd w:id="55"/>
      <w:proofErr w:type="spellEnd"/>
      <w:r>
        <w:rPr>
          <w:rFonts w:hAnsi="宋体" w:hint="eastAsia"/>
        </w:rPr>
        <w:t xml:space="preserve"> </w:t>
      </w:r>
    </w:p>
    <w:p w14:paraId="18736617" w14:textId="77777777" w:rsidR="003A1A8C" w:rsidRDefault="003A1A8C">
      <w:pPr>
        <w:pStyle w:val="XBRLTitle2"/>
        <w:spacing w:before="156"/>
        <w:ind w:left="454"/>
      </w:pPr>
      <w:bookmarkStart w:id="56" w:name="_Toc17881669"/>
      <w:proofErr w:type="spellStart"/>
      <w:r>
        <w:rPr>
          <w:rFonts w:hAnsi="宋体" w:hint="eastAsia"/>
        </w:rPr>
        <w:t>主要财务指标</w:t>
      </w:r>
      <w:bookmarkEnd w:id="56"/>
      <w:bookmarkEnd w:id="31"/>
      <w:bookmarkEnd w:id="32"/>
      <w:bookmarkEnd w:id="33"/>
      <w:bookmarkEnd w:id="34"/>
      <w:bookmarkEnd w:id="35"/>
      <w:bookmarkEnd w:id="36"/>
      <w:proofErr w:type="spellEnd"/>
    </w:p>
    <w:p w14:paraId="1E203D0D" w14:textId="77777777" w:rsidR="003A1A8C" w:rsidRDefault="003A1A8C">
      <w:pPr>
        <w:jc w:val="right"/>
        <w:divId w:val="70471702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9"/>
        <w:gridCol w:w="1883"/>
        <w:gridCol w:w="1883"/>
        <w:gridCol w:w="1780"/>
        <w:gridCol w:w="1780"/>
      </w:tblGrid>
      <w:tr w:rsidR="003851FF" w14:paraId="5F862FB3" w14:textId="77777777">
        <w:trPr>
          <w:divId w:val="70471702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5D2D425" w14:textId="77777777" w:rsidR="003A1A8C" w:rsidRDefault="003A1A8C">
            <w:pPr>
              <w:pStyle w:val="a5"/>
              <w:rPr>
                <w:rFonts w:hint="eastAsia"/>
              </w:rPr>
            </w:pPr>
            <w:r>
              <w:rPr>
                <w:rFonts w:hint="eastAsia"/>
                <w:kern w:val="2"/>
                <w:sz w:val="21"/>
                <w:lang w:eastAsia="zh-Hans"/>
              </w:rPr>
              <w:t xml:space="preserve">主要财务指标 </w:t>
            </w:r>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42160AB" w14:textId="77777777" w:rsidR="003A1A8C" w:rsidRDefault="003A1A8C">
            <w:pPr>
              <w:pStyle w:val="a5"/>
              <w:jc w:val="center"/>
              <w:rPr>
                <w:rFonts w:hint="eastAsia"/>
              </w:rPr>
            </w:pPr>
            <w:r>
              <w:rPr>
                <w:rFonts w:hint="eastAsia"/>
                <w:kern w:val="2"/>
                <w:sz w:val="21"/>
                <w:szCs w:val="24"/>
                <w:lang w:eastAsia="zh-Hans"/>
              </w:rPr>
              <w:t xml:space="preserve">报告期（2025年10月1日 - 2025年12月31日） </w:t>
            </w:r>
          </w:p>
        </w:tc>
      </w:tr>
      <w:tr w:rsidR="003851FF" w14:paraId="46478960" w14:textId="77777777">
        <w:trPr>
          <w:divId w:val="70471702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0CCFB" w14:textId="77777777" w:rsidR="003A1A8C" w:rsidRDefault="003A1A8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02482B1" w14:textId="77777777" w:rsidR="003A1A8C" w:rsidRDefault="003A1A8C">
            <w:pPr>
              <w:jc w:val="center"/>
            </w:pPr>
            <w:r>
              <w:rPr>
                <w:rFonts w:ascii="宋体" w:hAnsi="宋体" w:hint="eastAsia"/>
                <w:szCs w:val="24"/>
                <w:lang w:eastAsia="zh-Hans"/>
              </w:rPr>
              <w:t>摩根中证A500ETF联接A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3B67B0C" w14:textId="77777777" w:rsidR="003A1A8C" w:rsidRDefault="003A1A8C">
            <w:pPr>
              <w:jc w:val="center"/>
            </w:pPr>
            <w:r>
              <w:rPr>
                <w:rFonts w:ascii="宋体" w:hAnsi="宋体" w:hint="eastAsia"/>
                <w:szCs w:val="24"/>
                <w:lang w:eastAsia="zh-Hans"/>
              </w:rPr>
              <w:t>摩根中证A500ETF联接C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A9B3E6C" w14:textId="77777777" w:rsidR="003A1A8C" w:rsidRDefault="003A1A8C">
            <w:pPr>
              <w:jc w:val="center"/>
            </w:pPr>
            <w:r>
              <w:rPr>
                <w:rFonts w:ascii="宋体" w:hAnsi="宋体" w:hint="eastAsia"/>
                <w:szCs w:val="24"/>
                <w:lang w:eastAsia="zh-Hans"/>
              </w:rPr>
              <w:t>摩根中证A500ETF联接I</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0B68CE3" w14:textId="77777777" w:rsidR="003A1A8C" w:rsidRDefault="003A1A8C">
            <w:pPr>
              <w:jc w:val="center"/>
            </w:pPr>
            <w:r>
              <w:rPr>
                <w:rFonts w:ascii="宋体" w:hAnsi="宋体" w:hint="eastAsia"/>
                <w:szCs w:val="24"/>
                <w:lang w:eastAsia="zh-Hans"/>
              </w:rPr>
              <w:t>摩根中证A500ETF联接Y</w:t>
            </w:r>
          </w:p>
        </w:tc>
      </w:tr>
      <w:tr w:rsidR="003851FF" w14:paraId="4ECB7500" w14:textId="77777777">
        <w:trPr>
          <w:divId w:val="7047170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6E0875" w14:textId="77777777" w:rsidR="003A1A8C" w:rsidRDefault="003A1A8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474F84" w14:textId="77777777" w:rsidR="003A1A8C" w:rsidRDefault="003A1A8C">
            <w:pPr>
              <w:jc w:val="right"/>
            </w:pPr>
            <w:r>
              <w:rPr>
                <w:rFonts w:ascii="宋体" w:hAnsi="宋体" w:hint="eastAsia"/>
                <w:szCs w:val="24"/>
                <w:lang w:eastAsia="zh-Hans"/>
              </w:rPr>
              <w:t>8,189,485.80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C23AB8" w14:textId="77777777" w:rsidR="003A1A8C" w:rsidRDefault="003A1A8C">
            <w:pPr>
              <w:jc w:val="right"/>
            </w:pPr>
            <w:r>
              <w:rPr>
                <w:rFonts w:ascii="宋体" w:hAnsi="宋体" w:hint="eastAsia"/>
                <w:szCs w:val="24"/>
                <w:lang w:eastAsia="zh-Hans"/>
              </w:rPr>
              <w:t>21,078,827.45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536E6D" w14:textId="77777777" w:rsidR="003A1A8C" w:rsidRDefault="003A1A8C">
            <w:pPr>
              <w:jc w:val="right"/>
            </w:pPr>
            <w:r>
              <w:rPr>
                <w:rFonts w:ascii="宋体" w:hAnsi="宋体" w:hint="eastAsia"/>
                <w:szCs w:val="24"/>
                <w:lang w:eastAsia="zh-Hans"/>
              </w:rPr>
              <w:t>126,282.97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C00D4F" w14:textId="77777777" w:rsidR="003A1A8C" w:rsidRDefault="003A1A8C">
            <w:pPr>
              <w:jc w:val="right"/>
            </w:pPr>
            <w:r>
              <w:rPr>
                <w:rFonts w:ascii="宋体" w:hAnsi="宋体" w:hint="eastAsia"/>
                <w:szCs w:val="24"/>
                <w:lang w:eastAsia="zh-Hans"/>
              </w:rPr>
              <w:t>114,124.23</w:t>
            </w:r>
          </w:p>
        </w:tc>
      </w:tr>
      <w:tr w:rsidR="003851FF" w14:paraId="0621EEC3" w14:textId="77777777">
        <w:trPr>
          <w:divId w:val="7047170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547104" w14:textId="77777777" w:rsidR="003A1A8C" w:rsidRDefault="003A1A8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80957F" w14:textId="77777777" w:rsidR="003A1A8C" w:rsidRDefault="003A1A8C">
            <w:pPr>
              <w:jc w:val="right"/>
            </w:pPr>
            <w:r>
              <w:rPr>
                <w:rFonts w:ascii="宋体" w:hAnsi="宋体" w:hint="eastAsia"/>
                <w:szCs w:val="24"/>
                <w:lang w:eastAsia="zh-Hans"/>
              </w:rPr>
              <w:t>6,893,168.37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F40A78" w14:textId="77777777" w:rsidR="003A1A8C" w:rsidRDefault="003A1A8C">
            <w:pPr>
              <w:jc w:val="right"/>
            </w:pPr>
            <w:r>
              <w:rPr>
                <w:rFonts w:ascii="宋体" w:hAnsi="宋体" w:hint="eastAsia"/>
                <w:szCs w:val="24"/>
                <w:lang w:eastAsia="zh-Hans"/>
              </w:rPr>
              <w:t>941,122.35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427590" w14:textId="77777777" w:rsidR="003A1A8C" w:rsidRDefault="003A1A8C">
            <w:pPr>
              <w:jc w:val="right"/>
            </w:pPr>
            <w:r>
              <w:rPr>
                <w:rFonts w:ascii="宋体" w:hAnsi="宋体" w:hint="eastAsia"/>
                <w:szCs w:val="24"/>
                <w:lang w:eastAsia="zh-Hans"/>
              </w:rPr>
              <w:t>147,953.06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A4D23B" w14:textId="77777777" w:rsidR="003A1A8C" w:rsidRDefault="003A1A8C">
            <w:pPr>
              <w:jc w:val="right"/>
            </w:pPr>
            <w:r>
              <w:rPr>
                <w:rFonts w:ascii="宋体" w:hAnsi="宋体" w:hint="eastAsia"/>
                <w:szCs w:val="24"/>
                <w:lang w:eastAsia="zh-Hans"/>
              </w:rPr>
              <w:t>67,452.00</w:t>
            </w:r>
          </w:p>
        </w:tc>
      </w:tr>
      <w:tr w:rsidR="003851FF" w14:paraId="6A221849" w14:textId="77777777">
        <w:trPr>
          <w:divId w:val="7047170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D173B3" w14:textId="77777777" w:rsidR="003A1A8C" w:rsidRDefault="003A1A8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507119" w14:textId="77777777" w:rsidR="003A1A8C" w:rsidRDefault="003A1A8C">
            <w:pPr>
              <w:jc w:val="right"/>
            </w:pPr>
            <w:r>
              <w:rPr>
                <w:rFonts w:ascii="宋体" w:hAnsi="宋体" w:hint="eastAsia"/>
                <w:szCs w:val="24"/>
                <w:lang w:eastAsia="zh-Hans"/>
              </w:rPr>
              <w:t>0.0192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0F821B" w14:textId="77777777" w:rsidR="003A1A8C" w:rsidRDefault="003A1A8C">
            <w:pPr>
              <w:jc w:val="right"/>
            </w:pPr>
            <w:r>
              <w:rPr>
                <w:rFonts w:ascii="宋体" w:hAnsi="宋体" w:hint="eastAsia"/>
                <w:szCs w:val="24"/>
                <w:lang w:eastAsia="zh-Hans"/>
              </w:rPr>
              <w:t>0.0010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FF1E3A" w14:textId="77777777" w:rsidR="003A1A8C" w:rsidRDefault="003A1A8C">
            <w:pPr>
              <w:jc w:val="right"/>
            </w:pPr>
            <w:r>
              <w:rPr>
                <w:rFonts w:ascii="宋体" w:hAnsi="宋体" w:hint="eastAsia"/>
                <w:szCs w:val="24"/>
                <w:lang w:eastAsia="zh-Hans"/>
              </w:rPr>
              <w:t>0.0244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37576F" w14:textId="77777777" w:rsidR="003A1A8C" w:rsidRDefault="003A1A8C">
            <w:pPr>
              <w:jc w:val="right"/>
            </w:pPr>
            <w:r>
              <w:rPr>
                <w:rFonts w:ascii="宋体" w:hAnsi="宋体" w:hint="eastAsia"/>
                <w:szCs w:val="24"/>
                <w:lang w:eastAsia="zh-Hans"/>
              </w:rPr>
              <w:t>0.0135</w:t>
            </w:r>
          </w:p>
        </w:tc>
      </w:tr>
      <w:tr w:rsidR="003851FF" w14:paraId="7302ADA9" w14:textId="77777777">
        <w:trPr>
          <w:divId w:val="7047170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0A95FE" w14:textId="77777777" w:rsidR="003A1A8C" w:rsidRDefault="003A1A8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28F335" w14:textId="77777777" w:rsidR="003A1A8C" w:rsidRDefault="003A1A8C">
            <w:pPr>
              <w:jc w:val="right"/>
            </w:pPr>
            <w:r>
              <w:rPr>
                <w:rFonts w:ascii="宋体" w:hAnsi="宋体" w:hint="eastAsia"/>
                <w:szCs w:val="24"/>
                <w:lang w:eastAsia="zh-Hans"/>
              </w:rPr>
              <w:t>666,526,479.07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073276" w14:textId="77777777" w:rsidR="003A1A8C" w:rsidRDefault="003A1A8C">
            <w:pPr>
              <w:jc w:val="right"/>
            </w:pPr>
            <w:r>
              <w:rPr>
                <w:rFonts w:ascii="宋体" w:hAnsi="宋体" w:hint="eastAsia"/>
                <w:szCs w:val="24"/>
                <w:lang w:eastAsia="zh-Hans"/>
              </w:rPr>
              <w:t>959,994,412.68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27BC85" w14:textId="77777777" w:rsidR="003A1A8C" w:rsidRDefault="003A1A8C">
            <w:pPr>
              <w:jc w:val="right"/>
            </w:pPr>
            <w:r>
              <w:rPr>
                <w:rFonts w:ascii="宋体" w:hAnsi="宋体" w:hint="eastAsia"/>
                <w:szCs w:val="24"/>
                <w:lang w:eastAsia="zh-Hans"/>
              </w:rPr>
              <w:t>9,027,997.73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782A7C" w14:textId="77777777" w:rsidR="003A1A8C" w:rsidRDefault="003A1A8C">
            <w:pPr>
              <w:jc w:val="right"/>
            </w:pPr>
            <w:r>
              <w:rPr>
                <w:rFonts w:ascii="宋体" w:hAnsi="宋体" w:hint="eastAsia"/>
                <w:szCs w:val="24"/>
                <w:lang w:eastAsia="zh-Hans"/>
              </w:rPr>
              <w:t>8,468,517.60</w:t>
            </w:r>
          </w:p>
        </w:tc>
      </w:tr>
      <w:tr w:rsidR="003851FF" w14:paraId="3E54C770" w14:textId="77777777">
        <w:trPr>
          <w:divId w:val="7047170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CD2BB3" w14:textId="77777777" w:rsidR="003A1A8C" w:rsidRDefault="003A1A8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123CE3" w14:textId="77777777" w:rsidR="003A1A8C" w:rsidRDefault="003A1A8C">
            <w:pPr>
              <w:jc w:val="right"/>
            </w:pPr>
            <w:r>
              <w:rPr>
                <w:rFonts w:ascii="宋体" w:hAnsi="宋体" w:hint="eastAsia"/>
                <w:szCs w:val="24"/>
                <w:lang w:eastAsia="zh-Hans"/>
              </w:rPr>
              <w:t>1.1660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B66F30" w14:textId="77777777" w:rsidR="003A1A8C" w:rsidRDefault="003A1A8C">
            <w:pPr>
              <w:jc w:val="right"/>
            </w:pPr>
            <w:r>
              <w:rPr>
                <w:rFonts w:ascii="宋体" w:hAnsi="宋体" w:hint="eastAsia"/>
                <w:szCs w:val="24"/>
                <w:lang w:eastAsia="zh-Hans"/>
              </w:rPr>
              <w:t>1.1633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D44A0C" w14:textId="77777777" w:rsidR="003A1A8C" w:rsidRDefault="003A1A8C">
            <w:pPr>
              <w:jc w:val="right"/>
            </w:pPr>
            <w:r>
              <w:rPr>
                <w:rFonts w:ascii="宋体" w:hAnsi="宋体" w:hint="eastAsia"/>
                <w:szCs w:val="24"/>
                <w:lang w:eastAsia="zh-Hans"/>
              </w:rPr>
              <w:t>1.1648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299564" w14:textId="77777777" w:rsidR="003A1A8C" w:rsidRDefault="003A1A8C">
            <w:pPr>
              <w:jc w:val="right"/>
            </w:pPr>
            <w:r>
              <w:rPr>
                <w:rFonts w:ascii="宋体" w:hAnsi="宋体" w:hint="eastAsia"/>
                <w:szCs w:val="24"/>
                <w:lang w:eastAsia="zh-Hans"/>
              </w:rPr>
              <w:t>1.1660</w:t>
            </w:r>
          </w:p>
        </w:tc>
      </w:tr>
    </w:tbl>
    <w:p w14:paraId="5573F0AC" w14:textId="77777777" w:rsidR="003A1A8C" w:rsidRDefault="003A1A8C">
      <w:pPr>
        <w:wordWrap w:val="0"/>
        <w:spacing w:line="360" w:lineRule="auto"/>
        <w:jc w:val="left"/>
        <w:divId w:val="171341385"/>
      </w:pPr>
      <w:r>
        <w:rPr>
          <w:rFonts w:ascii="宋体" w:hAnsi="宋体" w:hint="eastAsia"/>
          <w:szCs w:val="21"/>
        </w:rPr>
        <w:lastRenderedPageBreak/>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BE4E048" w14:textId="77777777" w:rsidR="003A1A8C" w:rsidRDefault="003A1A8C">
      <w:pPr>
        <w:pStyle w:val="XBRLTitle2"/>
        <w:spacing w:before="156"/>
        <w:ind w:left="454"/>
      </w:pPr>
      <w:bookmarkStart w:id="57" w:name="_Toc17881670"/>
      <w:bookmarkStart w:id="58" w:name="_Toc492299867"/>
      <w:bookmarkStart w:id="59" w:name="_Toc466644451"/>
      <w:bookmarkStart w:id="60" w:name="_Toc447872913"/>
      <w:bookmarkStart w:id="61" w:name="_Toc438646457"/>
      <w:bookmarkStart w:id="62" w:name="_Toc512627219"/>
      <w:bookmarkStart w:id="63" w:name="_Toc512694299"/>
      <w:proofErr w:type="spellStart"/>
      <w:r>
        <w:rPr>
          <w:rFonts w:hAnsi="宋体" w:hint="eastAsia"/>
        </w:rPr>
        <w:t>基金净值表现</w:t>
      </w:r>
      <w:bookmarkEnd w:id="57"/>
      <w:bookmarkEnd w:id="58"/>
      <w:bookmarkEnd w:id="59"/>
      <w:bookmarkEnd w:id="60"/>
      <w:bookmarkEnd w:id="61"/>
      <w:bookmarkEnd w:id="62"/>
      <w:bookmarkEnd w:id="63"/>
      <w:proofErr w:type="spellEnd"/>
      <w:r>
        <w:rPr>
          <w:rFonts w:hAnsi="宋体" w:hint="eastAsia"/>
        </w:rPr>
        <w:t xml:space="preserve"> </w:t>
      </w:r>
    </w:p>
    <w:p w14:paraId="767D1646" w14:textId="77777777" w:rsidR="003A1A8C" w:rsidRDefault="003A1A8C">
      <w:pPr>
        <w:pStyle w:val="XBRLTitle3"/>
        <w:numPr>
          <w:ilvl w:val="2"/>
          <w:numId w:val="2"/>
        </w:numPr>
        <w:spacing w:before="156"/>
        <w:ind w:left="0" w:firstLine="0"/>
      </w:pPr>
      <w:bookmarkStart w:id="64" w:name="_Toc17881671"/>
      <w:bookmarkStart w:id="65" w:name="_Toc492299868"/>
      <w:bookmarkStart w:id="66" w:name="_Toc466644452"/>
      <w:bookmarkStart w:id="67" w:name="_Toc447872914"/>
      <w:proofErr w:type="spellStart"/>
      <w:r>
        <w:rPr>
          <w:rFonts w:hAnsi="宋体" w:hint="eastAsia"/>
        </w:rPr>
        <w:t>基金份额净值增长率及其与同期业绩比较基准收益率的比较</w:t>
      </w:r>
      <w:bookmarkEnd w:id="64"/>
      <w:bookmarkEnd w:id="65"/>
      <w:bookmarkEnd w:id="66"/>
      <w:bookmarkEnd w:id="67"/>
      <w:proofErr w:type="spellEnd"/>
      <w:r>
        <w:rPr>
          <w:rFonts w:hint="eastAsia"/>
          <w:lang w:eastAsia="zh-CN"/>
        </w:rPr>
        <w:t xml:space="preserve"> </w:t>
      </w:r>
    </w:p>
    <w:p w14:paraId="37CC7FC1" w14:textId="77777777" w:rsidR="003A1A8C" w:rsidRDefault="003A1A8C">
      <w:pPr>
        <w:spacing w:line="360" w:lineRule="auto"/>
        <w:jc w:val="center"/>
        <w:divId w:val="435488570"/>
      </w:pPr>
      <w:r>
        <w:rPr>
          <w:rFonts w:ascii="宋体" w:hAnsi="宋体" w:hint="eastAsia"/>
        </w:rPr>
        <w:t>摩根中证A500ETF联接A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851FF" w14:paraId="7961ADC6" w14:textId="77777777">
        <w:trPr>
          <w:divId w:val="43548857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4DE090" w14:textId="77777777" w:rsidR="003A1A8C" w:rsidRDefault="003A1A8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ACB8CC" w14:textId="77777777" w:rsidR="003A1A8C" w:rsidRDefault="003A1A8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3A44B3" w14:textId="77777777" w:rsidR="003A1A8C" w:rsidRDefault="003A1A8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6A51A8" w14:textId="77777777" w:rsidR="003A1A8C" w:rsidRDefault="003A1A8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CB7092" w14:textId="77777777" w:rsidR="003A1A8C" w:rsidRDefault="003A1A8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A8960" w14:textId="77777777" w:rsidR="003A1A8C" w:rsidRDefault="003A1A8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64F6EC" w14:textId="77777777" w:rsidR="003A1A8C" w:rsidRDefault="003A1A8C">
            <w:pPr>
              <w:spacing w:line="360" w:lineRule="auto"/>
              <w:jc w:val="center"/>
            </w:pPr>
            <w:r>
              <w:rPr>
                <w:rFonts w:ascii="宋体" w:hAnsi="宋体" w:hint="eastAsia"/>
              </w:rPr>
              <w:t xml:space="preserve">②－④ </w:t>
            </w:r>
          </w:p>
        </w:tc>
      </w:tr>
      <w:tr w:rsidR="003851FF" w14:paraId="20038EBB" w14:textId="77777777">
        <w:trPr>
          <w:divId w:val="4354885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4704E" w14:textId="77777777" w:rsidR="003A1A8C" w:rsidRDefault="003A1A8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51F0D" w14:textId="77777777" w:rsidR="003A1A8C" w:rsidRDefault="003A1A8C">
            <w:pPr>
              <w:spacing w:line="360" w:lineRule="auto"/>
              <w:jc w:val="right"/>
            </w:pPr>
            <w:r>
              <w:rPr>
                <w:rFonts w:ascii="宋体" w:hAnsi="宋体" w:hint="eastAsia"/>
              </w:rPr>
              <w:t xml:space="preserve">0.42%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510D6"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3B6CA" w14:textId="77777777" w:rsidR="003A1A8C" w:rsidRDefault="003A1A8C">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81D14"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105CDB" w14:textId="77777777" w:rsidR="003A1A8C" w:rsidRDefault="003A1A8C">
            <w:pPr>
              <w:spacing w:line="360" w:lineRule="auto"/>
              <w:jc w:val="right"/>
            </w:pPr>
            <w:r>
              <w:rPr>
                <w:rFonts w:ascii="宋体" w:hAnsi="宋体" w:hint="eastAsia"/>
              </w:rPr>
              <w:t xml:space="preserve">0.01%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74089" w14:textId="77777777" w:rsidR="003A1A8C" w:rsidRDefault="003A1A8C">
            <w:pPr>
              <w:spacing w:line="360" w:lineRule="auto"/>
              <w:jc w:val="right"/>
            </w:pPr>
            <w:r>
              <w:rPr>
                <w:rFonts w:ascii="宋体" w:hAnsi="宋体" w:hint="eastAsia"/>
              </w:rPr>
              <w:t xml:space="preserve">0.00% </w:t>
            </w:r>
          </w:p>
        </w:tc>
      </w:tr>
      <w:tr w:rsidR="003851FF" w14:paraId="3878D27B" w14:textId="77777777">
        <w:trPr>
          <w:divId w:val="4354885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74FEF" w14:textId="77777777" w:rsidR="003A1A8C" w:rsidRDefault="003A1A8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25FE9" w14:textId="77777777" w:rsidR="003A1A8C" w:rsidRDefault="003A1A8C">
            <w:pPr>
              <w:spacing w:line="360" w:lineRule="auto"/>
              <w:jc w:val="right"/>
            </w:pPr>
            <w:r>
              <w:rPr>
                <w:rFonts w:ascii="宋体" w:hAnsi="宋体" w:hint="eastAsia"/>
              </w:rPr>
              <w:t xml:space="preserve">21.59%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6508E" w14:textId="77777777" w:rsidR="003A1A8C" w:rsidRDefault="003A1A8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D0212" w14:textId="77777777" w:rsidR="003A1A8C" w:rsidRDefault="003A1A8C">
            <w:pPr>
              <w:spacing w:line="360" w:lineRule="auto"/>
              <w:jc w:val="right"/>
            </w:pPr>
            <w:r>
              <w:rPr>
                <w:rFonts w:ascii="宋体" w:hAnsi="宋体" w:hint="eastAsia"/>
              </w:rPr>
              <w:t xml:space="preserve">20.78%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54601" w14:textId="77777777" w:rsidR="003A1A8C" w:rsidRDefault="003A1A8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1B698E" w14:textId="77777777" w:rsidR="003A1A8C" w:rsidRDefault="003A1A8C">
            <w:pPr>
              <w:spacing w:line="360" w:lineRule="auto"/>
              <w:jc w:val="right"/>
            </w:pPr>
            <w:r>
              <w:rPr>
                <w:rFonts w:ascii="宋体" w:hAnsi="宋体" w:hint="eastAsia"/>
              </w:rPr>
              <w:t xml:space="preserve">0.81%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D5A94" w14:textId="77777777" w:rsidR="003A1A8C" w:rsidRDefault="003A1A8C">
            <w:pPr>
              <w:spacing w:line="360" w:lineRule="auto"/>
              <w:jc w:val="right"/>
            </w:pPr>
            <w:r>
              <w:rPr>
                <w:rFonts w:ascii="宋体" w:hAnsi="宋体" w:hint="eastAsia"/>
              </w:rPr>
              <w:t xml:space="preserve">0.00% </w:t>
            </w:r>
          </w:p>
        </w:tc>
      </w:tr>
      <w:tr w:rsidR="003851FF" w14:paraId="6C456298" w14:textId="77777777">
        <w:trPr>
          <w:divId w:val="4354885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F961F" w14:textId="77777777" w:rsidR="003A1A8C" w:rsidRDefault="003A1A8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EEA25" w14:textId="77777777" w:rsidR="003A1A8C" w:rsidRDefault="003A1A8C">
            <w:pPr>
              <w:spacing w:line="360" w:lineRule="auto"/>
              <w:jc w:val="right"/>
            </w:pPr>
            <w:r>
              <w:rPr>
                <w:rFonts w:ascii="宋体" w:hAnsi="宋体" w:hint="eastAsia"/>
              </w:rPr>
              <w:t xml:space="preserve">23.45%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960D6"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4D1F3" w14:textId="77777777" w:rsidR="003A1A8C" w:rsidRDefault="003A1A8C">
            <w:pPr>
              <w:spacing w:line="360" w:lineRule="auto"/>
              <w:jc w:val="right"/>
            </w:pPr>
            <w:r>
              <w:rPr>
                <w:rFonts w:ascii="宋体" w:hAnsi="宋体" w:hint="eastAsia"/>
              </w:rPr>
              <w:t xml:space="preserve">21.33%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739CF"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418EA5" w14:textId="77777777" w:rsidR="003A1A8C" w:rsidRDefault="003A1A8C">
            <w:pPr>
              <w:spacing w:line="360" w:lineRule="auto"/>
              <w:jc w:val="right"/>
            </w:pPr>
            <w:r>
              <w:rPr>
                <w:rFonts w:ascii="宋体" w:hAnsi="宋体" w:hint="eastAsia"/>
              </w:rPr>
              <w:t xml:space="preserve">2.12%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A1E9E" w14:textId="77777777" w:rsidR="003A1A8C" w:rsidRDefault="003A1A8C">
            <w:pPr>
              <w:spacing w:line="360" w:lineRule="auto"/>
              <w:jc w:val="right"/>
            </w:pPr>
            <w:r>
              <w:rPr>
                <w:rFonts w:ascii="宋体" w:hAnsi="宋体" w:hint="eastAsia"/>
              </w:rPr>
              <w:t xml:space="preserve">0.00% </w:t>
            </w:r>
          </w:p>
        </w:tc>
      </w:tr>
      <w:tr w:rsidR="003851FF" w14:paraId="738D787E" w14:textId="77777777">
        <w:trPr>
          <w:divId w:val="4354885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46132" w14:textId="77777777" w:rsidR="003A1A8C" w:rsidRDefault="003A1A8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19E4C" w14:textId="77777777" w:rsidR="003A1A8C" w:rsidRDefault="003A1A8C">
            <w:pPr>
              <w:spacing w:line="360" w:lineRule="auto"/>
              <w:jc w:val="right"/>
            </w:pPr>
            <w:r>
              <w:rPr>
                <w:rFonts w:ascii="宋体" w:hAnsi="宋体" w:hint="eastAsia"/>
              </w:rPr>
              <w:t xml:space="preserve">17.37%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28900"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E921A" w14:textId="77777777" w:rsidR="003A1A8C" w:rsidRDefault="003A1A8C">
            <w:pPr>
              <w:spacing w:line="360" w:lineRule="auto"/>
              <w:jc w:val="right"/>
            </w:pPr>
            <w:r>
              <w:rPr>
                <w:rFonts w:ascii="宋体" w:hAnsi="宋体" w:hint="eastAsia"/>
              </w:rPr>
              <w:t xml:space="preserve">15.30%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7C5C4" w14:textId="77777777" w:rsidR="003A1A8C" w:rsidRDefault="003A1A8C">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8AAD45" w14:textId="77777777" w:rsidR="003A1A8C" w:rsidRDefault="003A1A8C">
            <w:pPr>
              <w:spacing w:line="360" w:lineRule="auto"/>
              <w:jc w:val="right"/>
            </w:pPr>
            <w:r>
              <w:rPr>
                <w:rFonts w:ascii="宋体" w:hAnsi="宋体" w:hint="eastAsia"/>
              </w:rPr>
              <w:t xml:space="preserve">2.07%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60B54" w14:textId="77777777" w:rsidR="003A1A8C" w:rsidRDefault="003A1A8C">
            <w:pPr>
              <w:spacing w:line="360" w:lineRule="auto"/>
              <w:jc w:val="right"/>
            </w:pPr>
            <w:r>
              <w:rPr>
                <w:rFonts w:ascii="宋体" w:hAnsi="宋体" w:hint="eastAsia"/>
              </w:rPr>
              <w:t xml:space="preserve">-0.01% </w:t>
            </w:r>
          </w:p>
        </w:tc>
      </w:tr>
    </w:tbl>
    <w:p w14:paraId="155477F5" w14:textId="77777777" w:rsidR="003A1A8C" w:rsidRDefault="003A1A8C">
      <w:pPr>
        <w:spacing w:line="360" w:lineRule="auto"/>
        <w:jc w:val="center"/>
        <w:divId w:val="1030766708"/>
      </w:pPr>
      <w:r>
        <w:rPr>
          <w:rFonts w:ascii="宋体" w:hAnsi="宋体" w:hint="eastAsia"/>
        </w:rPr>
        <w:t>摩根中证A500ETF联接C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851FF" w14:paraId="3CEBFA79" w14:textId="77777777">
        <w:trPr>
          <w:divId w:val="103076670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8AA0FB" w14:textId="77777777" w:rsidR="003A1A8C" w:rsidRDefault="003A1A8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4EB91E" w14:textId="77777777" w:rsidR="003A1A8C" w:rsidRDefault="003A1A8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207803" w14:textId="77777777" w:rsidR="003A1A8C" w:rsidRDefault="003A1A8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A8C2D7" w14:textId="77777777" w:rsidR="003A1A8C" w:rsidRDefault="003A1A8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476AF9" w14:textId="77777777" w:rsidR="003A1A8C" w:rsidRDefault="003A1A8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DFCD7D" w14:textId="77777777" w:rsidR="003A1A8C" w:rsidRDefault="003A1A8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DB2374" w14:textId="77777777" w:rsidR="003A1A8C" w:rsidRDefault="003A1A8C">
            <w:pPr>
              <w:spacing w:line="360" w:lineRule="auto"/>
              <w:jc w:val="center"/>
            </w:pPr>
            <w:r>
              <w:rPr>
                <w:rFonts w:ascii="宋体" w:hAnsi="宋体" w:hint="eastAsia"/>
              </w:rPr>
              <w:t xml:space="preserve">②－④ </w:t>
            </w:r>
          </w:p>
        </w:tc>
      </w:tr>
      <w:tr w:rsidR="003851FF" w14:paraId="35FF2010" w14:textId="77777777">
        <w:trPr>
          <w:divId w:val="10307667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4CBEC" w14:textId="77777777" w:rsidR="003A1A8C" w:rsidRDefault="003A1A8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00004" w14:textId="77777777" w:rsidR="003A1A8C" w:rsidRDefault="003A1A8C">
            <w:pPr>
              <w:spacing w:line="360" w:lineRule="auto"/>
              <w:jc w:val="right"/>
            </w:pPr>
            <w:r>
              <w:rPr>
                <w:rFonts w:ascii="宋体" w:hAnsi="宋体" w:hint="eastAsia"/>
              </w:rPr>
              <w:t xml:space="preserve">0.37%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D66C8"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CCB84" w14:textId="77777777" w:rsidR="003A1A8C" w:rsidRDefault="003A1A8C">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85E05"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CBC234" w14:textId="77777777" w:rsidR="003A1A8C" w:rsidRDefault="003A1A8C">
            <w:pPr>
              <w:spacing w:line="360" w:lineRule="auto"/>
              <w:jc w:val="right"/>
            </w:pPr>
            <w:r>
              <w:rPr>
                <w:rFonts w:ascii="宋体" w:hAnsi="宋体" w:hint="eastAsia"/>
              </w:rPr>
              <w:t xml:space="preserve">-0.04%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61D4F" w14:textId="77777777" w:rsidR="003A1A8C" w:rsidRDefault="003A1A8C">
            <w:pPr>
              <w:spacing w:line="360" w:lineRule="auto"/>
              <w:jc w:val="right"/>
            </w:pPr>
            <w:r>
              <w:rPr>
                <w:rFonts w:ascii="宋体" w:hAnsi="宋体" w:hint="eastAsia"/>
              </w:rPr>
              <w:t xml:space="preserve">0.00% </w:t>
            </w:r>
          </w:p>
        </w:tc>
      </w:tr>
      <w:tr w:rsidR="003851FF" w14:paraId="744004BB" w14:textId="77777777">
        <w:trPr>
          <w:divId w:val="10307667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DE0C7" w14:textId="77777777" w:rsidR="003A1A8C" w:rsidRDefault="003A1A8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4F966" w14:textId="77777777" w:rsidR="003A1A8C" w:rsidRDefault="003A1A8C">
            <w:pPr>
              <w:spacing w:line="360" w:lineRule="auto"/>
              <w:jc w:val="right"/>
            </w:pPr>
            <w:r>
              <w:rPr>
                <w:rFonts w:ascii="宋体" w:hAnsi="宋体" w:hint="eastAsia"/>
              </w:rPr>
              <w:t xml:space="preserve">21.47%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0A65B" w14:textId="77777777" w:rsidR="003A1A8C" w:rsidRDefault="003A1A8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AC4E6" w14:textId="77777777" w:rsidR="003A1A8C" w:rsidRDefault="003A1A8C">
            <w:pPr>
              <w:spacing w:line="360" w:lineRule="auto"/>
              <w:jc w:val="right"/>
            </w:pPr>
            <w:r>
              <w:rPr>
                <w:rFonts w:ascii="宋体" w:hAnsi="宋体" w:hint="eastAsia"/>
              </w:rPr>
              <w:t xml:space="preserve">20.78%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0B593" w14:textId="77777777" w:rsidR="003A1A8C" w:rsidRDefault="003A1A8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A2925C" w14:textId="77777777" w:rsidR="003A1A8C" w:rsidRDefault="003A1A8C">
            <w:pPr>
              <w:spacing w:line="360" w:lineRule="auto"/>
              <w:jc w:val="right"/>
            </w:pPr>
            <w:r>
              <w:rPr>
                <w:rFonts w:ascii="宋体" w:hAnsi="宋体" w:hint="eastAsia"/>
              </w:rPr>
              <w:t xml:space="preserve">0.69%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5919D" w14:textId="77777777" w:rsidR="003A1A8C" w:rsidRDefault="003A1A8C">
            <w:pPr>
              <w:spacing w:line="360" w:lineRule="auto"/>
              <w:jc w:val="right"/>
            </w:pPr>
            <w:r>
              <w:rPr>
                <w:rFonts w:ascii="宋体" w:hAnsi="宋体" w:hint="eastAsia"/>
              </w:rPr>
              <w:t xml:space="preserve">0.00% </w:t>
            </w:r>
          </w:p>
        </w:tc>
      </w:tr>
      <w:tr w:rsidR="003851FF" w14:paraId="6CA2FAF6" w14:textId="77777777">
        <w:trPr>
          <w:divId w:val="10307667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26BD3" w14:textId="77777777" w:rsidR="003A1A8C" w:rsidRDefault="003A1A8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F5B17" w14:textId="77777777" w:rsidR="003A1A8C" w:rsidRDefault="003A1A8C">
            <w:pPr>
              <w:spacing w:line="360" w:lineRule="auto"/>
              <w:jc w:val="right"/>
            </w:pPr>
            <w:r>
              <w:rPr>
                <w:rFonts w:ascii="宋体" w:hAnsi="宋体" w:hint="eastAsia"/>
              </w:rPr>
              <w:t xml:space="preserve">23.19%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6483E"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E1F8E" w14:textId="77777777" w:rsidR="003A1A8C" w:rsidRDefault="003A1A8C">
            <w:pPr>
              <w:spacing w:line="360" w:lineRule="auto"/>
              <w:jc w:val="right"/>
            </w:pPr>
            <w:r>
              <w:rPr>
                <w:rFonts w:ascii="宋体" w:hAnsi="宋体" w:hint="eastAsia"/>
              </w:rPr>
              <w:t xml:space="preserve">21.33%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D6ACB"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D6D047" w14:textId="77777777" w:rsidR="003A1A8C" w:rsidRDefault="003A1A8C">
            <w:pPr>
              <w:spacing w:line="360" w:lineRule="auto"/>
              <w:jc w:val="right"/>
            </w:pPr>
            <w:r>
              <w:rPr>
                <w:rFonts w:ascii="宋体" w:hAnsi="宋体" w:hint="eastAsia"/>
              </w:rPr>
              <w:t xml:space="preserve">1.86%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1082A" w14:textId="77777777" w:rsidR="003A1A8C" w:rsidRDefault="003A1A8C">
            <w:pPr>
              <w:spacing w:line="360" w:lineRule="auto"/>
              <w:jc w:val="right"/>
            </w:pPr>
            <w:r>
              <w:rPr>
                <w:rFonts w:ascii="宋体" w:hAnsi="宋体" w:hint="eastAsia"/>
              </w:rPr>
              <w:t xml:space="preserve">0.00% </w:t>
            </w:r>
          </w:p>
        </w:tc>
      </w:tr>
      <w:tr w:rsidR="003851FF" w14:paraId="6085BDF1" w14:textId="77777777">
        <w:trPr>
          <w:divId w:val="10307667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2A90D" w14:textId="77777777" w:rsidR="003A1A8C" w:rsidRDefault="003A1A8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C30F7" w14:textId="77777777" w:rsidR="003A1A8C" w:rsidRDefault="003A1A8C">
            <w:pPr>
              <w:spacing w:line="360" w:lineRule="auto"/>
              <w:jc w:val="right"/>
            </w:pPr>
            <w:r>
              <w:rPr>
                <w:rFonts w:ascii="宋体" w:hAnsi="宋体" w:hint="eastAsia"/>
              </w:rPr>
              <w:t xml:space="preserve">17.10%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F3405"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B77D0" w14:textId="77777777" w:rsidR="003A1A8C" w:rsidRDefault="003A1A8C">
            <w:pPr>
              <w:spacing w:line="360" w:lineRule="auto"/>
              <w:jc w:val="right"/>
            </w:pPr>
            <w:r>
              <w:rPr>
                <w:rFonts w:ascii="宋体" w:hAnsi="宋体" w:hint="eastAsia"/>
              </w:rPr>
              <w:t xml:space="preserve">15.30%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031C9" w14:textId="77777777" w:rsidR="003A1A8C" w:rsidRDefault="003A1A8C">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C2FA4F" w14:textId="77777777" w:rsidR="003A1A8C" w:rsidRDefault="003A1A8C">
            <w:pPr>
              <w:spacing w:line="360" w:lineRule="auto"/>
              <w:jc w:val="right"/>
            </w:pPr>
            <w:r>
              <w:rPr>
                <w:rFonts w:ascii="宋体" w:hAnsi="宋体" w:hint="eastAsia"/>
              </w:rPr>
              <w:t xml:space="preserve">1.80%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98024" w14:textId="77777777" w:rsidR="003A1A8C" w:rsidRDefault="003A1A8C">
            <w:pPr>
              <w:spacing w:line="360" w:lineRule="auto"/>
              <w:jc w:val="right"/>
            </w:pPr>
            <w:r>
              <w:rPr>
                <w:rFonts w:ascii="宋体" w:hAnsi="宋体" w:hint="eastAsia"/>
              </w:rPr>
              <w:t xml:space="preserve">-0.01% </w:t>
            </w:r>
          </w:p>
        </w:tc>
      </w:tr>
    </w:tbl>
    <w:p w14:paraId="05D4B0BA" w14:textId="77777777" w:rsidR="003A1A8C" w:rsidRDefault="003A1A8C">
      <w:pPr>
        <w:spacing w:line="360" w:lineRule="auto"/>
        <w:jc w:val="center"/>
        <w:divId w:val="1429737239"/>
      </w:pPr>
      <w:r>
        <w:rPr>
          <w:rFonts w:ascii="宋体" w:hAnsi="宋体" w:hint="eastAsia"/>
        </w:rPr>
        <w:t>摩根中证A500ETF联接I</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851FF" w14:paraId="1DFA931D" w14:textId="77777777">
        <w:trPr>
          <w:divId w:val="142973723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8C91CE" w14:textId="77777777" w:rsidR="003A1A8C" w:rsidRDefault="003A1A8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C27B8D" w14:textId="77777777" w:rsidR="003A1A8C" w:rsidRDefault="003A1A8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0AC9C2" w14:textId="77777777" w:rsidR="003A1A8C" w:rsidRDefault="003A1A8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EAE2C8" w14:textId="77777777" w:rsidR="003A1A8C" w:rsidRDefault="003A1A8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0ADB2F" w14:textId="77777777" w:rsidR="003A1A8C" w:rsidRDefault="003A1A8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793AF" w14:textId="77777777" w:rsidR="003A1A8C" w:rsidRDefault="003A1A8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3972EC" w14:textId="77777777" w:rsidR="003A1A8C" w:rsidRDefault="003A1A8C">
            <w:pPr>
              <w:spacing w:line="360" w:lineRule="auto"/>
              <w:jc w:val="center"/>
            </w:pPr>
            <w:r>
              <w:rPr>
                <w:rFonts w:ascii="宋体" w:hAnsi="宋体" w:hint="eastAsia"/>
              </w:rPr>
              <w:t xml:space="preserve">②－④ </w:t>
            </w:r>
          </w:p>
        </w:tc>
      </w:tr>
      <w:tr w:rsidR="003851FF" w14:paraId="5C102AE4" w14:textId="77777777">
        <w:trPr>
          <w:divId w:val="142973723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A8F09" w14:textId="77777777" w:rsidR="003A1A8C" w:rsidRDefault="003A1A8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E1B65" w14:textId="77777777" w:rsidR="003A1A8C" w:rsidRDefault="003A1A8C">
            <w:pPr>
              <w:spacing w:line="360" w:lineRule="auto"/>
              <w:jc w:val="right"/>
            </w:pPr>
            <w:r>
              <w:rPr>
                <w:rFonts w:ascii="宋体" w:hAnsi="宋体" w:hint="eastAsia"/>
              </w:rPr>
              <w:t xml:space="preserve">0.40%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DC456"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1FE7F" w14:textId="77777777" w:rsidR="003A1A8C" w:rsidRDefault="003A1A8C">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D0D27"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4E61CB" w14:textId="77777777" w:rsidR="003A1A8C" w:rsidRDefault="003A1A8C">
            <w:pPr>
              <w:spacing w:line="360" w:lineRule="auto"/>
              <w:jc w:val="right"/>
            </w:pPr>
            <w:r>
              <w:rPr>
                <w:rFonts w:ascii="宋体" w:hAnsi="宋体" w:hint="eastAsia"/>
              </w:rPr>
              <w:t xml:space="preserve">-0.01%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A6D4E" w14:textId="77777777" w:rsidR="003A1A8C" w:rsidRDefault="003A1A8C">
            <w:pPr>
              <w:spacing w:line="360" w:lineRule="auto"/>
              <w:jc w:val="right"/>
            </w:pPr>
            <w:r>
              <w:rPr>
                <w:rFonts w:ascii="宋体" w:hAnsi="宋体" w:hint="eastAsia"/>
              </w:rPr>
              <w:t xml:space="preserve">0.00% </w:t>
            </w:r>
          </w:p>
        </w:tc>
      </w:tr>
      <w:tr w:rsidR="003851FF" w14:paraId="6CE450F9" w14:textId="77777777">
        <w:trPr>
          <w:divId w:val="142973723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A59B2" w14:textId="77777777" w:rsidR="003A1A8C" w:rsidRDefault="003A1A8C">
            <w:pPr>
              <w:spacing w:line="360" w:lineRule="auto"/>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FFEF3" w14:textId="77777777" w:rsidR="003A1A8C" w:rsidRDefault="003A1A8C">
            <w:pPr>
              <w:spacing w:line="360" w:lineRule="auto"/>
              <w:jc w:val="right"/>
            </w:pPr>
            <w:r>
              <w:rPr>
                <w:rFonts w:ascii="宋体" w:hAnsi="宋体" w:hint="eastAsia"/>
              </w:rPr>
              <w:t xml:space="preserve">21.53%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4585E" w14:textId="77777777" w:rsidR="003A1A8C" w:rsidRDefault="003A1A8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EC872" w14:textId="77777777" w:rsidR="003A1A8C" w:rsidRDefault="003A1A8C">
            <w:pPr>
              <w:spacing w:line="360" w:lineRule="auto"/>
              <w:jc w:val="right"/>
            </w:pPr>
            <w:r>
              <w:rPr>
                <w:rFonts w:ascii="宋体" w:hAnsi="宋体" w:hint="eastAsia"/>
              </w:rPr>
              <w:t xml:space="preserve">20.78%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C7D07" w14:textId="77777777" w:rsidR="003A1A8C" w:rsidRDefault="003A1A8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B5578C" w14:textId="77777777" w:rsidR="003A1A8C" w:rsidRDefault="003A1A8C">
            <w:pPr>
              <w:spacing w:line="360" w:lineRule="auto"/>
              <w:jc w:val="right"/>
            </w:pPr>
            <w:r>
              <w:rPr>
                <w:rFonts w:ascii="宋体" w:hAnsi="宋体" w:hint="eastAsia"/>
              </w:rPr>
              <w:t xml:space="preserve">0.75%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C862D" w14:textId="77777777" w:rsidR="003A1A8C" w:rsidRDefault="003A1A8C">
            <w:pPr>
              <w:spacing w:line="360" w:lineRule="auto"/>
              <w:jc w:val="right"/>
            </w:pPr>
            <w:r>
              <w:rPr>
                <w:rFonts w:ascii="宋体" w:hAnsi="宋体" w:hint="eastAsia"/>
              </w:rPr>
              <w:t xml:space="preserve">0.00% </w:t>
            </w:r>
          </w:p>
        </w:tc>
      </w:tr>
      <w:tr w:rsidR="003851FF" w14:paraId="65F10BAD" w14:textId="77777777">
        <w:trPr>
          <w:divId w:val="142973723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35E7D" w14:textId="77777777" w:rsidR="003A1A8C" w:rsidRDefault="003A1A8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CA8F8" w14:textId="77777777" w:rsidR="003A1A8C" w:rsidRDefault="003A1A8C">
            <w:pPr>
              <w:spacing w:line="360" w:lineRule="auto"/>
              <w:jc w:val="right"/>
            </w:pPr>
            <w:r>
              <w:rPr>
                <w:rFonts w:ascii="宋体" w:hAnsi="宋体" w:hint="eastAsia"/>
              </w:rPr>
              <w:t xml:space="preserve">23.32%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AF77A"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4E4CD" w14:textId="77777777" w:rsidR="003A1A8C" w:rsidRDefault="003A1A8C">
            <w:pPr>
              <w:spacing w:line="360" w:lineRule="auto"/>
              <w:jc w:val="right"/>
            </w:pPr>
            <w:r>
              <w:rPr>
                <w:rFonts w:ascii="宋体" w:hAnsi="宋体" w:hint="eastAsia"/>
              </w:rPr>
              <w:t xml:space="preserve">21.33%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A725F"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02A7EA" w14:textId="77777777" w:rsidR="003A1A8C" w:rsidRDefault="003A1A8C">
            <w:pPr>
              <w:spacing w:line="360" w:lineRule="auto"/>
              <w:jc w:val="right"/>
            </w:pPr>
            <w:r>
              <w:rPr>
                <w:rFonts w:ascii="宋体" w:hAnsi="宋体" w:hint="eastAsia"/>
              </w:rPr>
              <w:t xml:space="preserve">1.99%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08A28" w14:textId="77777777" w:rsidR="003A1A8C" w:rsidRDefault="003A1A8C">
            <w:pPr>
              <w:spacing w:line="360" w:lineRule="auto"/>
              <w:jc w:val="right"/>
            </w:pPr>
            <w:r>
              <w:rPr>
                <w:rFonts w:ascii="宋体" w:hAnsi="宋体" w:hint="eastAsia"/>
              </w:rPr>
              <w:t xml:space="preserve">0.00% </w:t>
            </w:r>
          </w:p>
        </w:tc>
      </w:tr>
      <w:tr w:rsidR="003851FF" w14:paraId="6C5394D6" w14:textId="77777777">
        <w:trPr>
          <w:divId w:val="142973723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9E24F" w14:textId="77777777" w:rsidR="003A1A8C" w:rsidRDefault="003A1A8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BD134" w14:textId="77777777" w:rsidR="003A1A8C" w:rsidRDefault="003A1A8C">
            <w:pPr>
              <w:spacing w:line="360" w:lineRule="auto"/>
              <w:jc w:val="right"/>
            </w:pPr>
            <w:r>
              <w:rPr>
                <w:rFonts w:ascii="宋体" w:hAnsi="宋体" w:hint="eastAsia"/>
              </w:rPr>
              <w:t xml:space="preserve">21.57%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5B64B" w14:textId="77777777" w:rsidR="003A1A8C" w:rsidRDefault="003A1A8C">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F4592" w14:textId="77777777" w:rsidR="003A1A8C" w:rsidRDefault="003A1A8C">
            <w:pPr>
              <w:spacing w:line="360" w:lineRule="auto"/>
              <w:jc w:val="right"/>
            </w:pPr>
            <w:r>
              <w:rPr>
                <w:rFonts w:ascii="宋体" w:hAnsi="宋体" w:hint="eastAsia"/>
              </w:rPr>
              <w:t xml:space="preserve">19.50%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CC236" w14:textId="77777777" w:rsidR="003A1A8C" w:rsidRDefault="003A1A8C">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237918" w14:textId="77777777" w:rsidR="003A1A8C" w:rsidRDefault="003A1A8C">
            <w:pPr>
              <w:spacing w:line="360" w:lineRule="auto"/>
              <w:jc w:val="right"/>
            </w:pPr>
            <w:r>
              <w:rPr>
                <w:rFonts w:ascii="宋体" w:hAnsi="宋体" w:hint="eastAsia"/>
              </w:rPr>
              <w:t xml:space="preserve">2.07%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961A4" w14:textId="77777777" w:rsidR="003A1A8C" w:rsidRDefault="003A1A8C">
            <w:pPr>
              <w:spacing w:line="360" w:lineRule="auto"/>
              <w:jc w:val="right"/>
            </w:pPr>
            <w:r>
              <w:rPr>
                <w:rFonts w:ascii="宋体" w:hAnsi="宋体" w:hint="eastAsia"/>
              </w:rPr>
              <w:t xml:space="preserve">0.00% </w:t>
            </w:r>
          </w:p>
        </w:tc>
      </w:tr>
    </w:tbl>
    <w:p w14:paraId="5D81C1CA" w14:textId="77777777" w:rsidR="003A1A8C" w:rsidRDefault="003A1A8C">
      <w:pPr>
        <w:spacing w:line="360" w:lineRule="auto"/>
        <w:jc w:val="center"/>
        <w:divId w:val="418646855"/>
      </w:pPr>
      <w:r>
        <w:rPr>
          <w:rFonts w:ascii="宋体" w:hAnsi="宋体" w:hint="eastAsia"/>
        </w:rPr>
        <w:t>摩根中证A500ETF联接Y</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851FF" w14:paraId="74DA63D9" w14:textId="77777777">
        <w:trPr>
          <w:divId w:val="41864685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F43986" w14:textId="77777777" w:rsidR="003A1A8C" w:rsidRDefault="003A1A8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4FAD0A" w14:textId="77777777" w:rsidR="003A1A8C" w:rsidRDefault="003A1A8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AE0691" w14:textId="77777777" w:rsidR="003A1A8C" w:rsidRDefault="003A1A8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3EA96A" w14:textId="77777777" w:rsidR="003A1A8C" w:rsidRDefault="003A1A8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F61EF4" w14:textId="77777777" w:rsidR="003A1A8C" w:rsidRDefault="003A1A8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0E2925" w14:textId="77777777" w:rsidR="003A1A8C" w:rsidRDefault="003A1A8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4D3440" w14:textId="77777777" w:rsidR="003A1A8C" w:rsidRDefault="003A1A8C">
            <w:pPr>
              <w:spacing w:line="360" w:lineRule="auto"/>
              <w:jc w:val="center"/>
            </w:pPr>
            <w:r>
              <w:rPr>
                <w:rFonts w:ascii="宋体" w:hAnsi="宋体" w:hint="eastAsia"/>
              </w:rPr>
              <w:t xml:space="preserve">②－④ </w:t>
            </w:r>
          </w:p>
        </w:tc>
      </w:tr>
      <w:tr w:rsidR="003851FF" w14:paraId="0AB52988" w14:textId="77777777">
        <w:trPr>
          <w:divId w:val="418646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56B8C" w14:textId="77777777" w:rsidR="003A1A8C" w:rsidRDefault="003A1A8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BD379" w14:textId="77777777" w:rsidR="003A1A8C" w:rsidRDefault="003A1A8C">
            <w:pPr>
              <w:spacing w:line="360" w:lineRule="auto"/>
              <w:jc w:val="right"/>
            </w:pPr>
            <w:r>
              <w:rPr>
                <w:rFonts w:ascii="宋体" w:hAnsi="宋体" w:hint="eastAsia"/>
              </w:rPr>
              <w:t xml:space="preserve">0.42%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C74F0"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F0CEE" w14:textId="77777777" w:rsidR="003A1A8C" w:rsidRDefault="003A1A8C">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FD61C"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425CD3C" w14:textId="77777777" w:rsidR="003A1A8C" w:rsidRDefault="003A1A8C">
            <w:pPr>
              <w:spacing w:line="360" w:lineRule="auto"/>
              <w:jc w:val="right"/>
            </w:pPr>
            <w:r>
              <w:rPr>
                <w:rFonts w:ascii="宋体" w:hAnsi="宋体" w:hint="eastAsia"/>
              </w:rPr>
              <w:t xml:space="preserve">0.01%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F4133" w14:textId="77777777" w:rsidR="003A1A8C" w:rsidRDefault="003A1A8C">
            <w:pPr>
              <w:spacing w:line="360" w:lineRule="auto"/>
              <w:jc w:val="right"/>
            </w:pPr>
            <w:r>
              <w:rPr>
                <w:rFonts w:ascii="宋体" w:hAnsi="宋体" w:hint="eastAsia"/>
              </w:rPr>
              <w:t xml:space="preserve">0.00% </w:t>
            </w:r>
          </w:p>
        </w:tc>
      </w:tr>
      <w:tr w:rsidR="003851FF" w14:paraId="5B4BF254" w14:textId="77777777">
        <w:trPr>
          <w:divId w:val="418646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6FE60" w14:textId="77777777" w:rsidR="003A1A8C" w:rsidRDefault="003A1A8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99D04" w14:textId="77777777" w:rsidR="003A1A8C" w:rsidRDefault="003A1A8C">
            <w:pPr>
              <w:spacing w:line="360" w:lineRule="auto"/>
              <w:jc w:val="right"/>
            </w:pPr>
            <w:r>
              <w:rPr>
                <w:rFonts w:ascii="宋体" w:hAnsi="宋体" w:hint="eastAsia"/>
              </w:rPr>
              <w:t xml:space="preserve">21.59%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96AC2" w14:textId="77777777" w:rsidR="003A1A8C" w:rsidRDefault="003A1A8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1792F" w14:textId="77777777" w:rsidR="003A1A8C" w:rsidRDefault="003A1A8C">
            <w:pPr>
              <w:spacing w:line="360" w:lineRule="auto"/>
              <w:jc w:val="right"/>
            </w:pPr>
            <w:r>
              <w:rPr>
                <w:rFonts w:ascii="宋体" w:hAnsi="宋体" w:hint="eastAsia"/>
              </w:rPr>
              <w:t xml:space="preserve">20.78%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2B859" w14:textId="77777777" w:rsidR="003A1A8C" w:rsidRDefault="003A1A8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E6F19E" w14:textId="77777777" w:rsidR="003A1A8C" w:rsidRDefault="003A1A8C">
            <w:pPr>
              <w:spacing w:line="360" w:lineRule="auto"/>
              <w:jc w:val="right"/>
            </w:pPr>
            <w:r>
              <w:rPr>
                <w:rFonts w:ascii="宋体" w:hAnsi="宋体" w:hint="eastAsia"/>
              </w:rPr>
              <w:t xml:space="preserve">0.81%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01895" w14:textId="77777777" w:rsidR="003A1A8C" w:rsidRDefault="003A1A8C">
            <w:pPr>
              <w:spacing w:line="360" w:lineRule="auto"/>
              <w:jc w:val="right"/>
            </w:pPr>
            <w:r>
              <w:rPr>
                <w:rFonts w:ascii="宋体" w:hAnsi="宋体" w:hint="eastAsia"/>
              </w:rPr>
              <w:t xml:space="preserve">0.00% </w:t>
            </w:r>
          </w:p>
        </w:tc>
      </w:tr>
      <w:tr w:rsidR="003851FF" w14:paraId="002E2BEE" w14:textId="77777777">
        <w:trPr>
          <w:divId w:val="418646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C776E" w14:textId="77777777" w:rsidR="003A1A8C" w:rsidRDefault="003A1A8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E748E" w14:textId="77777777" w:rsidR="003A1A8C" w:rsidRDefault="003A1A8C">
            <w:pPr>
              <w:spacing w:line="360" w:lineRule="auto"/>
              <w:jc w:val="right"/>
            </w:pPr>
            <w:r>
              <w:rPr>
                <w:rFonts w:ascii="宋体" w:hAnsi="宋体" w:hint="eastAsia"/>
              </w:rPr>
              <w:t xml:space="preserve">23.43%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A2AE7"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CA60C" w14:textId="77777777" w:rsidR="003A1A8C" w:rsidRDefault="003A1A8C">
            <w:pPr>
              <w:spacing w:line="360" w:lineRule="auto"/>
              <w:jc w:val="right"/>
            </w:pPr>
            <w:r>
              <w:rPr>
                <w:rFonts w:ascii="宋体" w:hAnsi="宋体" w:hint="eastAsia"/>
              </w:rPr>
              <w:t xml:space="preserve">21.33%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B1B2A" w14:textId="77777777" w:rsidR="003A1A8C" w:rsidRDefault="003A1A8C">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4DD707" w14:textId="77777777" w:rsidR="003A1A8C" w:rsidRDefault="003A1A8C">
            <w:pPr>
              <w:spacing w:line="360" w:lineRule="auto"/>
              <w:jc w:val="right"/>
            </w:pPr>
            <w:r>
              <w:rPr>
                <w:rFonts w:ascii="宋体" w:hAnsi="宋体" w:hint="eastAsia"/>
              </w:rPr>
              <w:t xml:space="preserve">2.10%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EE6EE" w14:textId="77777777" w:rsidR="003A1A8C" w:rsidRDefault="003A1A8C">
            <w:pPr>
              <w:spacing w:line="360" w:lineRule="auto"/>
              <w:jc w:val="right"/>
            </w:pPr>
            <w:r>
              <w:rPr>
                <w:rFonts w:ascii="宋体" w:hAnsi="宋体" w:hint="eastAsia"/>
              </w:rPr>
              <w:t xml:space="preserve">0.00% </w:t>
            </w:r>
          </w:p>
        </w:tc>
      </w:tr>
      <w:tr w:rsidR="003851FF" w14:paraId="5247C4FE" w14:textId="77777777">
        <w:trPr>
          <w:divId w:val="4186468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7F96B" w14:textId="77777777" w:rsidR="003A1A8C" w:rsidRDefault="003A1A8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83AF0" w14:textId="77777777" w:rsidR="003A1A8C" w:rsidRDefault="003A1A8C">
            <w:pPr>
              <w:spacing w:line="360" w:lineRule="auto"/>
              <w:jc w:val="right"/>
            </w:pPr>
            <w:r>
              <w:rPr>
                <w:rFonts w:ascii="宋体" w:hAnsi="宋体" w:hint="eastAsia"/>
              </w:rPr>
              <w:t xml:space="preserve">22.48%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9F2D2" w14:textId="77777777" w:rsidR="003A1A8C" w:rsidRDefault="003A1A8C">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5500F" w14:textId="77777777" w:rsidR="003A1A8C" w:rsidRDefault="003A1A8C">
            <w:pPr>
              <w:spacing w:line="360" w:lineRule="auto"/>
              <w:jc w:val="right"/>
            </w:pPr>
            <w:r>
              <w:rPr>
                <w:rFonts w:ascii="宋体" w:hAnsi="宋体" w:hint="eastAsia"/>
              </w:rPr>
              <w:t xml:space="preserve">20.30%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D2D56" w14:textId="77777777" w:rsidR="003A1A8C" w:rsidRDefault="003A1A8C">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110692" w14:textId="77777777" w:rsidR="003A1A8C" w:rsidRDefault="003A1A8C">
            <w:pPr>
              <w:spacing w:line="360" w:lineRule="auto"/>
              <w:jc w:val="right"/>
            </w:pPr>
            <w:r>
              <w:rPr>
                <w:rFonts w:ascii="宋体" w:hAnsi="宋体" w:hint="eastAsia"/>
              </w:rPr>
              <w:t xml:space="preserve">2.18%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5F013" w14:textId="77777777" w:rsidR="003A1A8C" w:rsidRDefault="003A1A8C">
            <w:pPr>
              <w:spacing w:line="360" w:lineRule="auto"/>
              <w:jc w:val="right"/>
            </w:pPr>
            <w:r>
              <w:rPr>
                <w:rFonts w:ascii="宋体" w:hAnsi="宋体" w:hint="eastAsia"/>
              </w:rPr>
              <w:t xml:space="preserve">0.00% </w:t>
            </w:r>
          </w:p>
        </w:tc>
      </w:tr>
    </w:tbl>
    <w:p w14:paraId="265D380A" w14:textId="77777777" w:rsidR="003A1A8C" w:rsidRDefault="003A1A8C">
      <w:pPr>
        <w:pStyle w:val="XBRLTitle3"/>
        <w:numPr>
          <w:ilvl w:val="2"/>
          <w:numId w:val="2"/>
        </w:numPr>
        <w:spacing w:before="156"/>
        <w:ind w:left="0" w:firstLine="0"/>
      </w:pPr>
      <w:bookmarkStart w:id="68" w:name="_Toc17881672"/>
      <w:bookmarkStart w:id="69" w:name="_Toc492299869"/>
      <w:bookmarkStart w:id="70" w:name="_Toc466644453"/>
      <w:bookmarkStart w:id="71" w:name="_Toc447872915"/>
      <w:proofErr w:type="spellStart"/>
      <w:r>
        <w:rPr>
          <w:rFonts w:hAnsi="宋体" w:hint="eastAsia"/>
        </w:rPr>
        <w:t>自基金合同生效以来基金累计净值增长率变动及其与同期业绩比较基准收益率变动的比较</w:t>
      </w:r>
      <w:bookmarkEnd w:id="68"/>
      <w:bookmarkEnd w:id="69"/>
      <w:bookmarkEnd w:id="70"/>
      <w:bookmarkEnd w:id="71"/>
      <w:proofErr w:type="spellEnd"/>
      <w:r>
        <w:rPr>
          <w:rStyle w:val="spelle"/>
          <w:rFonts w:hAnsi="宋体" w:hint="eastAsia"/>
        </w:rPr>
        <w:t xml:space="preserve"> </w:t>
      </w:r>
    </w:p>
    <w:p w14:paraId="613BA375" w14:textId="77777777" w:rsidR="003A1A8C" w:rsidRDefault="003A1A8C">
      <w:pPr>
        <w:spacing w:line="360" w:lineRule="auto"/>
        <w:jc w:val="left"/>
        <w:divId w:val="1651901151"/>
      </w:pPr>
      <w:bookmarkStart w:id="72" w:name="m07_04_07_09_tab"/>
      <w:bookmarkStart w:id="73" w:name="m07_04_07_09"/>
      <w:r>
        <w:rPr>
          <w:rFonts w:ascii="宋体" w:hAnsi="宋体" w:hint="eastAsia"/>
          <w:noProof/>
        </w:rPr>
        <w:drawing>
          <wp:inline distT="0" distB="0" distL="0" distR="0" wp14:anchorId="60852409" wp14:editId="6EC455B8">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7FAB8D0" w14:textId="77777777" w:rsidR="003A1A8C" w:rsidRDefault="003A1A8C">
      <w:pPr>
        <w:spacing w:line="360" w:lineRule="auto"/>
        <w:jc w:val="left"/>
        <w:divId w:val="764351292"/>
      </w:pPr>
      <w:r>
        <w:rPr>
          <w:rFonts w:ascii="宋体" w:hAnsi="宋体" w:hint="eastAsia"/>
          <w:noProof/>
        </w:rPr>
        <w:lastRenderedPageBreak/>
        <w:drawing>
          <wp:inline distT="0" distB="0" distL="0" distR="0" wp14:anchorId="7D196CA0" wp14:editId="53692ED5">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890E052" w14:textId="77777777" w:rsidR="003A1A8C" w:rsidRDefault="003A1A8C">
      <w:pPr>
        <w:spacing w:line="360" w:lineRule="auto"/>
        <w:jc w:val="left"/>
        <w:divId w:val="1622105170"/>
      </w:pPr>
      <w:r>
        <w:rPr>
          <w:rFonts w:ascii="宋体" w:hAnsi="宋体" w:hint="eastAsia"/>
          <w:noProof/>
        </w:rPr>
        <w:drawing>
          <wp:inline distT="0" distB="0" distL="0" distR="0" wp14:anchorId="05369333" wp14:editId="19B9BBA2">
            <wp:extent cx="5229860" cy="3006725"/>
            <wp:effectExtent l="0" t="0" r="889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8FAA50B" w14:textId="77777777" w:rsidR="003A1A8C" w:rsidRDefault="003A1A8C">
      <w:pPr>
        <w:spacing w:line="360" w:lineRule="auto"/>
        <w:jc w:val="left"/>
        <w:divId w:val="1319267716"/>
      </w:pPr>
      <w:r>
        <w:rPr>
          <w:rFonts w:ascii="宋体" w:hAnsi="宋体" w:hint="eastAsia"/>
          <w:noProof/>
        </w:rPr>
        <w:lastRenderedPageBreak/>
        <w:drawing>
          <wp:inline distT="0" distB="0" distL="0" distR="0" wp14:anchorId="056000DC" wp14:editId="4F0DA494">
            <wp:extent cx="5229860" cy="3006725"/>
            <wp:effectExtent l="0" t="0" r="889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29A8F8E" w14:textId="77777777" w:rsidR="003A1A8C" w:rsidRDefault="003A1A8C">
      <w:pPr>
        <w:spacing w:line="360" w:lineRule="auto"/>
      </w:pPr>
      <w:r>
        <w:rPr>
          <w:rFonts w:ascii="宋体" w:hAnsi="宋体" w:hint="eastAsia"/>
        </w:rPr>
        <w:t>注：</w:t>
      </w:r>
      <w:r>
        <w:rPr>
          <w:rFonts w:ascii="宋体" w:hAnsi="宋体" w:hint="eastAsia"/>
          <w:lang w:eastAsia="zh-Hans"/>
        </w:rPr>
        <w:t>本基金合同生效日为2024年11月11日，图示的时间段为合同生效日至本报告期末。</w:t>
      </w:r>
      <w:r>
        <w:rPr>
          <w:rFonts w:ascii="宋体" w:hAnsi="宋体" w:hint="eastAsia"/>
          <w:lang w:eastAsia="zh-Hans"/>
        </w:rPr>
        <w:br/>
        <w:t xml:space="preserve">　　本基金自 2024年12月9日起增加I类份额，相关数据按实际存续期计算。</w:t>
      </w:r>
      <w:r>
        <w:rPr>
          <w:rFonts w:ascii="宋体" w:hAnsi="宋体" w:hint="eastAsia"/>
          <w:lang w:eastAsia="zh-Hans"/>
        </w:rPr>
        <w:br/>
        <w:t xml:space="preserve">　　本基金自 2024年12月13日起增加Y类份额，相关数据按实际存续期计算。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 </w:t>
      </w:r>
      <w:bookmarkEnd w:id="72"/>
      <w:bookmarkEnd w:id="73"/>
      <w:bookmarkEnd w:id="15"/>
    </w:p>
    <w:p w14:paraId="2E821E64" w14:textId="77777777" w:rsidR="003A1A8C" w:rsidRDefault="003A1A8C">
      <w:pPr>
        <w:pStyle w:val="XBRLTitle1"/>
        <w:spacing w:before="156"/>
        <w:ind w:left="425"/>
      </w:pPr>
      <w:bookmarkStart w:id="74" w:name="_Toc17881674"/>
      <w:bookmarkStart w:id="75" w:name="_Toc492299870"/>
      <w:bookmarkStart w:id="76" w:name="_Toc466644454"/>
      <w:bookmarkStart w:id="77" w:name="_Toc447872916"/>
      <w:bookmarkStart w:id="78" w:name="_Toc438646458"/>
      <w:bookmarkStart w:id="79" w:name="_Toc512627220"/>
      <w:bookmarkStart w:id="80" w:name="_Toc512694300"/>
      <w:proofErr w:type="spellStart"/>
      <w:r>
        <w:rPr>
          <w:rFonts w:hAnsi="宋体" w:hint="eastAsia"/>
        </w:rPr>
        <w:t>管理人报告</w:t>
      </w:r>
      <w:bookmarkEnd w:id="74"/>
      <w:bookmarkEnd w:id="75"/>
      <w:bookmarkEnd w:id="76"/>
      <w:bookmarkEnd w:id="77"/>
      <w:bookmarkEnd w:id="78"/>
      <w:bookmarkEnd w:id="79"/>
      <w:bookmarkEnd w:id="80"/>
      <w:proofErr w:type="spellEnd"/>
      <w:r>
        <w:rPr>
          <w:rFonts w:hAnsi="宋体" w:hint="eastAsia"/>
        </w:rPr>
        <w:t xml:space="preserve"> </w:t>
      </w:r>
    </w:p>
    <w:p w14:paraId="50D4BA12" w14:textId="77777777" w:rsidR="003A1A8C" w:rsidRDefault="003A1A8C">
      <w:pPr>
        <w:pStyle w:val="XBRLTitle2"/>
        <w:spacing w:before="156"/>
        <w:ind w:left="454"/>
      </w:pPr>
      <w:bookmarkStart w:id="81" w:name="_Toc17881675"/>
      <w:bookmarkStart w:id="82" w:name="_Toc492299871"/>
      <w:bookmarkStart w:id="83" w:name="_Toc466644455"/>
      <w:bookmarkStart w:id="84" w:name="_Toc447872917"/>
      <w:bookmarkStart w:id="85" w:name="_Toc438646459"/>
      <w:bookmarkStart w:id="86" w:name="_Toc512627221"/>
      <w:bookmarkStart w:id="87" w:name="_Toc512694301"/>
      <w:proofErr w:type="spellStart"/>
      <w:r>
        <w:rPr>
          <w:rFonts w:hAnsi="宋体" w:hint="eastAsia"/>
        </w:rPr>
        <w:t>基金经理（或基金经理小组）简介</w:t>
      </w:r>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851FF" w14:paraId="798E541E" w14:textId="77777777">
        <w:trPr>
          <w:divId w:val="56341732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312EB" w14:textId="77777777" w:rsidR="003A1A8C" w:rsidRDefault="003A1A8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74B3" w14:textId="77777777" w:rsidR="003A1A8C" w:rsidRDefault="003A1A8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6EBAC3" w14:textId="77777777" w:rsidR="003A1A8C" w:rsidRDefault="003A1A8C">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FFAC79" w14:textId="77777777" w:rsidR="003A1A8C" w:rsidRDefault="003A1A8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886B6F" w14:textId="77777777" w:rsidR="003A1A8C" w:rsidRDefault="003A1A8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851FF" w14:paraId="7FFE1F27" w14:textId="77777777">
        <w:trPr>
          <w:divId w:val="56341732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DF816" w14:textId="77777777" w:rsidR="003A1A8C" w:rsidRDefault="003A1A8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34121" w14:textId="77777777" w:rsidR="003A1A8C" w:rsidRDefault="003A1A8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C6605C" w14:textId="77777777" w:rsidR="003A1A8C" w:rsidRDefault="003A1A8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6B8D4E" w14:textId="77777777" w:rsidR="003A1A8C" w:rsidRDefault="003A1A8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8A1AE" w14:textId="77777777" w:rsidR="003A1A8C" w:rsidRDefault="003A1A8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F80D4" w14:textId="77777777" w:rsidR="003A1A8C" w:rsidRDefault="003A1A8C">
            <w:pPr>
              <w:widowControl/>
              <w:jc w:val="left"/>
            </w:pPr>
          </w:p>
        </w:tc>
      </w:tr>
      <w:tr w:rsidR="003851FF" w14:paraId="09722449" w14:textId="77777777">
        <w:trPr>
          <w:divId w:val="56341732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E08B6" w14:textId="77777777" w:rsidR="003A1A8C" w:rsidRDefault="003A1A8C">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11D88" w14:textId="77777777" w:rsidR="003A1A8C" w:rsidRDefault="003A1A8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6EE6F" w14:textId="77777777" w:rsidR="003A1A8C" w:rsidRDefault="003A1A8C">
            <w:pPr>
              <w:jc w:val="center"/>
            </w:pPr>
            <w:r>
              <w:rPr>
                <w:rFonts w:ascii="宋体" w:hAnsi="宋体" w:hint="eastAsia"/>
                <w:szCs w:val="24"/>
                <w:lang w:eastAsia="zh-Hans"/>
              </w:rPr>
              <w:t>2024年11月11日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5CDE6" w14:textId="77777777" w:rsidR="003A1A8C" w:rsidRDefault="003A1A8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8C586" w14:textId="77777777" w:rsidR="003A1A8C" w:rsidRDefault="003A1A8C">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E7EC6" w14:textId="77777777" w:rsidR="003A1A8C" w:rsidRDefault="003A1A8C">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bl>
    <w:p w14:paraId="7AE6BA64" w14:textId="77777777" w:rsidR="003A1A8C" w:rsidRDefault="003A1A8C">
      <w:pPr>
        <w:wordWrap w:val="0"/>
        <w:spacing w:line="360" w:lineRule="auto"/>
        <w:jc w:val="left"/>
        <w:divId w:val="599140745"/>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0897F2D" w14:textId="77777777" w:rsidR="003A1A8C" w:rsidRDefault="003A1A8C">
      <w:pPr>
        <w:pStyle w:val="XBRLTitle2"/>
        <w:spacing w:before="156"/>
        <w:ind w:left="454"/>
      </w:pPr>
      <w:bookmarkStart w:id="89" w:name="_Toc17881676"/>
      <w:bookmarkStart w:id="90" w:name="_Toc492299872"/>
      <w:bookmarkStart w:id="91" w:name="_Toc466644456"/>
      <w:bookmarkStart w:id="92" w:name="_Toc447872918"/>
      <w:bookmarkStart w:id="93" w:name="_Toc438646460"/>
      <w:bookmarkStart w:id="94" w:name="_Toc512627222"/>
      <w:bookmarkStart w:id="95" w:name="_Toc512694302"/>
      <w:bookmarkStart w:id="96" w:name="m402"/>
      <w:r>
        <w:rPr>
          <w:rFonts w:hAnsi="宋体" w:hint="eastAsia"/>
          <w:lang w:eastAsia="zh-CN"/>
        </w:rPr>
        <w:t>管理人对报告期内本基金运作遵规守信情况的说明</w:t>
      </w:r>
      <w:bookmarkEnd w:id="89"/>
      <w:bookmarkEnd w:id="90"/>
      <w:bookmarkEnd w:id="91"/>
      <w:bookmarkEnd w:id="92"/>
      <w:bookmarkEnd w:id="93"/>
      <w:bookmarkEnd w:id="94"/>
      <w:bookmarkEnd w:id="95"/>
      <w:r>
        <w:rPr>
          <w:rFonts w:hAnsi="宋体" w:hint="eastAsia"/>
        </w:rPr>
        <w:t xml:space="preserve"> </w:t>
      </w:r>
      <w:bookmarkEnd w:id="96"/>
    </w:p>
    <w:p w14:paraId="35E083BE" w14:textId="77777777" w:rsidR="003A1A8C" w:rsidRDefault="003A1A8C">
      <w:pPr>
        <w:spacing w:line="360" w:lineRule="auto"/>
        <w:ind w:firstLineChars="200" w:firstLine="420"/>
        <w:jc w:val="left"/>
      </w:pPr>
      <w:bookmarkStart w:id="97" w:name="m404_01_0570"/>
      <w:r>
        <w:rPr>
          <w:rFonts w:ascii="宋体" w:hAnsi="宋体" w:cs="宋体" w:hint="eastAsia"/>
          <w:color w:val="000000"/>
          <w:kern w:val="0"/>
        </w:rPr>
        <w:t>在本报告期内，基金管理人不存在损害基金份额持有人利益的行为，在控制风险的前提下，</w:t>
      </w:r>
      <w:r>
        <w:rPr>
          <w:rFonts w:ascii="宋体" w:hAnsi="宋体" w:cs="宋体" w:hint="eastAsia"/>
          <w:color w:val="000000"/>
          <w:kern w:val="0"/>
        </w:rPr>
        <w:lastRenderedPageBreak/>
        <w:t>勤勉尽责地为基金份额持有人谋求利益。基金管理人遵守了《证券投资基金法》及其他有关法律法规、本基金基金合同的规定。</w:t>
      </w:r>
    </w:p>
    <w:p w14:paraId="012AD1D1" w14:textId="77777777" w:rsidR="003A1A8C" w:rsidRDefault="003A1A8C">
      <w:pPr>
        <w:pStyle w:val="XBRLTitle2"/>
        <w:spacing w:before="156"/>
        <w:ind w:left="454"/>
      </w:pPr>
      <w:bookmarkStart w:id="98" w:name="m403"/>
      <w:bookmarkStart w:id="99" w:name="_Toc492299873"/>
      <w:bookmarkStart w:id="100" w:name="_Toc466644457"/>
      <w:bookmarkStart w:id="101" w:name="_Toc447872919"/>
      <w:bookmarkStart w:id="102" w:name="_Toc438646462"/>
      <w:bookmarkStart w:id="103" w:name="_Toc512627223"/>
      <w:bookmarkStart w:id="104" w:name="_Toc512694303"/>
      <w:bookmarkStart w:id="105" w:name="_Toc17881677"/>
      <w:bookmarkEnd w:id="98"/>
      <w:proofErr w:type="spellStart"/>
      <w:r>
        <w:rPr>
          <w:rFonts w:hAnsi="宋体" w:hint="eastAsia"/>
        </w:rPr>
        <w:t>公平交易专项说明</w:t>
      </w:r>
      <w:bookmarkEnd w:id="99"/>
      <w:bookmarkEnd w:id="100"/>
      <w:bookmarkEnd w:id="101"/>
      <w:bookmarkEnd w:id="102"/>
      <w:bookmarkEnd w:id="103"/>
      <w:bookmarkEnd w:id="104"/>
      <w:bookmarkEnd w:id="105"/>
      <w:proofErr w:type="spellEnd"/>
      <w:r>
        <w:rPr>
          <w:rFonts w:hAnsi="宋体" w:hint="eastAsia"/>
        </w:rPr>
        <w:t xml:space="preserve"> </w:t>
      </w:r>
    </w:p>
    <w:p w14:paraId="62BFE9EF" w14:textId="77777777" w:rsidR="003A1A8C" w:rsidRDefault="003A1A8C">
      <w:pPr>
        <w:pStyle w:val="XBRLTitle3"/>
        <w:numPr>
          <w:ilvl w:val="2"/>
          <w:numId w:val="2"/>
        </w:numPr>
        <w:spacing w:before="156"/>
        <w:ind w:left="0" w:firstLine="0"/>
      </w:pPr>
      <w:bookmarkStart w:id="106" w:name="_Toc17881678"/>
      <w:bookmarkStart w:id="107" w:name="_Toc492299874"/>
      <w:bookmarkStart w:id="108" w:name="_Toc466644458"/>
      <w:bookmarkStart w:id="109" w:name="_Toc447872920"/>
      <w:proofErr w:type="spellStart"/>
      <w:r>
        <w:rPr>
          <w:rFonts w:hAnsi="宋体" w:hint="eastAsia"/>
        </w:rPr>
        <w:t>公平交易制度的执行情况</w:t>
      </w:r>
      <w:bookmarkEnd w:id="106"/>
      <w:bookmarkEnd w:id="107"/>
      <w:bookmarkEnd w:id="108"/>
      <w:bookmarkEnd w:id="109"/>
      <w:proofErr w:type="spellEnd"/>
    </w:p>
    <w:p w14:paraId="777E59B4" w14:textId="77777777" w:rsidR="003A1A8C" w:rsidRDefault="003A1A8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5443890" w14:textId="77777777" w:rsidR="003A1A8C" w:rsidRDefault="003A1A8C">
      <w:pPr>
        <w:pStyle w:val="XBRLTitle3"/>
        <w:numPr>
          <w:ilvl w:val="2"/>
          <w:numId w:val="2"/>
        </w:numPr>
        <w:spacing w:before="156"/>
        <w:ind w:left="0" w:firstLine="0"/>
      </w:pPr>
      <w:bookmarkStart w:id="110" w:name="_Toc17881679"/>
      <w:bookmarkStart w:id="111" w:name="_Toc492299875"/>
      <w:bookmarkStart w:id="112" w:name="_Toc466644459"/>
      <w:bookmarkStart w:id="113" w:name="_Toc447872921"/>
      <w:bookmarkStart w:id="114" w:name="m404_01_0578"/>
      <w:bookmarkEnd w:id="97"/>
      <w:proofErr w:type="spellStart"/>
      <w:r>
        <w:rPr>
          <w:rFonts w:hAnsi="宋体" w:hint="eastAsia"/>
        </w:rPr>
        <w:t>异常交易行为的专项说明</w:t>
      </w:r>
      <w:bookmarkEnd w:id="110"/>
      <w:bookmarkEnd w:id="111"/>
      <w:bookmarkEnd w:id="112"/>
      <w:bookmarkEnd w:id="113"/>
      <w:proofErr w:type="spellEnd"/>
    </w:p>
    <w:p w14:paraId="653AD4FC" w14:textId="77777777" w:rsidR="003A1A8C" w:rsidRDefault="003A1A8C">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D09BE3C" w14:textId="77777777" w:rsidR="003A1A8C" w:rsidRDefault="003A1A8C">
      <w:pPr>
        <w:pStyle w:val="XBRLTitle2"/>
        <w:spacing w:before="156"/>
        <w:ind w:left="454"/>
      </w:pPr>
      <w:bookmarkStart w:id="115" w:name="_Toc17881680"/>
      <w:bookmarkStart w:id="116" w:name="_Toc492299876"/>
      <w:bookmarkStart w:id="117" w:name="_Toc466644460"/>
      <w:bookmarkStart w:id="118" w:name="_Toc447872922"/>
      <w:bookmarkStart w:id="119" w:name="_Toc438646463"/>
      <w:bookmarkStart w:id="120" w:name="_Toc512627224"/>
      <w:bookmarkStart w:id="121" w:name="_Toc512694304"/>
      <w:bookmarkEnd w:id="114"/>
      <w:proofErr w:type="spellStart"/>
      <w:r>
        <w:rPr>
          <w:rFonts w:hAnsi="宋体" w:hint="eastAsia"/>
        </w:rPr>
        <w:t>报告期内基金的投资策略和运作分析</w:t>
      </w:r>
      <w:bookmarkEnd w:id="115"/>
      <w:bookmarkEnd w:id="116"/>
      <w:bookmarkEnd w:id="117"/>
      <w:bookmarkEnd w:id="118"/>
      <w:bookmarkEnd w:id="119"/>
      <w:bookmarkEnd w:id="120"/>
      <w:bookmarkEnd w:id="121"/>
      <w:proofErr w:type="spellEnd"/>
      <w:r>
        <w:rPr>
          <w:rFonts w:hAnsi="宋体" w:hint="eastAsia"/>
        </w:rPr>
        <w:t xml:space="preserve"> </w:t>
      </w:r>
    </w:p>
    <w:p w14:paraId="19D3D2D9" w14:textId="77777777" w:rsidR="003A1A8C" w:rsidRDefault="003A1A8C">
      <w:pPr>
        <w:spacing w:line="360" w:lineRule="auto"/>
        <w:ind w:firstLineChars="200" w:firstLine="420"/>
        <w:jc w:val="left"/>
      </w:pPr>
      <w:bookmarkStart w:id="122" w:name="m405_01_2550"/>
      <w:r>
        <w:rPr>
          <w:rFonts w:ascii="宋体" w:hAnsi="宋体" w:cs="宋体" w:hint="eastAsia"/>
          <w:color w:val="000000"/>
          <w:kern w:val="0"/>
        </w:rPr>
        <w:t>三季度随着反内卷政策的出台以及雅鲁藏布江水电站的计划，以及科技行业的推动，市场从流动性推升的角度，回归大盘成长风格。而四季度市场有所降温，市场整体震荡。中证A50指数下跌1.55%，创业板指小幅下跌1.08%，科创50指数大幅下跌10.10%，中证A500指数上涨0.43%，中证500指数涨幅0.72%，中证红利指数涨幅上涨0.79%，中证红利低波指数领涨2.49%。</w:t>
      </w:r>
      <w:r>
        <w:rPr>
          <w:rFonts w:ascii="宋体" w:hAnsi="宋体" w:cs="宋体" w:hint="eastAsia"/>
          <w:color w:val="000000"/>
          <w:kern w:val="0"/>
        </w:rPr>
        <w:br/>
        <w:t xml:space="preserve">　　中证A500指数优选细分行业龙头，在这轮科技行情中，较沪深300指数显著受益于科技行业龙头的涨幅。2025年整年，中证A500指数上涨22.43%，显著高于沪深300指数同期的17.66%。主要原因就A500指数新质生产力含量更高，新质生产力行业在过去四年年均增速&gt;9%，</w:t>
      </w:r>
      <w:r>
        <w:rPr>
          <w:rFonts w:ascii="宋体" w:hAnsi="宋体" w:cs="宋体" w:hint="eastAsia"/>
          <w:color w:val="000000"/>
          <w:kern w:val="0"/>
        </w:rPr>
        <w:lastRenderedPageBreak/>
        <w:t>尽管对总产出的拉动尚不及地产建筑链条，但因其高增速，已经明显部分对冲了地产建筑链条的下滑。而与全球算力需求挂钩、或海外渗透率提升的行业，今年相对领涨。而A500指数在这些成分股的配置比例大于沪深300，从长久看有望在AI渗透率提升的浪潮中受益。</w:t>
      </w:r>
      <w:r>
        <w:rPr>
          <w:rFonts w:ascii="宋体" w:hAnsi="宋体" w:cs="宋体" w:hint="eastAsia"/>
          <w:color w:val="000000"/>
          <w:kern w:val="0"/>
        </w:rPr>
        <w:br/>
        <w:t xml:space="preserve">　　截止到2025年四季度末，中证A500指数最新估值PE为16.97，股息率维持在2.5%附近，仍处于有性价比的配置区间。今年港股整体跑赢A股，AH溢价已经回落到122左右，处于10年来的低点。考虑到两地市场的分红税率的差异，A股红利指数配置价值凸显。伴随着成本改善、股东回报力度和稳定度增强，行业龙头的ROE已领先全 A非金融开始回升，市场的重估逻辑有望从流动性驱动到增长潜力驱动。</w:t>
      </w:r>
      <w:r>
        <w:rPr>
          <w:rFonts w:ascii="宋体" w:hAnsi="宋体" w:cs="宋体" w:hint="eastAsia"/>
          <w:color w:val="000000"/>
          <w:kern w:val="0"/>
        </w:rPr>
        <w:br/>
        <w:t xml:space="preserve">　　公募基金改革背景下政策强调公募产品相对基准的超额收益，并设立奖惩制度，未来基准指数的重要性有望进一步提升，中证A500作为兼具均衡和代表性的宽基指数，有望看到主动权益基金基准向中证A500指数转移。</w:t>
      </w:r>
    </w:p>
    <w:p w14:paraId="6E4C9A82" w14:textId="77777777" w:rsidR="003A1A8C" w:rsidRDefault="003A1A8C">
      <w:pPr>
        <w:pStyle w:val="XBRLTitle2"/>
        <w:spacing w:before="156"/>
        <w:ind w:left="454"/>
      </w:pPr>
      <w:bookmarkStart w:id="123" w:name="_Toc17881681"/>
      <w:bookmarkStart w:id="124" w:name="_Toc466644462"/>
      <w:bookmarkStart w:id="125" w:name="_Toc447872924"/>
      <w:bookmarkStart w:id="126" w:name="_Toc492299877"/>
      <w:bookmarkStart w:id="127" w:name="_Toc512627225"/>
      <w:bookmarkStart w:id="128" w:name="_Toc512694305"/>
      <w:bookmarkStart w:id="129" w:name="m405_01_2549"/>
      <w:bookmarkEnd w:id="122"/>
      <w:proofErr w:type="spellStart"/>
      <w:r>
        <w:rPr>
          <w:rFonts w:hint="eastAsia"/>
        </w:rPr>
        <w:t>报告期内基金的业绩表现</w:t>
      </w:r>
      <w:bookmarkEnd w:id="123"/>
      <w:bookmarkEnd w:id="124"/>
      <w:bookmarkEnd w:id="125"/>
      <w:bookmarkEnd w:id="126"/>
      <w:bookmarkEnd w:id="127"/>
      <w:bookmarkEnd w:id="128"/>
      <w:bookmarkEnd w:id="129"/>
      <w:proofErr w:type="spellEnd"/>
    </w:p>
    <w:p w14:paraId="0BD0589A" w14:textId="77777777" w:rsidR="003A1A8C" w:rsidRDefault="003A1A8C">
      <w:pPr>
        <w:spacing w:line="360" w:lineRule="auto"/>
        <w:ind w:firstLineChars="200" w:firstLine="420"/>
      </w:pPr>
      <w:r>
        <w:rPr>
          <w:rFonts w:ascii="宋体" w:hAnsi="宋体" w:hint="eastAsia"/>
        </w:rPr>
        <w:t>本报告期摩根中证A500ETF联接A份额净值增长率为：0.42%，同期业绩比较基准收益率为：0.41%；</w:t>
      </w:r>
      <w:r>
        <w:rPr>
          <w:rFonts w:ascii="宋体" w:hAnsi="宋体" w:hint="eastAsia"/>
        </w:rPr>
        <w:br/>
        <w:t xml:space="preserve">　　摩根中证A500ETF联接C份额净值增长率为：0.37%，同期业绩比较基准收益率为：0.41%；</w:t>
      </w:r>
      <w:r>
        <w:rPr>
          <w:rFonts w:ascii="宋体" w:hAnsi="宋体" w:hint="eastAsia"/>
        </w:rPr>
        <w:br/>
        <w:t xml:space="preserve">　　摩根中证A500ETF联接I份额净值增长率为：0.40%，同期业绩比较基准收益率为：0.41%；</w:t>
      </w:r>
      <w:r>
        <w:rPr>
          <w:rFonts w:ascii="宋体" w:hAnsi="宋体" w:hint="eastAsia"/>
        </w:rPr>
        <w:br/>
        <w:t xml:space="preserve">　　摩根中证A500ETF联接Y份额净值增长率为：0.42%，同期业绩比较基准收益率为：0.41%。</w:t>
      </w:r>
    </w:p>
    <w:p w14:paraId="52E3CAA9" w14:textId="77777777" w:rsidR="003A1A8C" w:rsidRDefault="003A1A8C">
      <w:pPr>
        <w:pStyle w:val="XBRLTitle2"/>
        <w:spacing w:before="156"/>
        <w:ind w:left="454"/>
      </w:pPr>
      <w:bookmarkStart w:id="130" w:name="m406"/>
      <w:bookmarkStart w:id="131" w:name="_Toc17881682"/>
      <w:bookmarkStart w:id="132" w:name="_Toc466644464"/>
      <w:bookmarkStart w:id="133" w:name="_Toc447872926"/>
      <w:bookmarkStart w:id="134" w:name="_Toc438646465"/>
      <w:bookmarkStart w:id="135" w:name="_Toc492299878"/>
      <w:bookmarkStart w:id="136" w:name="_Toc512627226"/>
      <w:bookmarkStart w:id="137" w:name="_Toc512694306"/>
      <w:bookmarkStart w:id="138" w:name="m407"/>
      <w:bookmarkEnd w:id="130"/>
      <w:proofErr w:type="spellStart"/>
      <w:r>
        <w:rPr>
          <w:rFonts w:hAnsi="宋体" w:hint="eastAsia"/>
        </w:rPr>
        <w:t>报告期内基金持有人数或基金资产净值预警说明</w:t>
      </w:r>
      <w:bookmarkEnd w:id="131"/>
      <w:bookmarkEnd w:id="132"/>
      <w:bookmarkEnd w:id="133"/>
      <w:bookmarkEnd w:id="134"/>
      <w:bookmarkEnd w:id="135"/>
      <w:bookmarkEnd w:id="136"/>
      <w:bookmarkEnd w:id="137"/>
      <w:proofErr w:type="spellEnd"/>
      <w:r>
        <w:rPr>
          <w:rFonts w:hAnsi="宋体" w:hint="eastAsia"/>
        </w:rPr>
        <w:t xml:space="preserve"> </w:t>
      </w:r>
    </w:p>
    <w:p w14:paraId="07E29083" w14:textId="77777777" w:rsidR="003A1A8C" w:rsidRDefault="003A1A8C">
      <w:pPr>
        <w:spacing w:line="360" w:lineRule="auto"/>
        <w:ind w:firstLineChars="200" w:firstLine="420"/>
        <w:jc w:val="left"/>
      </w:pPr>
      <w:r>
        <w:rPr>
          <w:rFonts w:ascii="宋体" w:hAnsi="宋体" w:hint="eastAsia"/>
        </w:rPr>
        <w:t>无。</w:t>
      </w:r>
    </w:p>
    <w:p w14:paraId="19CEA046" w14:textId="77777777" w:rsidR="003A1A8C" w:rsidRDefault="003A1A8C">
      <w:pPr>
        <w:pStyle w:val="XBRLTitle1"/>
        <w:spacing w:before="156"/>
        <w:ind w:left="425"/>
      </w:pPr>
      <w:bookmarkStart w:id="139" w:name="_Toc17881683"/>
      <w:bookmarkStart w:id="140" w:name="_Toc492299879"/>
      <w:bookmarkStart w:id="141" w:name="_Toc466644465"/>
      <w:bookmarkStart w:id="142" w:name="_Toc447872927"/>
      <w:bookmarkStart w:id="143" w:name="_Toc438646466"/>
      <w:bookmarkStart w:id="144" w:name="_Toc512627227"/>
      <w:bookmarkStart w:id="145" w:name="_Toc512694307"/>
      <w:bookmarkEnd w:id="138"/>
      <w:proofErr w:type="spellStart"/>
      <w:r>
        <w:rPr>
          <w:rFonts w:hAnsi="宋体" w:hint="eastAsia"/>
        </w:rPr>
        <w:t>投资组合报告</w:t>
      </w:r>
      <w:bookmarkEnd w:id="139"/>
      <w:bookmarkEnd w:id="140"/>
      <w:bookmarkEnd w:id="141"/>
      <w:bookmarkEnd w:id="142"/>
      <w:bookmarkEnd w:id="143"/>
      <w:bookmarkEnd w:id="144"/>
      <w:bookmarkEnd w:id="145"/>
      <w:proofErr w:type="spellEnd"/>
      <w:r>
        <w:rPr>
          <w:rFonts w:hAnsi="宋体" w:hint="eastAsia"/>
        </w:rPr>
        <w:t xml:space="preserve"> </w:t>
      </w:r>
    </w:p>
    <w:p w14:paraId="26E75720" w14:textId="77777777" w:rsidR="003A1A8C" w:rsidRDefault="003A1A8C">
      <w:pPr>
        <w:pStyle w:val="XBRLTitle2"/>
        <w:spacing w:before="156"/>
        <w:ind w:left="454"/>
      </w:pPr>
      <w:bookmarkStart w:id="146" w:name="_Toc17881684"/>
      <w:bookmarkStart w:id="147" w:name="_Toc512627228"/>
      <w:bookmarkStart w:id="148" w:name="_Toc492299880"/>
      <w:bookmarkStart w:id="149" w:name="_Toc466644466"/>
      <w:bookmarkStart w:id="150" w:name="_Toc447872928"/>
      <w:bookmarkStart w:id="151" w:name="_Toc438646467"/>
      <w:bookmarkStart w:id="152" w:name="_Toc512694308"/>
      <w:bookmarkStart w:id="153" w:name="m501"/>
      <w:proofErr w:type="spellStart"/>
      <w:r>
        <w:rPr>
          <w:rFonts w:hAnsi="宋体" w:hint="eastAsia"/>
        </w:rPr>
        <w:t>报告期末基金资产组合情况</w:t>
      </w:r>
      <w:bookmarkEnd w:id="146"/>
      <w:bookmarkEnd w:id="147"/>
      <w:bookmarkEnd w:id="148"/>
      <w:bookmarkEnd w:id="149"/>
      <w:bookmarkEnd w:id="150"/>
      <w:bookmarkEnd w:id="151"/>
      <w:bookmarkEnd w:id="15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851FF" w14:paraId="1FC3ED2C" w14:textId="77777777">
        <w:trPr>
          <w:divId w:val="134882880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063B39" w14:textId="77777777" w:rsidR="003A1A8C" w:rsidRDefault="003A1A8C">
            <w:pPr>
              <w:jc w:val="center"/>
            </w:pPr>
            <w:bookmarkStart w:id="154" w:name="m08QD_01_tab"/>
            <w:bookmarkEnd w:id="15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E1AAFF4" w14:textId="77777777" w:rsidR="003A1A8C" w:rsidRDefault="003A1A8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0DD10F5" w14:textId="77777777" w:rsidR="003A1A8C" w:rsidRDefault="003A1A8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BE087BA" w14:textId="77777777" w:rsidR="003A1A8C" w:rsidRDefault="003A1A8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851FF" w14:paraId="1222EAB0" w14:textId="77777777">
        <w:trPr>
          <w:divId w:val="13488288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6E7B8A" w14:textId="77777777" w:rsidR="003A1A8C" w:rsidRDefault="003A1A8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B862CB5" w14:textId="77777777" w:rsidR="003A1A8C" w:rsidRDefault="003A1A8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6DF1D9" w14:textId="77777777" w:rsidR="003A1A8C" w:rsidRDefault="003A1A8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E3E05C" w14:textId="77777777" w:rsidR="003A1A8C" w:rsidRDefault="003A1A8C">
            <w:pPr>
              <w:jc w:val="right"/>
            </w:pPr>
            <w:r>
              <w:rPr>
                <w:rFonts w:ascii="宋体" w:hAnsi="宋体" w:hint="eastAsia"/>
                <w:szCs w:val="24"/>
                <w:lang w:eastAsia="zh-Hans"/>
              </w:rPr>
              <w:t>-</w:t>
            </w:r>
          </w:p>
        </w:tc>
      </w:tr>
      <w:tr w:rsidR="003851FF" w14:paraId="55AF74B8" w14:textId="77777777">
        <w:trPr>
          <w:divId w:val="13488288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921D6E" w14:textId="77777777" w:rsidR="003A1A8C" w:rsidRDefault="003A1A8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07FE757" w14:textId="77777777" w:rsidR="003A1A8C" w:rsidRDefault="003A1A8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DAE167" w14:textId="77777777" w:rsidR="003A1A8C" w:rsidRDefault="003A1A8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05FC5E" w14:textId="77777777" w:rsidR="003A1A8C" w:rsidRDefault="003A1A8C">
            <w:pPr>
              <w:jc w:val="right"/>
            </w:pPr>
            <w:r>
              <w:rPr>
                <w:rFonts w:ascii="宋体" w:hAnsi="宋体" w:hint="eastAsia"/>
                <w:szCs w:val="24"/>
                <w:lang w:eastAsia="zh-Hans"/>
              </w:rPr>
              <w:t>-</w:t>
            </w:r>
          </w:p>
        </w:tc>
      </w:tr>
      <w:tr w:rsidR="003851FF" w14:paraId="2416304E" w14:textId="77777777">
        <w:trPr>
          <w:divId w:val="13488288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1D9720" w14:textId="77777777" w:rsidR="003A1A8C" w:rsidRDefault="003A1A8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53B9020" w14:textId="77777777" w:rsidR="003A1A8C" w:rsidRDefault="003A1A8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14EBDF" w14:textId="77777777" w:rsidR="003A1A8C" w:rsidRDefault="003A1A8C">
            <w:pPr>
              <w:jc w:val="right"/>
            </w:pPr>
            <w:r>
              <w:rPr>
                <w:rFonts w:ascii="宋体" w:hAnsi="宋体" w:hint="eastAsia"/>
                <w:szCs w:val="24"/>
                <w:lang w:eastAsia="zh-Hans"/>
              </w:rPr>
              <w:t>1,555,772,147.68</w:t>
            </w:r>
          </w:p>
        </w:tc>
        <w:tc>
          <w:tcPr>
            <w:tcW w:w="1333" w:type="pct"/>
            <w:tcBorders>
              <w:top w:val="single" w:sz="4" w:space="0" w:color="auto"/>
              <w:left w:val="nil"/>
              <w:bottom w:val="single" w:sz="4" w:space="0" w:color="auto"/>
              <w:right w:val="single" w:sz="4" w:space="0" w:color="auto"/>
            </w:tcBorders>
            <w:vAlign w:val="center"/>
            <w:hideMark/>
          </w:tcPr>
          <w:p w14:paraId="62A9B874" w14:textId="77777777" w:rsidR="003A1A8C" w:rsidRDefault="003A1A8C">
            <w:pPr>
              <w:jc w:val="right"/>
            </w:pPr>
            <w:r>
              <w:rPr>
                <w:rFonts w:ascii="宋体" w:hAnsi="宋体" w:hint="eastAsia"/>
                <w:szCs w:val="24"/>
                <w:lang w:eastAsia="zh-Hans"/>
              </w:rPr>
              <w:t>94.12</w:t>
            </w:r>
          </w:p>
        </w:tc>
      </w:tr>
      <w:tr w:rsidR="003851FF" w14:paraId="36840B4F" w14:textId="77777777">
        <w:trPr>
          <w:divId w:val="13488288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47E4F9" w14:textId="77777777" w:rsidR="003A1A8C" w:rsidRDefault="003A1A8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B27E69F" w14:textId="77777777" w:rsidR="003A1A8C" w:rsidRDefault="003A1A8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C72426" w14:textId="77777777" w:rsidR="003A1A8C" w:rsidRDefault="003A1A8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C2B419" w14:textId="77777777" w:rsidR="003A1A8C" w:rsidRDefault="003A1A8C">
            <w:pPr>
              <w:jc w:val="right"/>
            </w:pPr>
            <w:r>
              <w:rPr>
                <w:rFonts w:ascii="宋体" w:hAnsi="宋体" w:hint="eastAsia"/>
                <w:szCs w:val="24"/>
                <w:lang w:eastAsia="zh-Hans"/>
              </w:rPr>
              <w:t>-</w:t>
            </w:r>
          </w:p>
        </w:tc>
      </w:tr>
      <w:tr w:rsidR="003851FF" w14:paraId="67D711D2" w14:textId="77777777">
        <w:trPr>
          <w:divId w:val="13488288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B2A294" w14:textId="77777777" w:rsidR="003A1A8C" w:rsidRDefault="003A1A8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A13C92E" w14:textId="77777777" w:rsidR="003A1A8C" w:rsidRDefault="003A1A8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19B326" w14:textId="77777777" w:rsidR="003A1A8C" w:rsidRDefault="003A1A8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FA5D38" w14:textId="77777777" w:rsidR="003A1A8C" w:rsidRDefault="003A1A8C">
            <w:pPr>
              <w:jc w:val="right"/>
            </w:pPr>
            <w:r>
              <w:rPr>
                <w:rFonts w:ascii="宋体" w:hAnsi="宋体" w:hint="eastAsia"/>
                <w:szCs w:val="24"/>
                <w:lang w:eastAsia="zh-Hans"/>
              </w:rPr>
              <w:t>-</w:t>
            </w:r>
          </w:p>
        </w:tc>
      </w:tr>
      <w:tr w:rsidR="003851FF" w14:paraId="625F3C3B" w14:textId="77777777">
        <w:trPr>
          <w:divId w:val="13488288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D39562" w14:textId="77777777" w:rsidR="003A1A8C" w:rsidRDefault="003A1A8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016A041" w14:textId="77777777" w:rsidR="003A1A8C" w:rsidRDefault="003A1A8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0E944F" w14:textId="77777777" w:rsidR="003A1A8C" w:rsidRDefault="003A1A8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5C8B76" w14:textId="77777777" w:rsidR="003A1A8C" w:rsidRDefault="003A1A8C">
            <w:pPr>
              <w:jc w:val="right"/>
            </w:pPr>
            <w:r>
              <w:rPr>
                <w:rFonts w:ascii="宋体" w:hAnsi="宋体" w:hint="eastAsia"/>
                <w:szCs w:val="24"/>
                <w:lang w:eastAsia="zh-Hans"/>
              </w:rPr>
              <w:t>-</w:t>
            </w:r>
          </w:p>
        </w:tc>
      </w:tr>
      <w:tr w:rsidR="003851FF" w14:paraId="0799ECA4" w14:textId="77777777">
        <w:trPr>
          <w:divId w:val="13488288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9681C4" w14:textId="77777777" w:rsidR="003A1A8C" w:rsidRDefault="003A1A8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AFD3057" w14:textId="77777777" w:rsidR="003A1A8C" w:rsidRDefault="003A1A8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34686C" w14:textId="77777777" w:rsidR="003A1A8C" w:rsidRDefault="003A1A8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96E9F4" w14:textId="77777777" w:rsidR="003A1A8C" w:rsidRDefault="003A1A8C">
            <w:pPr>
              <w:jc w:val="right"/>
            </w:pPr>
            <w:r>
              <w:rPr>
                <w:rFonts w:ascii="宋体" w:hAnsi="宋体" w:hint="eastAsia"/>
                <w:szCs w:val="24"/>
                <w:lang w:eastAsia="zh-Hans"/>
              </w:rPr>
              <w:t>-</w:t>
            </w:r>
          </w:p>
        </w:tc>
      </w:tr>
      <w:tr w:rsidR="003851FF" w14:paraId="49351661" w14:textId="77777777">
        <w:trPr>
          <w:divId w:val="13488288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180F7E" w14:textId="77777777" w:rsidR="003A1A8C" w:rsidRDefault="003A1A8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1172C4A" w14:textId="77777777" w:rsidR="003A1A8C" w:rsidRDefault="003A1A8C">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0AF2B7" w14:textId="77777777" w:rsidR="003A1A8C" w:rsidRDefault="003A1A8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0E3C88" w14:textId="77777777" w:rsidR="003A1A8C" w:rsidRDefault="003A1A8C">
            <w:pPr>
              <w:jc w:val="right"/>
            </w:pPr>
            <w:r>
              <w:rPr>
                <w:rFonts w:ascii="宋体" w:hAnsi="宋体" w:hint="eastAsia"/>
                <w:szCs w:val="24"/>
                <w:lang w:eastAsia="zh-Hans"/>
              </w:rPr>
              <w:t>-</w:t>
            </w:r>
          </w:p>
        </w:tc>
      </w:tr>
      <w:tr w:rsidR="003851FF" w14:paraId="27E990CD" w14:textId="77777777">
        <w:trPr>
          <w:divId w:val="13488288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A87383" w14:textId="77777777" w:rsidR="003A1A8C" w:rsidRDefault="003A1A8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D642E20" w14:textId="77777777" w:rsidR="003A1A8C" w:rsidRDefault="003A1A8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4A4AAF" w14:textId="77777777" w:rsidR="003A1A8C" w:rsidRDefault="003A1A8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1FD2DF" w14:textId="77777777" w:rsidR="003A1A8C" w:rsidRDefault="003A1A8C">
            <w:pPr>
              <w:jc w:val="right"/>
            </w:pPr>
            <w:r>
              <w:rPr>
                <w:rFonts w:ascii="宋体" w:hAnsi="宋体" w:hint="eastAsia"/>
                <w:szCs w:val="24"/>
                <w:lang w:eastAsia="zh-Hans"/>
              </w:rPr>
              <w:t>-</w:t>
            </w:r>
          </w:p>
        </w:tc>
      </w:tr>
      <w:tr w:rsidR="003851FF" w14:paraId="220C1865" w14:textId="77777777">
        <w:trPr>
          <w:divId w:val="13488288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64CF81" w14:textId="77777777" w:rsidR="003A1A8C" w:rsidRDefault="003A1A8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4796932" w14:textId="77777777" w:rsidR="003A1A8C" w:rsidRDefault="003A1A8C">
            <w:pPr>
              <w:ind w:leftChars="50" w:left="105"/>
            </w:pPr>
            <w:r>
              <w:rPr>
                <w:rFonts w:ascii="宋体" w:hAnsi="宋体" w:hint="eastAsia"/>
                <w:color w:val="000000"/>
              </w:rPr>
              <w:t>其中：买断式回购的买入返售金融资</w:t>
            </w:r>
            <w:r>
              <w:rPr>
                <w:rFonts w:ascii="宋体" w:hAnsi="宋体" w:hint="eastAsia"/>
                <w:color w:val="000000"/>
              </w:rPr>
              <w:lastRenderedPageBreak/>
              <w:t>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C57B21" w14:textId="77777777" w:rsidR="003A1A8C" w:rsidRDefault="003A1A8C">
            <w:pPr>
              <w:jc w:val="right"/>
            </w:pPr>
            <w:r>
              <w:rPr>
                <w:rFonts w:ascii="宋体" w:hAnsi="宋体" w:hint="eastAsia"/>
                <w:szCs w:val="24"/>
                <w:lang w:eastAsia="zh-Hans"/>
              </w:rPr>
              <w:lastRenderedPageBreak/>
              <w:t>-</w:t>
            </w:r>
          </w:p>
        </w:tc>
        <w:tc>
          <w:tcPr>
            <w:tcW w:w="1333" w:type="pct"/>
            <w:tcBorders>
              <w:top w:val="single" w:sz="4" w:space="0" w:color="auto"/>
              <w:left w:val="nil"/>
              <w:bottom w:val="single" w:sz="4" w:space="0" w:color="auto"/>
              <w:right w:val="single" w:sz="4" w:space="0" w:color="auto"/>
            </w:tcBorders>
            <w:vAlign w:val="center"/>
            <w:hideMark/>
          </w:tcPr>
          <w:p w14:paraId="13118445" w14:textId="77777777" w:rsidR="003A1A8C" w:rsidRDefault="003A1A8C">
            <w:pPr>
              <w:jc w:val="right"/>
            </w:pPr>
            <w:r>
              <w:rPr>
                <w:rFonts w:ascii="宋体" w:hAnsi="宋体" w:hint="eastAsia"/>
                <w:szCs w:val="24"/>
                <w:lang w:eastAsia="zh-Hans"/>
              </w:rPr>
              <w:t>-</w:t>
            </w:r>
          </w:p>
        </w:tc>
      </w:tr>
      <w:tr w:rsidR="003851FF" w14:paraId="10AEDA6A" w14:textId="77777777">
        <w:trPr>
          <w:divId w:val="13488288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109F8D" w14:textId="77777777" w:rsidR="003A1A8C" w:rsidRDefault="003A1A8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9C5BB4A" w14:textId="77777777" w:rsidR="003A1A8C" w:rsidRDefault="003A1A8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AEE246" w14:textId="77777777" w:rsidR="003A1A8C" w:rsidRDefault="003A1A8C">
            <w:pPr>
              <w:jc w:val="right"/>
            </w:pPr>
            <w:r>
              <w:rPr>
                <w:rFonts w:ascii="宋体" w:hAnsi="宋体" w:hint="eastAsia"/>
                <w:szCs w:val="24"/>
                <w:lang w:eastAsia="zh-Hans"/>
              </w:rPr>
              <w:t>95,175,143.45</w:t>
            </w:r>
          </w:p>
        </w:tc>
        <w:tc>
          <w:tcPr>
            <w:tcW w:w="1333" w:type="pct"/>
            <w:tcBorders>
              <w:top w:val="single" w:sz="4" w:space="0" w:color="auto"/>
              <w:left w:val="nil"/>
              <w:bottom w:val="single" w:sz="4" w:space="0" w:color="auto"/>
              <w:right w:val="single" w:sz="4" w:space="0" w:color="auto"/>
            </w:tcBorders>
            <w:vAlign w:val="center"/>
            <w:hideMark/>
          </w:tcPr>
          <w:p w14:paraId="4D2B497B" w14:textId="77777777" w:rsidR="003A1A8C" w:rsidRDefault="003A1A8C">
            <w:pPr>
              <w:jc w:val="right"/>
            </w:pPr>
            <w:r>
              <w:rPr>
                <w:rFonts w:ascii="宋体" w:hAnsi="宋体" w:hint="eastAsia"/>
                <w:szCs w:val="24"/>
                <w:lang w:eastAsia="zh-Hans"/>
              </w:rPr>
              <w:t>5.76</w:t>
            </w:r>
          </w:p>
        </w:tc>
      </w:tr>
      <w:tr w:rsidR="003851FF" w14:paraId="09E795F9" w14:textId="77777777">
        <w:trPr>
          <w:divId w:val="13488288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FDC91C" w14:textId="77777777" w:rsidR="003A1A8C" w:rsidRDefault="003A1A8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918FE48" w14:textId="77777777" w:rsidR="003A1A8C" w:rsidRDefault="003A1A8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DFD218" w14:textId="77777777" w:rsidR="003A1A8C" w:rsidRDefault="003A1A8C">
            <w:pPr>
              <w:jc w:val="right"/>
            </w:pPr>
            <w:r>
              <w:rPr>
                <w:rFonts w:ascii="宋体" w:hAnsi="宋体" w:hint="eastAsia"/>
                <w:szCs w:val="24"/>
                <w:lang w:eastAsia="zh-Hans"/>
              </w:rPr>
              <w:t>1,932,477.56</w:t>
            </w:r>
          </w:p>
        </w:tc>
        <w:tc>
          <w:tcPr>
            <w:tcW w:w="1333" w:type="pct"/>
            <w:tcBorders>
              <w:top w:val="single" w:sz="4" w:space="0" w:color="auto"/>
              <w:left w:val="nil"/>
              <w:bottom w:val="single" w:sz="4" w:space="0" w:color="auto"/>
              <w:right w:val="single" w:sz="4" w:space="0" w:color="auto"/>
            </w:tcBorders>
            <w:vAlign w:val="center"/>
            <w:hideMark/>
          </w:tcPr>
          <w:p w14:paraId="0B8BB691" w14:textId="77777777" w:rsidR="003A1A8C" w:rsidRDefault="003A1A8C">
            <w:pPr>
              <w:jc w:val="right"/>
            </w:pPr>
            <w:r>
              <w:rPr>
                <w:rFonts w:ascii="宋体" w:hAnsi="宋体" w:hint="eastAsia"/>
                <w:szCs w:val="24"/>
                <w:lang w:eastAsia="zh-Hans"/>
              </w:rPr>
              <w:t>0.12</w:t>
            </w:r>
          </w:p>
        </w:tc>
      </w:tr>
      <w:tr w:rsidR="003851FF" w14:paraId="497B9601" w14:textId="77777777">
        <w:trPr>
          <w:divId w:val="13488288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7114E7" w14:textId="77777777" w:rsidR="003A1A8C" w:rsidRDefault="003A1A8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13B922C" w14:textId="77777777" w:rsidR="003A1A8C" w:rsidRDefault="003A1A8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637AEC" w14:textId="77777777" w:rsidR="003A1A8C" w:rsidRDefault="003A1A8C">
            <w:pPr>
              <w:jc w:val="right"/>
            </w:pPr>
            <w:r>
              <w:rPr>
                <w:rFonts w:ascii="宋体" w:hAnsi="宋体" w:hint="eastAsia"/>
                <w:szCs w:val="24"/>
                <w:lang w:eastAsia="zh-Hans"/>
              </w:rPr>
              <w:t>1,652,879,768.69</w:t>
            </w:r>
          </w:p>
        </w:tc>
        <w:tc>
          <w:tcPr>
            <w:tcW w:w="1333" w:type="pct"/>
            <w:tcBorders>
              <w:top w:val="single" w:sz="4" w:space="0" w:color="auto"/>
              <w:left w:val="nil"/>
              <w:bottom w:val="single" w:sz="4" w:space="0" w:color="auto"/>
              <w:right w:val="single" w:sz="4" w:space="0" w:color="auto"/>
            </w:tcBorders>
            <w:vAlign w:val="center"/>
            <w:hideMark/>
          </w:tcPr>
          <w:p w14:paraId="046FA0E1" w14:textId="77777777" w:rsidR="003A1A8C" w:rsidRDefault="003A1A8C">
            <w:pPr>
              <w:jc w:val="right"/>
            </w:pPr>
            <w:r>
              <w:rPr>
                <w:rFonts w:ascii="宋体" w:hAnsi="宋体" w:hint="eastAsia"/>
                <w:szCs w:val="24"/>
                <w:lang w:eastAsia="zh-Hans"/>
              </w:rPr>
              <w:t>100.00</w:t>
            </w:r>
          </w:p>
        </w:tc>
      </w:tr>
    </w:tbl>
    <w:p w14:paraId="25367C08" w14:textId="77777777" w:rsidR="003A1A8C" w:rsidRDefault="003A1A8C">
      <w:pPr>
        <w:pStyle w:val="XBRLTitle2"/>
        <w:spacing w:before="156"/>
        <w:ind w:left="454"/>
      </w:pPr>
      <w:bookmarkStart w:id="155" w:name="_Toc17881685"/>
      <w:bookmarkStart w:id="156" w:name="_Toc492299881"/>
      <w:bookmarkStart w:id="157" w:name="_Toc438646468"/>
      <w:bookmarkStart w:id="158" w:name="_Toc475467580"/>
      <w:bookmarkStart w:id="159" w:name="_Toc512627229"/>
      <w:bookmarkStart w:id="160" w:name="_Toc512694309"/>
      <w:bookmarkEnd w:id="153"/>
      <w:proofErr w:type="spellStart"/>
      <w:r>
        <w:rPr>
          <w:rFonts w:hAnsi="宋体" w:hint="eastAsia"/>
        </w:rPr>
        <w:t>报告期末按行业分类的股票投资组合</w:t>
      </w:r>
      <w:bookmarkEnd w:id="155"/>
      <w:proofErr w:type="spellEnd"/>
      <w:r>
        <w:rPr>
          <w:rFonts w:hAnsi="宋体" w:hint="eastAsia"/>
          <w:lang w:eastAsia="zh-CN"/>
        </w:rPr>
        <w:t xml:space="preserve"> </w:t>
      </w:r>
    </w:p>
    <w:p w14:paraId="36410650" w14:textId="77777777" w:rsidR="003A1A8C" w:rsidRDefault="003A1A8C">
      <w:pPr>
        <w:pStyle w:val="XBRLTitle3"/>
        <w:numPr>
          <w:ilvl w:val="2"/>
          <w:numId w:val="2"/>
        </w:numPr>
        <w:spacing w:before="156"/>
        <w:ind w:left="0" w:firstLine="0"/>
      </w:pPr>
      <w:bookmarkStart w:id="161" w:name="_Toc17881686"/>
      <w:bookmarkStart w:id="162" w:name="_Toc492299882"/>
      <w:bookmarkStart w:id="163" w:name="_Toc475467581"/>
      <w:proofErr w:type="spellStart"/>
      <w:r>
        <w:rPr>
          <w:rFonts w:hAnsi="宋体" w:hint="eastAsia"/>
        </w:rPr>
        <w:t>报告期末按行业分类的境内股票投资组合</w:t>
      </w:r>
      <w:bookmarkEnd w:id="161"/>
      <w:proofErr w:type="spellEnd"/>
      <w:r>
        <w:rPr>
          <w:rFonts w:hint="eastAsia"/>
          <w:lang w:eastAsia="zh-CN"/>
        </w:rPr>
        <w:t xml:space="preserve"> </w:t>
      </w:r>
    </w:p>
    <w:p w14:paraId="779C08DF" w14:textId="77777777" w:rsidR="003A1A8C" w:rsidRDefault="003A1A8C">
      <w:pPr>
        <w:spacing w:line="360" w:lineRule="auto"/>
        <w:ind w:firstLineChars="200" w:firstLine="420"/>
        <w:divId w:val="488594097"/>
      </w:pPr>
      <w:r>
        <w:rPr>
          <w:rFonts w:ascii="宋体" w:hAnsi="宋体" w:hint="eastAsia"/>
          <w:szCs w:val="21"/>
          <w:lang w:eastAsia="zh-Hans"/>
        </w:rPr>
        <w:t>本基金本报告期末未持有境内股票。</w:t>
      </w:r>
    </w:p>
    <w:p w14:paraId="380D3CBD" w14:textId="77777777" w:rsidR="003A1A8C" w:rsidRDefault="003A1A8C">
      <w:pPr>
        <w:pStyle w:val="XBRLTitle3"/>
        <w:numPr>
          <w:ilvl w:val="2"/>
          <w:numId w:val="2"/>
        </w:numPr>
        <w:spacing w:before="156"/>
        <w:ind w:left="0" w:firstLine="0"/>
      </w:pPr>
      <w:bookmarkStart w:id="164" w:name="_Toc17881687"/>
      <w:bookmarkStart w:id="165" w:name="_Toc492299883"/>
      <w:bookmarkStart w:id="166" w:name="_Toc475467582"/>
      <w:bookmarkStart w:id="167" w:name="m502_tab"/>
      <w:proofErr w:type="spellStart"/>
      <w:r>
        <w:rPr>
          <w:rFonts w:hAnsi="宋体" w:hint="eastAsia"/>
        </w:rPr>
        <w:t>报告期末按行业分类的港股通投资股票投资组合</w:t>
      </w:r>
      <w:bookmarkEnd w:id="164"/>
      <w:bookmarkEnd w:id="165"/>
      <w:bookmarkEnd w:id="166"/>
      <w:proofErr w:type="spellEnd"/>
      <w:r>
        <w:rPr>
          <w:rFonts w:hint="eastAsia"/>
          <w:szCs w:val="24"/>
        </w:rPr>
        <w:t xml:space="preserve"> </w:t>
      </w:r>
    </w:p>
    <w:p w14:paraId="6EDFDD86" w14:textId="77777777" w:rsidR="003A1A8C" w:rsidRDefault="003A1A8C">
      <w:pPr>
        <w:spacing w:line="360" w:lineRule="auto"/>
        <w:ind w:firstLineChars="200" w:firstLine="420"/>
        <w:divId w:val="1211452842"/>
      </w:pPr>
      <w:r>
        <w:rPr>
          <w:rFonts w:ascii="宋体" w:hAnsi="宋体" w:hint="eastAsia"/>
          <w:szCs w:val="21"/>
          <w:lang w:eastAsia="zh-Hans"/>
        </w:rPr>
        <w:t>本基金本报告期末未持有港股通股票　。</w:t>
      </w:r>
    </w:p>
    <w:p w14:paraId="1D4246BB" w14:textId="77777777" w:rsidR="003A1A8C" w:rsidRDefault="003A1A8C">
      <w:pPr>
        <w:pStyle w:val="XBRLTitle2"/>
        <w:spacing w:before="156"/>
        <w:ind w:left="454"/>
      </w:pPr>
      <w:bookmarkStart w:id="168" w:name="_Toc1788168512"/>
      <w:proofErr w:type="spellStart"/>
      <w:r>
        <w:rPr>
          <w:rFonts w:hAnsi="宋体" w:hint="eastAsia"/>
        </w:rPr>
        <w:t>期末按公允价值占基金资产净值比例大小排序的股票投资明细</w:t>
      </w:r>
      <w:bookmarkEnd w:id="168"/>
      <w:bookmarkEnd w:id="156"/>
      <w:bookmarkEnd w:id="157"/>
      <w:bookmarkEnd w:id="158"/>
      <w:bookmarkEnd w:id="159"/>
      <w:bookmarkEnd w:id="160"/>
      <w:proofErr w:type="spellEnd"/>
      <w:r>
        <w:rPr>
          <w:rFonts w:hAnsi="宋体" w:hint="eastAsia"/>
          <w:lang w:eastAsia="zh-CN"/>
        </w:rPr>
        <w:t xml:space="preserve"> </w:t>
      </w:r>
    </w:p>
    <w:p w14:paraId="12A040E3" w14:textId="77777777" w:rsidR="003A1A8C" w:rsidRDefault="003A1A8C">
      <w:pPr>
        <w:pStyle w:val="XBRLTitle3"/>
        <w:numPr>
          <w:ilvl w:val="2"/>
          <w:numId w:val="2"/>
        </w:numPr>
        <w:spacing w:before="156"/>
        <w:ind w:left="0" w:firstLine="0"/>
      </w:pPr>
      <w:bookmarkStart w:id="169" w:name="_Toc1788168513"/>
      <w:proofErr w:type="spellStart"/>
      <w:r>
        <w:rPr>
          <w:rFonts w:hAnsi="宋体" w:hint="eastAsia"/>
        </w:rPr>
        <w:t>报告期末按公允价值占基金资产净值比例大小排序的前十名股票投资明细</w:t>
      </w:r>
      <w:bookmarkEnd w:id="169"/>
      <w:bookmarkEnd w:id="162"/>
      <w:bookmarkEnd w:id="163"/>
      <w:proofErr w:type="spellEnd"/>
      <w:r>
        <w:rPr>
          <w:rFonts w:hint="eastAsia"/>
          <w:lang w:eastAsia="zh-CN"/>
        </w:rPr>
        <w:t xml:space="preserve"> </w:t>
      </w:r>
    </w:p>
    <w:p w14:paraId="28E60CD9" w14:textId="77777777" w:rsidR="003A1A8C" w:rsidRDefault="003A1A8C">
      <w:pPr>
        <w:spacing w:line="360" w:lineRule="auto"/>
        <w:ind w:firstLineChars="200" w:firstLine="420"/>
        <w:jc w:val="left"/>
      </w:pPr>
      <w:r>
        <w:rPr>
          <w:rFonts w:ascii="宋体" w:hAnsi="宋体" w:hint="eastAsia"/>
          <w:color w:val="000000"/>
          <w:szCs w:val="21"/>
          <w:lang w:eastAsia="zh-Hans"/>
        </w:rPr>
        <w:t>本基金本报告期末未持有股票。</w:t>
      </w:r>
    </w:p>
    <w:p w14:paraId="1C87A625" w14:textId="77777777" w:rsidR="003A1A8C" w:rsidRDefault="003A1A8C">
      <w:pPr>
        <w:pStyle w:val="XBRLTitle2"/>
        <w:spacing w:before="156"/>
        <w:ind w:left="454"/>
      </w:pPr>
      <w:bookmarkStart w:id="170" w:name="_Toc17881689"/>
      <w:bookmarkStart w:id="171" w:name="_Toc512627231"/>
      <w:bookmarkStart w:id="172" w:name="_Toc492299885"/>
      <w:bookmarkStart w:id="173" w:name="_Toc466644469"/>
      <w:bookmarkStart w:id="174" w:name="_Toc447872931"/>
      <w:bookmarkStart w:id="175" w:name="_Toc438646471"/>
      <w:bookmarkStart w:id="176" w:name="_Toc512694311"/>
      <w:bookmarkStart w:id="177" w:name="m505"/>
      <w:bookmarkEnd w:id="167"/>
      <w:proofErr w:type="spellStart"/>
      <w:r>
        <w:rPr>
          <w:rFonts w:hAnsi="宋体" w:hint="eastAsia"/>
        </w:rPr>
        <w:t>报告期末按债券品种分类的债券投资组合</w:t>
      </w:r>
      <w:bookmarkEnd w:id="170"/>
      <w:bookmarkEnd w:id="171"/>
      <w:bookmarkEnd w:id="172"/>
      <w:bookmarkEnd w:id="173"/>
      <w:bookmarkEnd w:id="174"/>
      <w:bookmarkEnd w:id="175"/>
      <w:bookmarkEnd w:id="176"/>
      <w:proofErr w:type="spellEnd"/>
      <w:r>
        <w:rPr>
          <w:rFonts w:hAnsi="宋体" w:hint="eastAsia"/>
        </w:rPr>
        <w:t xml:space="preserve"> </w:t>
      </w:r>
    </w:p>
    <w:p w14:paraId="1AFD8D98" w14:textId="77777777" w:rsidR="003A1A8C" w:rsidRDefault="003A1A8C">
      <w:pPr>
        <w:spacing w:line="360" w:lineRule="auto"/>
        <w:ind w:firstLineChars="200" w:firstLine="420"/>
        <w:jc w:val="left"/>
      </w:pPr>
      <w:r>
        <w:rPr>
          <w:rFonts w:ascii="宋体" w:hAnsi="宋体" w:hint="eastAsia"/>
        </w:rPr>
        <w:t>本基金本报告期末未持有债券。</w:t>
      </w:r>
      <w:bookmarkStart w:id="178" w:name="m08QD_06"/>
      <w:bookmarkEnd w:id="178"/>
      <w:r>
        <w:rPr>
          <w:rFonts w:ascii="宋体" w:hAnsi="宋体" w:hint="eastAsia"/>
        </w:rPr>
        <w:t xml:space="preserve"> </w:t>
      </w:r>
    </w:p>
    <w:p w14:paraId="0C2DC3E2" w14:textId="77777777" w:rsidR="003A1A8C" w:rsidRDefault="003A1A8C">
      <w:pPr>
        <w:pStyle w:val="XBRLTitle2"/>
        <w:spacing w:before="156"/>
        <w:ind w:left="454"/>
      </w:pPr>
      <w:bookmarkStart w:id="179" w:name="_Toc17881690"/>
      <w:bookmarkStart w:id="180" w:name="_Toc512627232"/>
      <w:bookmarkStart w:id="181" w:name="_Toc492299886"/>
      <w:bookmarkStart w:id="182" w:name="_Toc466644470"/>
      <w:bookmarkStart w:id="183" w:name="_Toc447872932"/>
      <w:bookmarkStart w:id="184" w:name="_Toc438646472"/>
      <w:bookmarkStart w:id="185" w:name="_Toc512694312"/>
      <w:bookmarkStart w:id="186" w:name="m506"/>
      <w:bookmarkEnd w:id="177"/>
      <w:proofErr w:type="spellStart"/>
      <w:r>
        <w:rPr>
          <w:rFonts w:hAnsi="宋体" w:hint="eastAsia"/>
        </w:rPr>
        <w:t>报告期末按公允价值占基金资产净值比例大小排序的前五名债券投资明细</w:t>
      </w:r>
      <w:bookmarkEnd w:id="179"/>
      <w:bookmarkEnd w:id="180"/>
      <w:bookmarkEnd w:id="181"/>
      <w:bookmarkEnd w:id="182"/>
      <w:bookmarkEnd w:id="183"/>
      <w:bookmarkEnd w:id="184"/>
      <w:bookmarkEnd w:id="185"/>
      <w:proofErr w:type="spellEnd"/>
      <w:r>
        <w:rPr>
          <w:rFonts w:hAnsi="宋体" w:hint="eastAsia"/>
        </w:rPr>
        <w:t xml:space="preserve"> </w:t>
      </w:r>
    </w:p>
    <w:p w14:paraId="52C06967" w14:textId="77777777" w:rsidR="003A1A8C" w:rsidRDefault="003A1A8C">
      <w:pPr>
        <w:spacing w:line="360" w:lineRule="auto"/>
        <w:ind w:firstLineChars="200" w:firstLine="420"/>
        <w:jc w:val="left"/>
      </w:pPr>
      <w:r>
        <w:rPr>
          <w:rFonts w:ascii="宋体" w:hAnsi="宋体" w:hint="eastAsia"/>
          <w:color w:val="000000"/>
          <w:szCs w:val="21"/>
          <w:lang w:eastAsia="zh-Hans"/>
        </w:rPr>
        <w:t>本基金本报告期末未持有债券。</w:t>
      </w:r>
    </w:p>
    <w:p w14:paraId="3A986604" w14:textId="77777777" w:rsidR="003A1A8C" w:rsidRDefault="003A1A8C">
      <w:pPr>
        <w:pStyle w:val="XBRLTitle2"/>
        <w:spacing w:before="156"/>
        <w:ind w:left="454"/>
      </w:pPr>
      <w:bookmarkStart w:id="187" w:name="_Toc17881691"/>
      <w:bookmarkStart w:id="188" w:name="_Toc512627233"/>
      <w:bookmarkStart w:id="189" w:name="_Toc492299887"/>
      <w:bookmarkStart w:id="190" w:name="_Toc466644471"/>
      <w:bookmarkStart w:id="191" w:name="_Toc447872933"/>
      <w:bookmarkStart w:id="192" w:name="_Toc438646473"/>
      <w:bookmarkStart w:id="193" w:name="_Toc512694313"/>
      <w:bookmarkStart w:id="194" w:name="m507"/>
      <w:bookmarkEnd w:id="186"/>
      <w:proofErr w:type="spellStart"/>
      <w:r>
        <w:rPr>
          <w:rFonts w:hAnsi="宋体" w:hint="eastAsia"/>
        </w:rPr>
        <w:t>报告期末按公允价值占基金资产净值比例大小排序的前十名资产支持证券投资明细</w:t>
      </w:r>
      <w:bookmarkEnd w:id="187"/>
      <w:bookmarkEnd w:id="188"/>
      <w:bookmarkEnd w:id="189"/>
      <w:bookmarkEnd w:id="190"/>
      <w:bookmarkEnd w:id="191"/>
      <w:bookmarkEnd w:id="192"/>
      <w:bookmarkEnd w:id="193"/>
      <w:proofErr w:type="spellEnd"/>
      <w:r>
        <w:rPr>
          <w:rFonts w:hAnsi="宋体" w:hint="eastAsia"/>
        </w:rPr>
        <w:t xml:space="preserve"> </w:t>
      </w:r>
    </w:p>
    <w:p w14:paraId="038E79E1" w14:textId="77777777" w:rsidR="003A1A8C" w:rsidRDefault="003A1A8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BE658BA" w14:textId="77777777" w:rsidR="003A1A8C" w:rsidRDefault="003A1A8C">
      <w:pPr>
        <w:pStyle w:val="XBRLTitle2"/>
        <w:spacing w:before="156"/>
        <w:ind w:left="454"/>
      </w:pPr>
      <w:bookmarkStart w:id="195" w:name="_Toc17881692"/>
      <w:bookmarkStart w:id="196" w:name="_Toc512627234"/>
      <w:bookmarkStart w:id="197" w:name="_Toc492299888"/>
      <w:bookmarkStart w:id="198" w:name="_Toc466644472"/>
      <w:bookmarkStart w:id="199" w:name="_Toc447872934"/>
      <w:bookmarkStart w:id="200" w:name="_Toc438646474"/>
      <w:bookmarkStart w:id="201" w:name="_Toc512694314"/>
      <w:bookmarkStart w:id="202" w:name="m508"/>
      <w:bookmarkEnd w:id="19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95"/>
      <w:bookmarkEnd w:id="196"/>
      <w:bookmarkEnd w:id="197"/>
      <w:bookmarkEnd w:id="198"/>
      <w:bookmarkEnd w:id="199"/>
      <w:bookmarkEnd w:id="200"/>
      <w:bookmarkEnd w:id="201"/>
      <w:proofErr w:type="spellEnd"/>
      <w:r>
        <w:rPr>
          <w:rFonts w:hAnsi="宋体" w:hint="eastAsia"/>
        </w:rPr>
        <w:t xml:space="preserve"> </w:t>
      </w:r>
    </w:p>
    <w:p w14:paraId="1EE67C96" w14:textId="77777777" w:rsidR="003A1A8C" w:rsidRDefault="003A1A8C">
      <w:pPr>
        <w:spacing w:line="360" w:lineRule="auto"/>
        <w:ind w:firstLineChars="200" w:firstLine="420"/>
        <w:divId w:val="142552897"/>
      </w:pPr>
      <w:r>
        <w:rPr>
          <w:rFonts w:ascii="宋体" w:hAnsi="宋体" w:hint="eastAsia"/>
          <w:szCs w:val="21"/>
          <w:lang w:eastAsia="zh-Hans"/>
        </w:rPr>
        <w:t>本基金本报告期末未持有贵金属。</w:t>
      </w:r>
    </w:p>
    <w:p w14:paraId="0B4655FF" w14:textId="77777777" w:rsidR="003A1A8C" w:rsidRDefault="003A1A8C">
      <w:pPr>
        <w:pStyle w:val="XBRLTitle2"/>
        <w:spacing w:before="156"/>
        <w:ind w:left="454"/>
      </w:pPr>
      <w:bookmarkStart w:id="203" w:name="_Toc17881693"/>
      <w:bookmarkStart w:id="204" w:name="_Toc512627235"/>
      <w:bookmarkStart w:id="205" w:name="_Toc492299889"/>
      <w:bookmarkStart w:id="206" w:name="_Toc466644473"/>
      <w:bookmarkStart w:id="207" w:name="_Toc447872935"/>
      <w:bookmarkStart w:id="208" w:name="_Toc438646475"/>
      <w:bookmarkStart w:id="209" w:name="_Toc512694315"/>
      <w:bookmarkStart w:id="210" w:name="m509"/>
      <w:bookmarkEnd w:id="202"/>
      <w:proofErr w:type="spellStart"/>
      <w:r>
        <w:rPr>
          <w:rFonts w:hAnsi="宋体" w:hint="eastAsia"/>
        </w:rPr>
        <w:t>报告期末按公允价值占基金资产净值比例大小排序的前</w:t>
      </w:r>
      <w:r>
        <w:rPr>
          <w:rFonts w:hAnsi="宋体" w:hint="eastAsia"/>
          <w:lang w:eastAsia="zh-CN"/>
        </w:rPr>
        <w:t>五</w:t>
      </w:r>
      <w:r>
        <w:rPr>
          <w:rFonts w:hAnsi="宋体" w:hint="eastAsia"/>
        </w:rPr>
        <w:t>名</w:t>
      </w:r>
      <w:r>
        <w:rPr>
          <w:rFonts w:hAnsi="宋体" w:hint="eastAsia"/>
          <w:lang w:eastAsia="zh-CN"/>
        </w:rPr>
        <w:t>权证</w:t>
      </w:r>
      <w:r>
        <w:rPr>
          <w:rFonts w:hAnsi="宋体" w:hint="eastAsia"/>
        </w:rPr>
        <w:t>投资明细</w:t>
      </w:r>
      <w:bookmarkEnd w:id="203"/>
      <w:bookmarkEnd w:id="204"/>
      <w:bookmarkEnd w:id="205"/>
      <w:bookmarkEnd w:id="206"/>
      <w:bookmarkEnd w:id="207"/>
      <w:bookmarkEnd w:id="208"/>
      <w:bookmarkEnd w:id="209"/>
      <w:proofErr w:type="spellEnd"/>
      <w:r>
        <w:rPr>
          <w:rFonts w:hAnsi="宋体" w:hint="eastAsia"/>
        </w:rPr>
        <w:t xml:space="preserve"> </w:t>
      </w:r>
    </w:p>
    <w:p w14:paraId="245DC066" w14:textId="77777777" w:rsidR="003A1A8C" w:rsidRDefault="003A1A8C">
      <w:pPr>
        <w:spacing w:line="360" w:lineRule="auto"/>
        <w:ind w:firstLineChars="200" w:firstLine="420"/>
        <w:divId w:val="1947075359"/>
      </w:pPr>
      <w:r>
        <w:rPr>
          <w:rFonts w:ascii="宋体" w:hAnsi="宋体" w:hint="eastAsia"/>
          <w:szCs w:val="21"/>
          <w:lang w:eastAsia="zh-Hans"/>
        </w:rPr>
        <w:t>本基金本报告期末未持有权证。</w:t>
      </w:r>
    </w:p>
    <w:p w14:paraId="3BAADBB4" w14:textId="77777777" w:rsidR="003A1A8C" w:rsidRDefault="003A1A8C">
      <w:pPr>
        <w:pStyle w:val="XBRLTitle2"/>
        <w:spacing w:before="156"/>
        <w:ind w:left="454"/>
      </w:pPr>
      <w:bookmarkStart w:id="211" w:name="_Toc17881694"/>
      <w:bookmarkStart w:id="212" w:name="_Toc512627236"/>
      <w:bookmarkStart w:id="213" w:name="_Toc492299890"/>
      <w:bookmarkStart w:id="214" w:name="_Toc466644474"/>
      <w:bookmarkStart w:id="215" w:name="_Toc512694316"/>
      <w:proofErr w:type="spellStart"/>
      <w:r>
        <w:rPr>
          <w:rFonts w:hAnsi="宋体" w:hint="eastAsia"/>
          <w:kern w:val="2"/>
        </w:rPr>
        <w:t>报告期末按公允价值占基金资产净值比例大小排序的前十名基金投资明细</w:t>
      </w:r>
      <w:bookmarkEnd w:id="211"/>
      <w:bookmarkEnd w:id="212"/>
      <w:bookmarkEnd w:id="213"/>
      <w:bookmarkEnd w:id="214"/>
      <w:bookmarkEnd w:id="215"/>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098"/>
        <w:gridCol w:w="1162"/>
        <w:gridCol w:w="1081"/>
        <w:gridCol w:w="1153"/>
        <w:gridCol w:w="1148"/>
        <w:gridCol w:w="1896"/>
        <w:gridCol w:w="1297"/>
      </w:tblGrid>
      <w:tr w:rsidR="003851FF" w14:paraId="1DBB81DB" w14:textId="77777777">
        <w:trPr>
          <w:divId w:val="937640055"/>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4BB4948" w14:textId="77777777" w:rsidR="003A1A8C" w:rsidRDefault="003A1A8C">
            <w:pPr>
              <w:pStyle w:val="a5"/>
              <w:spacing w:before="0" w:beforeAutospacing="0" w:after="0" w:afterAutospacing="0"/>
              <w:ind w:firstLineChars="50" w:firstLine="105"/>
              <w:jc w:val="center"/>
              <w:rPr>
                <w:rFonts w:hint="eastAsia"/>
              </w:rPr>
            </w:pPr>
            <w:bookmarkStart w:id="216" w:name="OLE_LINK41"/>
            <w:bookmarkStart w:id="217" w:name="OLE_LINK42"/>
            <w:bookmarkStart w:id="218" w:name="OLE_LINK45"/>
            <w:bookmarkStart w:id="219" w:name="OLE_LINK46"/>
            <w:bookmarkStart w:id="220" w:name="m08QD_10"/>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FF70E2C" w14:textId="77777777" w:rsidR="003A1A8C" w:rsidRDefault="003A1A8C">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3E77E9C" w14:textId="77777777" w:rsidR="003A1A8C" w:rsidRDefault="003A1A8C">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2F0EB3B" w14:textId="77777777" w:rsidR="003A1A8C" w:rsidRDefault="003A1A8C">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F7D17FD" w14:textId="77777777" w:rsidR="003A1A8C" w:rsidRDefault="003A1A8C">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D0E31C9" w14:textId="77777777" w:rsidR="003A1A8C" w:rsidRDefault="003A1A8C">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4989C92" w14:textId="77777777" w:rsidR="003A1A8C" w:rsidRDefault="003A1A8C">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3851FF" w14:paraId="50A02425" w14:textId="77777777">
        <w:trPr>
          <w:divId w:val="937640055"/>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7168EE" w14:textId="77777777" w:rsidR="003A1A8C" w:rsidRDefault="003A1A8C">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D3390B" w14:textId="77777777" w:rsidR="003A1A8C" w:rsidRDefault="003A1A8C">
            <w:pPr>
              <w:pStyle w:val="a5"/>
              <w:spacing w:before="0" w:beforeAutospacing="0" w:after="0" w:afterAutospacing="0"/>
              <w:jc w:val="center"/>
              <w:rPr>
                <w:rFonts w:hint="eastAsia"/>
              </w:rPr>
            </w:pPr>
            <w:r>
              <w:rPr>
                <w:rFonts w:hint="eastAsia"/>
                <w:kern w:val="2"/>
                <w:sz w:val="21"/>
                <w:lang w:eastAsia="zh-Hans"/>
              </w:rPr>
              <w:t>摩根中证A500ETF</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038E2" w14:textId="77777777" w:rsidR="003A1A8C" w:rsidRDefault="003A1A8C">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D3006F" w14:textId="77777777" w:rsidR="003A1A8C" w:rsidRDefault="003A1A8C">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45CFE" w14:textId="77777777" w:rsidR="003A1A8C" w:rsidRDefault="003A1A8C">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305EBA" w14:textId="77777777" w:rsidR="003A1A8C" w:rsidRDefault="003A1A8C">
            <w:pPr>
              <w:pStyle w:val="a5"/>
              <w:spacing w:before="0" w:beforeAutospacing="0" w:after="0" w:afterAutospacing="0"/>
              <w:jc w:val="right"/>
              <w:rPr>
                <w:rFonts w:hint="eastAsia"/>
              </w:rPr>
            </w:pPr>
            <w:r>
              <w:rPr>
                <w:rFonts w:hint="eastAsia"/>
                <w:kern w:val="2"/>
                <w:sz w:val="21"/>
                <w:lang w:eastAsia="zh-Hans"/>
              </w:rPr>
              <w:t>1,555,772,147.68</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EF956" w14:textId="77777777" w:rsidR="003A1A8C" w:rsidRDefault="003A1A8C">
            <w:pPr>
              <w:pStyle w:val="a5"/>
              <w:spacing w:before="0" w:beforeAutospacing="0" w:after="0" w:afterAutospacing="0"/>
              <w:jc w:val="right"/>
              <w:rPr>
                <w:rFonts w:hint="eastAsia"/>
              </w:rPr>
            </w:pPr>
            <w:r>
              <w:rPr>
                <w:rFonts w:hint="eastAsia"/>
                <w:kern w:val="2"/>
                <w:sz w:val="21"/>
                <w:lang w:eastAsia="zh-Hans"/>
              </w:rPr>
              <w:t>94.63</w:t>
            </w:r>
            <w:bookmarkEnd w:id="216"/>
            <w:bookmarkEnd w:id="217"/>
            <w:bookmarkEnd w:id="218"/>
            <w:bookmarkEnd w:id="219"/>
            <w:bookmarkEnd w:id="220"/>
          </w:p>
        </w:tc>
      </w:tr>
    </w:tbl>
    <w:p w14:paraId="2A97795B" w14:textId="77777777" w:rsidR="003A1A8C" w:rsidRDefault="003A1A8C">
      <w:pPr>
        <w:pStyle w:val="XBRLTitle2"/>
        <w:spacing w:before="156"/>
        <w:ind w:left="454"/>
      </w:pPr>
      <w:bookmarkStart w:id="221" w:name="_Toc17881695"/>
      <w:bookmarkStart w:id="222" w:name="_Toc492299891"/>
      <w:bookmarkStart w:id="223" w:name="_Toc466644475"/>
      <w:bookmarkStart w:id="224" w:name="_Toc447872936"/>
      <w:bookmarkStart w:id="225" w:name="_Toc512627237"/>
      <w:bookmarkStart w:id="226" w:name="_Toc512694317"/>
      <w:proofErr w:type="spellStart"/>
      <w:r>
        <w:rPr>
          <w:rFonts w:hAnsi="宋体" w:hint="eastAsia"/>
        </w:rPr>
        <w:t>报告期末本基金投资的股指期货交易情况说明</w:t>
      </w:r>
      <w:bookmarkEnd w:id="221"/>
      <w:bookmarkEnd w:id="222"/>
      <w:bookmarkEnd w:id="223"/>
      <w:bookmarkEnd w:id="224"/>
      <w:bookmarkEnd w:id="225"/>
      <w:bookmarkEnd w:id="226"/>
      <w:proofErr w:type="spellEnd"/>
      <w:r>
        <w:rPr>
          <w:rFonts w:hAnsi="宋体" w:hint="eastAsia"/>
        </w:rPr>
        <w:t xml:space="preserve"> </w:t>
      </w:r>
      <w:bookmarkEnd w:id="210"/>
    </w:p>
    <w:p w14:paraId="101770B4" w14:textId="77777777" w:rsidR="003A1A8C" w:rsidRDefault="003A1A8C">
      <w:pPr>
        <w:spacing w:line="360" w:lineRule="auto"/>
        <w:ind w:firstLineChars="200" w:firstLine="420"/>
        <w:divId w:val="864441738"/>
      </w:pPr>
      <w:r>
        <w:rPr>
          <w:rFonts w:ascii="宋体" w:hAnsi="宋体" w:hint="eastAsia"/>
          <w:szCs w:val="21"/>
          <w:lang w:eastAsia="zh-Hans"/>
        </w:rPr>
        <w:t>本基金本报告期末未持有股指期货。</w:t>
      </w:r>
    </w:p>
    <w:p w14:paraId="6E4B584B" w14:textId="77777777" w:rsidR="003A1A8C" w:rsidRDefault="003A1A8C">
      <w:pPr>
        <w:pStyle w:val="XBRLTitle2"/>
        <w:spacing w:before="156"/>
        <w:ind w:left="454"/>
      </w:pPr>
      <w:bookmarkStart w:id="227" w:name="_Toc17881698"/>
      <w:bookmarkStart w:id="228" w:name="_Toc492299894"/>
      <w:bookmarkStart w:id="229" w:name="_Toc466644478"/>
      <w:bookmarkStart w:id="230" w:name="_Toc447872939"/>
      <w:bookmarkStart w:id="231" w:name="_Toc512627238"/>
      <w:bookmarkStart w:id="232" w:name="_Toc512694318"/>
      <w:bookmarkStart w:id="233" w:name="_Toc438646476"/>
      <w:proofErr w:type="spellStart"/>
      <w:r>
        <w:rPr>
          <w:rFonts w:hAnsi="宋体" w:hint="eastAsia"/>
        </w:rPr>
        <w:lastRenderedPageBreak/>
        <w:t>报告期末本基金投资的国债期货交易情况说明</w:t>
      </w:r>
      <w:bookmarkEnd w:id="227"/>
      <w:bookmarkEnd w:id="228"/>
      <w:bookmarkEnd w:id="229"/>
      <w:bookmarkEnd w:id="230"/>
      <w:bookmarkEnd w:id="231"/>
      <w:bookmarkEnd w:id="232"/>
      <w:bookmarkEnd w:id="233"/>
      <w:proofErr w:type="spellEnd"/>
      <w:r>
        <w:rPr>
          <w:rFonts w:hAnsi="宋体" w:hint="eastAsia"/>
        </w:rPr>
        <w:t xml:space="preserve"> </w:t>
      </w:r>
    </w:p>
    <w:p w14:paraId="5B872A35" w14:textId="77777777" w:rsidR="003A1A8C" w:rsidRDefault="003A1A8C">
      <w:pPr>
        <w:spacing w:line="360" w:lineRule="auto"/>
        <w:ind w:firstLineChars="200" w:firstLine="420"/>
        <w:divId w:val="1108889302"/>
      </w:pPr>
      <w:bookmarkStart w:id="234" w:name="m510_01_1597"/>
      <w:bookmarkStart w:id="235" w:name="m510_01_1598"/>
      <w:bookmarkEnd w:id="234"/>
      <w:r>
        <w:rPr>
          <w:rFonts w:ascii="宋体" w:hAnsi="宋体" w:hint="eastAsia"/>
          <w:szCs w:val="21"/>
          <w:lang w:eastAsia="zh-Hans"/>
        </w:rPr>
        <w:t>本基金本报告期末未持有国债期货。</w:t>
      </w:r>
    </w:p>
    <w:p w14:paraId="6B6B21EC" w14:textId="77777777" w:rsidR="003A1A8C" w:rsidRDefault="003A1A8C">
      <w:pPr>
        <w:pStyle w:val="XBRLTitle2"/>
        <w:spacing w:before="156"/>
        <w:ind w:left="454"/>
      </w:pPr>
      <w:bookmarkStart w:id="236" w:name="_Toc17881702"/>
      <w:bookmarkStart w:id="237" w:name="_Toc492299898"/>
      <w:bookmarkStart w:id="238" w:name="_Toc466644482"/>
      <w:bookmarkStart w:id="239" w:name="_Toc447872943"/>
      <w:bookmarkStart w:id="240" w:name="_Toc512627239"/>
      <w:bookmarkStart w:id="241" w:name="_Toc512694319"/>
      <w:proofErr w:type="spellStart"/>
      <w:r>
        <w:rPr>
          <w:rFonts w:hint="eastAsia"/>
        </w:rPr>
        <w:t>投资组合报告附注</w:t>
      </w:r>
      <w:bookmarkEnd w:id="236"/>
      <w:bookmarkEnd w:id="237"/>
      <w:bookmarkEnd w:id="238"/>
      <w:bookmarkEnd w:id="239"/>
      <w:bookmarkEnd w:id="240"/>
      <w:bookmarkEnd w:id="241"/>
      <w:proofErr w:type="spellEnd"/>
    </w:p>
    <w:p w14:paraId="08013F71" w14:textId="77777777" w:rsidR="003A1A8C" w:rsidRDefault="003A1A8C">
      <w:pPr>
        <w:pStyle w:val="XBRLTitle3"/>
        <w:numPr>
          <w:ilvl w:val="2"/>
          <w:numId w:val="2"/>
        </w:numPr>
        <w:spacing w:before="156"/>
        <w:ind w:left="0" w:firstLine="0"/>
      </w:pPr>
      <w:bookmarkStart w:id="242" w:name="_Toc512519515"/>
      <w:bookmarkStart w:id="243" w:name="_Toc481075083"/>
      <w:bookmarkStart w:id="244" w:name="_Toc490050036"/>
      <w:bookmarkStart w:id="245" w:name="_Toc513295927"/>
      <w:bookmarkStart w:id="246" w:name="_Toc17881703"/>
      <w:r>
        <w:rPr>
          <w:rFonts w:hint="eastAsia"/>
          <w:lang w:eastAsia="zh-CN"/>
        </w:rPr>
        <w:t xml:space="preserve"> </w:t>
      </w:r>
      <w:bookmarkEnd w:id="242"/>
      <w:bookmarkEnd w:id="243"/>
      <w:bookmarkEnd w:id="244"/>
      <w:bookmarkEnd w:id="245"/>
      <w:bookmarkEnd w:id="246"/>
    </w:p>
    <w:p w14:paraId="32EB8A53" w14:textId="6918486E" w:rsidR="003A1A8C" w:rsidRDefault="003A1A8C">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1265571" w14:textId="77777777" w:rsidR="003A1A8C" w:rsidRDefault="003A1A8C">
      <w:pPr>
        <w:pStyle w:val="XBRLTitle3"/>
        <w:numPr>
          <w:ilvl w:val="2"/>
          <w:numId w:val="2"/>
        </w:numPr>
        <w:spacing w:before="156"/>
        <w:ind w:left="0" w:firstLine="0"/>
      </w:pPr>
      <w:bookmarkStart w:id="247" w:name="_Toc512519516"/>
      <w:bookmarkStart w:id="248" w:name="_Toc481075084"/>
      <w:bookmarkStart w:id="249" w:name="_Toc490050037"/>
      <w:bookmarkStart w:id="250" w:name="_Toc513295928"/>
      <w:bookmarkStart w:id="251" w:name="_Toc17881704"/>
      <w:r>
        <w:rPr>
          <w:rFonts w:hint="eastAsia"/>
          <w:lang w:eastAsia="zh-CN"/>
        </w:rPr>
        <w:t xml:space="preserve"> </w:t>
      </w:r>
      <w:bookmarkEnd w:id="247"/>
      <w:bookmarkEnd w:id="248"/>
      <w:bookmarkEnd w:id="249"/>
      <w:bookmarkEnd w:id="250"/>
      <w:bookmarkEnd w:id="251"/>
    </w:p>
    <w:p w14:paraId="06A887E0" w14:textId="77777777" w:rsidR="003A1A8C" w:rsidRDefault="003A1A8C">
      <w:pPr>
        <w:spacing w:line="360" w:lineRule="auto"/>
        <w:ind w:firstLineChars="200" w:firstLine="420"/>
      </w:pPr>
      <w:r>
        <w:rPr>
          <w:rFonts w:ascii="宋体" w:hAnsi="宋体" w:hint="eastAsia"/>
        </w:rPr>
        <w:t>报告期内本基金投资的前十名股票中没有在基金合同规定备选股票库之外的股票。</w:t>
      </w:r>
    </w:p>
    <w:p w14:paraId="0A715C38" w14:textId="77777777" w:rsidR="003A1A8C" w:rsidRDefault="003A1A8C">
      <w:pPr>
        <w:pStyle w:val="XBRLTitle3"/>
        <w:numPr>
          <w:ilvl w:val="2"/>
          <w:numId w:val="2"/>
        </w:numPr>
        <w:spacing w:before="156"/>
        <w:ind w:left="0" w:firstLine="0"/>
      </w:pPr>
      <w:bookmarkStart w:id="252" w:name="_Toc17881705"/>
      <w:bookmarkStart w:id="253" w:name="_Toc492299901"/>
      <w:bookmarkStart w:id="254" w:name="_Toc466644485"/>
      <w:bookmarkStart w:id="255" w:name="_Toc447872946"/>
      <w:bookmarkStart w:id="256" w:name="m510_02"/>
      <w:bookmarkEnd w:id="235"/>
      <w:proofErr w:type="spellStart"/>
      <w:r>
        <w:rPr>
          <w:rFonts w:hAnsi="宋体" w:hint="eastAsia"/>
        </w:rPr>
        <w:t>其他资产构成</w:t>
      </w:r>
      <w:bookmarkEnd w:id="252"/>
      <w:bookmarkEnd w:id="253"/>
      <w:bookmarkEnd w:id="254"/>
      <w:bookmarkEnd w:id="25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851FF" w14:paraId="5BE2058F" w14:textId="77777777">
        <w:trPr>
          <w:divId w:val="88637579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EB7A87" w14:textId="77777777" w:rsidR="003A1A8C" w:rsidRDefault="003A1A8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87100" w14:textId="77777777" w:rsidR="003A1A8C" w:rsidRDefault="003A1A8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3CC51" w14:textId="77777777" w:rsidR="003A1A8C" w:rsidRDefault="003A1A8C">
            <w:pPr>
              <w:jc w:val="center"/>
            </w:pPr>
            <w:r>
              <w:rPr>
                <w:rFonts w:ascii="宋体" w:hAnsi="宋体" w:hint="eastAsia"/>
              </w:rPr>
              <w:t>金额（元）</w:t>
            </w:r>
            <w:r>
              <w:t xml:space="preserve"> </w:t>
            </w:r>
          </w:p>
        </w:tc>
      </w:tr>
      <w:tr w:rsidR="003851FF" w14:paraId="7758092A" w14:textId="77777777">
        <w:trPr>
          <w:divId w:val="8863757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C1964" w14:textId="77777777" w:rsidR="003A1A8C" w:rsidRDefault="003A1A8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6CE05" w14:textId="77777777" w:rsidR="003A1A8C" w:rsidRDefault="003A1A8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A7499" w14:textId="77777777" w:rsidR="003A1A8C" w:rsidRDefault="003A1A8C">
            <w:pPr>
              <w:jc w:val="right"/>
            </w:pPr>
            <w:r>
              <w:rPr>
                <w:rFonts w:ascii="宋体" w:hAnsi="宋体" w:hint="eastAsia"/>
              </w:rPr>
              <w:t>-</w:t>
            </w:r>
          </w:p>
        </w:tc>
      </w:tr>
      <w:tr w:rsidR="003851FF" w14:paraId="68085D40" w14:textId="77777777">
        <w:trPr>
          <w:divId w:val="8863757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48C91" w14:textId="77777777" w:rsidR="003A1A8C" w:rsidRDefault="003A1A8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15757" w14:textId="77777777" w:rsidR="003A1A8C" w:rsidRDefault="003A1A8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07515" w14:textId="77777777" w:rsidR="003A1A8C" w:rsidRDefault="003A1A8C">
            <w:pPr>
              <w:jc w:val="right"/>
            </w:pPr>
            <w:r>
              <w:rPr>
                <w:rFonts w:ascii="宋体" w:hAnsi="宋体" w:hint="eastAsia"/>
              </w:rPr>
              <w:t>-</w:t>
            </w:r>
          </w:p>
        </w:tc>
      </w:tr>
      <w:tr w:rsidR="003851FF" w14:paraId="5AAA113D" w14:textId="77777777">
        <w:trPr>
          <w:divId w:val="8863757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E4A0D" w14:textId="77777777" w:rsidR="003A1A8C" w:rsidRDefault="003A1A8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B9A7C" w14:textId="77777777" w:rsidR="003A1A8C" w:rsidRDefault="003A1A8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23EA4" w14:textId="77777777" w:rsidR="003A1A8C" w:rsidRDefault="003A1A8C">
            <w:pPr>
              <w:jc w:val="right"/>
            </w:pPr>
            <w:r>
              <w:rPr>
                <w:rFonts w:ascii="宋体" w:hAnsi="宋体" w:hint="eastAsia"/>
              </w:rPr>
              <w:t>-</w:t>
            </w:r>
          </w:p>
        </w:tc>
      </w:tr>
      <w:tr w:rsidR="003851FF" w14:paraId="023F3B1F" w14:textId="77777777">
        <w:trPr>
          <w:divId w:val="8863757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42E25" w14:textId="77777777" w:rsidR="003A1A8C" w:rsidRDefault="003A1A8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B2B3E" w14:textId="77777777" w:rsidR="003A1A8C" w:rsidRDefault="003A1A8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6AF49" w14:textId="77777777" w:rsidR="003A1A8C" w:rsidRDefault="003A1A8C">
            <w:pPr>
              <w:jc w:val="right"/>
            </w:pPr>
            <w:r>
              <w:rPr>
                <w:rFonts w:ascii="宋体" w:hAnsi="宋体" w:hint="eastAsia"/>
              </w:rPr>
              <w:t>-</w:t>
            </w:r>
          </w:p>
        </w:tc>
      </w:tr>
      <w:tr w:rsidR="003851FF" w14:paraId="1C718BA0" w14:textId="77777777">
        <w:trPr>
          <w:divId w:val="8863757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BBF32" w14:textId="77777777" w:rsidR="003A1A8C" w:rsidRDefault="003A1A8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2BE13" w14:textId="77777777" w:rsidR="003A1A8C" w:rsidRDefault="003A1A8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2D8BC" w14:textId="77777777" w:rsidR="003A1A8C" w:rsidRDefault="003A1A8C">
            <w:pPr>
              <w:jc w:val="right"/>
            </w:pPr>
            <w:r>
              <w:rPr>
                <w:rFonts w:ascii="宋体" w:hAnsi="宋体" w:hint="eastAsia"/>
              </w:rPr>
              <w:t>1,932,477.56</w:t>
            </w:r>
          </w:p>
        </w:tc>
      </w:tr>
      <w:tr w:rsidR="003851FF" w14:paraId="49B3CCB1" w14:textId="77777777">
        <w:trPr>
          <w:divId w:val="8863757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63F1C" w14:textId="77777777" w:rsidR="003A1A8C" w:rsidRDefault="003A1A8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FE1AC" w14:textId="77777777" w:rsidR="003A1A8C" w:rsidRDefault="003A1A8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16EC7" w14:textId="77777777" w:rsidR="003A1A8C" w:rsidRDefault="003A1A8C">
            <w:pPr>
              <w:jc w:val="right"/>
            </w:pPr>
            <w:r>
              <w:rPr>
                <w:rFonts w:ascii="宋体" w:hAnsi="宋体" w:hint="eastAsia"/>
              </w:rPr>
              <w:t>-</w:t>
            </w:r>
          </w:p>
        </w:tc>
      </w:tr>
      <w:tr w:rsidR="003851FF" w14:paraId="4FA1843F" w14:textId="77777777">
        <w:trPr>
          <w:divId w:val="8863757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07AA5" w14:textId="77777777" w:rsidR="003A1A8C" w:rsidRDefault="003A1A8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DC557" w14:textId="77777777" w:rsidR="003A1A8C" w:rsidRDefault="003A1A8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85354" w14:textId="77777777" w:rsidR="003A1A8C" w:rsidRDefault="003A1A8C">
            <w:pPr>
              <w:jc w:val="right"/>
            </w:pPr>
            <w:r>
              <w:rPr>
                <w:rFonts w:ascii="宋体" w:hAnsi="宋体" w:hint="eastAsia"/>
              </w:rPr>
              <w:t>-</w:t>
            </w:r>
          </w:p>
        </w:tc>
      </w:tr>
      <w:tr w:rsidR="003851FF" w14:paraId="2DD00CE4" w14:textId="77777777">
        <w:trPr>
          <w:divId w:val="8863757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B50B6" w14:textId="77777777" w:rsidR="003A1A8C" w:rsidRDefault="003A1A8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41835" w14:textId="77777777" w:rsidR="003A1A8C" w:rsidRDefault="003A1A8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164AC" w14:textId="77777777" w:rsidR="003A1A8C" w:rsidRDefault="003A1A8C">
            <w:pPr>
              <w:jc w:val="right"/>
            </w:pPr>
            <w:r>
              <w:rPr>
                <w:rFonts w:ascii="宋体" w:hAnsi="宋体" w:hint="eastAsia"/>
              </w:rPr>
              <w:t>1,932,477.56</w:t>
            </w:r>
          </w:p>
        </w:tc>
      </w:tr>
    </w:tbl>
    <w:p w14:paraId="218B5F65" w14:textId="77777777" w:rsidR="003A1A8C" w:rsidRDefault="003A1A8C">
      <w:pPr>
        <w:pStyle w:val="XBRLTitle3"/>
        <w:numPr>
          <w:ilvl w:val="2"/>
          <w:numId w:val="2"/>
        </w:numPr>
        <w:spacing w:before="156"/>
        <w:ind w:left="0" w:firstLine="0"/>
      </w:pPr>
      <w:bookmarkStart w:id="257" w:name="_Toc17881706"/>
      <w:bookmarkStart w:id="258" w:name="_Toc492299902"/>
      <w:bookmarkStart w:id="259" w:name="_Toc466644486"/>
      <w:bookmarkStart w:id="260" w:name="_Toc447872947"/>
      <w:bookmarkStart w:id="261" w:name="m510_03"/>
      <w:bookmarkEnd w:id="256"/>
      <w:proofErr w:type="spellStart"/>
      <w:r>
        <w:rPr>
          <w:rFonts w:hAnsi="宋体" w:hint="eastAsia"/>
        </w:rPr>
        <w:t>报告期末持有的处于转股期的可转换债券明细</w:t>
      </w:r>
      <w:bookmarkEnd w:id="257"/>
      <w:bookmarkEnd w:id="258"/>
      <w:bookmarkEnd w:id="259"/>
      <w:bookmarkEnd w:id="260"/>
      <w:proofErr w:type="spellEnd"/>
    </w:p>
    <w:p w14:paraId="7AD773FD" w14:textId="77777777" w:rsidR="003A1A8C" w:rsidRDefault="003A1A8C">
      <w:pPr>
        <w:spacing w:line="360" w:lineRule="auto"/>
        <w:ind w:firstLineChars="200" w:firstLine="420"/>
        <w:jc w:val="left"/>
      </w:pPr>
      <w:r>
        <w:rPr>
          <w:rFonts w:ascii="宋体" w:hAnsi="宋体" w:hint="eastAsia"/>
        </w:rPr>
        <w:t xml:space="preserve">本基金本报告期末未持有处于转股期的可转换债券。 </w:t>
      </w:r>
    </w:p>
    <w:p w14:paraId="3689A9FF" w14:textId="77777777" w:rsidR="003A1A8C" w:rsidRDefault="003A1A8C">
      <w:pPr>
        <w:pStyle w:val="XBRLTitle3"/>
        <w:numPr>
          <w:ilvl w:val="2"/>
          <w:numId w:val="2"/>
        </w:numPr>
        <w:spacing w:before="156"/>
        <w:ind w:left="0" w:firstLine="0"/>
      </w:pPr>
      <w:bookmarkStart w:id="262" w:name="_Toc17881707"/>
      <w:bookmarkStart w:id="263" w:name="_Toc492299903"/>
      <w:bookmarkStart w:id="264" w:name="_Toc466644487"/>
      <w:bookmarkStart w:id="265" w:name="_Toc447872948"/>
      <w:bookmarkStart w:id="266" w:name="m510_04"/>
      <w:bookmarkEnd w:id="261"/>
      <w:proofErr w:type="spellStart"/>
      <w:r>
        <w:rPr>
          <w:rFonts w:hAnsi="宋体" w:hint="eastAsia"/>
        </w:rPr>
        <w:t>报告期末前十名股票中存在流通受限情况的说明</w:t>
      </w:r>
      <w:bookmarkEnd w:id="262"/>
      <w:bookmarkEnd w:id="263"/>
      <w:bookmarkEnd w:id="264"/>
      <w:bookmarkEnd w:id="265"/>
      <w:proofErr w:type="spellEnd"/>
    </w:p>
    <w:p w14:paraId="5A4B637E" w14:textId="77777777" w:rsidR="003A1A8C" w:rsidRDefault="003A1A8C">
      <w:pPr>
        <w:spacing w:line="360" w:lineRule="auto"/>
        <w:ind w:firstLineChars="200" w:firstLine="420"/>
        <w:jc w:val="left"/>
        <w:divId w:val="1801804492"/>
      </w:pPr>
      <w:r>
        <w:rPr>
          <w:rFonts w:ascii="宋体" w:hAnsi="宋体" w:hint="eastAsia"/>
        </w:rPr>
        <w:t>本基金本报告期末前十名股票中不存在流通受限情况。</w:t>
      </w:r>
      <w:bookmarkEnd w:id="17"/>
      <w:bookmarkEnd w:id="18"/>
      <w:bookmarkEnd w:id="19"/>
      <w:bookmarkEnd w:id="20"/>
      <w:bookmarkEnd w:id="16"/>
    </w:p>
    <w:p w14:paraId="1934BA08" w14:textId="77777777" w:rsidR="003A1A8C" w:rsidRDefault="003A1A8C">
      <w:pPr>
        <w:pStyle w:val="XBRLTitle3"/>
        <w:numPr>
          <w:ilvl w:val="2"/>
          <w:numId w:val="2"/>
        </w:numPr>
        <w:spacing w:before="156"/>
        <w:ind w:left="0" w:firstLine="0"/>
      </w:pPr>
      <w:bookmarkStart w:id="267" w:name="_Toc17881708"/>
      <w:bookmarkStart w:id="268" w:name="_Toc492299904"/>
      <w:bookmarkStart w:id="269" w:name="_Toc466644488"/>
      <w:bookmarkStart w:id="270" w:name="_Toc447872949"/>
      <w:bookmarkStart w:id="271" w:name="m510_05_1678"/>
      <w:bookmarkEnd w:id="266"/>
      <w:proofErr w:type="spellStart"/>
      <w:r>
        <w:rPr>
          <w:rFonts w:hAnsi="宋体" w:hint="eastAsia"/>
        </w:rPr>
        <w:t>投资组合报告附注的其他文字描述部分</w:t>
      </w:r>
      <w:bookmarkEnd w:id="267"/>
      <w:bookmarkEnd w:id="268"/>
      <w:bookmarkEnd w:id="269"/>
      <w:bookmarkEnd w:id="270"/>
      <w:proofErr w:type="spellEnd"/>
      <w:r>
        <w:rPr>
          <w:rFonts w:hint="eastAsia"/>
          <w:sz w:val="21"/>
        </w:rPr>
        <w:t xml:space="preserve"> </w:t>
      </w:r>
    </w:p>
    <w:p w14:paraId="16D195E8" w14:textId="77777777" w:rsidR="003A1A8C" w:rsidRDefault="003A1A8C">
      <w:pPr>
        <w:spacing w:line="360" w:lineRule="auto"/>
        <w:ind w:firstLineChars="200" w:firstLine="420"/>
        <w:jc w:val="left"/>
      </w:pPr>
      <w:r>
        <w:rPr>
          <w:rFonts w:ascii="宋体" w:hAnsi="宋体" w:hint="eastAsia"/>
        </w:rPr>
        <w:t>因四舍五入原因，投资组合报告中分项之和与合计可能存在尾差。</w:t>
      </w:r>
    </w:p>
    <w:p w14:paraId="0170A653" w14:textId="77777777" w:rsidR="003A1A8C" w:rsidRDefault="003A1A8C">
      <w:pPr>
        <w:pStyle w:val="XBRLTitle1"/>
        <w:spacing w:before="156"/>
        <w:ind w:left="425"/>
      </w:pPr>
      <w:bookmarkStart w:id="272" w:name="_Toc17881709"/>
      <w:bookmarkStart w:id="273" w:name="_Toc512627240"/>
      <w:bookmarkStart w:id="274" w:name="_Toc492299905"/>
      <w:bookmarkStart w:id="275" w:name="_Toc466644489"/>
      <w:bookmarkStart w:id="276" w:name="_Toc447872950"/>
      <w:bookmarkStart w:id="277" w:name="_Toc438646477"/>
      <w:bookmarkStart w:id="278" w:name="_Toc512694320"/>
      <w:bookmarkStart w:id="279" w:name="m601"/>
      <w:bookmarkEnd w:id="271"/>
      <w:proofErr w:type="spellStart"/>
      <w:r>
        <w:rPr>
          <w:rFonts w:hAnsi="宋体" w:hint="eastAsia"/>
        </w:rPr>
        <w:t>开放式基金份额变动</w:t>
      </w:r>
      <w:bookmarkEnd w:id="272"/>
      <w:bookmarkEnd w:id="273"/>
      <w:bookmarkEnd w:id="274"/>
      <w:bookmarkEnd w:id="275"/>
      <w:bookmarkEnd w:id="276"/>
      <w:bookmarkEnd w:id="277"/>
      <w:bookmarkEnd w:id="278"/>
      <w:proofErr w:type="spellEnd"/>
      <w:r>
        <w:rPr>
          <w:rFonts w:hAnsi="宋体" w:hint="eastAsia"/>
        </w:rPr>
        <w:t xml:space="preserve"> </w:t>
      </w:r>
    </w:p>
    <w:p w14:paraId="59A964BD" w14:textId="77777777" w:rsidR="003A1A8C" w:rsidRDefault="003A1A8C">
      <w:pPr>
        <w:jc w:val="right"/>
      </w:pPr>
      <w:bookmarkStart w:id="280" w:name="m601_tab"/>
      <w:r>
        <w:rPr>
          <w:rFonts w:ascii="宋体" w:hAnsi="宋体" w:hint="eastAsia"/>
        </w:rPr>
        <w:t xml:space="preserve">                                                                             </w:t>
      </w:r>
    </w:p>
    <w:p w14:paraId="528A9568" w14:textId="77777777" w:rsidR="003A1A8C" w:rsidRDefault="003A1A8C">
      <w:pPr>
        <w:wordWrap w:val="0"/>
        <w:spacing w:line="360" w:lineRule="auto"/>
        <w:jc w:val="right"/>
        <w:divId w:val="841168049"/>
      </w:pPr>
      <w:bookmarkStart w:id="281"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1480"/>
        <w:gridCol w:w="1480"/>
        <w:gridCol w:w="1270"/>
        <w:gridCol w:w="1270"/>
      </w:tblGrid>
      <w:tr w:rsidR="003851FF" w14:paraId="6EFCFC86" w14:textId="77777777">
        <w:trPr>
          <w:divId w:val="84116804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992878E" w14:textId="77777777" w:rsidR="003A1A8C" w:rsidRDefault="003A1A8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282" w:name="m10_01" w:colFirst="1" w:colLast="4"/>
            <w:bookmarkEnd w:id="281"/>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672514" w14:textId="77777777" w:rsidR="003A1A8C" w:rsidRDefault="003A1A8C">
            <w:pPr>
              <w:ind w:right="3"/>
              <w:jc w:val="center"/>
            </w:pPr>
            <w:r>
              <w:rPr>
                <w:rFonts w:ascii="宋体" w:hAnsi="宋体" w:hint="eastAsia"/>
                <w:lang w:eastAsia="zh-Hans"/>
              </w:rPr>
              <w:t>摩根中证A500ETF联接A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066FF2" w14:textId="77777777" w:rsidR="003A1A8C" w:rsidRDefault="003A1A8C">
            <w:pPr>
              <w:ind w:right="3"/>
              <w:jc w:val="center"/>
            </w:pPr>
            <w:r>
              <w:rPr>
                <w:rFonts w:ascii="宋体" w:hAnsi="宋体" w:hint="eastAsia"/>
                <w:lang w:eastAsia="zh-Hans"/>
              </w:rPr>
              <w:t>摩根中证A500ETF联接C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015E2C" w14:textId="77777777" w:rsidR="003A1A8C" w:rsidRDefault="003A1A8C">
            <w:pPr>
              <w:ind w:right="3"/>
              <w:jc w:val="center"/>
            </w:pPr>
            <w:r>
              <w:rPr>
                <w:rFonts w:ascii="宋体" w:hAnsi="宋体" w:hint="eastAsia"/>
                <w:lang w:eastAsia="zh-Hans"/>
              </w:rPr>
              <w:t>摩根中证A500ETF联接I</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868DDC" w14:textId="77777777" w:rsidR="003A1A8C" w:rsidRDefault="003A1A8C">
            <w:pPr>
              <w:ind w:right="3"/>
              <w:jc w:val="center"/>
            </w:pPr>
            <w:r>
              <w:rPr>
                <w:rFonts w:ascii="宋体" w:hAnsi="宋体" w:hint="eastAsia"/>
                <w:lang w:eastAsia="zh-Hans"/>
              </w:rPr>
              <w:t>摩根中证A500ETF联接Y</w:t>
            </w:r>
            <w:r>
              <w:rPr>
                <w:rFonts w:ascii="宋体" w:hAnsi="宋体" w:hint="eastAsia"/>
                <w:kern w:val="0"/>
                <w:szCs w:val="24"/>
                <w:lang w:eastAsia="zh-Hans"/>
              </w:rPr>
              <w:t xml:space="preserve"> </w:t>
            </w:r>
          </w:p>
        </w:tc>
      </w:tr>
      <w:tr w:rsidR="003851FF" w14:paraId="407C3825" w14:textId="77777777">
        <w:trPr>
          <w:divId w:val="8411680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708515" w14:textId="77777777" w:rsidR="003A1A8C" w:rsidRDefault="003A1A8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报告期期初</w:t>
            </w:r>
            <w:r>
              <w:rPr>
                <w:rStyle w:val="grame"/>
                <w:rFonts w:ascii="宋体" w:hAnsi="宋体" w:cs="Times New Roman" w:hint="eastAsia"/>
                <w:kern w:val="2"/>
                <w:sz w:val="21"/>
              </w:rPr>
              <w:t>基金</w:t>
            </w:r>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AE5FC1" w14:textId="77777777" w:rsidR="003A1A8C" w:rsidRDefault="003A1A8C">
            <w:pPr>
              <w:jc w:val="right"/>
            </w:pPr>
            <w:r>
              <w:rPr>
                <w:rFonts w:ascii="宋体" w:hAnsi="宋体" w:hint="eastAsia"/>
              </w:rPr>
              <w:t>350,127,827.18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9C42F5" w14:textId="77777777" w:rsidR="003A1A8C" w:rsidRDefault="003A1A8C">
            <w:pPr>
              <w:jc w:val="right"/>
            </w:pPr>
            <w:r>
              <w:rPr>
                <w:rFonts w:ascii="宋体" w:hAnsi="宋体" w:hint="eastAsia"/>
              </w:rPr>
              <w:t>965,429,622.70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C194A9" w14:textId="77777777" w:rsidR="003A1A8C" w:rsidRDefault="003A1A8C">
            <w:pPr>
              <w:jc w:val="right"/>
            </w:pPr>
            <w:r>
              <w:rPr>
                <w:rFonts w:ascii="宋体" w:hAnsi="宋体" w:hint="eastAsia"/>
              </w:rPr>
              <w:t>3,916,708.43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70E132" w14:textId="77777777" w:rsidR="003A1A8C" w:rsidRDefault="003A1A8C">
            <w:pPr>
              <w:jc w:val="right"/>
            </w:pPr>
            <w:r>
              <w:rPr>
                <w:rFonts w:ascii="宋体" w:hAnsi="宋体" w:hint="eastAsia"/>
              </w:rPr>
              <w:t>4,253,020.69</w:t>
            </w:r>
          </w:p>
        </w:tc>
      </w:tr>
      <w:tr w:rsidR="003851FF" w14:paraId="02294DEF" w14:textId="77777777">
        <w:trPr>
          <w:divId w:val="8411680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82BC61" w14:textId="77777777" w:rsidR="003A1A8C" w:rsidRDefault="003A1A8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81C661" w14:textId="77777777" w:rsidR="003A1A8C" w:rsidRDefault="003A1A8C">
            <w:pPr>
              <w:jc w:val="right"/>
            </w:pPr>
            <w:r>
              <w:rPr>
                <w:rFonts w:ascii="宋体" w:hAnsi="宋体" w:hint="eastAsia"/>
              </w:rPr>
              <w:t>293,013,513.56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A45BDD" w14:textId="77777777" w:rsidR="003A1A8C" w:rsidRDefault="003A1A8C">
            <w:pPr>
              <w:jc w:val="right"/>
            </w:pPr>
            <w:r>
              <w:rPr>
                <w:rFonts w:ascii="宋体" w:hAnsi="宋体" w:hint="eastAsia"/>
              </w:rPr>
              <w:t>126,061,821.02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652B51" w14:textId="77777777" w:rsidR="003A1A8C" w:rsidRDefault="003A1A8C">
            <w:pPr>
              <w:jc w:val="right"/>
            </w:pPr>
            <w:r>
              <w:rPr>
                <w:rFonts w:ascii="宋体" w:hAnsi="宋体" w:hint="eastAsia"/>
              </w:rPr>
              <w:t>6,992,509.53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3B89FC" w14:textId="77777777" w:rsidR="003A1A8C" w:rsidRDefault="003A1A8C">
            <w:pPr>
              <w:jc w:val="right"/>
            </w:pPr>
            <w:r>
              <w:rPr>
                <w:rFonts w:ascii="宋体" w:hAnsi="宋体" w:hint="eastAsia"/>
              </w:rPr>
              <w:t>3,553,543.82</w:t>
            </w:r>
          </w:p>
        </w:tc>
      </w:tr>
      <w:tr w:rsidR="003851FF" w14:paraId="3CDF4622" w14:textId="77777777">
        <w:trPr>
          <w:divId w:val="8411680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9F84F2" w14:textId="77777777" w:rsidR="003A1A8C" w:rsidRDefault="003A1A8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BBF774" w14:textId="77777777" w:rsidR="003A1A8C" w:rsidRDefault="003A1A8C">
            <w:pPr>
              <w:jc w:val="right"/>
            </w:pPr>
            <w:r>
              <w:rPr>
                <w:rFonts w:ascii="宋体" w:hAnsi="宋体" w:hint="eastAsia"/>
              </w:rPr>
              <w:t>71,495,364.96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110F2B" w14:textId="77777777" w:rsidR="003A1A8C" w:rsidRDefault="003A1A8C">
            <w:pPr>
              <w:jc w:val="right"/>
            </w:pPr>
            <w:r>
              <w:rPr>
                <w:rFonts w:ascii="宋体" w:hAnsi="宋体" w:hint="eastAsia"/>
              </w:rPr>
              <w:t>266,254,405.68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7FE712" w14:textId="77777777" w:rsidR="003A1A8C" w:rsidRDefault="003A1A8C">
            <w:pPr>
              <w:jc w:val="right"/>
            </w:pPr>
            <w:r>
              <w:rPr>
                <w:rFonts w:ascii="宋体" w:hAnsi="宋体" w:hint="eastAsia"/>
              </w:rPr>
              <w:t>3,158,326.64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D08085" w14:textId="77777777" w:rsidR="003A1A8C" w:rsidRDefault="003A1A8C">
            <w:pPr>
              <w:jc w:val="right"/>
            </w:pPr>
            <w:r>
              <w:rPr>
                <w:rFonts w:ascii="宋体" w:hAnsi="宋体" w:hint="eastAsia"/>
              </w:rPr>
              <w:t>543,758.55</w:t>
            </w:r>
          </w:p>
        </w:tc>
      </w:tr>
      <w:tr w:rsidR="003851FF" w14:paraId="582299BE" w14:textId="77777777">
        <w:trPr>
          <w:divId w:val="8411680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925BB2" w14:textId="77777777" w:rsidR="003A1A8C" w:rsidRDefault="003A1A8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报告期期间基金拆分变动份额（份额</w:t>
            </w:r>
            <w:r>
              <w:rPr>
                <w:rFonts w:ascii="宋体" w:hAnsi="宋体" w:cs="Times New Roman" w:hint="eastAsia"/>
                <w:kern w:val="2"/>
                <w:sz w:val="21"/>
              </w:rPr>
              <w:lastRenderedPageBreak/>
              <w:t xml:space="preserve">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D4913B" w14:textId="77777777" w:rsidR="003A1A8C" w:rsidRDefault="003A1A8C">
            <w:pPr>
              <w:jc w:val="right"/>
            </w:pPr>
            <w:r>
              <w:rPr>
                <w:rFonts w:ascii="宋体" w:hAnsi="宋体" w:hint="eastAsia"/>
              </w:rPr>
              <w:lastRenderedPageBreak/>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D46EE7" w14:textId="77777777" w:rsidR="003A1A8C" w:rsidRDefault="003A1A8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AF9877" w14:textId="77777777" w:rsidR="003A1A8C" w:rsidRDefault="003A1A8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78F382" w14:textId="77777777" w:rsidR="003A1A8C" w:rsidRDefault="003A1A8C">
            <w:pPr>
              <w:jc w:val="right"/>
            </w:pPr>
            <w:r>
              <w:rPr>
                <w:rFonts w:ascii="宋体" w:hAnsi="宋体" w:hint="eastAsia"/>
              </w:rPr>
              <w:t>-</w:t>
            </w:r>
          </w:p>
        </w:tc>
      </w:tr>
      <w:tr w:rsidR="003851FF" w14:paraId="210D0D4E" w14:textId="77777777">
        <w:trPr>
          <w:divId w:val="8411680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70EDDB" w14:textId="77777777" w:rsidR="003A1A8C" w:rsidRDefault="003A1A8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61D09D" w14:textId="77777777" w:rsidR="003A1A8C" w:rsidRDefault="003A1A8C">
            <w:pPr>
              <w:jc w:val="right"/>
            </w:pPr>
            <w:r>
              <w:rPr>
                <w:rFonts w:ascii="宋体" w:hAnsi="宋体" w:hint="eastAsia"/>
              </w:rPr>
              <w:t>571,645,975.78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8CD9A6" w14:textId="77777777" w:rsidR="003A1A8C" w:rsidRDefault="003A1A8C">
            <w:pPr>
              <w:jc w:val="right"/>
            </w:pPr>
            <w:r>
              <w:rPr>
                <w:rFonts w:ascii="宋体" w:hAnsi="宋体" w:hint="eastAsia"/>
              </w:rPr>
              <w:t>825,237,038.04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867B23" w14:textId="77777777" w:rsidR="003A1A8C" w:rsidRDefault="003A1A8C">
            <w:pPr>
              <w:jc w:val="right"/>
            </w:pPr>
            <w:r>
              <w:rPr>
                <w:rFonts w:ascii="宋体" w:hAnsi="宋体" w:hint="eastAsia"/>
              </w:rPr>
              <w:t>7,750,891.32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2EDE26" w14:textId="77777777" w:rsidR="003A1A8C" w:rsidRDefault="003A1A8C">
            <w:pPr>
              <w:jc w:val="right"/>
            </w:pPr>
            <w:r>
              <w:rPr>
                <w:rFonts w:ascii="宋体" w:hAnsi="宋体" w:hint="eastAsia"/>
              </w:rPr>
              <w:t>7,262,805.96</w:t>
            </w:r>
          </w:p>
        </w:tc>
      </w:tr>
    </w:tbl>
    <w:p w14:paraId="0CC43757" w14:textId="77777777" w:rsidR="003A1A8C" w:rsidRDefault="003A1A8C">
      <w:pPr>
        <w:spacing w:line="360" w:lineRule="auto"/>
        <w:jc w:val="left"/>
        <w:divId w:val="84116804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82"/>
      <w:r>
        <w:rPr>
          <w:rFonts w:ascii="宋体" w:hAnsi="宋体" w:hint="eastAsia"/>
        </w:rPr>
        <w:t xml:space="preserve"> </w:t>
      </w:r>
    </w:p>
    <w:p w14:paraId="5E8BC9D6" w14:textId="77777777" w:rsidR="003A1A8C" w:rsidRDefault="003A1A8C">
      <w:pPr>
        <w:pStyle w:val="XBRLTitle1"/>
        <w:spacing w:before="156"/>
        <w:ind w:left="425"/>
      </w:pPr>
      <w:bookmarkStart w:id="283" w:name="_Toc17881710"/>
      <w:bookmarkStart w:id="284" w:name="_Toc492299906"/>
      <w:bookmarkStart w:id="285" w:name="_Toc466644490"/>
      <w:bookmarkStart w:id="286" w:name="_Toc447872951"/>
      <w:bookmarkStart w:id="287" w:name="_Toc438646478"/>
      <w:bookmarkStart w:id="288" w:name="_Toc512627241"/>
      <w:bookmarkStart w:id="289" w:name="_Toc512694321"/>
      <w:bookmarkStart w:id="290" w:name="m7manage01"/>
      <w:bookmarkEnd w:id="280"/>
      <w:bookmarkEnd w:id="279"/>
      <w:proofErr w:type="spellStart"/>
      <w:r>
        <w:rPr>
          <w:rFonts w:hint="eastAsia"/>
        </w:rPr>
        <w:t>基金管理人运用固有资金投资本基金情况</w:t>
      </w:r>
      <w:bookmarkEnd w:id="283"/>
      <w:bookmarkEnd w:id="284"/>
      <w:bookmarkEnd w:id="285"/>
      <w:bookmarkEnd w:id="286"/>
      <w:bookmarkEnd w:id="287"/>
      <w:bookmarkEnd w:id="288"/>
      <w:bookmarkEnd w:id="289"/>
      <w:bookmarkEnd w:id="290"/>
      <w:proofErr w:type="spellEnd"/>
    </w:p>
    <w:p w14:paraId="33CB10A7" w14:textId="77777777" w:rsidR="003A1A8C" w:rsidRDefault="003A1A8C">
      <w:pPr>
        <w:pStyle w:val="XBRLTitle2"/>
        <w:spacing w:before="156"/>
        <w:ind w:left="454"/>
      </w:pPr>
      <w:bookmarkStart w:id="291" w:name="_Toc17881711"/>
      <w:bookmarkStart w:id="292" w:name="_Toc492299907"/>
      <w:bookmarkStart w:id="293" w:name="_Toc466644491"/>
      <w:bookmarkStart w:id="294" w:name="_Toc458599606"/>
      <w:bookmarkStart w:id="295" w:name="_Toc462325491"/>
      <w:bookmarkStart w:id="296" w:name="_Toc512627242"/>
      <w:bookmarkStart w:id="297" w:name="_Toc512694322"/>
      <w:proofErr w:type="spellStart"/>
      <w:r>
        <w:rPr>
          <w:rFonts w:hint="eastAsia"/>
        </w:rPr>
        <w:t>基金管理人持有本基金份额变动情况</w:t>
      </w:r>
      <w:bookmarkEnd w:id="291"/>
      <w:bookmarkEnd w:id="292"/>
      <w:bookmarkEnd w:id="293"/>
      <w:bookmarkEnd w:id="294"/>
      <w:bookmarkEnd w:id="295"/>
      <w:bookmarkEnd w:id="296"/>
      <w:bookmarkEnd w:id="297"/>
      <w:proofErr w:type="spellEnd"/>
      <w:r>
        <w:rPr>
          <w:rFonts w:hint="eastAsia"/>
          <w:lang w:eastAsia="zh-CN"/>
        </w:rPr>
        <w:t xml:space="preserve"> </w:t>
      </w:r>
    </w:p>
    <w:p w14:paraId="104A9E74" w14:textId="77777777" w:rsidR="003A1A8C" w:rsidRDefault="003A1A8C">
      <w:pPr>
        <w:spacing w:line="360" w:lineRule="auto"/>
        <w:ind w:firstLineChars="200" w:firstLine="420"/>
        <w:jc w:val="left"/>
        <w:divId w:val="2005354123"/>
      </w:pPr>
      <w:r>
        <w:rPr>
          <w:rFonts w:ascii="宋体" w:hAnsi="宋体" w:hint="eastAsia"/>
          <w:szCs w:val="21"/>
          <w:lang w:eastAsia="zh-Hans"/>
        </w:rPr>
        <w:t>无。</w:t>
      </w:r>
      <w:r>
        <w:rPr>
          <w:rFonts w:ascii="宋体" w:hAnsi="宋体" w:hint="eastAsia"/>
          <w:szCs w:val="21"/>
        </w:rPr>
        <w:t xml:space="preserve"> </w:t>
      </w:r>
    </w:p>
    <w:p w14:paraId="19AD7C12" w14:textId="77777777" w:rsidR="003A1A8C" w:rsidRDefault="003A1A8C">
      <w:pPr>
        <w:pStyle w:val="XBRLTitle2"/>
        <w:spacing w:before="156"/>
        <w:ind w:left="454"/>
      </w:pPr>
      <w:bookmarkStart w:id="298" w:name="_Toc17881712"/>
      <w:bookmarkStart w:id="299" w:name="_Toc492299908"/>
      <w:bookmarkStart w:id="300" w:name="_Toc466644492"/>
      <w:bookmarkStart w:id="301" w:name="_Toc458599607"/>
      <w:bookmarkStart w:id="302" w:name="_Toc462325492"/>
      <w:bookmarkStart w:id="303" w:name="_Toc512627243"/>
      <w:bookmarkStart w:id="304" w:name="_Toc512694323"/>
      <w:proofErr w:type="spellStart"/>
      <w:r>
        <w:rPr>
          <w:rFonts w:hint="eastAsia"/>
        </w:rPr>
        <w:t>基金管理人运用固有资金投资本基金交易明细</w:t>
      </w:r>
      <w:bookmarkEnd w:id="298"/>
      <w:bookmarkEnd w:id="299"/>
      <w:bookmarkEnd w:id="300"/>
      <w:bookmarkEnd w:id="301"/>
      <w:bookmarkEnd w:id="302"/>
      <w:bookmarkEnd w:id="303"/>
      <w:bookmarkEnd w:id="304"/>
      <w:proofErr w:type="spellEnd"/>
      <w:r>
        <w:rPr>
          <w:rFonts w:hint="eastAsia"/>
          <w:lang w:eastAsia="zh-CN"/>
        </w:rPr>
        <w:t xml:space="preserve"> </w:t>
      </w:r>
    </w:p>
    <w:p w14:paraId="2F7D6D4C" w14:textId="77777777" w:rsidR="003A1A8C" w:rsidRDefault="003A1A8C">
      <w:pPr>
        <w:spacing w:line="360" w:lineRule="auto"/>
        <w:ind w:firstLineChars="200" w:firstLine="420"/>
        <w:jc w:val="left"/>
        <w:divId w:val="1814325433"/>
      </w:pPr>
      <w:r>
        <w:rPr>
          <w:rFonts w:ascii="宋体" w:hAnsi="宋体" w:hint="eastAsia"/>
          <w:lang w:eastAsia="zh-Hans"/>
        </w:rPr>
        <w:t>无。</w:t>
      </w:r>
      <w:r>
        <w:rPr>
          <w:rFonts w:ascii="宋体" w:hAnsi="宋体" w:hint="eastAsia"/>
        </w:rPr>
        <w:t xml:space="preserve"> </w:t>
      </w:r>
    </w:p>
    <w:p w14:paraId="79D6BD45" w14:textId="77777777" w:rsidR="003A1A8C" w:rsidRDefault="003A1A8C">
      <w:pPr>
        <w:pStyle w:val="XBRLTitle1"/>
        <w:spacing w:before="156"/>
        <w:ind w:left="425"/>
      </w:pPr>
      <w:bookmarkStart w:id="305" w:name="_Toc17881714"/>
      <w:bookmarkStart w:id="306" w:name="_Toc479856294"/>
      <w:bookmarkStart w:id="307" w:name="_Toc492299909"/>
      <w:bookmarkStart w:id="308" w:name="_Toc512627244"/>
      <w:bookmarkStart w:id="309" w:name="_Toc512694324"/>
      <w:bookmarkStart w:id="310" w:name="m701"/>
      <w:proofErr w:type="spellStart"/>
      <w:r>
        <w:rPr>
          <w:rFonts w:hint="eastAsia"/>
        </w:rPr>
        <w:t>影响投资者决策的其他重要信息</w:t>
      </w:r>
      <w:bookmarkEnd w:id="305"/>
      <w:bookmarkEnd w:id="306"/>
      <w:bookmarkEnd w:id="307"/>
      <w:bookmarkEnd w:id="308"/>
      <w:bookmarkEnd w:id="309"/>
      <w:proofErr w:type="spellEnd"/>
      <w:r>
        <w:rPr>
          <w:rFonts w:hint="eastAsia"/>
          <w:lang w:eastAsia="zh-CN"/>
        </w:rPr>
        <w:t xml:space="preserve"> </w:t>
      </w:r>
    </w:p>
    <w:p w14:paraId="3E27F6E7" w14:textId="77777777" w:rsidR="003A1A8C" w:rsidRDefault="003A1A8C">
      <w:pPr>
        <w:pStyle w:val="XBRLTitle2"/>
        <w:spacing w:before="156"/>
        <w:ind w:left="454"/>
      </w:pPr>
      <w:bookmarkStart w:id="311" w:name="_Toc17881715"/>
      <w:bookmarkStart w:id="312" w:name="_Toc492299910"/>
      <w:bookmarkStart w:id="313" w:name="_Toc512627245"/>
      <w:bookmarkStart w:id="314" w:name="_Toc512694325"/>
      <w:r>
        <w:rPr>
          <w:rFonts w:hint="eastAsia"/>
          <w:kern w:val="0"/>
        </w:rPr>
        <w:t>报告期内单一投资者持有基金份额比例达到或超过20%的情况</w:t>
      </w:r>
      <w:bookmarkEnd w:id="311"/>
      <w:bookmarkEnd w:id="312"/>
      <w:bookmarkEnd w:id="313"/>
      <w:bookmarkEnd w:id="314"/>
      <w:r>
        <w:rPr>
          <w:rFonts w:hint="eastAsia"/>
          <w:kern w:val="0"/>
          <w:lang w:eastAsia="zh-CN"/>
        </w:rPr>
        <w:t xml:space="preserve"> </w:t>
      </w:r>
    </w:p>
    <w:bookmarkEnd w:id="37"/>
    <w:bookmarkEnd w:id="38"/>
    <w:bookmarkEnd w:id="21"/>
    <w:p w14:paraId="1E37D90E" w14:textId="77777777" w:rsidR="003A1A8C" w:rsidRDefault="003A1A8C">
      <w:pPr>
        <w:spacing w:line="360" w:lineRule="auto"/>
        <w:ind w:firstLineChars="200" w:firstLine="420"/>
        <w:divId w:val="981160462"/>
        <w:rPr>
          <w:rFonts w:ascii="宋体" w:hAnsi="宋体" w:hint="eastAsia"/>
          <w:szCs w:val="21"/>
          <w:lang w:eastAsia="zh-Hans"/>
        </w:rPr>
      </w:pPr>
      <w:r>
        <w:rPr>
          <w:rFonts w:ascii="宋体" w:hAnsi="宋体" w:hint="eastAsia"/>
          <w:szCs w:val="21"/>
          <w:lang w:eastAsia="zh-Hans"/>
        </w:rPr>
        <w:t>无。</w:t>
      </w:r>
    </w:p>
    <w:p w14:paraId="5F8EBF75" w14:textId="77777777" w:rsidR="003A1A8C" w:rsidRDefault="003A1A8C">
      <w:pPr>
        <w:pStyle w:val="XBRLTitle1"/>
        <w:spacing w:before="156"/>
        <w:ind w:left="425"/>
      </w:pPr>
      <w:bookmarkStart w:id="315" w:name="_Toc17881717"/>
      <w:bookmarkStart w:id="316" w:name="_Toc466644495"/>
      <w:bookmarkStart w:id="317" w:name="_Toc447872955"/>
      <w:bookmarkStart w:id="318" w:name="_Toc438646481"/>
      <w:bookmarkStart w:id="319" w:name="_Toc492299912"/>
      <w:bookmarkStart w:id="320" w:name="_Toc512627247"/>
      <w:bookmarkStart w:id="321" w:name="_Toc512694327"/>
      <w:bookmarkEnd w:id="310"/>
      <w:proofErr w:type="spellStart"/>
      <w:r>
        <w:rPr>
          <w:rFonts w:hint="eastAsia"/>
        </w:rPr>
        <w:t>备查文件目录</w:t>
      </w:r>
      <w:bookmarkEnd w:id="315"/>
      <w:bookmarkEnd w:id="316"/>
      <w:bookmarkEnd w:id="317"/>
      <w:bookmarkEnd w:id="318"/>
      <w:bookmarkEnd w:id="319"/>
      <w:bookmarkEnd w:id="320"/>
      <w:bookmarkEnd w:id="321"/>
      <w:proofErr w:type="spellEnd"/>
    </w:p>
    <w:p w14:paraId="0253CF63" w14:textId="77777777" w:rsidR="003A1A8C" w:rsidRDefault="003A1A8C">
      <w:pPr>
        <w:pStyle w:val="XBRLTitle2"/>
        <w:spacing w:before="156"/>
        <w:ind w:left="454"/>
      </w:pPr>
      <w:bookmarkStart w:id="322" w:name="_Toc438646482"/>
      <w:bookmarkStart w:id="323" w:name="_Toc17881718"/>
      <w:bookmarkStart w:id="324" w:name="_Toc492299913"/>
      <w:bookmarkStart w:id="325" w:name="_Toc466644496"/>
      <w:bookmarkStart w:id="326" w:name="_Toc447872956"/>
      <w:bookmarkStart w:id="327" w:name="_Toc512627248"/>
      <w:bookmarkStart w:id="328" w:name="_Toc512694328"/>
      <w:bookmarkStart w:id="329" w:name="m801_01_1733"/>
      <w:proofErr w:type="spellStart"/>
      <w:r>
        <w:rPr>
          <w:rFonts w:hAnsi="宋体" w:hint="eastAsia"/>
        </w:rPr>
        <w:t>备查文件目录</w:t>
      </w:r>
      <w:bookmarkEnd w:id="322"/>
      <w:bookmarkEnd w:id="323"/>
      <w:bookmarkEnd w:id="324"/>
      <w:bookmarkEnd w:id="325"/>
      <w:bookmarkEnd w:id="326"/>
      <w:bookmarkEnd w:id="327"/>
      <w:bookmarkEnd w:id="328"/>
      <w:proofErr w:type="spellEnd"/>
      <w:r>
        <w:rPr>
          <w:rFonts w:hAnsi="宋体" w:hint="eastAsia"/>
        </w:rPr>
        <w:t xml:space="preserve"> </w:t>
      </w:r>
    </w:p>
    <w:p w14:paraId="6447C14F" w14:textId="77777777" w:rsidR="003A1A8C" w:rsidRDefault="003A1A8C">
      <w:pPr>
        <w:spacing w:line="360" w:lineRule="auto"/>
        <w:ind w:firstLineChars="200" w:firstLine="420"/>
        <w:jc w:val="left"/>
      </w:pPr>
      <w:r>
        <w:rPr>
          <w:rFonts w:ascii="宋体" w:hAnsi="宋体" w:cs="宋体" w:hint="eastAsia"/>
          <w:color w:val="000000"/>
          <w:kern w:val="0"/>
        </w:rPr>
        <w:t>（一）中国证监会准予摩根中证A500交易型开放式指数证券投资基金联接基金募集注册的文件</w:t>
      </w:r>
      <w:r>
        <w:rPr>
          <w:rFonts w:ascii="宋体" w:hAnsi="宋体" w:cs="宋体" w:hint="eastAsia"/>
          <w:color w:val="000000"/>
          <w:kern w:val="0"/>
        </w:rPr>
        <w:br/>
        <w:t xml:space="preserve">　　（二）摩根中证A500交易型开放式指数证券投资基金联接基金基金合同</w:t>
      </w:r>
      <w:r>
        <w:rPr>
          <w:rFonts w:ascii="宋体" w:hAnsi="宋体" w:cs="宋体" w:hint="eastAsia"/>
          <w:color w:val="000000"/>
          <w:kern w:val="0"/>
        </w:rPr>
        <w:br/>
        <w:t xml:space="preserve">　　（三）摩根中证A500交易型开放式指数证券投资基金联接基金托管协议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FCFE452" w14:textId="77777777" w:rsidR="003A1A8C" w:rsidRDefault="003A1A8C">
      <w:pPr>
        <w:pStyle w:val="XBRLTitle2"/>
        <w:spacing w:before="156"/>
        <w:ind w:left="454"/>
      </w:pPr>
      <w:bookmarkStart w:id="330" w:name="_Toc438646483"/>
      <w:bookmarkStart w:id="331" w:name="_Toc17881719"/>
      <w:bookmarkStart w:id="332" w:name="_Toc492299914"/>
      <w:bookmarkStart w:id="333" w:name="_Toc466644497"/>
      <w:bookmarkStart w:id="334" w:name="_Toc447872957"/>
      <w:bookmarkStart w:id="335" w:name="_Toc512627249"/>
      <w:bookmarkStart w:id="336" w:name="_Toc512694329"/>
      <w:bookmarkStart w:id="337" w:name="m801_01_1734"/>
      <w:bookmarkEnd w:id="329"/>
      <w:proofErr w:type="spellStart"/>
      <w:r>
        <w:rPr>
          <w:rFonts w:hAnsi="宋体" w:hint="eastAsia"/>
        </w:rPr>
        <w:t>存放地点</w:t>
      </w:r>
      <w:bookmarkEnd w:id="330"/>
      <w:bookmarkEnd w:id="331"/>
      <w:bookmarkEnd w:id="332"/>
      <w:bookmarkEnd w:id="333"/>
      <w:bookmarkEnd w:id="334"/>
      <w:bookmarkEnd w:id="335"/>
      <w:bookmarkEnd w:id="336"/>
      <w:proofErr w:type="spellEnd"/>
      <w:r>
        <w:rPr>
          <w:rFonts w:hAnsi="宋体" w:hint="eastAsia"/>
        </w:rPr>
        <w:t xml:space="preserve"> </w:t>
      </w:r>
    </w:p>
    <w:p w14:paraId="5576E87E" w14:textId="77777777" w:rsidR="003A1A8C" w:rsidRDefault="003A1A8C">
      <w:pPr>
        <w:spacing w:line="360" w:lineRule="auto"/>
        <w:ind w:firstLineChars="200" w:firstLine="420"/>
        <w:jc w:val="left"/>
      </w:pPr>
      <w:r>
        <w:rPr>
          <w:rFonts w:ascii="宋体" w:hAnsi="宋体" w:cs="宋体" w:hint="eastAsia"/>
          <w:color w:val="000000"/>
          <w:kern w:val="0"/>
        </w:rPr>
        <w:t>基金管理人或基金托管人住所。</w:t>
      </w:r>
    </w:p>
    <w:p w14:paraId="4DC20749" w14:textId="77777777" w:rsidR="003A1A8C" w:rsidRDefault="003A1A8C">
      <w:pPr>
        <w:pStyle w:val="XBRLTitle2"/>
        <w:spacing w:before="156"/>
        <w:ind w:left="454"/>
      </w:pPr>
      <w:bookmarkStart w:id="338" w:name="_Toc438646484"/>
      <w:bookmarkStart w:id="339" w:name="_Toc17881720"/>
      <w:bookmarkStart w:id="340" w:name="_Toc492299915"/>
      <w:bookmarkStart w:id="341" w:name="_Toc466644498"/>
      <w:bookmarkStart w:id="342" w:name="_Toc447872958"/>
      <w:bookmarkStart w:id="343" w:name="_Toc512627250"/>
      <w:bookmarkStart w:id="344" w:name="_Toc512694330"/>
      <w:bookmarkStart w:id="345" w:name="m801_01_1735"/>
      <w:bookmarkEnd w:id="337"/>
      <w:proofErr w:type="spellStart"/>
      <w:r>
        <w:rPr>
          <w:rFonts w:hAnsi="宋体" w:hint="eastAsia"/>
        </w:rPr>
        <w:t>查阅方式</w:t>
      </w:r>
      <w:bookmarkEnd w:id="338"/>
      <w:bookmarkEnd w:id="339"/>
      <w:bookmarkEnd w:id="340"/>
      <w:bookmarkEnd w:id="341"/>
      <w:bookmarkEnd w:id="342"/>
      <w:bookmarkEnd w:id="343"/>
      <w:bookmarkEnd w:id="344"/>
      <w:proofErr w:type="spellEnd"/>
      <w:r>
        <w:rPr>
          <w:rFonts w:hAnsi="宋体" w:hint="eastAsia"/>
        </w:rPr>
        <w:t xml:space="preserve"> </w:t>
      </w:r>
    </w:p>
    <w:p w14:paraId="279E495F" w14:textId="77777777" w:rsidR="003A1A8C" w:rsidRDefault="003A1A8C">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2"/>
      <w:r>
        <w:rPr>
          <w:rFonts w:ascii="宋体" w:hAnsi="宋体" w:cs="宋体" w:hint="eastAsia"/>
          <w:color w:val="000000"/>
          <w:kern w:val="0"/>
        </w:rPr>
        <w:t xml:space="preserve"> </w:t>
      </w:r>
    </w:p>
    <w:bookmarkEnd w:id="345"/>
    <w:p w14:paraId="7E7190C8" w14:textId="77777777" w:rsidR="003A1A8C" w:rsidRDefault="003A1A8C">
      <w:pPr>
        <w:jc w:val="right"/>
        <w:rPr>
          <w:rFonts w:ascii="宋体" w:hAnsi="宋体" w:hint="eastAsia"/>
          <w:sz w:val="24"/>
        </w:rPr>
      </w:pPr>
      <w:r>
        <w:rPr>
          <w:rFonts w:ascii="宋体" w:hAnsi="宋体" w:hint="eastAsia"/>
          <w:sz w:val="24"/>
        </w:rPr>
        <w:t xml:space="preserve">　 </w:t>
      </w:r>
    </w:p>
    <w:p w14:paraId="65CC4F9A" w14:textId="77777777" w:rsidR="003A1A8C" w:rsidRDefault="003A1A8C">
      <w:pPr>
        <w:ind w:firstLineChars="600" w:firstLine="1687"/>
        <w:jc w:val="left"/>
      </w:pPr>
      <w:r>
        <w:rPr>
          <w:rFonts w:ascii="宋体" w:hAnsi="宋体" w:hint="eastAsia"/>
          <w:b/>
          <w:bCs/>
          <w:sz w:val="28"/>
          <w:szCs w:val="30"/>
        </w:rPr>
        <w:t xml:space="preserve">　 </w:t>
      </w:r>
    </w:p>
    <w:p w14:paraId="6A16A607" w14:textId="77777777" w:rsidR="003A1A8C" w:rsidRDefault="003A1A8C">
      <w:pPr>
        <w:ind w:firstLineChars="600" w:firstLine="1446"/>
        <w:jc w:val="right"/>
      </w:pPr>
      <w:r>
        <w:rPr>
          <w:rFonts w:ascii="宋体" w:hAnsi="宋体" w:hint="eastAsia"/>
          <w:b/>
          <w:bCs/>
          <w:sz w:val="24"/>
          <w:szCs w:val="24"/>
        </w:rPr>
        <w:t>摩根基金管理（中国）有限公司</w:t>
      </w:r>
    </w:p>
    <w:p w14:paraId="01EC47A5" w14:textId="77777777" w:rsidR="003A1A8C" w:rsidRDefault="003A1A8C">
      <w:pPr>
        <w:ind w:firstLineChars="600" w:firstLine="1446"/>
        <w:jc w:val="right"/>
      </w:pPr>
      <w:r>
        <w:rPr>
          <w:rFonts w:ascii="宋体" w:hAnsi="宋体" w:hint="eastAsia"/>
          <w:b/>
          <w:bCs/>
          <w:sz w:val="24"/>
          <w:szCs w:val="24"/>
        </w:rPr>
        <w:t>2026年1月22日</w:t>
      </w:r>
    </w:p>
    <w:sectPr w:rsidR="003A1A8C">
      <w:headerReference w:type="default" r:id="rId12"/>
      <w:footerReference w:type="defaul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573B" w14:textId="77777777" w:rsidR="003A1A8C" w:rsidRDefault="003A1A8C">
      <w:pPr>
        <w:rPr>
          <w:szCs w:val="21"/>
        </w:rPr>
      </w:pPr>
      <w:r>
        <w:rPr>
          <w:szCs w:val="21"/>
        </w:rPr>
        <w:separator/>
      </w:r>
      <w:r>
        <w:rPr>
          <w:szCs w:val="21"/>
        </w:rPr>
        <w:t xml:space="preserve"> </w:t>
      </w:r>
    </w:p>
  </w:endnote>
  <w:endnote w:type="continuationSeparator" w:id="0">
    <w:p w14:paraId="63F859DC" w14:textId="77777777" w:rsidR="003A1A8C" w:rsidRDefault="003A1A8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CFCA" w14:textId="77777777" w:rsidR="003A1A8C" w:rsidRDefault="003A1A8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C9E9" w14:textId="77777777" w:rsidR="003A1A8C" w:rsidRDefault="003A1A8C">
      <w:pPr>
        <w:rPr>
          <w:szCs w:val="21"/>
        </w:rPr>
      </w:pPr>
      <w:r>
        <w:rPr>
          <w:szCs w:val="21"/>
        </w:rPr>
        <w:separator/>
      </w:r>
      <w:r>
        <w:rPr>
          <w:szCs w:val="21"/>
        </w:rPr>
        <w:t xml:space="preserve"> </w:t>
      </w:r>
    </w:p>
  </w:footnote>
  <w:footnote w:type="continuationSeparator" w:id="0">
    <w:p w14:paraId="7F06B864" w14:textId="77777777" w:rsidR="003A1A8C" w:rsidRDefault="003A1A8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9D7C" w14:textId="77777777" w:rsidR="003A1A8C" w:rsidRDefault="003A1A8C">
    <w:pPr>
      <w:pStyle w:val="aa"/>
      <w:jc w:val="right"/>
    </w:pPr>
    <w:r>
      <w:rPr>
        <w:rFonts w:ascii="宋体" w:hAnsi="宋体" w:hint="eastAsia"/>
      </w:rPr>
      <w:t>摩根中证A500交易型开放式指数证券投资基金联接基金2025年第4季度报告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A332285A"/>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suff w:val="space"/>
      <w:lvlText w:val="%1.%2.%3"/>
      <w:lvlJc w:val="left"/>
      <w:pPr>
        <w:ind w:left="908"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34319770">
    <w:abstractNumId w:val="0"/>
  </w:num>
  <w:num w:numId="2" w16cid:durableId="1061947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1064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8C"/>
    <w:rsid w:val="00110EA9"/>
    <w:rsid w:val="003851FF"/>
    <w:rsid w:val="003A1A8C"/>
    <w:rsid w:val="00B669B1"/>
    <w:rsid w:val="00F9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8049533"/>
  <w15:chartTrackingRefBased/>
  <w15:docId w15:val="{66DC7C06-A64A-41D4-815B-67C181E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annotation text"/>
    <w:basedOn w:val="a"/>
    <w:link w:val="13"/>
    <w:uiPriority w:val="99"/>
    <w:semiHidden/>
    <w:unhideWhenUsed/>
    <w:pPr>
      <w:jc w:val="left"/>
    </w:pPr>
  </w:style>
  <w:style w:type="character" w:customStyle="1" w:styleId="a9">
    <w:name w:val="批注文字 字符"/>
    <w:basedOn w:val="a0"/>
    <w:uiPriority w:val="99"/>
    <w:semiHidden/>
    <w:rPr>
      <w:kern w:val="2"/>
      <w:sz w:val="21"/>
    </w:rPr>
  </w:style>
  <w:style w:type="paragraph" w:styleId="aa">
    <w:name w:val="header"/>
    <w:basedOn w:val="a"/>
    <w:link w:val="14"/>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rPr>
      <w:kern w:val="2"/>
      <w:sz w:val="18"/>
      <w:szCs w:val="18"/>
    </w:rPr>
  </w:style>
  <w:style w:type="paragraph" w:styleId="ac">
    <w:name w:val="footer"/>
    <w:basedOn w:val="a"/>
    <w:link w:val="15"/>
    <w:uiPriority w:val="99"/>
    <w:pPr>
      <w:tabs>
        <w:tab w:val="center" w:pos="4153"/>
        <w:tab w:val="right" w:pos="8306"/>
      </w:tabs>
      <w:snapToGrid w:val="0"/>
      <w:jc w:val="left"/>
    </w:pPr>
    <w:rPr>
      <w:sz w:val="18"/>
      <w:szCs w:val="18"/>
    </w:rPr>
  </w:style>
  <w:style w:type="character" w:customStyle="1" w:styleId="ad">
    <w:name w:val="页脚 字符"/>
    <w:basedOn w:val="a0"/>
    <w:uiPriority w:val="99"/>
    <w:rPr>
      <w:kern w:val="2"/>
      <w:sz w:val="18"/>
      <w:szCs w:val="18"/>
    </w:rPr>
  </w:style>
  <w:style w:type="paragraph" w:styleId="ae">
    <w:name w:val="Title"/>
    <w:basedOn w:val="1"/>
    <w:next w:val="2"/>
    <w:link w:val="16"/>
    <w:uiPriority w:val="10"/>
    <w:qFormat/>
    <w:pPr>
      <w:keepNext w:val="0"/>
      <w:keepLines w:val="0"/>
      <w:spacing w:before="240" w:after="60" w:line="240" w:lineRule="auto"/>
      <w:jc w:val="center"/>
    </w:pPr>
    <w:rPr>
      <w:rFonts w:ascii="Cambria" w:hAnsi="Cambria"/>
      <w:kern w:val="0"/>
      <w:sz w:val="32"/>
      <w:szCs w:val="32"/>
    </w:rPr>
  </w:style>
  <w:style w:type="character" w:customStyle="1" w:styleId="af">
    <w:name w:val="标题 字符"/>
    <w:basedOn w:val="a0"/>
    <w:uiPriority w:val="10"/>
    <w:rPr>
      <w:rFonts w:asciiTheme="majorHAnsi" w:eastAsiaTheme="majorEastAsia" w:hAnsiTheme="majorHAnsi" w:cstheme="majorBidi"/>
      <w:spacing w:val="-10"/>
      <w:kern w:val="28"/>
      <w:sz w:val="56"/>
      <w:szCs w:val="56"/>
    </w:rPr>
  </w:style>
  <w:style w:type="paragraph" w:styleId="af0">
    <w:name w:val="Subtitle"/>
    <w:basedOn w:val="2"/>
    <w:next w:val="3"/>
    <w:link w:val="17"/>
    <w:qFormat/>
    <w:pPr>
      <w:spacing w:before="240" w:after="60" w:line="312" w:lineRule="auto"/>
      <w:jc w:val="left"/>
    </w:pPr>
    <w:rPr>
      <w:rFonts w:cs="Times New Roman"/>
      <w:bCs w:val="0"/>
      <w:kern w:val="28"/>
      <w:sz w:val="24"/>
    </w:rPr>
  </w:style>
  <w:style w:type="character" w:customStyle="1" w:styleId="af1">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2">
    <w:name w:val="Date"/>
    <w:basedOn w:val="a"/>
    <w:next w:val="a"/>
    <w:link w:val="18"/>
    <w:rPr>
      <w:rFonts w:ascii="宋体"/>
      <w:sz w:val="32"/>
      <w:lang w:val="x-none" w:eastAsia="x-none"/>
    </w:rPr>
  </w:style>
  <w:style w:type="character" w:customStyle="1" w:styleId="af3">
    <w:name w:val="日期 字符"/>
    <w:basedOn w:val="a0"/>
    <w:rPr>
      <w:kern w:val="2"/>
      <w:sz w:val="21"/>
    </w:rPr>
  </w:style>
  <w:style w:type="paragraph" w:styleId="af4">
    <w:name w:val="Document Map"/>
    <w:basedOn w:val="a"/>
    <w:link w:val="19"/>
    <w:pPr>
      <w:shd w:val="clear" w:color="auto" w:fill="000080"/>
    </w:pPr>
  </w:style>
  <w:style w:type="character" w:customStyle="1" w:styleId="af5">
    <w:name w:val="文档结构图 字符"/>
    <w:basedOn w:val="a0"/>
    <w:rPr>
      <w:rFonts w:ascii="Microsoft YaHei UI" w:eastAsia="Microsoft YaHei UI"/>
      <w:kern w:val="2"/>
      <w:sz w:val="18"/>
      <w:szCs w:val="18"/>
    </w:rPr>
  </w:style>
  <w:style w:type="paragraph" w:styleId="af6">
    <w:name w:val="Balloon Text"/>
    <w:basedOn w:val="a"/>
    <w:link w:val="1a"/>
    <w:uiPriority w:val="99"/>
    <w:semiHidden/>
    <w:unhideWhenUsed/>
    <w:rPr>
      <w:sz w:val="18"/>
      <w:szCs w:val="18"/>
    </w:rPr>
  </w:style>
  <w:style w:type="character" w:customStyle="1" w:styleId="af7">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f0"/>
    <w:next w:val="4"/>
    <w:qFormat/>
    <w:pPr>
      <w:numPr>
        <w:ilvl w:val="5"/>
        <w:numId w:val="2"/>
      </w:numPr>
      <w:spacing w:beforeLines="50" w:before="0" w:after="0" w:line="240" w:lineRule="auto"/>
      <w:ind w:left="2042"/>
      <w:outlineLvl w:val="9"/>
    </w:pPr>
    <w:rPr>
      <w:bCs/>
    </w:rPr>
  </w:style>
  <w:style w:type="paragraph" w:customStyle="1" w:styleId="af8">
    <w:name w:val="次标题"/>
    <w:basedOn w:val="3"/>
    <w:next w:val="a"/>
    <w:pPr>
      <w:spacing w:before="120" w:after="120"/>
      <w:jc w:val="left"/>
    </w:pPr>
    <w:rPr>
      <w:rFonts w:ascii="宋体" w:hAnsi="宋体"/>
      <w:sz w:val="21"/>
    </w:rPr>
  </w:style>
  <w:style w:type="paragraph" w:customStyle="1" w:styleId="XBRL6">
    <w:name w:val="XBRL标题6"/>
    <w:basedOn w:val="af0"/>
    <w:next w:val="4"/>
    <w:qFormat/>
    <w:pPr>
      <w:spacing w:beforeLines="50" w:before="0" w:after="0" w:line="240" w:lineRule="auto"/>
      <w:outlineLvl w:val="9"/>
    </w:pPr>
    <w:rPr>
      <w:bCs/>
    </w:rPr>
  </w:style>
  <w:style w:type="paragraph" w:customStyle="1" w:styleId="XBRL2">
    <w:name w:val="XBRL标题2"/>
    <w:basedOn w:val="af0"/>
    <w:next w:val="4"/>
    <w:qFormat/>
    <w:pPr>
      <w:spacing w:beforeLines="50" w:before="0" w:after="0" w:line="240" w:lineRule="auto"/>
    </w:pPr>
    <w:rPr>
      <w:bCs/>
    </w:rPr>
  </w:style>
  <w:style w:type="paragraph" w:customStyle="1" w:styleId="XBRL3">
    <w:name w:val="XBRL标题3"/>
    <w:basedOn w:val="af0"/>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f0"/>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f0"/>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f0"/>
    <w:next w:val="4"/>
    <w:qFormat/>
    <w:pPr>
      <w:spacing w:beforeLines="50" w:before="0" w:after="0" w:line="240" w:lineRule="auto"/>
      <w:outlineLvl w:val="9"/>
    </w:pPr>
    <w:rPr>
      <w:bCs/>
    </w:rPr>
  </w:style>
  <w:style w:type="paragraph" w:customStyle="1" w:styleId="XBRL4">
    <w:name w:val="XBRL标题4"/>
    <w:basedOn w:val="af0"/>
    <w:next w:val="4"/>
    <w:qFormat/>
    <w:pPr>
      <w:spacing w:beforeLines="50" w:before="0" w:after="0" w:line="240" w:lineRule="auto"/>
      <w:outlineLvl w:val="9"/>
    </w:pPr>
    <w:rPr>
      <w:bCs/>
    </w:rPr>
  </w:style>
  <w:style w:type="paragraph" w:customStyle="1" w:styleId="XBRLTitle4">
    <w:name w:val="XBRLTitle4"/>
    <w:basedOn w:val="af0"/>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f0"/>
    <w:next w:val="4"/>
    <w:autoRedefine/>
    <w:qFormat/>
    <w:pPr>
      <w:keepNext w:val="0"/>
      <w:keepLines w:val="0"/>
      <w:spacing w:beforeLines="50" w:before="0" w:after="0" w:line="240" w:lineRule="auto"/>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9">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批注文字 字符1"/>
    <w:basedOn w:val="a0"/>
    <w:link w:val="a8"/>
    <w:uiPriority w:val="99"/>
    <w:semiHidden/>
    <w:locked/>
    <w:rPr>
      <w:kern w:val="2"/>
      <w:sz w:val="21"/>
    </w:rPr>
  </w:style>
  <w:style w:type="character" w:customStyle="1" w:styleId="14">
    <w:name w:val="页眉 字符1"/>
    <w:basedOn w:val="a0"/>
    <w:link w:val="aa"/>
    <w:locked/>
    <w:rPr>
      <w:kern w:val="2"/>
      <w:sz w:val="18"/>
      <w:szCs w:val="18"/>
    </w:rPr>
  </w:style>
  <w:style w:type="character" w:customStyle="1" w:styleId="15">
    <w:name w:val="页脚 字符1"/>
    <w:basedOn w:val="a0"/>
    <w:link w:val="ac"/>
    <w:uiPriority w:val="99"/>
    <w:locked/>
    <w:rPr>
      <w:kern w:val="2"/>
      <w:sz w:val="18"/>
      <w:szCs w:val="18"/>
    </w:rPr>
  </w:style>
  <w:style w:type="character" w:customStyle="1" w:styleId="16">
    <w:name w:val="标题 字符1"/>
    <w:link w:val="ae"/>
    <w:uiPriority w:val="10"/>
    <w:locked/>
    <w:rPr>
      <w:rFonts w:ascii="Cambria" w:hAnsi="Cambria" w:cs="Times New Roman" w:hint="default"/>
      <w:b/>
      <w:bCs/>
      <w:sz w:val="32"/>
      <w:szCs w:val="32"/>
    </w:rPr>
  </w:style>
  <w:style w:type="character" w:customStyle="1" w:styleId="17">
    <w:name w:val="副标题 字符1"/>
    <w:link w:val="af0"/>
    <w:locked/>
    <w:rPr>
      <w:rFonts w:ascii="Cambria" w:eastAsia="宋体" w:hAnsi="Cambria" w:cs="Times New Roman" w:hint="default"/>
      <w:b/>
      <w:bCs w:val="0"/>
      <w:kern w:val="28"/>
      <w:sz w:val="24"/>
      <w:szCs w:val="32"/>
    </w:rPr>
  </w:style>
  <w:style w:type="character" w:customStyle="1" w:styleId="18">
    <w:name w:val="日期 字符1"/>
    <w:link w:val="af2"/>
    <w:locked/>
    <w:rPr>
      <w:rFonts w:ascii="宋体" w:eastAsia="宋体" w:hAnsi="宋体" w:hint="eastAsia"/>
      <w:kern w:val="2"/>
      <w:sz w:val="32"/>
    </w:rPr>
  </w:style>
  <w:style w:type="character" w:customStyle="1" w:styleId="19">
    <w:name w:val="文档结构图 字符1"/>
    <w:basedOn w:val="a0"/>
    <w:link w:val="af4"/>
    <w:locked/>
    <w:rPr>
      <w:rFonts w:ascii="宋体" w:eastAsia="宋体" w:hAnsi="宋体" w:hint="eastAsia"/>
      <w:kern w:val="2"/>
      <w:sz w:val="18"/>
      <w:szCs w:val="18"/>
    </w:rPr>
  </w:style>
  <w:style w:type="character" w:customStyle="1" w:styleId="1a">
    <w:name w:val="批注框文本 字符1"/>
    <w:basedOn w:val="a0"/>
    <w:link w:val="af6"/>
    <w:uiPriority w:val="99"/>
    <w:semiHidden/>
    <w:locked/>
    <w:rPr>
      <w:kern w:val="2"/>
      <w:sz w:val="18"/>
      <w:szCs w:val="18"/>
    </w:rPr>
  </w:style>
  <w:style w:type="table" w:styleId="afa">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grame">
    <w:name w:val="grame"/>
    <w:basedOn w:val="a0"/>
  </w:style>
  <w:style w:type="character" w:customStyle="1" w:styleId="Char0">
    <w:name w:val="页眉 Char"/>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2897">
      <w:marLeft w:val="0"/>
      <w:marRight w:val="0"/>
      <w:marTop w:val="0"/>
      <w:marBottom w:val="0"/>
      <w:divBdr>
        <w:top w:val="none" w:sz="0" w:space="0" w:color="auto"/>
        <w:left w:val="none" w:sz="0" w:space="0" w:color="auto"/>
        <w:bottom w:val="none" w:sz="0" w:space="0" w:color="auto"/>
        <w:right w:val="none" w:sz="0" w:space="0" w:color="auto"/>
      </w:divBdr>
    </w:div>
    <w:div w:id="171341385">
      <w:marLeft w:val="0"/>
      <w:marRight w:val="0"/>
      <w:marTop w:val="0"/>
      <w:marBottom w:val="0"/>
      <w:divBdr>
        <w:top w:val="none" w:sz="0" w:space="0" w:color="auto"/>
        <w:left w:val="none" w:sz="0" w:space="0" w:color="auto"/>
        <w:bottom w:val="none" w:sz="0" w:space="0" w:color="auto"/>
        <w:right w:val="none" w:sz="0" w:space="0" w:color="auto"/>
      </w:divBdr>
      <w:divsChild>
        <w:div w:id="704717026">
          <w:marLeft w:val="0"/>
          <w:marRight w:val="0"/>
          <w:marTop w:val="0"/>
          <w:marBottom w:val="0"/>
          <w:divBdr>
            <w:top w:val="none" w:sz="0" w:space="0" w:color="auto"/>
            <w:left w:val="none" w:sz="0" w:space="0" w:color="auto"/>
            <w:bottom w:val="none" w:sz="0" w:space="0" w:color="auto"/>
            <w:right w:val="none" w:sz="0" w:space="0" w:color="auto"/>
          </w:divBdr>
        </w:div>
      </w:divsChild>
    </w:div>
    <w:div w:id="364260145">
      <w:marLeft w:val="0"/>
      <w:marRight w:val="0"/>
      <w:marTop w:val="0"/>
      <w:marBottom w:val="0"/>
      <w:divBdr>
        <w:top w:val="none" w:sz="0" w:space="0" w:color="auto"/>
        <w:left w:val="none" w:sz="0" w:space="0" w:color="auto"/>
        <w:bottom w:val="none" w:sz="0" w:space="0" w:color="auto"/>
        <w:right w:val="none" w:sz="0" w:space="0" w:color="auto"/>
      </w:divBdr>
      <w:divsChild>
        <w:div w:id="1348828806">
          <w:marLeft w:val="0"/>
          <w:marRight w:val="0"/>
          <w:marTop w:val="0"/>
          <w:marBottom w:val="0"/>
          <w:divBdr>
            <w:top w:val="none" w:sz="0" w:space="0" w:color="auto"/>
            <w:left w:val="none" w:sz="0" w:space="0" w:color="auto"/>
            <w:bottom w:val="none" w:sz="0" w:space="0" w:color="auto"/>
            <w:right w:val="none" w:sz="0" w:space="0" w:color="auto"/>
          </w:divBdr>
        </w:div>
      </w:divsChild>
    </w:div>
    <w:div w:id="401299167">
      <w:marLeft w:val="0"/>
      <w:marRight w:val="0"/>
      <w:marTop w:val="0"/>
      <w:marBottom w:val="0"/>
      <w:divBdr>
        <w:top w:val="none" w:sz="0" w:space="0" w:color="auto"/>
        <w:left w:val="none" w:sz="0" w:space="0" w:color="auto"/>
        <w:bottom w:val="none" w:sz="0" w:space="0" w:color="auto"/>
        <w:right w:val="none" w:sz="0" w:space="0" w:color="auto"/>
      </w:divBdr>
      <w:divsChild>
        <w:div w:id="1132750966">
          <w:marLeft w:val="0"/>
          <w:marRight w:val="0"/>
          <w:marTop w:val="0"/>
          <w:marBottom w:val="0"/>
          <w:divBdr>
            <w:top w:val="none" w:sz="0" w:space="0" w:color="auto"/>
            <w:left w:val="none" w:sz="0" w:space="0" w:color="auto"/>
            <w:bottom w:val="none" w:sz="0" w:space="0" w:color="auto"/>
            <w:right w:val="none" w:sz="0" w:space="0" w:color="auto"/>
          </w:divBdr>
        </w:div>
      </w:divsChild>
    </w:div>
    <w:div w:id="488594097">
      <w:marLeft w:val="0"/>
      <w:marRight w:val="0"/>
      <w:marTop w:val="0"/>
      <w:marBottom w:val="0"/>
      <w:divBdr>
        <w:top w:val="none" w:sz="0" w:space="0" w:color="auto"/>
        <w:left w:val="none" w:sz="0" w:space="0" w:color="auto"/>
        <w:bottom w:val="none" w:sz="0" w:space="0" w:color="auto"/>
        <w:right w:val="none" w:sz="0" w:space="0" w:color="auto"/>
      </w:divBdr>
    </w:div>
    <w:div w:id="538320058">
      <w:marLeft w:val="0"/>
      <w:marRight w:val="0"/>
      <w:marTop w:val="0"/>
      <w:marBottom w:val="0"/>
      <w:divBdr>
        <w:top w:val="none" w:sz="0" w:space="0" w:color="auto"/>
        <w:left w:val="none" w:sz="0" w:space="0" w:color="auto"/>
        <w:bottom w:val="none" w:sz="0" w:space="0" w:color="auto"/>
        <w:right w:val="none" w:sz="0" w:space="0" w:color="auto"/>
      </w:divBdr>
    </w:div>
    <w:div w:id="599140745">
      <w:marLeft w:val="0"/>
      <w:marRight w:val="0"/>
      <w:marTop w:val="0"/>
      <w:marBottom w:val="0"/>
      <w:divBdr>
        <w:top w:val="none" w:sz="0" w:space="0" w:color="auto"/>
        <w:left w:val="none" w:sz="0" w:space="0" w:color="auto"/>
        <w:bottom w:val="none" w:sz="0" w:space="0" w:color="auto"/>
        <w:right w:val="none" w:sz="0" w:space="0" w:color="auto"/>
      </w:divBdr>
      <w:divsChild>
        <w:div w:id="563417320">
          <w:marLeft w:val="0"/>
          <w:marRight w:val="0"/>
          <w:marTop w:val="0"/>
          <w:marBottom w:val="0"/>
          <w:divBdr>
            <w:top w:val="none" w:sz="0" w:space="0" w:color="auto"/>
            <w:left w:val="none" w:sz="0" w:space="0" w:color="auto"/>
            <w:bottom w:val="none" w:sz="0" w:space="0" w:color="auto"/>
            <w:right w:val="none" w:sz="0" w:space="0" w:color="auto"/>
          </w:divBdr>
        </w:div>
      </w:divsChild>
    </w:div>
    <w:div w:id="764351292">
      <w:marLeft w:val="0"/>
      <w:marRight w:val="0"/>
      <w:marTop w:val="0"/>
      <w:marBottom w:val="0"/>
      <w:divBdr>
        <w:top w:val="none" w:sz="0" w:space="0" w:color="auto"/>
        <w:left w:val="none" w:sz="0" w:space="0" w:color="auto"/>
        <w:bottom w:val="none" w:sz="0" w:space="0" w:color="auto"/>
        <w:right w:val="none" w:sz="0" w:space="0" w:color="auto"/>
      </w:divBdr>
    </w:div>
    <w:div w:id="841168049">
      <w:marLeft w:val="0"/>
      <w:marRight w:val="0"/>
      <w:marTop w:val="0"/>
      <w:marBottom w:val="0"/>
      <w:divBdr>
        <w:top w:val="none" w:sz="0" w:space="0" w:color="auto"/>
        <w:left w:val="none" w:sz="0" w:space="0" w:color="auto"/>
        <w:bottom w:val="none" w:sz="0" w:space="0" w:color="auto"/>
        <w:right w:val="none" w:sz="0" w:space="0" w:color="auto"/>
      </w:divBdr>
    </w:div>
    <w:div w:id="856236340">
      <w:marLeft w:val="0"/>
      <w:marRight w:val="0"/>
      <w:marTop w:val="0"/>
      <w:marBottom w:val="0"/>
      <w:divBdr>
        <w:top w:val="none" w:sz="0" w:space="0" w:color="auto"/>
        <w:left w:val="none" w:sz="0" w:space="0" w:color="auto"/>
        <w:bottom w:val="none" w:sz="0" w:space="0" w:color="auto"/>
        <w:right w:val="none" w:sz="0" w:space="0" w:color="auto"/>
      </w:divBdr>
      <w:divsChild>
        <w:div w:id="435488570">
          <w:marLeft w:val="0"/>
          <w:marRight w:val="0"/>
          <w:marTop w:val="0"/>
          <w:marBottom w:val="0"/>
          <w:divBdr>
            <w:top w:val="none" w:sz="0" w:space="0" w:color="auto"/>
            <w:left w:val="none" w:sz="0" w:space="0" w:color="auto"/>
            <w:bottom w:val="none" w:sz="0" w:space="0" w:color="auto"/>
            <w:right w:val="none" w:sz="0" w:space="0" w:color="auto"/>
          </w:divBdr>
        </w:div>
        <w:div w:id="1030766708">
          <w:marLeft w:val="0"/>
          <w:marRight w:val="0"/>
          <w:marTop w:val="0"/>
          <w:marBottom w:val="0"/>
          <w:divBdr>
            <w:top w:val="none" w:sz="0" w:space="0" w:color="auto"/>
            <w:left w:val="none" w:sz="0" w:space="0" w:color="auto"/>
            <w:bottom w:val="none" w:sz="0" w:space="0" w:color="auto"/>
            <w:right w:val="none" w:sz="0" w:space="0" w:color="auto"/>
          </w:divBdr>
        </w:div>
        <w:div w:id="1429737239">
          <w:marLeft w:val="0"/>
          <w:marRight w:val="0"/>
          <w:marTop w:val="0"/>
          <w:marBottom w:val="0"/>
          <w:divBdr>
            <w:top w:val="none" w:sz="0" w:space="0" w:color="auto"/>
            <w:left w:val="none" w:sz="0" w:space="0" w:color="auto"/>
            <w:bottom w:val="none" w:sz="0" w:space="0" w:color="auto"/>
            <w:right w:val="none" w:sz="0" w:space="0" w:color="auto"/>
          </w:divBdr>
        </w:div>
        <w:div w:id="418646855">
          <w:marLeft w:val="0"/>
          <w:marRight w:val="0"/>
          <w:marTop w:val="0"/>
          <w:marBottom w:val="0"/>
          <w:divBdr>
            <w:top w:val="none" w:sz="0" w:space="0" w:color="auto"/>
            <w:left w:val="none" w:sz="0" w:space="0" w:color="auto"/>
            <w:bottom w:val="none" w:sz="0" w:space="0" w:color="auto"/>
            <w:right w:val="none" w:sz="0" w:space="0" w:color="auto"/>
          </w:divBdr>
        </w:div>
      </w:divsChild>
    </w:div>
    <w:div w:id="864441738">
      <w:marLeft w:val="0"/>
      <w:marRight w:val="0"/>
      <w:marTop w:val="0"/>
      <w:marBottom w:val="0"/>
      <w:divBdr>
        <w:top w:val="none" w:sz="0" w:space="0" w:color="auto"/>
        <w:left w:val="none" w:sz="0" w:space="0" w:color="auto"/>
        <w:bottom w:val="none" w:sz="0" w:space="0" w:color="auto"/>
        <w:right w:val="none" w:sz="0" w:space="0" w:color="auto"/>
      </w:divBdr>
    </w:div>
    <w:div w:id="981160462">
      <w:marLeft w:val="0"/>
      <w:marRight w:val="0"/>
      <w:marTop w:val="0"/>
      <w:marBottom w:val="0"/>
      <w:divBdr>
        <w:top w:val="none" w:sz="0" w:space="0" w:color="auto"/>
        <w:left w:val="none" w:sz="0" w:space="0" w:color="auto"/>
        <w:bottom w:val="none" w:sz="0" w:space="0" w:color="auto"/>
        <w:right w:val="none" w:sz="0" w:space="0" w:color="auto"/>
      </w:divBdr>
    </w:div>
    <w:div w:id="1088111252">
      <w:marLeft w:val="0"/>
      <w:marRight w:val="0"/>
      <w:marTop w:val="0"/>
      <w:marBottom w:val="0"/>
      <w:divBdr>
        <w:top w:val="none" w:sz="0" w:space="0" w:color="auto"/>
        <w:left w:val="none" w:sz="0" w:space="0" w:color="auto"/>
        <w:bottom w:val="none" w:sz="0" w:space="0" w:color="auto"/>
        <w:right w:val="none" w:sz="0" w:space="0" w:color="auto"/>
      </w:divBdr>
      <w:divsChild>
        <w:div w:id="937640055">
          <w:marLeft w:val="0"/>
          <w:marRight w:val="0"/>
          <w:marTop w:val="0"/>
          <w:marBottom w:val="0"/>
          <w:divBdr>
            <w:top w:val="none" w:sz="0" w:space="0" w:color="auto"/>
            <w:left w:val="none" w:sz="0" w:space="0" w:color="auto"/>
            <w:bottom w:val="none" w:sz="0" w:space="0" w:color="auto"/>
            <w:right w:val="none" w:sz="0" w:space="0" w:color="auto"/>
          </w:divBdr>
        </w:div>
      </w:divsChild>
    </w:div>
    <w:div w:id="1108889302">
      <w:marLeft w:val="0"/>
      <w:marRight w:val="0"/>
      <w:marTop w:val="0"/>
      <w:marBottom w:val="0"/>
      <w:divBdr>
        <w:top w:val="none" w:sz="0" w:space="0" w:color="auto"/>
        <w:left w:val="none" w:sz="0" w:space="0" w:color="auto"/>
        <w:bottom w:val="none" w:sz="0" w:space="0" w:color="auto"/>
        <w:right w:val="none" w:sz="0" w:space="0" w:color="auto"/>
      </w:divBdr>
    </w:div>
    <w:div w:id="1211452842">
      <w:marLeft w:val="0"/>
      <w:marRight w:val="0"/>
      <w:marTop w:val="0"/>
      <w:marBottom w:val="0"/>
      <w:divBdr>
        <w:top w:val="none" w:sz="0" w:space="0" w:color="auto"/>
        <w:left w:val="none" w:sz="0" w:space="0" w:color="auto"/>
        <w:bottom w:val="none" w:sz="0" w:space="0" w:color="auto"/>
        <w:right w:val="none" w:sz="0" w:space="0" w:color="auto"/>
      </w:divBdr>
    </w:div>
    <w:div w:id="1319267716">
      <w:marLeft w:val="0"/>
      <w:marRight w:val="0"/>
      <w:marTop w:val="0"/>
      <w:marBottom w:val="0"/>
      <w:divBdr>
        <w:top w:val="none" w:sz="0" w:space="0" w:color="auto"/>
        <w:left w:val="none" w:sz="0" w:space="0" w:color="auto"/>
        <w:bottom w:val="none" w:sz="0" w:space="0" w:color="auto"/>
        <w:right w:val="none" w:sz="0" w:space="0" w:color="auto"/>
      </w:divBdr>
    </w:div>
    <w:div w:id="1622105170">
      <w:marLeft w:val="0"/>
      <w:marRight w:val="0"/>
      <w:marTop w:val="0"/>
      <w:marBottom w:val="0"/>
      <w:divBdr>
        <w:top w:val="none" w:sz="0" w:space="0" w:color="auto"/>
        <w:left w:val="none" w:sz="0" w:space="0" w:color="auto"/>
        <w:bottom w:val="none" w:sz="0" w:space="0" w:color="auto"/>
        <w:right w:val="none" w:sz="0" w:space="0" w:color="auto"/>
      </w:divBdr>
    </w:div>
    <w:div w:id="1651901151">
      <w:marLeft w:val="0"/>
      <w:marRight w:val="0"/>
      <w:marTop w:val="0"/>
      <w:marBottom w:val="0"/>
      <w:divBdr>
        <w:top w:val="none" w:sz="0" w:space="0" w:color="auto"/>
        <w:left w:val="none" w:sz="0" w:space="0" w:color="auto"/>
        <w:bottom w:val="none" w:sz="0" w:space="0" w:color="auto"/>
        <w:right w:val="none" w:sz="0" w:space="0" w:color="auto"/>
      </w:divBdr>
    </w:div>
    <w:div w:id="1801804492">
      <w:marLeft w:val="0"/>
      <w:marRight w:val="0"/>
      <w:marTop w:val="0"/>
      <w:marBottom w:val="0"/>
      <w:divBdr>
        <w:top w:val="none" w:sz="0" w:space="0" w:color="auto"/>
        <w:left w:val="none" w:sz="0" w:space="0" w:color="auto"/>
        <w:bottom w:val="none" w:sz="0" w:space="0" w:color="auto"/>
        <w:right w:val="none" w:sz="0" w:space="0" w:color="auto"/>
      </w:divBdr>
    </w:div>
    <w:div w:id="1814325433">
      <w:marLeft w:val="0"/>
      <w:marRight w:val="0"/>
      <w:marTop w:val="0"/>
      <w:marBottom w:val="0"/>
      <w:divBdr>
        <w:top w:val="none" w:sz="0" w:space="0" w:color="auto"/>
        <w:left w:val="none" w:sz="0" w:space="0" w:color="auto"/>
        <w:bottom w:val="none" w:sz="0" w:space="0" w:color="auto"/>
        <w:right w:val="none" w:sz="0" w:space="0" w:color="auto"/>
      </w:divBdr>
    </w:div>
    <w:div w:id="1861703759">
      <w:marLeft w:val="0"/>
      <w:marRight w:val="0"/>
      <w:marTop w:val="0"/>
      <w:marBottom w:val="0"/>
      <w:divBdr>
        <w:top w:val="none" w:sz="0" w:space="0" w:color="auto"/>
        <w:left w:val="none" w:sz="0" w:space="0" w:color="auto"/>
        <w:bottom w:val="none" w:sz="0" w:space="0" w:color="auto"/>
        <w:right w:val="none" w:sz="0" w:space="0" w:color="auto"/>
      </w:divBdr>
      <w:divsChild>
        <w:div w:id="945308139">
          <w:marLeft w:val="0"/>
          <w:marRight w:val="0"/>
          <w:marTop w:val="0"/>
          <w:marBottom w:val="0"/>
          <w:divBdr>
            <w:top w:val="none" w:sz="0" w:space="0" w:color="auto"/>
            <w:left w:val="none" w:sz="0" w:space="0" w:color="auto"/>
            <w:bottom w:val="none" w:sz="0" w:space="0" w:color="auto"/>
            <w:right w:val="none" w:sz="0" w:space="0" w:color="auto"/>
          </w:divBdr>
        </w:div>
      </w:divsChild>
    </w:div>
    <w:div w:id="1947075359">
      <w:marLeft w:val="0"/>
      <w:marRight w:val="0"/>
      <w:marTop w:val="0"/>
      <w:marBottom w:val="0"/>
      <w:divBdr>
        <w:top w:val="none" w:sz="0" w:space="0" w:color="auto"/>
        <w:left w:val="none" w:sz="0" w:space="0" w:color="auto"/>
        <w:bottom w:val="none" w:sz="0" w:space="0" w:color="auto"/>
        <w:right w:val="none" w:sz="0" w:space="0" w:color="auto"/>
      </w:divBdr>
    </w:div>
    <w:div w:id="2005354123">
      <w:marLeft w:val="0"/>
      <w:marRight w:val="0"/>
      <w:marTop w:val="0"/>
      <w:marBottom w:val="0"/>
      <w:divBdr>
        <w:top w:val="none" w:sz="0" w:space="0" w:color="auto"/>
        <w:left w:val="none" w:sz="0" w:space="0" w:color="auto"/>
        <w:bottom w:val="none" w:sz="0" w:space="0" w:color="auto"/>
        <w:right w:val="none" w:sz="0" w:space="0" w:color="auto"/>
      </w:divBdr>
    </w:div>
    <w:div w:id="2009021127">
      <w:marLeft w:val="0"/>
      <w:marRight w:val="0"/>
      <w:marTop w:val="0"/>
      <w:marBottom w:val="0"/>
      <w:divBdr>
        <w:top w:val="none" w:sz="0" w:space="0" w:color="auto"/>
        <w:left w:val="none" w:sz="0" w:space="0" w:color="auto"/>
        <w:bottom w:val="none" w:sz="0" w:space="0" w:color="auto"/>
        <w:right w:val="none" w:sz="0" w:space="0" w:color="auto"/>
      </w:divBdr>
      <w:divsChild>
        <w:div w:id="88637579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255-8C29-4B5D-8D37-A49299DB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6650</Words>
  <Characters>2416</Characters>
  <Application>Microsoft Office Word</Application>
  <DocSecurity>0</DocSecurity>
  <Lines>20</Lines>
  <Paragraphs>18</Paragraphs>
  <ScaleCrop>false</ScaleCrop>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Alex.Huang@FA</cp:lastModifiedBy>
  <cp:revision>3</cp:revision>
  <dcterms:created xsi:type="dcterms:W3CDTF">2026-01-14T13:50:00Z</dcterms:created>
  <dcterms:modified xsi:type="dcterms:W3CDTF">2026-01-21T06:38:00Z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