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B51669" w:rsidRDefault="00B51669">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B51669" w:rsidRDefault="00B51669">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B51669" w:rsidRDefault="00B51669">
      <w:pPr>
        <w:spacing w:line="360" w:lineRule="auto"/>
        <w:jc w:val="center"/>
        <w:rPr>
          <w:rFonts w:hint="eastAsia"/>
        </w:rPr>
      </w:pPr>
      <w:r>
        <w:rPr>
          <w:rFonts w:ascii="宋体" w:hAnsi="宋体" w:hint="eastAsia"/>
          <w:b/>
          <w:bCs/>
          <w:color w:val="000000" w:themeColor="text1"/>
          <w:sz w:val="48"/>
          <w:szCs w:val="30"/>
        </w:rPr>
        <w:t>摩根共同分类目录绿色债券债券型证券投资基金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B51669" w:rsidRDefault="00B51669">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B51669" w:rsidRDefault="00B51669">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B51669" w:rsidRDefault="00B51669">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B51669" w:rsidRDefault="00B5166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51669" w:rsidRDefault="00B5166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51669" w:rsidRDefault="00B51669">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51669" w:rsidRDefault="00B5166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51669" w:rsidRDefault="00B5166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51669" w:rsidRDefault="00B5166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51669" w:rsidRDefault="00B5166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51669" w:rsidRDefault="00B5166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51669" w:rsidRDefault="00B5166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51669" w:rsidRDefault="00B5166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51669" w:rsidRDefault="00B51669">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B51669" w:rsidRDefault="00B51669">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中国邮政储蓄银行股份有限公</w:t>
      </w:r>
      <w:r>
        <w:rPr>
          <w:rFonts w:ascii="宋体" w:hAnsi="宋体" w:hint="eastAsia"/>
          <w:b/>
          <w:bCs/>
          <w:sz w:val="28"/>
          <w:szCs w:val="30"/>
        </w:rPr>
        <w:t>司</w:t>
      </w:r>
    </w:p>
    <w:p w:rsidR="00B51669" w:rsidRDefault="00B51669">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B51669" w:rsidRDefault="00B51669">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B51669" w:rsidRDefault="00B51669">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基金托管人中国邮政储蓄银行股份有限公司根据本基金合同约定，于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B51669" w:rsidRDefault="00B51669">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692877447"/>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B51669" w:rsidRDefault="00B51669">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szCs w:val="24"/>
                <w:lang w:eastAsia="zh-Hans"/>
              </w:rPr>
              <w:t>摩根共同分类目录绿色债</w:t>
            </w:r>
            <w:r>
              <w:rPr>
                <w:rFonts w:ascii="宋体" w:hAnsi="宋体" w:hint="eastAsia"/>
                <w:szCs w:val="24"/>
                <w:lang w:eastAsia="zh-Hans"/>
              </w:rPr>
              <w:t>券</w:t>
            </w:r>
            <w:r>
              <w:rPr>
                <w:rFonts w:ascii="宋体" w:hAnsi="宋体" w:hint="eastAsia"/>
                <w:lang w:eastAsia="zh-Hans"/>
              </w:rPr>
              <w:t xml:space="preserve"> </w:t>
            </w:r>
          </w:p>
        </w:tc>
      </w:tr>
      <w:tr w:rsidR="00000000">
        <w:trPr>
          <w:divId w:val="169287744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lang w:eastAsia="zh-Hans"/>
              </w:rPr>
              <w:t>02261</w:t>
            </w:r>
            <w:r>
              <w:rPr>
                <w:rFonts w:ascii="宋体" w:hAnsi="宋体" w:hint="eastAsia"/>
                <w:lang w:eastAsia="zh-Hans"/>
              </w:rPr>
              <w:t>7</w:t>
            </w:r>
          </w:p>
        </w:tc>
      </w:tr>
      <w:tr w:rsidR="00000000">
        <w:trPr>
          <w:divId w:val="169287744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lang w:eastAsia="zh-Hans"/>
              </w:rPr>
              <w:t>契约型开放</w:t>
            </w:r>
            <w:r>
              <w:rPr>
                <w:rFonts w:ascii="宋体" w:hAnsi="宋体" w:hint="eastAsia"/>
                <w:lang w:eastAsia="zh-Hans"/>
              </w:rPr>
              <w:t>式</w:t>
            </w:r>
          </w:p>
        </w:tc>
      </w:tr>
      <w:tr w:rsidR="00000000">
        <w:trPr>
          <w:divId w:val="169287744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lang w:eastAsia="zh-Hans"/>
              </w:rPr>
              <w:t>2024</w:t>
            </w:r>
            <w:r>
              <w:rPr>
                <w:rFonts w:ascii="宋体" w:hAnsi="宋体" w:hint="eastAsia"/>
                <w:lang w:eastAsia="zh-Hans"/>
              </w:rPr>
              <w:t>年</w:t>
            </w:r>
            <w:r>
              <w:rPr>
                <w:rFonts w:ascii="宋体" w:hAnsi="宋体" w:hint="eastAsia"/>
                <w:lang w:eastAsia="zh-Hans"/>
              </w:rPr>
              <w:t>12</w:t>
            </w:r>
            <w:r>
              <w:rPr>
                <w:rFonts w:ascii="宋体" w:hAnsi="宋体" w:hint="eastAsia"/>
                <w:lang w:eastAsia="zh-Hans"/>
              </w:rPr>
              <w:t>月</w:t>
            </w:r>
            <w:r>
              <w:rPr>
                <w:rFonts w:ascii="宋体" w:hAnsi="宋体" w:hint="eastAsia"/>
                <w:lang w:eastAsia="zh-Hans"/>
              </w:rPr>
              <w:t>5</w:t>
            </w:r>
            <w:r>
              <w:rPr>
                <w:rFonts w:ascii="宋体" w:hAnsi="宋体" w:hint="eastAsia"/>
                <w:lang w:eastAsia="zh-Hans"/>
              </w:rPr>
              <w:t>日</w:t>
            </w:r>
          </w:p>
        </w:tc>
      </w:tr>
      <w:tr w:rsidR="00000000">
        <w:trPr>
          <w:divId w:val="169287744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lang w:eastAsia="zh-Hans"/>
              </w:rPr>
              <w:t>5,300,368,190.6</w:t>
            </w:r>
            <w:r>
              <w:rPr>
                <w:rFonts w:ascii="宋体" w:hAnsi="宋体" w:hint="eastAsia"/>
                <w:lang w:eastAsia="zh-Hans"/>
              </w:rPr>
              <w:t>6</w:t>
            </w:r>
            <w:r>
              <w:rPr>
                <w:rFonts w:hint="eastAsia"/>
              </w:rPr>
              <w:t>份</w:t>
            </w:r>
            <w:r>
              <w:rPr>
                <w:rFonts w:ascii="宋体" w:hAnsi="宋体" w:hint="eastAsia"/>
                <w:lang w:eastAsia="zh-Hans"/>
              </w:rPr>
              <w:t xml:space="preserve"> </w:t>
            </w:r>
          </w:p>
        </w:tc>
      </w:tr>
      <w:tr w:rsidR="00000000">
        <w:trPr>
          <w:divId w:val="169287744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lang w:eastAsia="zh-Hans"/>
              </w:rPr>
              <w:t>在合理充分的定量分析及定性研究基础上，在风险可控的原则下，通过参与债券类资产的投资运作，力争获取超越基准的稳健回报</w:t>
            </w:r>
            <w:r>
              <w:rPr>
                <w:rFonts w:ascii="宋体" w:hAnsi="宋体" w:hint="eastAsia"/>
                <w:lang w:eastAsia="zh-Hans"/>
              </w:rPr>
              <w:t>。</w:t>
            </w:r>
          </w:p>
        </w:tc>
      </w:tr>
      <w:tr w:rsidR="00000000">
        <w:trPr>
          <w:divId w:val="169287744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lang w:eastAsia="zh-Hans"/>
              </w:rPr>
              <w:t>1</w:t>
            </w:r>
            <w:r>
              <w:rPr>
                <w:rFonts w:ascii="宋体" w:hAnsi="宋体" w:hint="eastAsia"/>
                <w:lang w:eastAsia="zh-Hans"/>
              </w:rPr>
              <w:t>、绿色投资筛选策略</w:t>
            </w:r>
            <w:r>
              <w:rPr>
                <w:rFonts w:ascii="宋体" w:hAnsi="宋体" w:hint="eastAsia"/>
                <w:lang w:eastAsia="zh-Hans"/>
              </w:rPr>
              <w:br/>
            </w:r>
            <w:r>
              <w:rPr>
                <w:rFonts w:ascii="宋体" w:hAnsi="宋体" w:hint="eastAsia"/>
                <w:lang w:eastAsia="zh-Hans"/>
              </w:rPr>
              <w:t>本基金所定义的共同分类目录是指由中国人民银行和欧盟委员会共同发起编制的《可持续金融共同分类目录》及颁布机关对其不时做出的修订。共同分类目录内列示了欧盟已采用的可持续金融分类方案和中国绿色金融目录共同认可的经济活动。本基金所投资的符合共同分类目录标准的债券均为带有绿色标识的债券。</w:t>
            </w:r>
            <w:r>
              <w:rPr>
                <w:rFonts w:ascii="宋体" w:hAnsi="宋体" w:hint="eastAsia"/>
                <w:lang w:eastAsia="zh-Hans"/>
              </w:rPr>
              <w:br/>
            </w:r>
            <w:r>
              <w:rPr>
                <w:rFonts w:ascii="宋体" w:hAnsi="宋体" w:hint="eastAsia"/>
                <w:lang w:eastAsia="zh-Hans"/>
              </w:rPr>
              <w:t>本基金投资于符合共同分类目录标准的带有绿色标识的债券的比例不低于非现金基金资产的</w:t>
            </w:r>
            <w:r>
              <w:rPr>
                <w:rFonts w:ascii="宋体" w:hAnsi="宋体" w:hint="eastAsia"/>
                <w:lang w:eastAsia="zh-Hans"/>
              </w:rPr>
              <w:t>90%</w:t>
            </w:r>
            <w:r>
              <w:rPr>
                <w:rFonts w:ascii="宋体" w:hAnsi="宋体" w:hint="eastAsia"/>
                <w:lang w:eastAsia="zh-Hans"/>
              </w:rPr>
              <w:t>。</w:t>
            </w:r>
            <w:r>
              <w:rPr>
                <w:rFonts w:ascii="宋体" w:hAnsi="宋体" w:hint="eastAsia"/>
                <w:lang w:eastAsia="zh-Hans"/>
              </w:rPr>
              <w:br/>
            </w:r>
            <w:r>
              <w:rPr>
                <w:rFonts w:ascii="宋体" w:hAnsi="宋体" w:hint="eastAsia"/>
                <w:lang w:eastAsia="zh-Hans"/>
              </w:rPr>
              <w:t>在债券筛选过程中，本基金将对信用债发行人</w:t>
            </w:r>
            <w:r>
              <w:rPr>
                <w:rFonts w:ascii="宋体" w:hAnsi="宋体" w:hint="eastAsia"/>
                <w:lang w:eastAsia="zh-Hans"/>
              </w:rPr>
              <w:t>ESG</w:t>
            </w:r>
            <w:r>
              <w:rPr>
                <w:rFonts w:ascii="宋体" w:hAnsi="宋体" w:hint="eastAsia"/>
                <w:lang w:eastAsia="zh-Hans"/>
              </w:rPr>
              <w:t>评价情况纳入债券资产投资参考。在评估发行人时，本基金首先将进行发行人行业争议性评估，并采用排除法以避免投资于具有重大环境和社会争议性的发行人发行的债券。其次，本基金将基于基金管理人的</w:t>
            </w:r>
            <w:r>
              <w:rPr>
                <w:rFonts w:ascii="宋体" w:hAnsi="宋体" w:hint="eastAsia"/>
                <w:lang w:eastAsia="zh-Hans"/>
              </w:rPr>
              <w:t>ESG</w:t>
            </w:r>
            <w:r>
              <w:rPr>
                <w:rFonts w:ascii="宋体" w:hAnsi="宋体" w:hint="eastAsia"/>
                <w:lang w:eastAsia="zh-Hans"/>
              </w:rPr>
              <w:t>评价体系对发行人具有财务重要性的</w:t>
            </w:r>
            <w:r>
              <w:rPr>
                <w:rFonts w:ascii="宋体" w:hAnsi="宋体" w:hint="eastAsia"/>
                <w:lang w:eastAsia="zh-Hans"/>
              </w:rPr>
              <w:t>ESG</w:t>
            </w:r>
            <w:r>
              <w:rPr>
                <w:rFonts w:ascii="宋体" w:hAnsi="宋体" w:hint="eastAsia"/>
                <w:lang w:eastAsia="zh-Hans"/>
              </w:rPr>
              <w:t>因素（包括环境、社会和治理等因素）进行全面评估，环境因素可指气候风险、能耗管理和环境指标披露等因素；社会因素可指人才管理、供应链管理和员工健康与安全等因素；治理因素可指治理结构、反腐败政策和薪酬激励等因素。前述所列的具体</w:t>
            </w:r>
            <w:r>
              <w:rPr>
                <w:rFonts w:ascii="宋体" w:hAnsi="宋体" w:hint="eastAsia"/>
                <w:lang w:eastAsia="zh-Hans"/>
              </w:rPr>
              <w:t>ESG</w:t>
            </w:r>
            <w:r>
              <w:rPr>
                <w:rFonts w:ascii="宋体" w:hAnsi="宋体" w:hint="eastAsia"/>
                <w:lang w:eastAsia="zh-Hans"/>
              </w:rPr>
              <w:t>因素的示例仅供说明之用，并未包含全部</w:t>
            </w:r>
            <w:r>
              <w:rPr>
                <w:rFonts w:ascii="宋体" w:hAnsi="宋体" w:hint="eastAsia"/>
                <w:lang w:eastAsia="zh-Hans"/>
              </w:rPr>
              <w:t>ESG</w:t>
            </w:r>
            <w:r>
              <w:rPr>
                <w:rFonts w:ascii="宋体" w:hAnsi="宋体" w:hint="eastAsia"/>
                <w:lang w:eastAsia="zh-Hans"/>
              </w:rPr>
              <w:t>因素，且并非所有</w:t>
            </w:r>
            <w:r>
              <w:rPr>
                <w:rFonts w:ascii="宋体" w:hAnsi="宋体" w:hint="eastAsia"/>
                <w:lang w:eastAsia="zh-Hans"/>
              </w:rPr>
              <w:t>ESG</w:t>
            </w:r>
            <w:r>
              <w:rPr>
                <w:rFonts w:ascii="宋体" w:hAnsi="宋体" w:hint="eastAsia"/>
                <w:lang w:eastAsia="zh-Hans"/>
              </w:rPr>
              <w:t>因素均与某一特定债券投资有关。在通过前述</w:t>
            </w:r>
            <w:r>
              <w:rPr>
                <w:rFonts w:ascii="宋体" w:hAnsi="宋体" w:hint="eastAsia"/>
                <w:lang w:eastAsia="zh-Hans"/>
              </w:rPr>
              <w:t>ESG</w:t>
            </w:r>
            <w:r>
              <w:rPr>
                <w:rFonts w:ascii="宋体" w:hAnsi="宋体" w:hint="eastAsia"/>
                <w:lang w:eastAsia="zh-Hans"/>
              </w:rPr>
              <w:t>评价完成债券筛选后，本基金</w:t>
            </w:r>
            <w:r>
              <w:rPr>
                <w:rFonts w:ascii="宋体" w:hAnsi="宋体" w:hint="eastAsia"/>
                <w:lang w:eastAsia="zh-Hans"/>
              </w:rPr>
              <w:t>在投资决策时将综合考虑基本面、量化因素以及技术面，通过信用择券及曲线、利差等策略进行投资。</w:t>
            </w:r>
            <w:r>
              <w:rPr>
                <w:rFonts w:ascii="宋体" w:hAnsi="宋体" w:hint="eastAsia"/>
                <w:lang w:eastAsia="zh-Hans"/>
              </w:rPr>
              <w:br/>
              <w:t>2</w:t>
            </w:r>
            <w:r>
              <w:rPr>
                <w:rFonts w:ascii="宋体" w:hAnsi="宋体" w:hint="eastAsia"/>
                <w:lang w:eastAsia="zh-Hans"/>
              </w:rPr>
              <w:t>、债券类属配置策略</w:t>
            </w:r>
            <w:r>
              <w:rPr>
                <w:rFonts w:ascii="宋体" w:hAnsi="宋体" w:hint="eastAsia"/>
                <w:lang w:eastAsia="zh-Hans"/>
              </w:rPr>
              <w:br/>
            </w:r>
            <w:r>
              <w:rPr>
                <w:rFonts w:ascii="宋体" w:hAnsi="宋体" w:hint="eastAsia"/>
                <w:lang w:eastAsia="zh-Hans"/>
              </w:rPr>
              <w:t>本基金将对不同类型固定收益品种的信用风险、税赋水平、市场流动性、市场风险等因素进行分析，研究同期限的国债、金融债、企业债、交易所和银行间市场投资品种的利差和变化趋势，评估不同债券板块之间的相对投资价值，确定债券类属配置策略，并根据市场变化及时进行调整。</w:t>
            </w:r>
            <w:r>
              <w:rPr>
                <w:rFonts w:ascii="宋体" w:hAnsi="宋体" w:hint="eastAsia"/>
                <w:lang w:eastAsia="zh-Hans"/>
              </w:rPr>
              <w:br/>
              <w:t>3</w:t>
            </w:r>
            <w:r>
              <w:rPr>
                <w:rFonts w:ascii="宋体" w:hAnsi="宋体" w:hint="eastAsia"/>
                <w:lang w:eastAsia="zh-Hans"/>
              </w:rPr>
              <w:t>、久期管理策略</w:t>
            </w:r>
            <w:r>
              <w:rPr>
                <w:rFonts w:ascii="宋体" w:hAnsi="宋体" w:hint="eastAsia"/>
                <w:lang w:eastAsia="zh-Hans"/>
              </w:rPr>
              <w:br/>
            </w:r>
            <w:r>
              <w:rPr>
                <w:rFonts w:ascii="宋体" w:hAnsi="宋体" w:hint="eastAsia"/>
                <w:lang w:eastAsia="zh-Hans"/>
              </w:rPr>
              <w:t>本基金将基于对市场利率的变化趋势的预判，相应的调整债券组合的久期。本基金通过对影响债券投资的宏观经济变量和宏观经济政策等因素的综合分析，预测未来的市场利率的变动趋势，判断债券市场对上述因素及其变化的反应，并据此积极调整债券组合的久期。在预期利率下降时，增加组合久期，以较多地获得债券价格上升带来的收益，在预期利率上升时，减小组合久期，以规避债券价格下降的风险。</w:t>
            </w:r>
            <w:r>
              <w:rPr>
                <w:rFonts w:ascii="宋体" w:hAnsi="宋体" w:hint="eastAsia"/>
                <w:lang w:eastAsia="zh-Hans"/>
              </w:rPr>
              <w:br/>
              <w:t>4</w:t>
            </w:r>
            <w:r>
              <w:rPr>
                <w:rFonts w:ascii="宋体" w:hAnsi="宋体" w:hint="eastAsia"/>
                <w:lang w:eastAsia="zh-Hans"/>
              </w:rPr>
              <w:t>、收益率曲线策略</w:t>
            </w:r>
            <w:r>
              <w:rPr>
                <w:rFonts w:ascii="宋体" w:hAnsi="宋体" w:hint="eastAsia"/>
                <w:lang w:eastAsia="zh-Hans"/>
              </w:rPr>
              <w:br/>
            </w:r>
            <w:r>
              <w:rPr>
                <w:rFonts w:ascii="宋体" w:hAnsi="宋体" w:hint="eastAsia"/>
                <w:lang w:eastAsia="zh-Hans"/>
              </w:rPr>
              <w:t>本基金资产组合中的长、中、短期债券主要根据收益率曲线形状的变化进行合理配置。本基金在确定固定收益资产组合平均久期的基础上，将结合收益率曲线变化的预测，适时采用跟踪收益率曲线的骑乘策略或者基于收益率曲线变化的子弹、杠铃及梯形策略构造组合，并进行动态调整。</w:t>
            </w:r>
            <w:r>
              <w:rPr>
                <w:rFonts w:ascii="宋体" w:hAnsi="宋体" w:hint="eastAsia"/>
                <w:lang w:eastAsia="zh-Hans"/>
              </w:rPr>
              <w:br/>
              <w:t>5</w:t>
            </w:r>
            <w:r>
              <w:rPr>
                <w:rFonts w:ascii="宋体" w:hAnsi="宋体" w:hint="eastAsia"/>
                <w:lang w:eastAsia="zh-Hans"/>
              </w:rPr>
              <w:t>、信用策略（含资产支持证券）</w:t>
            </w:r>
            <w:r>
              <w:rPr>
                <w:rFonts w:ascii="宋体" w:hAnsi="宋体" w:hint="eastAsia"/>
                <w:lang w:eastAsia="zh-Hans"/>
              </w:rPr>
              <w:br/>
            </w:r>
            <w:r>
              <w:rPr>
                <w:rFonts w:ascii="宋体" w:hAnsi="宋体" w:hint="eastAsia"/>
                <w:lang w:eastAsia="zh-Hans"/>
              </w:rPr>
              <w:t>本基金将深入挖掘信用债（含资产支持证券）的投资价值，在承担适度风险的前提下追求较高收益。本基金将利用内部信用评级体系对债券发行人及其发行的债券进行信用评估，并结合外部评级机构的信用评级，分析违约风险以及合理信用利差水平，判断债券的投资价值，谨慎选择债券发行人基本面良好、债券条款优惠的信用债进行投资。</w:t>
            </w:r>
            <w:r>
              <w:rPr>
                <w:rFonts w:ascii="宋体" w:hAnsi="宋体" w:hint="eastAsia"/>
                <w:lang w:eastAsia="zh-Hans"/>
              </w:rPr>
              <w:br/>
              <w:t>6</w:t>
            </w:r>
            <w:r>
              <w:rPr>
                <w:rFonts w:ascii="宋体" w:hAnsi="宋体" w:hint="eastAsia"/>
                <w:lang w:eastAsia="zh-Hans"/>
              </w:rPr>
              <w:t>、其他投资策略</w:t>
            </w:r>
            <w:r>
              <w:rPr>
                <w:rFonts w:ascii="宋体" w:hAnsi="宋体" w:hint="eastAsia"/>
                <w:lang w:eastAsia="zh-Hans"/>
              </w:rPr>
              <w:br/>
            </w:r>
            <w:r>
              <w:rPr>
                <w:rFonts w:ascii="宋体" w:hAnsi="宋体" w:hint="eastAsia"/>
                <w:lang w:eastAsia="zh-Hans"/>
              </w:rPr>
              <w:t>包括：回购策略、国债期货投资策</w:t>
            </w:r>
            <w:r>
              <w:rPr>
                <w:rFonts w:ascii="宋体" w:hAnsi="宋体" w:hint="eastAsia"/>
                <w:lang w:eastAsia="zh-Hans"/>
              </w:rPr>
              <w:t>略</w:t>
            </w:r>
          </w:p>
        </w:tc>
      </w:tr>
      <w:tr w:rsidR="00000000">
        <w:trPr>
          <w:divId w:val="169287744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lang w:eastAsia="zh-Hans"/>
              </w:rPr>
              <w:t>CFETS</w:t>
            </w:r>
            <w:r>
              <w:rPr>
                <w:rFonts w:ascii="宋体" w:hAnsi="宋体" w:hint="eastAsia"/>
                <w:lang w:eastAsia="zh-Hans"/>
              </w:rPr>
              <w:t>共同分类目录投资级主题绿色债券指数（全价）收益率</w:t>
            </w:r>
            <w:r>
              <w:rPr>
                <w:rFonts w:ascii="宋体" w:hAnsi="宋体" w:hint="eastAsia"/>
                <w:lang w:eastAsia="zh-Hans"/>
              </w:rPr>
              <w:t>*95%+</w:t>
            </w:r>
            <w:r>
              <w:rPr>
                <w:rFonts w:ascii="宋体" w:hAnsi="宋体" w:hint="eastAsia"/>
                <w:lang w:eastAsia="zh-Hans"/>
              </w:rPr>
              <w:t>银行活期存款利率（税后）</w:t>
            </w:r>
            <w:r>
              <w:rPr>
                <w:rFonts w:ascii="宋体" w:hAnsi="宋体" w:hint="eastAsia"/>
                <w:lang w:eastAsia="zh-Hans"/>
              </w:rPr>
              <w:t>*5</w:t>
            </w:r>
            <w:r>
              <w:rPr>
                <w:rFonts w:ascii="宋体" w:hAnsi="宋体" w:hint="eastAsia"/>
                <w:lang w:eastAsia="zh-Hans"/>
              </w:rPr>
              <w:t>%</w:t>
            </w:r>
          </w:p>
        </w:tc>
      </w:tr>
      <w:tr w:rsidR="00000000">
        <w:trPr>
          <w:divId w:val="169287744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lang w:eastAsia="zh-Hans"/>
              </w:rPr>
              <w:t>本基金为债券型基金，其预期风险与预期收益高于货币市场基金，低于混合型基金和股票型基金</w:t>
            </w:r>
            <w:r>
              <w:rPr>
                <w:rFonts w:ascii="宋体" w:hAnsi="宋体" w:hint="eastAsia"/>
                <w:lang w:eastAsia="zh-Hans"/>
              </w:rPr>
              <w:t>。</w:t>
            </w:r>
          </w:p>
        </w:tc>
      </w:tr>
      <w:tr w:rsidR="00000000">
        <w:trPr>
          <w:divId w:val="169287744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69287744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lang w:eastAsia="zh-Hans"/>
              </w:rPr>
              <w:t>中国邮政储蓄银行股份有限公</w:t>
            </w:r>
            <w:r>
              <w:rPr>
                <w:rFonts w:ascii="宋体" w:hAnsi="宋体" w:hint="eastAsia"/>
                <w:lang w:eastAsia="zh-Hans"/>
              </w:rPr>
              <w:t>司</w:t>
            </w:r>
          </w:p>
        </w:tc>
      </w:tr>
      <w:tr w:rsidR="00000000">
        <w:trPr>
          <w:divId w:val="169287744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lang w:eastAsia="zh-Hans"/>
              </w:rPr>
              <w:t>摩根共同分类目录绿色债券</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lang w:eastAsia="zh-Hans"/>
              </w:rPr>
              <w:t>摩根共同分类目录绿色债券</w:t>
            </w:r>
            <w:r>
              <w:rPr>
                <w:rFonts w:ascii="宋体" w:hAnsi="宋体" w:hint="eastAsia"/>
                <w:lang w:eastAsia="zh-Hans"/>
              </w:rPr>
              <w:t>C</w:t>
            </w:r>
            <w:r>
              <w:rPr>
                <w:rFonts w:ascii="宋体" w:hAnsi="宋体" w:hint="eastAsia"/>
                <w:kern w:val="0"/>
                <w:sz w:val="20"/>
                <w:lang w:eastAsia="zh-Hans"/>
              </w:rPr>
              <w:t xml:space="preserve"> </w:t>
            </w:r>
          </w:p>
        </w:tc>
      </w:tr>
      <w:tr w:rsidR="00000000">
        <w:trPr>
          <w:divId w:val="169287744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lang w:eastAsia="zh-Hans"/>
              </w:rPr>
              <w:t>02261</w:t>
            </w:r>
            <w:r>
              <w:rPr>
                <w:rFonts w:ascii="宋体" w:hAnsi="宋体" w:hint="eastAsia"/>
                <w:lang w:eastAsia="zh-Hans"/>
              </w:rPr>
              <w:t>7</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lang w:eastAsia="zh-Hans"/>
              </w:rPr>
              <w:t>02261</w:t>
            </w:r>
            <w:r>
              <w:rPr>
                <w:rFonts w:ascii="宋体" w:hAnsi="宋体" w:hint="eastAsia"/>
                <w:lang w:eastAsia="zh-Hans"/>
              </w:rPr>
              <w:t>8</w:t>
            </w:r>
            <w:r>
              <w:rPr>
                <w:rFonts w:ascii="宋体" w:hAnsi="宋体" w:hint="eastAsia"/>
                <w:kern w:val="0"/>
                <w:sz w:val="20"/>
                <w:lang w:eastAsia="zh-Hans"/>
              </w:rPr>
              <w:t xml:space="preserve"> </w:t>
            </w:r>
          </w:p>
        </w:tc>
      </w:tr>
      <w:bookmarkEnd w:id="32"/>
      <w:bookmarkEnd w:id="33"/>
      <w:tr w:rsidR="00000000">
        <w:trPr>
          <w:divId w:val="169287744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51669" w:rsidRDefault="00B51669">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lang w:eastAsia="zh-Hans"/>
              </w:rPr>
              <w:t>4,809,364,447.8</w:t>
            </w:r>
            <w:r>
              <w:rPr>
                <w:rFonts w:ascii="宋体" w:hAnsi="宋体" w:hint="eastAsia"/>
                <w:lang w:eastAsia="zh-Hans"/>
              </w:rPr>
              <w:t>9</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lang w:eastAsia="zh-Hans"/>
              </w:rPr>
              <w:t>491,003,742.7</w:t>
            </w:r>
            <w:r>
              <w:rPr>
                <w:rFonts w:ascii="宋体" w:hAnsi="宋体" w:hint="eastAsia"/>
                <w:lang w:eastAsia="zh-Hans"/>
              </w:rPr>
              <w:t>7</w:t>
            </w:r>
            <w:r>
              <w:rPr>
                <w:rFonts w:hint="eastAsia"/>
              </w:rPr>
              <w:t>份</w:t>
            </w:r>
            <w:r>
              <w:rPr>
                <w:rFonts w:ascii="宋体" w:hAnsi="宋体" w:hint="eastAsia"/>
                <w:lang w:eastAsia="zh-Hans"/>
              </w:rPr>
              <w:t xml:space="preserve"> </w:t>
            </w:r>
          </w:p>
        </w:tc>
      </w:tr>
    </w:tbl>
    <w:p w:rsidR="00B51669" w:rsidRDefault="00B51669">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B51669" w:rsidRDefault="00B51669">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B51669" w:rsidRDefault="00B51669">
      <w:pPr>
        <w:jc w:val="right"/>
        <w:divId w:val="50270299"/>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83"/>
        <w:gridCol w:w="2926"/>
        <w:gridCol w:w="2926"/>
      </w:tblGrid>
      <w:tr w:rsidR="00000000">
        <w:trPr>
          <w:divId w:val="50270299"/>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B51669" w:rsidRDefault="00B51669">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B51669" w:rsidRDefault="00B51669">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50270299"/>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51669" w:rsidRDefault="00B51669">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B51669" w:rsidRDefault="00B51669">
            <w:pPr>
              <w:jc w:val="center"/>
              <w:rPr>
                <w:rFonts w:hint="eastAsia"/>
              </w:rPr>
            </w:pPr>
            <w:r>
              <w:rPr>
                <w:rFonts w:ascii="宋体" w:hAnsi="宋体" w:hint="eastAsia"/>
                <w:szCs w:val="24"/>
                <w:lang w:eastAsia="zh-Hans"/>
              </w:rPr>
              <w:t>摩根共同分类目录绿色债券</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B51669" w:rsidRDefault="00B51669">
            <w:pPr>
              <w:jc w:val="center"/>
            </w:pPr>
            <w:r>
              <w:rPr>
                <w:rFonts w:ascii="宋体" w:hAnsi="宋体" w:hint="eastAsia"/>
                <w:szCs w:val="24"/>
                <w:lang w:eastAsia="zh-Hans"/>
              </w:rPr>
              <w:t>摩根共同分类目录绿色债券</w:t>
            </w:r>
            <w:r>
              <w:rPr>
                <w:rFonts w:ascii="宋体" w:hAnsi="宋体" w:hint="eastAsia"/>
                <w:szCs w:val="24"/>
                <w:lang w:eastAsia="zh-Hans"/>
              </w:rPr>
              <w:t>C</w:t>
            </w:r>
          </w:p>
        </w:tc>
      </w:tr>
      <w:tr w:rsidR="00000000">
        <w:trPr>
          <w:divId w:val="5027029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51669" w:rsidRDefault="00B51669">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51669" w:rsidRDefault="00B51669">
            <w:pPr>
              <w:jc w:val="right"/>
              <w:rPr>
                <w:rFonts w:hint="eastAsia"/>
              </w:rPr>
            </w:pPr>
            <w:r>
              <w:rPr>
                <w:rFonts w:ascii="宋体" w:hAnsi="宋体" w:hint="eastAsia"/>
                <w:szCs w:val="24"/>
                <w:lang w:eastAsia="zh-Hans"/>
              </w:rPr>
              <w:t>16,173,527.8</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51669" w:rsidRDefault="00B51669">
            <w:pPr>
              <w:jc w:val="right"/>
            </w:pPr>
            <w:r>
              <w:rPr>
                <w:rFonts w:ascii="宋体" w:hAnsi="宋体" w:hint="eastAsia"/>
                <w:szCs w:val="24"/>
                <w:lang w:eastAsia="zh-Hans"/>
              </w:rPr>
              <w:t>43,790.6</w:t>
            </w:r>
            <w:r>
              <w:rPr>
                <w:rFonts w:ascii="宋体" w:hAnsi="宋体" w:hint="eastAsia"/>
                <w:szCs w:val="24"/>
                <w:lang w:eastAsia="zh-Hans"/>
              </w:rPr>
              <w:t>9</w:t>
            </w:r>
          </w:p>
        </w:tc>
      </w:tr>
      <w:tr w:rsidR="00000000">
        <w:trPr>
          <w:divId w:val="5027029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51669" w:rsidRDefault="00B51669">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51669" w:rsidRDefault="00B51669">
            <w:pPr>
              <w:jc w:val="right"/>
              <w:rPr>
                <w:rFonts w:hint="eastAsia"/>
              </w:rPr>
            </w:pPr>
            <w:r>
              <w:rPr>
                <w:rFonts w:ascii="宋体" w:hAnsi="宋体" w:hint="eastAsia"/>
                <w:szCs w:val="24"/>
                <w:lang w:eastAsia="zh-Hans"/>
              </w:rPr>
              <w:t>21,113,651.4</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51669" w:rsidRDefault="00B51669">
            <w:pPr>
              <w:jc w:val="right"/>
            </w:pPr>
            <w:r>
              <w:rPr>
                <w:rFonts w:ascii="宋体" w:hAnsi="宋体" w:hint="eastAsia"/>
                <w:szCs w:val="24"/>
                <w:lang w:eastAsia="zh-Hans"/>
              </w:rPr>
              <w:t>31,544.4</w:t>
            </w:r>
            <w:r>
              <w:rPr>
                <w:rFonts w:ascii="宋体" w:hAnsi="宋体" w:hint="eastAsia"/>
                <w:szCs w:val="24"/>
                <w:lang w:eastAsia="zh-Hans"/>
              </w:rPr>
              <w:t>9</w:t>
            </w:r>
          </w:p>
        </w:tc>
      </w:tr>
      <w:tr w:rsidR="00000000">
        <w:trPr>
          <w:divId w:val="5027029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51669" w:rsidRDefault="00B51669">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51669" w:rsidRDefault="00B51669">
            <w:pPr>
              <w:jc w:val="right"/>
              <w:rPr>
                <w:rFonts w:hint="eastAsia"/>
              </w:rPr>
            </w:pPr>
            <w:r>
              <w:rPr>
                <w:rFonts w:ascii="宋体" w:hAnsi="宋体" w:hint="eastAsia"/>
                <w:szCs w:val="24"/>
                <w:lang w:eastAsia="zh-Hans"/>
              </w:rPr>
              <w:t>0.005</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51669" w:rsidRDefault="00B51669">
            <w:pPr>
              <w:jc w:val="right"/>
            </w:pPr>
            <w:r>
              <w:rPr>
                <w:rFonts w:ascii="宋体" w:hAnsi="宋体" w:hint="eastAsia"/>
                <w:szCs w:val="24"/>
                <w:lang w:eastAsia="zh-Hans"/>
              </w:rPr>
              <w:t>0.004</w:t>
            </w:r>
            <w:r>
              <w:rPr>
                <w:rFonts w:ascii="宋体" w:hAnsi="宋体" w:hint="eastAsia"/>
                <w:szCs w:val="24"/>
                <w:lang w:eastAsia="zh-Hans"/>
              </w:rPr>
              <w:t>0</w:t>
            </w:r>
          </w:p>
        </w:tc>
      </w:tr>
      <w:tr w:rsidR="00000000">
        <w:trPr>
          <w:divId w:val="5027029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51669" w:rsidRDefault="00B51669">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51669" w:rsidRDefault="00B51669">
            <w:pPr>
              <w:jc w:val="right"/>
              <w:rPr>
                <w:rFonts w:hint="eastAsia"/>
              </w:rPr>
            </w:pPr>
            <w:r>
              <w:rPr>
                <w:rFonts w:ascii="宋体" w:hAnsi="宋体" w:hint="eastAsia"/>
                <w:szCs w:val="24"/>
                <w:lang w:eastAsia="zh-Hans"/>
              </w:rPr>
              <w:t>4,880,685,701.5</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51669" w:rsidRDefault="00B51669">
            <w:pPr>
              <w:jc w:val="right"/>
            </w:pPr>
            <w:r>
              <w:rPr>
                <w:rFonts w:ascii="宋体" w:hAnsi="宋体" w:hint="eastAsia"/>
                <w:szCs w:val="24"/>
                <w:lang w:eastAsia="zh-Hans"/>
              </w:rPr>
              <w:t>497,306,203.1</w:t>
            </w:r>
            <w:r>
              <w:rPr>
                <w:rFonts w:ascii="宋体" w:hAnsi="宋体" w:hint="eastAsia"/>
                <w:szCs w:val="24"/>
                <w:lang w:eastAsia="zh-Hans"/>
              </w:rPr>
              <w:t>8</w:t>
            </w:r>
          </w:p>
        </w:tc>
      </w:tr>
      <w:tr w:rsidR="00000000">
        <w:trPr>
          <w:divId w:val="5027029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51669" w:rsidRDefault="00B51669">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51669" w:rsidRDefault="00B51669">
            <w:pPr>
              <w:jc w:val="right"/>
              <w:rPr>
                <w:rFonts w:hint="eastAsia"/>
              </w:rPr>
            </w:pPr>
            <w:r>
              <w:rPr>
                <w:rFonts w:ascii="宋体" w:hAnsi="宋体" w:hint="eastAsia"/>
                <w:szCs w:val="24"/>
                <w:lang w:eastAsia="zh-Hans"/>
              </w:rPr>
              <w:t>1.014</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51669" w:rsidRDefault="00B51669">
            <w:pPr>
              <w:jc w:val="right"/>
            </w:pPr>
            <w:r>
              <w:rPr>
                <w:rFonts w:ascii="宋体" w:hAnsi="宋体" w:hint="eastAsia"/>
                <w:szCs w:val="24"/>
                <w:lang w:eastAsia="zh-Hans"/>
              </w:rPr>
              <w:t>1.012</w:t>
            </w:r>
            <w:r>
              <w:rPr>
                <w:rFonts w:ascii="宋体" w:hAnsi="宋体" w:hint="eastAsia"/>
                <w:szCs w:val="24"/>
                <w:lang w:eastAsia="zh-Hans"/>
              </w:rPr>
              <w:t>8</w:t>
            </w:r>
          </w:p>
        </w:tc>
      </w:tr>
    </w:tbl>
    <w:p w:rsidR="00B51669" w:rsidRDefault="00B51669">
      <w:pPr>
        <w:wordWrap w:val="0"/>
        <w:spacing w:line="360" w:lineRule="auto"/>
        <w:jc w:val="left"/>
        <w:divId w:val="1872721993"/>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B51669" w:rsidRDefault="00B51669">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B51669" w:rsidRDefault="00B51669">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B51669" w:rsidRDefault="00B51669">
      <w:pPr>
        <w:spacing w:line="360" w:lineRule="auto"/>
        <w:jc w:val="center"/>
        <w:divId w:val="508329454"/>
        <w:rPr>
          <w:rFonts w:hint="eastAsia"/>
        </w:rPr>
      </w:pPr>
      <w:r>
        <w:rPr>
          <w:rFonts w:ascii="宋体" w:hAnsi="宋体" w:hint="eastAsia"/>
        </w:rPr>
        <w:t>摩根共同分类目录绿色债券</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50832945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②－④</w:t>
            </w:r>
            <w:r>
              <w:rPr>
                <w:rFonts w:ascii="宋体" w:hAnsi="宋体" w:hint="eastAsia"/>
              </w:rPr>
              <w:t xml:space="preserve"> </w:t>
            </w:r>
          </w:p>
        </w:tc>
      </w:tr>
      <w:tr w:rsidR="00000000">
        <w:trPr>
          <w:divId w:val="50832945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0.5</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0.3</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51669" w:rsidRDefault="00B51669">
            <w:pPr>
              <w:spacing w:line="360" w:lineRule="auto"/>
              <w:jc w:val="right"/>
            </w:pPr>
            <w:r>
              <w:rPr>
                <w:rFonts w:ascii="宋体" w:hAnsi="宋体" w:hint="eastAsia"/>
              </w:rPr>
              <w:t>0.2</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50832945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0.4</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51669" w:rsidRDefault="00B51669">
            <w:pPr>
              <w:spacing w:line="360" w:lineRule="auto"/>
              <w:jc w:val="right"/>
            </w:pPr>
            <w:r>
              <w:rPr>
                <w:rFonts w:ascii="宋体" w:hAnsi="宋体" w:hint="eastAsia"/>
              </w:rPr>
              <w:t>0.6</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50832945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1.6</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51669" w:rsidRDefault="00B51669">
            <w:pPr>
              <w:spacing w:line="360" w:lineRule="auto"/>
              <w:jc w:val="right"/>
            </w:pPr>
            <w:r>
              <w:rPr>
                <w:rFonts w:ascii="宋体" w:hAnsi="宋体" w:hint="eastAsia"/>
              </w:rPr>
              <w:t>1.6</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50832945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2.5</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0.5</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51669" w:rsidRDefault="00B51669">
            <w:pPr>
              <w:spacing w:line="360" w:lineRule="auto"/>
              <w:jc w:val="right"/>
            </w:pPr>
            <w:r>
              <w:rPr>
                <w:rFonts w:ascii="宋体" w:hAnsi="宋体" w:hint="eastAsia"/>
              </w:rPr>
              <w:t>1.9</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bl>
    <w:p w:rsidR="00B51669" w:rsidRDefault="00B51669">
      <w:pPr>
        <w:spacing w:line="360" w:lineRule="auto"/>
        <w:jc w:val="center"/>
        <w:divId w:val="200479365"/>
      </w:pPr>
      <w:r>
        <w:rPr>
          <w:rFonts w:ascii="宋体" w:hAnsi="宋体" w:hint="eastAsia"/>
        </w:rPr>
        <w:t>摩根共同分类目录绿色债券</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200479365"/>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20047936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0.5</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0.3</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51669" w:rsidRDefault="00B51669">
            <w:pPr>
              <w:spacing w:line="360" w:lineRule="auto"/>
              <w:jc w:val="right"/>
            </w:pPr>
            <w:r>
              <w:rPr>
                <w:rFonts w:ascii="宋体" w:hAnsi="宋体" w:hint="eastAsia"/>
              </w:rPr>
              <w:t>0.2</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20047936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1.0</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0.4</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51669" w:rsidRDefault="00B51669">
            <w:pPr>
              <w:spacing w:line="360" w:lineRule="auto"/>
              <w:jc w:val="right"/>
            </w:pPr>
            <w:r>
              <w:rPr>
                <w:rFonts w:ascii="宋体" w:hAnsi="宋体" w:hint="eastAsia"/>
              </w:rPr>
              <w:t>0.5</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20047936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1.5</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51669" w:rsidRDefault="00B51669">
            <w:pPr>
              <w:spacing w:line="360" w:lineRule="auto"/>
              <w:jc w:val="right"/>
            </w:pPr>
            <w:r>
              <w:rPr>
                <w:rFonts w:ascii="宋体" w:hAnsi="宋体" w:hint="eastAsia"/>
              </w:rPr>
              <w:t>1.4</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20047936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2.3</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0.5</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51669" w:rsidRDefault="00B51669">
            <w:pPr>
              <w:spacing w:line="360" w:lineRule="auto"/>
              <w:jc w:val="right"/>
            </w:pPr>
            <w:r>
              <w:rPr>
                <w:rFonts w:ascii="宋体" w:hAnsi="宋体" w:hint="eastAsia"/>
              </w:rPr>
              <w:t>1.7</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bl>
    <w:p w:rsidR="00B51669" w:rsidRDefault="00B51669">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B51669" w:rsidRDefault="00B51669">
      <w:pPr>
        <w:spacing w:line="360" w:lineRule="auto"/>
        <w:jc w:val="left"/>
        <w:divId w:val="397829017"/>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B51669" w:rsidRDefault="00B51669">
      <w:pPr>
        <w:spacing w:line="360" w:lineRule="auto"/>
        <w:jc w:val="left"/>
        <w:divId w:val="304941083"/>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B51669" w:rsidRDefault="00B51669">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2024</w:t>
      </w:r>
      <w:r>
        <w:rPr>
          <w:rFonts w:ascii="宋体" w:hAnsi="宋体" w:hint="eastAsia"/>
          <w:lang w:eastAsia="zh-Hans"/>
        </w:rPr>
        <w:t>年</w:t>
      </w:r>
      <w:r>
        <w:rPr>
          <w:rFonts w:ascii="宋体" w:hAnsi="宋体" w:hint="eastAsia"/>
          <w:lang w:eastAsia="zh-Hans"/>
        </w:rPr>
        <w:t>12</w:t>
      </w:r>
      <w:r>
        <w:rPr>
          <w:rFonts w:ascii="宋体" w:hAnsi="宋体" w:hint="eastAsia"/>
          <w:lang w:eastAsia="zh-Hans"/>
        </w:rPr>
        <w:t>月</w:t>
      </w:r>
      <w:r>
        <w:rPr>
          <w:rFonts w:ascii="宋体" w:hAnsi="宋体" w:hint="eastAsia"/>
          <w:lang w:eastAsia="zh-Hans"/>
        </w:rPr>
        <w:t>5</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 xml:space="preserve"> </w:t>
      </w:r>
    </w:p>
    <w:p w:rsidR="00B51669" w:rsidRDefault="00B51669">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B51669" w:rsidRDefault="00B51669">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96241778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96241778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51669" w:rsidRDefault="00B5166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51669" w:rsidRDefault="00B51669">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51669" w:rsidRDefault="00B5166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51669" w:rsidRDefault="00B51669">
            <w:pPr>
              <w:widowControl/>
              <w:jc w:val="left"/>
            </w:pPr>
          </w:p>
        </w:tc>
      </w:tr>
      <w:tr w:rsidR="00000000">
        <w:trPr>
          <w:divId w:val="96241778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任</w:t>
            </w:r>
            <w:r>
              <w:rPr>
                <w:rFonts w:ascii="宋体" w:hAnsi="宋体" w:hint="eastAsia"/>
                <w:szCs w:val="24"/>
                <w:lang w:eastAsia="zh-Hans"/>
              </w:rPr>
              <w:t>翔</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12</w:t>
            </w:r>
            <w:r>
              <w:rPr>
                <w:rFonts w:ascii="宋体" w:hAnsi="宋体" w:hint="eastAsia"/>
                <w:szCs w:val="24"/>
                <w:lang w:eastAsia="zh-Hans"/>
              </w:rPr>
              <w:t>月</w:t>
            </w:r>
            <w:r>
              <w:rPr>
                <w:rFonts w:ascii="宋体" w:hAnsi="宋体" w:hint="eastAsia"/>
                <w:szCs w:val="24"/>
                <w:lang w:eastAsia="zh-Hans"/>
              </w:rPr>
              <w:t>5</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left"/>
            </w:pPr>
            <w:r>
              <w:rPr>
                <w:rFonts w:ascii="宋体" w:hAnsi="宋体" w:hint="eastAsia"/>
                <w:szCs w:val="24"/>
                <w:lang w:eastAsia="zh-Hans"/>
              </w:rPr>
              <w:t>任翔先生曾任德勤华永会计师事务所有限公司高级审计师，汇丰银行（中国）有限公司客户审计经理。</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起加入摩根基金管理（中国）有限公司（原上投摩根基金管理有限公司），历任研究员、投资经理助理、投资经理兼债券研究部副总监、投资经理兼固收研究部总监、债券投资部资深基金经理兼固收研究部总监，现任债券投资部资深基金经理</w:t>
            </w:r>
            <w:r>
              <w:rPr>
                <w:rFonts w:ascii="宋体" w:hAnsi="宋体" w:hint="eastAsia"/>
                <w:szCs w:val="24"/>
                <w:lang w:eastAsia="zh-Hans"/>
              </w:rPr>
              <w:t>。</w:t>
            </w:r>
          </w:p>
        </w:tc>
      </w:tr>
      <w:tr w:rsidR="00000000">
        <w:trPr>
          <w:divId w:val="96241778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邹</w:t>
            </w:r>
            <w:r>
              <w:rPr>
                <w:rFonts w:ascii="宋体" w:hAnsi="宋体" w:hint="eastAsia"/>
                <w:szCs w:val="24"/>
                <w:lang w:eastAsia="zh-Hans"/>
              </w:rPr>
              <w:t>澳</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6</w:t>
            </w:r>
            <w:r>
              <w:rPr>
                <w:rFonts w:ascii="宋体" w:hAnsi="宋体" w:hint="eastAsia"/>
                <w:szCs w:val="24"/>
                <w:lang w:eastAsia="zh-Hans"/>
              </w:rPr>
              <w:t>月</w:t>
            </w:r>
            <w:r>
              <w:rPr>
                <w:rFonts w:ascii="宋体" w:hAnsi="宋体" w:hint="eastAsia"/>
                <w:szCs w:val="24"/>
                <w:lang w:eastAsia="zh-Hans"/>
              </w:rPr>
              <w:t>22</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11</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left"/>
            </w:pPr>
            <w:r>
              <w:rPr>
                <w:rFonts w:ascii="宋体" w:hAnsi="宋体" w:hint="eastAsia"/>
                <w:szCs w:val="24"/>
                <w:lang w:eastAsia="zh-Hans"/>
              </w:rPr>
              <w:t>邹澳先生曾任法国巴黎银行分析师、标准普尔全球分析师、招商财富资产管理有限公司研究员。</w:t>
            </w:r>
            <w:r>
              <w:rPr>
                <w:rFonts w:ascii="宋体" w:hAnsi="宋体" w:hint="eastAsia"/>
                <w:szCs w:val="24"/>
                <w:lang w:eastAsia="zh-Hans"/>
              </w:rPr>
              <w:t>2020</w:t>
            </w:r>
            <w:r>
              <w:rPr>
                <w:rFonts w:ascii="宋体" w:hAnsi="宋体" w:hint="eastAsia"/>
                <w:szCs w:val="24"/>
                <w:lang w:eastAsia="zh-Hans"/>
              </w:rPr>
              <w:t>年</w:t>
            </w:r>
            <w:r>
              <w:rPr>
                <w:rFonts w:ascii="宋体" w:hAnsi="宋体" w:hint="eastAsia"/>
                <w:szCs w:val="24"/>
                <w:lang w:eastAsia="zh-Hans"/>
              </w:rPr>
              <w:t>6</w:t>
            </w:r>
            <w:r>
              <w:rPr>
                <w:rFonts w:ascii="宋体" w:hAnsi="宋体" w:hint="eastAsia"/>
                <w:szCs w:val="24"/>
                <w:lang w:eastAsia="zh-Hans"/>
              </w:rPr>
              <w:t>月起加入摩根基金管理（中国）有限公司（原上投摩根基金管理有限公司），历任固收研究员、基金经理助理，现任债券投资部基金经理</w:t>
            </w:r>
            <w:r>
              <w:rPr>
                <w:rFonts w:ascii="宋体" w:hAnsi="宋体" w:hint="eastAsia"/>
                <w:szCs w:val="24"/>
                <w:lang w:eastAsia="zh-Hans"/>
              </w:rPr>
              <w:t>。</w:t>
            </w:r>
          </w:p>
        </w:tc>
      </w:tr>
    </w:tbl>
    <w:p w:rsidR="00B51669" w:rsidRDefault="00B51669">
      <w:pPr>
        <w:wordWrap w:val="0"/>
        <w:spacing w:line="360" w:lineRule="auto"/>
        <w:jc w:val="left"/>
        <w:divId w:val="1649241091"/>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B51669" w:rsidRDefault="00B51669">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B51669" w:rsidRDefault="00B51669">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B51669" w:rsidRDefault="00B51669">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B51669" w:rsidRDefault="00B51669">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B51669" w:rsidRDefault="00B51669">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B51669" w:rsidRDefault="00B51669">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B51669" w:rsidRDefault="00B51669">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B51669" w:rsidRDefault="00B51669">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B51669" w:rsidRDefault="00B51669">
      <w:pPr>
        <w:spacing w:line="360" w:lineRule="auto"/>
        <w:ind w:firstLineChars="200" w:firstLine="420"/>
        <w:jc w:val="left"/>
        <w:rPr>
          <w:rFonts w:hint="eastAsia"/>
        </w:rPr>
      </w:pPr>
      <w:r>
        <w:rPr>
          <w:rFonts w:ascii="宋体" w:hAnsi="宋体" w:cs="宋体" w:hint="eastAsia"/>
          <w:color w:val="000000"/>
          <w:kern w:val="0"/>
        </w:rPr>
        <w:t>二季度债市整体走强，曲线呈现牛平态势，长端利率和信用均表现较好，期限利差明显压缩，超长利率债走势强于一季度。</w:t>
      </w:r>
      <w:r>
        <w:rPr>
          <w:rFonts w:ascii="宋体" w:hAnsi="宋体" w:cs="宋体" w:hint="eastAsia"/>
          <w:color w:val="000000"/>
          <w:kern w:val="0"/>
        </w:rPr>
        <w:t>2026</w:t>
      </w:r>
      <w:r>
        <w:rPr>
          <w:rFonts w:ascii="宋体" w:hAnsi="宋体" w:cs="宋体" w:hint="eastAsia"/>
          <w:color w:val="000000"/>
          <w:kern w:val="0"/>
        </w:rPr>
        <w:t>年一季度以来资金保持稳定偏宽松态势，</w:t>
      </w:r>
      <w:r>
        <w:rPr>
          <w:rFonts w:ascii="宋体" w:hAnsi="宋体" w:cs="宋体" w:hint="eastAsia"/>
          <w:color w:val="000000"/>
          <w:kern w:val="0"/>
        </w:rPr>
        <w:t>4</w:t>
      </w:r>
      <w:r>
        <w:rPr>
          <w:rFonts w:ascii="宋体" w:hAnsi="宋体" w:cs="宋体" w:hint="eastAsia"/>
          <w:color w:val="000000"/>
          <w:kern w:val="0"/>
        </w:rPr>
        <w:t>月以来大行资金供给进一步走高，资金利率稳步下行，且非银和银行的资金利率分层维持低位，短债保持了较高的杠杆利差，推动短端信用债稳步下行，也使得长端债券迎来补涨。</w:t>
      </w:r>
      <w:r>
        <w:rPr>
          <w:rFonts w:ascii="宋体" w:hAnsi="宋体" w:cs="宋体" w:hint="eastAsia"/>
          <w:color w:val="000000"/>
          <w:kern w:val="0"/>
        </w:rPr>
        <w:t>4</w:t>
      </w:r>
      <w:r>
        <w:rPr>
          <w:rFonts w:ascii="宋体" w:hAnsi="宋体" w:cs="宋体" w:hint="eastAsia"/>
          <w:color w:val="000000"/>
          <w:kern w:val="0"/>
        </w:rPr>
        <w:t>月以来的基本面对债市形成利好，</w:t>
      </w:r>
      <w:r>
        <w:rPr>
          <w:rFonts w:ascii="宋体" w:hAnsi="宋体" w:cs="宋体" w:hint="eastAsia"/>
          <w:color w:val="000000"/>
          <w:kern w:val="0"/>
        </w:rPr>
        <w:t>4-5</w:t>
      </w:r>
      <w:r>
        <w:rPr>
          <w:rFonts w:ascii="宋体" w:hAnsi="宋体" w:cs="宋体" w:hint="eastAsia"/>
          <w:color w:val="000000"/>
          <w:kern w:val="0"/>
        </w:rPr>
        <w:t>月金融数据表现均一般，信贷需求维持偏弱，居民信贷继续形成拖累，银行体系的存贷差维持高位，也使得银行体系的资金供给相对充裕。另外通胀数据也有所缓和，</w:t>
      </w:r>
      <w:r>
        <w:rPr>
          <w:rFonts w:ascii="宋体" w:hAnsi="宋体" w:cs="宋体" w:hint="eastAsia"/>
          <w:color w:val="000000"/>
          <w:kern w:val="0"/>
        </w:rPr>
        <w:t>4-5</w:t>
      </w:r>
      <w:r>
        <w:rPr>
          <w:rFonts w:ascii="宋体" w:hAnsi="宋体" w:cs="宋体" w:hint="eastAsia"/>
          <w:color w:val="000000"/>
          <w:kern w:val="0"/>
        </w:rPr>
        <w:t>月的通胀数据呈现</w:t>
      </w:r>
      <w:r>
        <w:rPr>
          <w:rFonts w:ascii="宋体" w:hAnsi="宋体" w:cs="宋体" w:hint="eastAsia"/>
          <w:color w:val="000000"/>
          <w:kern w:val="0"/>
        </w:rPr>
        <w:t>CPI</w:t>
      </w:r>
      <w:r>
        <w:rPr>
          <w:rFonts w:ascii="宋体" w:hAnsi="宋体" w:cs="宋体" w:hint="eastAsia"/>
          <w:color w:val="000000"/>
          <w:kern w:val="0"/>
        </w:rPr>
        <w:t>维持平稳及</w:t>
      </w:r>
      <w:r>
        <w:rPr>
          <w:rFonts w:ascii="宋体" w:hAnsi="宋体" w:cs="宋体" w:hint="eastAsia"/>
          <w:color w:val="000000"/>
          <w:kern w:val="0"/>
        </w:rPr>
        <w:t>PPI</w:t>
      </w:r>
      <w:r>
        <w:rPr>
          <w:rFonts w:ascii="宋体" w:hAnsi="宋体" w:cs="宋体" w:hint="eastAsia"/>
          <w:color w:val="000000"/>
          <w:kern w:val="0"/>
        </w:rPr>
        <w:t>涨势放缓的格局，原油价格对</w:t>
      </w:r>
      <w:r>
        <w:rPr>
          <w:rFonts w:ascii="宋体" w:hAnsi="宋体" w:cs="宋体" w:hint="eastAsia"/>
          <w:color w:val="000000"/>
          <w:kern w:val="0"/>
        </w:rPr>
        <w:t>PPI</w:t>
      </w:r>
      <w:r>
        <w:rPr>
          <w:rFonts w:ascii="宋体" w:hAnsi="宋体" w:cs="宋体" w:hint="eastAsia"/>
          <w:color w:val="000000"/>
          <w:kern w:val="0"/>
        </w:rPr>
        <w:t>的拉动有所弱化，核心</w:t>
      </w:r>
      <w:r>
        <w:rPr>
          <w:rFonts w:ascii="宋体" w:hAnsi="宋体" w:cs="宋体" w:hint="eastAsia"/>
          <w:color w:val="000000"/>
          <w:kern w:val="0"/>
        </w:rPr>
        <w:t>CPI</w:t>
      </w:r>
      <w:r>
        <w:rPr>
          <w:rFonts w:ascii="宋体" w:hAnsi="宋体" w:cs="宋体" w:hint="eastAsia"/>
          <w:color w:val="000000"/>
          <w:kern w:val="0"/>
        </w:rPr>
        <w:t>的表现仍相对一般。资金环境的宽松和基本面的走势均对债市情绪有明显提振，</w:t>
      </w:r>
      <w:r>
        <w:rPr>
          <w:rFonts w:ascii="宋体" w:hAnsi="宋体" w:cs="宋体" w:hint="eastAsia"/>
          <w:color w:val="000000"/>
          <w:kern w:val="0"/>
        </w:rPr>
        <w:t>5</w:t>
      </w:r>
      <w:r>
        <w:rPr>
          <w:rFonts w:ascii="宋体" w:hAnsi="宋体" w:cs="宋体" w:hint="eastAsia"/>
          <w:color w:val="000000"/>
          <w:kern w:val="0"/>
        </w:rPr>
        <w:t>月以来交易型机构的情绪明显升温，加大了对超长利率和长端信用的买入力度，推动曲线明显走平。进入</w:t>
      </w:r>
      <w:r>
        <w:rPr>
          <w:rFonts w:ascii="宋体" w:hAnsi="宋体" w:cs="宋体" w:hint="eastAsia"/>
          <w:color w:val="000000"/>
          <w:kern w:val="0"/>
        </w:rPr>
        <w:t>6</w:t>
      </w:r>
      <w:r>
        <w:rPr>
          <w:rFonts w:ascii="宋体" w:hAnsi="宋体" w:cs="宋体" w:hint="eastAsia"/>
          <w:color w:val="000000"/>
          <w:kern w:val="0"/>
        </w:rPr>
        <w:t>月，大行净融出显著降低，资金面随之趋紧，市场对于后续资金利率转向谨慎，止盈盘带动收益率震荡向上。随后，陆家嘴论坛强调“稳中求进”，隔夜逆回购新工具落地，有效化解了市场对资金面的担忧，收益率转而下行。</w:t>
      </w:r>
      <w:r>
        <w:rPr>
          <w:rFonts w:ascii="宋体" w:hAnsi="宋体" w:cs="宋体" w:hint="eastAsia"/>
          <w:color w:val="000000"/>
          <w:kern w:val="0"/>
        </w:rPr>
        <w:br/>
      </w:r>
      <w:r>
        <w:rPr>
          <w:rFonts w:ascii="宋体" w:hAnsi="宋体" w:cs="宋体" w:hint="eastAsia"/>
          <w:color w:val="000000"/>
          <w:kern w:val="0"/>
        </w:rPr>
        <w:t xml:space="preserve">　　本基金在二季度保持了中性久期，聚焦符合共同分类目录要求的绿色债券，同时小幅参与利率债的波段交易机会，获得了较为稳健的回报。</w:t>
      </w:r>
      <w:r>
        <w:rPr>
          <w:rFonts w:ascii="宋体" w:hAnsi="宋体" w:cs="宋体" w:hint="eastAsia"/>
          <w:color w:val="000000"/>
          <w:kern w:val="0"/>
        </w:rPr>
        <w:br/>
      </w:r>
      <w:r>
        <w:rPr>
          <w:rFonts w:ascii="宋体" w:hAnsi="宋体" w:cs="宋体" w:hint="eastAsia"/>
          <w:color w:val="000000"/>
          <w:kern w:val="0"/>
        </w:rPr>
        <w:t xml:space="preserve">　　展望后市，债市可能维持震荡分化行情。资金利率虽有上行，但空间有限，预计货币政策仍将在关键时点呵护资金面，短债可继续获得支撑，但当前杠杆利差较薄，赔率相对有限。长期限利率债或有一定交易机会，后续通胀数据对债市的扰动预计有限，社融数据仍待企稳，若经济数据和金融数据相对二季度无明显改善，考虑到当前期限利差仍处于偏高水平，长端利率或有一定下行空间。信用债走势预计相对弱于利率，当前信用利差维持低位，利差压缩空间狭窄，且</w:t>
      </w:r>
      <w:r>
        <w:rPr>
          <w:rFonts w:ascii="宋体" w:hAnsi="宋体" w:cs="宋体" w:hint="eastAsia"/>
          <w:color w:val="000000"/>
          <w:kern w:val="0"/>
        </w:rPr>
        <w:t>6</w:t>
      </w:r>
      <w:r>
        <w:rPr>
          <w:rFonts w:ascii="宋体" w:hAnsi="宋体" w:cs="宋体" w:hint="eastAsia"/>
          <w:color w:val="000000"/>
          <w:kern w:val="0"/>
        </w:rPr>
        <w:t>月以来相关政策推动债券信用评级趋严，弱资质发债主体或面临评级下调或终止问题，对市场情绪形成一定扰动，预计该类弱资质信用债可能面临利差走阔压力，因此需控制相关信用风险敞口。我们将在把握基本面定价的基础上，结合短期技术面因素及政策和焦点事件演变，灵活调整基金久期及券种分布，把握债券交易机会</w:t>
      </w:r>
      <w:r>
        <w:rPr>
          <w:rFonts w:ascii="宋体" w:hAnsi="宋体" w:cs="宋体" w:hint="eastAsia"/>
          <w:color w:val="000000"/>
          <w:kern w:val="0"/>
        </w:rPr>
        <w:t>。</w:t>
      </w:r>
    </w:p>
    <w:p w:rsidR="00B51669" w:rsidRDefault="00B51669">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B51669" w:rsidRDefault="00B51669">
      <w:pPr>
        <w:spacing w:line="360" w:lineRule="auto"/>
        <w:ind w:firstLineChars="200" w:firstLine="420"/>
        <w:rPr>
          <w:rFonts w:hint="eastAsia"/>
        </w:rPr>
      </w:pPr>
      <w:r>
        <w:rPr>
          <w:rFonts w:ascii="宋体" w:hAnsi="宋体" w:hint="eastAsia"/>
        </w:rPr>
        <w:t>本报告期摩根共同分类目录绿色债券</w:t>
      </w:r>
      <w:r>
        <w:rPr>
          <w:rFonts w:ascii="宋体" w:hAnsi="宋体" w:hint="eastAsia"/>
        </w:rPr>
        <w:t>A</w:t>
      </w:r>
      <w:r>
        <w:rPr>
          <w:rFonts w:ascii="宋体" w:hAnsi="宋体" w:hint="eastAsia"/>
        </w:rPr>
        <w:t>份额净值增长率为：</w:t>
      </w:r>
      <w:r>
        <w:rPr>
          <w:rFonts w:ascii="宋体" w:hAnsi="宋体" w:hint="eastAsia"/>
        </w:rPr>
        <w:t>0.52%</w:t>
      </w:r>
      <w:r>
        <w:rPr>
          <w:rFonts w:ascii="宋体" w:hAnsi="宋体" w:hint="eastAsia"/>
        </w:rPr>
        <w:t>，同期业绩比较基准收益率为：</w:t>
      </w:r>
      <w:r>
        <w:rPr>
          <w:rFonts w:ascii="宋体" w:hAnsi="宋体" w:hint="eastAsia"/>
        </w:rPr>
        <w:t>0.30%</w:t>
      </w:r>
      <w:r>
        <w:rPr>
          <w:rFonts w:ascii="宋体" w:hAnsi="宋体" w:hint="eastAsia"/>
        </w:rPr>
        <w:t>；</w:t>
      </w:r>
      <w:r>
        <w:rPr>
          <w:rFonts w:ascii="宋体" w:hAnsi="宋体" w:hint="eastAsia"/>
        </w:rPr>
        <w:br/>
      </w:r>
      <w:r>
        <w:rPr>
          <w:rFonts w:ascii="宋体" w:hAnsi="宋体" w:hint="eastAsia"/>
        </w:rPr>
        <w:t xml:space="preserve">　　摩根共同分类目录绿色债券</w:t>
      </w:r>
      <w:r>
        <w:rPr>
          <w:rFonts w:ascii="宋体" w:hAnsi="宋体" w:hint="eastAsia"/>
        </w:rPr>
        <w:t>C</w:t>
      </w:r>
      <w:r>
        <w:rPr>
          <w:rFonts w:ascii="宋体" w:hAnsi="宋体" w:hint="eastAsia"/>
        </w:rPr>
        <w:t>份额净值增长率为：</w:t>
      </w:r>
      <w:r>
        <w:rPr>
          <w:rFonts w:ascii="宋体" w:hAnsi="宋体" w:hint="eastAsia"/>
        </w:rPr>
        <w:t>0.50%</w:t>
      </w:r>
      <w:r>
        <w:rPr>
          <w:rFonts w:ascii="宋体" w:hAnsi="宋体" w:hint="eastAsia"/>
        </w:rPr>
        <w:t>，同期业绩比较基准收益率为：</w:t>
      </w:r>
      <w:r>
        <w:rPr>
          <w:rFonts w:ascii="宋体" w:hAnsi="宋体" w:hint="eastAsia"/>
        </w:rPr>
        <w:t>0.30%</w:t>
      </w:r>
      <w:r>
        <w:rPr>
          <w:rFonts w:ascii="宋体" w:hAnsi="宋体" w:hint="eastAsia"/>
        </w:rPr>
        <w:t>。</w:t>
      </w:r>
    </w:p>
    <w:p w:rsidR="00B51669" w:rsidRDefault="00B51669">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B51669" w:rsidRDefault="00B51669">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B51669" w:rsidRDefault="00B51669">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B51669" w:rsidRDefault="00B51669">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728113277"/>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51669" w:rsidRDefault="00B51669">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B51669" w:rsidRDefault="00B51669">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B51669" w:rsidRDefault="00B51669">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B51669" w:rsidRDefault="00B51669">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7281132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B51669" w:rsidRDefault="00B51669">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r>
      <w:tr w:rsidR="00000000">
        <w:trPr>
          <w:divId w:val="7281132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B51669" w:rsidRDefault="00B51669">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r>
      <w:tr w:rsidR="00000000">
        <w:trPr>
          <w:divId w:val="7281132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B51669" w:rsidRDefault="00B51669">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r>
      <w:tr w:rsidR="00000000">
        <w:trPr>
          <w:divId w:val="7281132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B51669" w:rsidRDefault="00B51669">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5,018,981,412.7</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93.2</w:t>
            </w:r>
            <w:r>
              <w:rPr>
                <w:rFonts w:ascii="宋体" w:hAnsi="宋体" w:hint="eastAsia"/>
                <w:szCs w:val="24"/>
                <w:lang w:eastAsia="zh-Hans"/>
              </w:rPr>
              <w:t>9</w:t>
            </w:r>
          </w:p>
        </w:tc>
      </w:tr>
      <w:tr w:rsidR="00000000">
        <w:trPr>
          <w:divId w:val="7281132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B51669" w:rsidRDefault="00B51669">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5,018,981,412.7</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93.2</w:t>
            </w:r>
            <w:r>
              <w:rPr>
                <w:rFonts w:ascii="宋体" w:hAnsi="宋体" w:hint="eastAsia"/>
                <w:szCs w:val="24"/>
                <w:lang w:eastAsia="zh-Hans"/>
              </w:rPr>
              <w:t>9</w:t>
            </w:r>
          </w:p>
        </w:tc>
      </w:tr>
      <w:tr w:rsidR="00000000">
        <w:trPr>
          <w:divId w:val="7281132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B51669" w:rsidRDefault="00B51669">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r>
      <w:tr w:rsidR="00000000">
        <w:trPr>
          <w:divId w:val="7281132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B51669" w:rsidRDefault="00B51669">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r>
      <w:tr w:rsidR="00000000">
        <w:trPr>
          <w:divId w:val="7281132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B51669" w:rsidRDefault="00B51669">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r>
      <w:tr w:rsidR="00000000">
        <w:trPr>
          <w:divId w:val="7281132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B51669" w:rsidRDefault="00B51669">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357,014,671.2</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6.6</w:t>
            </w:r>
            <w:r>
              <w:rPr>
                <w:rFonts w:ascii="宋体" w:hAnsi="宋体" w:hint="eastAsia"/>
                <w:szCs w:val="24"/>
                <w:lang w:eastAsia="zh-Hans"/>
              </w:rPr>
              <w:t>4</w:t>
            </w:r>
          </w:p>
        </w:tc>
      </w:tr>
      <w:tr w:rsidR="00000000">
        <w:trPr>
          <w:divId w:val="7281132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B51669" w:rsidRDefault="00B51669">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r>
      <w:tr w:rsidR="00000000">
        <w:trPr>
          <w:divId w:val="7281132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B51669" w:rsidRDefault="00B51669">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3,684,519.3</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0.0</w:t>
            </w:r>
            <w:r>
              <w:rPr>
                <w:rFonts w:ascii="宋体" w:hAnsi="宋体" w:hint="eastAsia"/>
                <w:szCs w:val="24"/>
                <w:lang w:eastAsia="zh-Hans"/>
              </w:rPr>
              <w:t>7</w:t>
            </w:r>
          </w:p>
        </w:tc>
      </w:tr>
      <w:tr w:rsidR="00000000">
        <w:trPr>
          <w:divId w:val="7281132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B51669" w:rsidRDefault="00B51669">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11,633.5</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0.0</w:t>
            </w:r>
            <w:r>
              <w:rPr>
                <w:rFonts w:ascii="宋体" w:hAnsi="宋体" w:hint="eastAsia"/>
                <w:szCs w:val="24"/>
                <w:lang w:eastAsia="zh-Hans"/>
              </w:rPr>
              <w:t>0</w:t>
            </w:r>
          </w:p>
        </w:tc>
      </w:tr>
      <w:tr w:rsidR="00000000">
        <w:trPr>
          <w:divId w:val="72811327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B51669" w:rsidRDefault="00B51669">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5,379,692,236.8</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100.0</w:t>
            </w:r>
            <w:r>
              <w:rPr>
                <w:rFonts w:ascii="宋体" w:hAnsi="宋体" w:hint="eastAsia"/>
                <w:szCs w:val="24"/>
                <w:lang w:eastAsia="zh-Hans"/>
              </w:rPr>
              <w:t>0</w:t>
            </w:r>
          </w:p>
        </w:tc>
      </w:tr>
    </w:tbl>
    <w:p w:rsidR="00B51669" w:rsidRDefault="00B51669">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B51669" w:rsidRDefault="00B51669">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p w:rsidR="00B51669" w:rsidRDefault="00B51669">
      <w:pPr>
        <w:spacing w:line="360" w:lineRule="auto"/>
        <w:ind w:firstLineChars="200" w:firstLine="420"/>
        <w:divId w:val="617109719"/>
        <w:rPr>
          <w:rFonts w:hint="eastAsia"/>
        </w:rPr>
      </w:pPr>
      <w:r>
        <w:rPr>
          <w:rFonts w:ascii="宋体" w:hAnsi="宋体" w:hint="eastAsia"/>
          <w:szCs w:val="21"/>
          <w:lang w:eastAsia="zh-Hans"/>
        </w:rPr>
        <w:t>本基金本报告期末未持有境内股票</w:t>
      </w:r>
      <w:r>
        <w:rPr>
          <w:rFonts w:ascii="宋体" w:hAnsi="宋体" w:hint="eastAsia"/>
          <w:szCs w:val="21"/>
          <w:lang w:eastAsia="zh-Hans"/>
        </w:rPr>
        <w:t>。</w:t>
      </w:r>
    </w:p>
    <w:p w:rsidR="00B51669" w:rsidRDefault="00B51669">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B51669" w:rsidRDefault="00B51669">
      <w:pPr>
        <w:spacing w:line="360" w:lineRule="auto"/>
        <w:ind w:firstLineChars="200" w:firstLine="420"/>
        <w:divId w:val="1328559039"/>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B51669" w:rsidRDefault="00B51669">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B51669" w:rsidRDefault="00B51669">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p w:rsidR="00B51669" w:rsidRDefault="00B51669">
      <w:pPr>
        <w:spacing w:line="360" w:lineRule="auto"/>
        <w:ind w:firstLineChars="200" w:firstLine="420"/>
        <w:jc w:val="left"/>
        <w:rPr>
          <w:rFonts w:hint="eastAsia"/>
        </w:rPr>
      </w:pPr>
      <w:r>
        <w:rPr>
          <w:rFonts w:ascii="宋体" w:hAnsi="宋体" w:hint="eastAsia"/>
          <w:color w:val="000000"/>
          <w:szCs w:val="21"/>
          <w:lang w:eastAsia="zh-Hans"/>
        </w:rPr>
        <w:t>本基金本报告期末未持有股票</w:t>
      </w:r>
      <w:r>
        <w:rPr>
          <w:rFonts w:ascii="宋体" w:hAnsi="宋体" w:hint="eastAsia"/>
          <w:color w:val="000000"/>
          <w:szCs w:val="21"/>
          <w:lang w:eastAsia="zh-Hans"/>
        </w:rPr>
        <w:t>。</w:t>
      </w:r>
    </w:p>
    <w:p w:rsidR="00B51669" w:rsidRDefault="00B51669">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125974610"/>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51669" w:rsidRDefault="00B51669">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51669" w:rsidRDefault="00B51669">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51669" w:rsidRDefault="00B51669">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51669" w:rsidRDefault="00B51669">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1259746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128,140,981.0</w:t>
            </w:r>
            <w:r>
              <w:rPr>
                <w:rFonts w:ascii="宋体" w:hAnsi="宋体" w:hint="eastAsia"/>
                <w:szCs w:val="24"/>
                <w:lang w:eastAsia="zh-Hans"/>
              </w:rPr>
              <w:t>6</w:t>
            </w:r>
          </w:p>
        </w:tc>
        <w:tc>
          <w:tcPr>
            <w:tcW w:w="1932"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2.3</w:t>
            </w:r>
            <w:r>
              <w:rPr>
                <w:rFonts w:ascii="宋体" w:hAnsi="宋体" w:hint="eastAsia"/>
                <w:szCs w:val="24"/>
                <w:lang w:eastAsia="zh-Hans"/>
              </w:rPr>
              <w:t>8</w:t>
            </w:r>
          </w:p>
        </w:tc>
      </w:tr>
      <w:tr w:rsidR="00000000">
        <w:trPr>
          <w:divId w:val="11259746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r>
      <w:tr w:rsidR="00000000">
        <w:trPr>
          <w:divId w:val="11259746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1,509,574,614.6</w:t>
            </w:r>
            <w:r>
              <w:rPr>
                <w:rFonts w:ascii="宋体" w:hAnsi="宋体" w:hint="eastAsia"/>
                <w:szCs w:val="24"/>
                <w:lang w:eastAsia="zh-Hans"/>
              </w:rPr>
              <w:t>9</w:t>
            </w:r>
          </w:p>
        </w:tc>
        <w:tc>
          <w:tcPr>
            <w:tcW w:w="1932"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28.0</w:t>
            </w:r>
            <w:r>
              <w:rPr>
                <w:rFonts w:ascii="宋体" w:hAnsi="宋体" w:hint="eastAsia"/>
                <w:szCs w:val="24"/>
                <w:lang w:eastAsia="zh-Hans"/>
              </w:rPr>
              <w:t>7</w:t>
            </w:r>
          </w:p>
        </w:tc>
      </w:tr>
      <w:tr w:rsidR="00000000">
        <w:trPr>
          <w:divId w:val="11259746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703,821,616.4</w:t>
            </w:r>
            <w:r>
              <w:rPr>
                <w:rFonts w:ascii="宋体" w:hAnsi="宋体" w:hint="eastAsia"/>
                <w:szCs w:val="24"/>
                <w:lang w:eastAsia="zh-Hans"/>
              </w:rPr>
              <w:t>5</w:t>
            </w:r>
          </w:p>
        </w:tc>
        <w:tc>
          <w:tcPr>
            <w:tcW w:w="1932"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13.0</w:t>
            </w:r>
            <w:r>
              <w:rPr>
                <w:rFonts w:ascii="宋体" w:hAnsi="宋体" w:hint="eastAsia"/>
                <w:szCs w:val="24"/>
                <w:lang w:eastAsia="zh-Hans"/>
              </w:rPr>
              <w:t>9</w:t>
            </w:r>
          </w:p>
        </w:tc>
      </w:tr>
      <w:tr w:rsidR="00000000">
        <w:trPr>
          <w:divId w:val="11259746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r>
      <w:tr w:rsidR="00000000">
        <w:trPr>
          <w:divId w:val="11259746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80,235,669.0</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1.4</w:t>
            </w:r>
            <w:r>
              <w:rPr>
                <w:rFonts w:ascii="宋体" w:hAnsi="宋体" w:hint="eastAsia"/>
                <w:szCs w:val="24"/>
                <w:lang w:eastAsia="zh-Hans"/>
              </w:rPr>
              <w:t>9</w:t>
            </w:r>
          </w:p>
        </w:tc>
      </w:tr>
      <w:tr w:rsidR="00000000">
        <w:trPr>
          <w:divId w:val="11259746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3,301,030,147.9</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61.3</w:t>
            </w:r>
            <w:r>
              <w:rPr>
                <w:rFonts w:ascii="宋体" w:hAnsi="宋体" w:hint="eastAsia"/>
                <w:szCs w:val="24"/>
                <w:lang w:eastAsia="zh-Hans"/>
              </w:rPr>
              <w:t>8</w:t>
            </w:r>
          </w:p>
        </w:tc>
      </w:tr>
      <w:tr w:rsidR="00000000">
        <w:trPr>
          <w:divId w:val="11259746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r>
      <w:tr w:rsidR="00000000">
        <w:trPr>
          <w:divId w:val="11259746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r>
      <w:tr w:rsidR="00000000">
        <w:trPr>
          <w:divId w:val="11259746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w:t>
            </w:r>
          </w:p>
        </w:tc>
      </w:tr>
      <w:tr w:rsidR="00000000">
        <w:trPr>
          <w:divId w:val="11259746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B51669" w:rsidRDefault="00B51669">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5,018,981,412.7</w:t>
            </w:r>
            <w:r>
              <w:rPr>
                <w:rFonts w:ascii="宋体" w:hAnsi="宋体" w:hint="eastAsia"/>
                <w:szCs w:val="24"/>
                <w:lang w:eastAsia="zh-Hans"/>
              </w:rPr>
              <w:t>6</w:t>
            </w:r>
          </w:p>
        </w:tc>
        <w:tc>
          <w:tcPr>
            <w:tcW w:w="1932" w:type="pct"/>
            <w:tcBorders>
              <w:top w:val="single" w:sz="4" w:space="0" w:color="auto"/>
              <w:left w:val="single" w:sz="4" w:space="0" w:color="auto"/>
              <w:bottom w:val="single" w:sz="4" w:space="0" w:color="auto"/>
              <w:right w:val="single" w:sz="4" w:space="0" w:color="auto"/>
            </w:tcBorders>
            <w:vAlign w:val="center"/>
            <w:hideMark/>
          </w:tcPr>
          <w:p w:rsidR="00B51669" w:rsidRDefault="00B51669">
            <w:pPr>
              <w:jc w:val="right"/>
            </w:pPr>
            <w:r>
              <w:rPr>
                <w:rFonts w:ascii="宋体" w:hAnsi="宋体" w:hint="eastAsia"/>
                <w:szCs w:val="24"/>
                <w:lang w:eastAsia="zh-Hans"/>
              </w:rPr>
              <w:t>93.3</w:t>
            </w:r>
            <w:r>
              <w:rPr>
                <w:rFonts w:ascii="宋体" w:hAnsi="宋体" w:hint="eastAsia"/>
                <w:szCs w:val="24"/>
                <w:lang w:eastAsia="zh-Hans"/>
              </w:rPr>
              <w:t>2</w:t>
            </w:r>
          </w:p>
        </w:tc>
      </w:tr>
    </w:tbl>
    <w:p w:rsidR="00B51669" w:rsidRDefault="00B51669">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623081109"/>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51669" w:rsidRDefault="00B51669">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51669" w:rsidRDefault="00B51669">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51669" w:rsidRDefault="00B51669">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51669" w:rsidRDefault="00B51669">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51669" w:rsidRDefault="00B51669">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51669" w:rsidRDefault="00B51669">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62308110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242000</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24</w:t>
            </w:r>
            <w:r>
              <w:rPr>
                <w:rFonts w:ascii="宋体" w:hAnsi="宋体" w:hint="eastAsia"/>
                <w:szCs w:val="24"/>
                <w:lang w:eastAsia="zh-Hans"/>
              </w:rPr>
              <w:t>江苏银行绿色债</w:t>
            </w:r>
            <w:r>
              <w:rPr>
                <w:rFonts w:ascii="宋体" w:hAnsi="宋体" w:hint="eastAsia"/>
                <w:szCs w:val="24"/>
                <w:lang w:eastAsia="zh-Hans"/>
              </w:rPr>
              <w:t>0</w:t>
            </w:r>
            <w:r>
              <w:rPr>
                <w:rFonts w:ascii="宋体" w:hAnsi="宋体" w:hint="eastAsia"/>
                <w:szCs w:val="24"/>
                <w:lang w:eastAsia="zh-Hans"/>
              </w:rPr>
              <w:t>2</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szCs w:val="24"/>
                <w:lang w:eastAsia="zh-Hans"/>
              </w:rPr>
              <w:t>2,200,00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szCs w:val="24"/>
                <w:lang w:eastAsia="zh-Hans"/>
              </w:rPr>
              <w:t>223,131,425.7</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szCs w:val="24"/>
                <w:lang w:eastAsia="zh-Hans"/>
              </w:rPr>
              <w:t>4.1</w:t>
            </w:r>
            <w:r>
              <w:rPr>
                <w:rFonts w:ascii="宋体" w:hAnsi="宋体" w:hint="eastAsia"/>
                <w:szCs w:val="24"/>
                <w:lang w:eastAsia="zh-Hans"/>
              </w:rPr>
              <w:t>5</w:t>
            </w:r>
          </w:p>
        </w:tc>
      </w:tr>
      <w:tr w:rsidR="00000000">
        <w:trPr>
          <w:divId w:val="62308110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2202001Q</w:t>
            </w:r>
            <w:r>
              <w:rPr>
                <w:rFonts w:ascii="宋体" w:hAnsi="宋体" w:hint="eastAsia"/>
                <w:szCs w:val="24"/>
                <w:lang w:eastAsia="zh-Hans"/>
              </w:rPr>
              <w:t>F</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22</w:t>
            </w:r>
            <w:r>
              <w:rPr>
                <w:rFonts w:ascii="宋体" w:hAnsi="宋体" w:hint="eastAsia"/>
                <w:szCs w:val="24"/>
                <w:lang w:eastAsia="zh-Hans"/>
              </w:rPr>
              <w:t>国开绿债</w:t>
            </w:r>
            <w:r>
              <w:rPr>
                <w:rFonts w:ascii="宋体" w:hAnsi="宋体" w:hint="eastAsia"/>
                <w:szCs w:val="24"/>
                <w:lang w:eastAsia="zh-Hans"/>
              </w:rPr>
              <w:t>01</w:t>
            </w:r>
            <w:r>
              <w:rPr>
                <w:rFonts w:ascii="宋体" w:hAnsi="宋体" w:hint="eastAsia"/>
                <w:szCs w:val="24"/>
                <w:lang w:eastAsia="zh-Hans"/>
              </w:rPr>
              <w:t>清</w:t>
            </w:r>
            <w:r>
              <w:rPr>
                <w:rFonts w:ascii="宋体" w:hAnsi="宋体" w:hint="eastAsia"/>
                <w:szCs w:val="24"/>
                <w:lang w:eastAsia="zh-Hans"/>
              </w:rPr>
              <w:t>发</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szCs w:val="24"/>
                <w:lang w:eastAsia="zh-Hans"/>
              </w:rPr>
              <w:t>2,100,00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szCs w:val="24"/>
                <w:lang w:eastAsia="zh-Hans"/>
              </w:rPr>
              <w:t>213,844,438.3</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szCs w:val="24"/>
                <w:lang w:eastAsia="zh-Hans"/>
              </w:rPr>
              <w:t>3.9</w:t>
            </w:r>
            <w:r>
              <w:rPr>
                <w:rFonts w:ascii="宋体" w:hAnsi="宋体" w:hint="eastAsia"/>
                <w:szCs w:val="24"/>
                <w:lang w:eastAsia="zh-Hans"/>
              </w:rPr>
              <w:t>8</w:t>
            </w:r>
          </w:p>
        </w:tc>
      </w:tr>
      <w:tr w:rsidR="00000000">
        <w:trPr>
          <w:divId w:val="62308110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222805</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22</w:t>
            </w:r>
            <w:r>
              <w:rPr>
                <w:rFonts w:ascii="宋体" w:hAnsi="宋体" w:hint="eastAsia"/>
                <w:szCs w:val="24"/>
                <w:lang w:eastAsia="zh-Hans"/>
              </w:rPr>
              <w:t>农业银行绿色金融债</w:t>
            </w:r>
            <w:r>
              <w:rPr>
                <w:rFonts w:ascii="宋体" w:hAnsi="宋体" w:hint="eastAsia"/>
                <w:szCs w:val="24"/>
                <w:lang w:eastAsia="zh-Hans"/>
              </w:rPr>
              <w:t>0</w:t>
            </w:r>
            <w:r>
              <w:rPr>
                <w:rFonts w:ascii="宋体" w:hAnsi="宋体" w:hint="eastAsia"/>
                <w:szCs w:val="24"/>
                <w:lang w:eastAsia="zh-Hans"/>
              </w:rPr>
              <w:t>2</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szCs w:val="24"/>
                <w:lang w:eastAsia="zh-Hans"/>
              </w:rPr>
              <w:t>2,000,00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szCs w:val="24"/>
                <w:lang w:eastAsia="zh-Hans"/>
              </w:rPr>
              <w:t>207,668,493.1</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szCs w:val="24"/>
                <w:lang w:eastAsia="zh-Hans"/>
              </w:rPr>
              <w:t>3.8</w:t>
            </w:r>
            <w:r>
              <w:rPr>
                <w:rFonts w:ascii="宋体" w:hAnsi="宋体" w:hint="eastAsia"/>
                <w:szCs w:val="24"/>
                <w:lang w:eastAsia="zh-Hans"/>
              </w:rPr>
              <w:t>6</w:t>
            </w:r>
          </w:p>
        </w:tc>
      </w:tr>
      <w:tr w:rsidR="00000000">
        <w:trPr>
          <w:divId w:val="62308110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13258001</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25</w:t>
            </w:r>
            <w:r>
              <w:rPr>
                <w:rFonts w:ascii="宋体" w:hAnsi="宋体" w:hint="eastAsia"/>
                <w:szCs w:val="24"/>
                <w:lang w:eastAsia="zh-Hans"/>
              </w:rPr>
              <w:t>天成租赁</w:t>
            </w:r>
            <w:r>
              <w:rPr>
                <w:rFonts w:ascii="宋体" w:hAnsi="宋体" w:hint="eastAsia"/>
                <w:szCs w:val="24"/>
                <w:lang w:eastAsia="zh-Hans"/>
              </w:rPr>
              <w:t>GN001(</w:t>
            </w:r>
            <w:r>
              <w:rPr>
                <w:rFonts w:ascii="宋体" w:hAnsi="宋体" w:hint="eastAsia"/>
                <w:szCs w:val="24"/>
                <w:lang w:eastAsia="zh-Hans"/>
              </w:rPr>
              <w:t>碳中和债</w:t>
            </w:r>
            <w:r>
              <w:rPr>
                <w:rFonts w:ascii="宋体" w:hAnsi="宋体" w:hint="eastAsia"/>
                <w:szCs w:val="24"/>
                <w:lang w:eastAsia="zh-Hans"/>
              </w:rPr>
              <w:t>)</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szCs w:val="24"/>
                <w:lang w:eastAsia="zh-Hans"/>
              </w:rPr>
              <w:t>1,500,00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szCs w:val="24"/>
                <w:lang w:eastAsia="zh-Hans"/>
              </w:rPr>
              <w:t>151,943,424.6</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szCs w:val="24"/>
                <w:lang w:eastAsia="zh-Hans"/>
              </w:rPr>
              <w:t>2.8</w:t>
            </w:r>
            <w:r>
              <w:rPr>
                <w:rFonts w:ascii="宋体" w:hAnsi="宋体" w:hint="eastAsia"/>
                <w:szCs w:val="24"/>
                <w:lang w:eastAsia="zh-Hans"/>
              </w:rPr>
              <w:t>3</w:t>
            </w:r>
          </w:p>
        </w:tc>
      </w:tr>
      <w:tr w:rsidR="00000000">
        <w:trPr>
          <w:divId w:val="62308110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26248000</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szCs w:val="24"/>
                <w:lang w:eastAsia="zh-Hans"/>
              </w:rPr>
              <w:t>24</w:t>
            </w:r>
            <w:r>
              <w:rPr>
                <w:rFonts w:ascii="宋体" w:hAnsi="宋体" w:hint="eastAsia"/>
                <w:szCs w:val="24"/>
                <w:lang w:eastAsia="zh-Hans"/>
              </w:rPr>
              <w:t>苏银金租绿债</w:t>
            </w:r>
            <w:r>
              <w:rPr>
                <w:rFonts w:ascii="宋体" w:hAnsi="宋体" w:hint="eastAsia"/>
                <w:szCs w:val="24"/>
                <w:lang w:eastAsia="zh-Hans"/>
              </w:rPr>
              <w:t>02B</w:t>
            </w:r>
            <w:r>
              <w:rPr>
                <w:rFonts w:ascii="宋体" w:hAnsi="宋体" w:hint="eastAsia"/>
                <w:szCs w:val="24"/>
                <w:lang w:eastAsia="zh-Hans"/>
              </w:rPr>
              <w:t>C</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szCs w:val="24"/>
                <w:lang w:eastAsia="zh-Hans"/>
              </w:rPr>
              <w:t>1,500,00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szCs w:val="24"/>
                <w:lang w:eastAsia="zh-Hans"/>
              </w:rPr>
              <w:t>151,258,684.9</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szCs w:val="24"/>
                <w:lang w:eastAsia="zh-Hans"/>
              </w:rPr>
              <w:t>2.8</w:t>
            </w:r>
            <w:r>
              <w:rPr>
                <w:rFonts w:ascii="宋体" w:hAnsi="宋体" w:hint="eastAsia"/>
                <w:szCs w:val="24"/>
                <w:lang w:eastAsia="zh-Hans"/>
              </w:rPr>
              <w:t>1</w:t>
            </w:r>
          </w:p>
        </w:tc>
      </w:tr>
    </w:tbl>
    <w:p w:rsidR="00B51669" w:rsidRDefault="00B51669">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B51669" w:rsidRDefault="00B51669">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B51669" w:rsidRDefault="00B51669">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B51669" w:rsidRDefault="00B51669">
      <w:pPr>
        <w:spacing w:line="360" w:lineRule="auto"/>
        <w:ind w:firstLineChars="200" w:firstLine="420"/>
        <w:divId w:val="1708408006"/>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B51669" w:rsidRDefault="00B51669">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B51669" w:rsidRDefault="00B51669">
      <w:pPr>
        <w:spacing w:line="360" w:lineRule="auto"/>
        <w:ind w:firstLineChars="200" w:firstLine="420"/>
        <w:divId w:val="232394706"/>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B51669" w:rsidRDefault="00B51669">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B51669" w:rsidRDefault="00B51669">
      <w:pPr>
        <w:spacing w:line="360" w:lineRule="auto"/>
        <w:ind w:firstLineChars="200" w:firstLine="420"/>
        <w:divId w:val="1915316271"/>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B51669" w:rsidRDefault="00B51669">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B51669" w:rsidRDefault="00B51669">
      <w:pPr>
        <w:spacing w:line="360" w:lineRule="auto"/>
        <w:ind w:firstLineChars="200" w:firstLine="420"/>
        <w:divId w:val="2123919053"/>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B51669" w:rsidRDefault="00B51669">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B51669" w:rsidRDefault="00B51669">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B51669" w:rsidRDefault="00B51669">
      <w:pPr>
        <w:spacing w:line="360" w:lineRule="auto"/>
        <w:ind w:firstLineChars="200" w:firstLine="420"/>
        <w:rPr>
          <w:rFonts w:hint="eastAsia"/>
        </w:rPr>
      </w:pPr>
      <w:r>
        <w:rPr>
          <w:rFonts w:ascii="宋体" w:hAnsi="宋体" w:hint="eastAsia"/>
        </w:rPr>
        <w:t>本基金投资的前十名证券的发行主体中，中国农业银行股份有限公司报告编制日前一年内曾受到国家金融监督管理总局的处罚，国家开发银行报告编制日前一年内曾受到央行、国家外汇管理局北京市分局的处罚。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B51669" w:rsidRDefault="00B51669">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B51669" w:rsidRDefault="00B51669">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B51669" w:rsidRDefault="00B51669">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896167829"/>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jc w:val="center"/>
            </w:pPr>
            <w:r>
              <w:rPr>
                <w:rFonts w:ascii="宋体" w:hAnsi="宋体" w:hint="eastAsia"/>
              </w:rPr>
              <w:t>金额（元</w:t>
            </w:r>
            <w:r>
              <w:rPr>
                <w:rFonts w:ascii="宋体" w:hAnsi="宋体" w:hint="eastAsia"/>
              </w:rPr>
              <w:t>）</w:t>
            </w:r>
            <w:r>
              <w:t xml:space="preserve"> </w:t>
            </w:r>
          </w:p>
        </w:tc>
      </w:tr>
      <w:tr w:rsidR="00000000">
        <w:trPr>
          <w:divId w:val="89616782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rPr>
              <w:t>11,025.0</w:t>
            </w:r>
            <w:r>
              <w:rPr>
                <w:rFonts w:ascii="宋体" w:hAnsi="宋体" w:hint="eastAsia"/>
              </w:rPr>
              <w:t>0</w:t>
            </w:r>
          </w:p>
        </w:tc>
      </w:tr>
      <w:tr w:rsidR="00000000">
        <w:trPr>
          <w:divId w:val="89616782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rPr>
              <w:t>-</w:t>
            </w:r>
          </w:p>
        </w:tc>
      </w:tr>
      <w:tr w:rsidR="00000000">
        <w:trPr>
          <w:divId w:val="89616782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rPr>
              <w:t>-</w:t>
            </w:r>
          </w:p>
        </w:tc>
      </w:tr>
      <w:tr w:rsidR="00000000">
        <w:trPr>
          <w:divId w:val="89616782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rPr>
              <w:t>-</w:t>
            </w:r>
          </w:p>
        </w:tc>
      </w:tr>
      <w:tr w:rsidR="00000000">
        <w:trPr>
          <w:divId w:val="89616782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rPr>
              <w:t>608.5</w:t>
            </w:r>
            <w:r>
              <w:rPr>
                <w:rFonts w:ascii="宋体" w:hAnsi="宋体" w:hint="eastAsia"/>
              </w:rPr>
              <w:t>1</w:t>
            </w:r>
          </w:p>
        </w:tc>
      </w:tr>
      <w:tr w:rsidR="00000000">
        <w:trPr>
          <w:divId w:val="89616782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rPr>
              <w:t>-</w:t>
            </w:r>
          </w:p>
        </w:tc>
      </w:tr>
      <w:tr w:rsidR="00000000">
        <w:trPr>
          <w:divId w:val="89616782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rPr>
              <w:t>-</w:t>
            </w:r>
          </w:p>
        </w:tc>
      </w:tr>
      <w:tr w:rsidR="00000000">
        <w:trPr>
          <w:divId w:val="89616782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rPr>
              <w:t>11,633.5</w:t>
            </w:r>
            <w:r>
              <w:rPr>
                <w:rFonts w:ascii="宋体" w:hAnsi="宋体" w:hint="eastAsia"/>
              </w:rPr>
              <w:t>1</w:t>
            </w:r>
          </w:p>
        </w:tc>
      </w:tr>
    </w:tbl>
    <w:p w:rsidR="00B51669" w:rsidRDefault="00B51669">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B51669" w:rsidRDefault="00B51669">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B51669" w:rsidRDefault="00B51669">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B51669" w:rsidRDefault="00B51669">
      <w:pPr>
        <w:spacing w:line="360" w:lineRule="auto"/>
        <w:ind w:firstLineChars="200" w:firstLine="420"/>
        <w:jc w:val="left"/>
        <w:divId w:val="1979914714"/>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B51669" w:rsidRDefault="00B51669">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B51669" w:rsidRDefault="00B51669">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B51669" w:rsidRDefault="00B51669">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B51669" w:rsidRDefault="00B51669">
      <w:pPr>
        <w:wordWrap w:val="0"/>
        <w:spacing w:line="360" w:lineRule="auto"/>
        <w:jc w:val="right"/>
        <w:divId w:val="223302535"/>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90"/>
        <w:gridCol w:w="2531"/>
      </w:tblGrid>
      <w:tr w:rsidR="00000000">
        <w:trPr>
          <w:divId w:val="223302535"/>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B51669" w:rsidRDefault="00B51669">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51669" w:rsidRDefault="00B51669">
            <w:pPr>
              <w:ind w:right="3"/>
              <w:jc w:val="center"/>
            </w:pPr>
            <w:r>
              <w:rPr>
                <w:rFonts w:ascii="宋体" w:hAnsi="宋体" w:hint="eastAsia"/>
                <w:lang w:eastAsia="zh-Hans"/>
              </w:rPr>
              <w:t>摩根共同分类目录绿色债券</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51669" w:rsidRDefault="00B51669">
            <w:pPr>
              <w:ind w:right="3"/>
              <w:jc w:val="center"/>
            </w:pPr>
            <w:r>
              <w:rPr>
                <w:rFonts w:ascii="宋体" w:hAnsi="宋体" w:hint="eastAsia"/>
                <w:lang w:eastAsia="zh-Hans"/>
              </w:rPr>
              <w:t>摩根共同分类目录绿色债券</w:t>
            </w:r>
            <w:r>
              <w:rPr>
                <w:rFonts w:ascii="宋体" w:hAnsi="宋体" w:hint="eastAsia"/>
                <w:lang w:eastAsia="zh-Hans"/>
              </w:rPr>
              <w:t>C</w:t>
            </w:r>
            <w:r>
              <w:rPr>
                <w:rFonts w:ascii="宋体" w:hAnsi="宋体" w:hint="eastAsia"/>
                <w:kern w:val="0"/>
                <w:szCs w:val="24"/>
                <w:lang w:eastAsia="zh-Hans"/>
              </w:rPr>
              <w:t xml:space="preserve"> </w:t>
            </w:r>
          </w:p>
        </w:tc>
      </w:tr>
      <w:tr w:rsidR="00000000">
        <w:trPr>
          <w:divId w:val="22330253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1669" w:rsidRDefault="00B5166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1669" w:rsidRDefault="00B51669">
            <w:pPr>
              <w:jc w:val="right"/>
            </w:pPr>
            <w:r>
              <w:rPr>
                <w:rFonts w:ascii="宋体" w:hAnsi="宋体" w:hint="eastAsia"/>
              </w:rPr>
              <w:t>3,913,618,103.8</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1669" w:rsidRDefault="00B51669">
            <w:pPr>
              <w:jc w:val="right"/>
            </w:pPr>
            <w:r>
              <w:rPr>
                <w:rFonts w:ascii="宋体" w:hAnsi="宋体" w:hint="eastAsia"/>
              </w:rPr>
              <w:t>4,266,551.9</w:t>
            </w:r>
            <w:r>
              <w:rPr>
                <w:rFonts w:ascii="宋体" w:hAnsi="宋体" w:hint="eastAsia"/>
              </w:rPr>
              <w:t>9</w:t>
            </w:r>
          </w:p>
        </w:tc>
      </w:tr>
      <w:tr w:rsidR="00000000">
        <w:trPr>
          <w:divId w:val="22330253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1669" w:rsidRDefault="00B5166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1669" w:rsidRDefault="00B51669">
            <w:pPr>
              <w:jc w:val="right"/>
            </w:pPr>
            <w:r>
              <w:rPr>
                <w:rFonts w:ascii="宋体" w:hAnsi="宋体" w:hint="eastAsia"/>
              </w:rPr>
              <w:t>1,294,721,507.5</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1669" w:rsidRDefault="00B51669">
            <w:pPr>
              <w:jc w:val="right"/>
            </w:pPr>
            <w:r>
              <w:rPr>
                <w:rFonts w:ascii="宋体" w:hAnsi="宋体" w:hint="eastAsia"/>
              </w:rPr>
              <w:t>486,824,251.3</w:t>
            </w:r>
            <w:r>
              <w:rPr>
                <w:rFonts w:ascii="宋体" w:hAnsi="宋体" w:hint="eastAsia"/>
              </w:rPr>
              <w:t>1</w:t>
            </w:r>
          </w:p>
        </w:tc>
      </w:tr>
      <w:tr w:rsidR="00000000">
        <w:trPr>
          <w:divId w:val="22330253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1669" w:rsidRDefault="00B5166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1669" w:rsidRDefault="00B51669">
            <w:pPr>
              <w:jc w:val="right"/>
            </w:pPr>
            <w:r>
              <w:rPr>
                <w:rFonts w:ascii="宋体" w:hAnsi="宋体" w:hint="eastAsia"/>
              </w:rPr>
              <w:t>398,975,163.4</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1669" w:rsidRDefault="00B51669">
            <w:pPr>
              <w:jc w:val="right"/>
            </w:pPr>
            <w:r>
              <w:rPr>
                <w:rFonts w:ascii="宋体" w:hAnsi="宋体" w:hint="eastAsia"/>
              </w:rPr>
              <w:t>87,060.5</w:t>
            </w:r>
            <w:r>
              <w:rPr>
                <w:rFonts w:ascii="宋体" w:hAnsi="宋体" w:hint="eastAsia"/>
              </w:rPr>
              <w:t>3</w:t>
            </w:r>
          </w:p>
        </w:tc>
      </w:tr>
      <w:tr w:rsidR="00000000">
        <w:trPr>
          <w:divId w:val="22330253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1669" w:rsidRDefault="00B5166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1669" w:rsidRDefault="00B51669">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1669" w:rsidRDefault="00B51669">
            <w:pPr>
              <w:jc w:val="right"/>
            </w:pPr>
            <w:r>
              <w:rPr>
                <w:rFonts w:ascii="宋体" w:hAnsi="宋体" w:hint="eastAsia"/>
              </w:rPr>
              <w:t>-</w:t>
            </w:r>
          </w:p>
        </w:tc>
      </w:tr>
      <w:tr w:rsidR="00000000">
        <w:trPr>
          <w:divId w:val="22330253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1669" w:rsidRDefault="00B5166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1669" w:rsidRDefault="00B51669">
            <w:pPr>
              <w:jc w:val="right"/>
            </w:pPr>
            <w:r>
              <w:rPr>
                <w:rFonts w:ascii="宋体" w:hAnsi="宋体" w:hint="eastAsia"/>
              </w:rPr>
              <w:t>4,809,364,447.8</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1669" w:rsidRDefault="00B51669">
            <w:pPr>
              <w:jc w:val="right"/>
            </w:pPr>
            <w:r>
              <w:rPr>
                <w:rFonts w:ascii="宋体" w:hAnsi="宋体" w:hint="eastAsia"/>
              </w:rPr>
              <w:t>491,003,742.7</w:t>
            </w:r>
            <w:r>
              <w:rPr>
                <w:rFonts w:ascii="宋体" w:hAnsi="宋体" w:hint="eastAsia"/>
              </w:rPr>
              <w:t>7</w:t>
            </w:r>
          </w:p>
        </w:tc>
      </w:tr>
    </w:tbl>
    <w:p w:rsidR="00B51669" w:rsidRDefault="00B51669">
      <w:pPr>
        <w:spacing w:line="360" w:lineRule="auto"/>
        <w:jc w:val="left"/>
        <w:divId w:val="223302535"/>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B51669" w:rsidRDefault="00B51669">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B51669" w:rsidRDefault="00B51669">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B51669" w:rsidRDefault="00B51669">
      <w:pPr>
        <w:wordWrap w:val="0"/>
        <w:spacing w:line="360" w:lineRule="auto"/>
        <w:jc w:val="right"/>
        <w:divId w:val="117067430"/>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17067430"/>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51669" w:rsidRDefault="00B51669">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51669" w:rsidRDefault="00B51669">
            <w:pPr>
              <w:jc w:val="center"/>
            </w:pPr>
            <w:r>
              <w:rPr>
                <w:rFonts w:ascii="宋体" w:hAnsi="宋体" w:hint="eastAsia"/>
                <w:lang w:eastAsia="zh-Hans"/>
              </w:rPr>
              <w:t>摩根共同分类目录绿色债券</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51669" w:rsidRDefault="00B51669">
            <w:pPr>
              <w:jc w:val="center"/>
            </w:pPr>
            <w:r>
              <w:rPr>
                <w:rFonts w:ascii="宋体" w:hAnsi="宋体" w:hint="eastAsia"/>
                <w:lang w:eastAsia="zh-Hans"/>
              </w:rPr>
              <w:t>摩根共同分类目录绿色债券</w:t>
            </w:r>
            <w:r>
              <w:rPr>
                <w:rFonts w:ascii="宋体" w:hAnsi="宋体" w:hint="eastAsia"/>
                <w:lang w:eastAsia="zh-Hans"/>
              </w:rPr>
              <w:t>C</w:t>
            </w:r>
            <w:r>
              <w:rPr>
                <w:rFonts w:ascii="宋体" w:hAnsi="宋体" w:hint="eastAsia"/>
                <w:color w:val="000000"/>
              </w:rPr>
              <w:t xml:space="preserve"> </w:t>
            </w:r>
          </w:p>
        </w:tc>
      </w:tr>
      <w:tr w:rsidR="00000000">
        <w:trPr>
          <w:divId w:val="11706743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rPr>
                <w:rFonts w:hint="eastAsia"/>
              </w:rPr>
            </w:pPr>
            <w:r>
              <w:rPr>
                <w:rFonts w:ascii="宋体" w:hAnsi="宋体" w:hint="eastAsia"/>
                <w:kern w:val="0"/>
                <w:szCs w:val="24"/>
                <w:lang w:eastAsia="zh-Hans"/>
              </w:rPr>
              <w:t>31,119.2</w:t>
            </w:r>
            <w:r>
              <w:rPr>
                <w:rFonts w:ascii="宋体" w:hAnsi="宋体" w:hint="eastAsia"/>
                <w:kern w:val="0"/>
                <w:szCs w:val="24"/>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kern w:val="0"/>
                <w:szCs w:val="24"/>
                <w:lang w:eastAsia="zh-Hans"/>
              </w:rPr>
              <w:t>-</w:t>
            </w:r>
          </w:p>
        </w:tc>
      </w:tr>
      <w:tr w:rsidR="00000000">
        <w:trPr>
          <w:divId w:val="11706743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szCs w:val="24"/>
                <w:lang w:eastAsia="zh-Hans"/>
              </w:rPr>
              <w:t>-</w:t>
            </w:r>
          </w:p>
        </w:tc>
      </w:tr>
      <w:tr w:rsidR="00000000">
        <w:trPr>
          <w:divId w:val="11706743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lang w:eastAsia="zh-Hans"/>
              </w:rPr>
              <w:t>-</w:t>
            </w:r>
          </w:p>
        </w:tc>
      </w:tr>
      <w:tr w:rsidR="00000000">
        <w:trPr>
          <w:divId w:val="11706743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rPr>
                <w:rFonts w:hint="eastAsia"/>
              </w:rPr>
            </w:pPr>
            <w:r>
              <w:rPr>
                <w:rFonts w:ascii="宋体" w:hAnsi="宋体" w:hint="eastAsia"/>
                <w:lang w:eastAsia="zh-Hans"/>
              </w:rPr>
              <w:t>31,119.2</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lang w:eastAsia="zh-Hans"/>
              </w:rPr>
              <w:t>-</w:t>
            </w:r>
          </w:p>
        </w:tc>
      </w:tr>
      <w:tr w:rsidR="00000000">
        <w:trPr>
          <w:divId w:val="11706743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rPr>
                <w:rFonts w:hint="eastAsia"/>
              </w:rPr>
            </w:pPr>
            <w:r>
              <w:rPr>
                <w:rFonts w:ascii="宋体" w:hAnsi="宋体" w:hint="eastAsia"/>
                <w:lang w:eastAsia="zh-Hans"/>
              </w:rPr>
              <w:t>0.0</w:t>
            </w:r>
            <w:r>
              <w:rPr>
                <w:rFonts w:ascii="宋体" w:hAnsi="宋体" w:hint="eastAsia"/>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jc w:val="right"/>
            </w:pPr>
            <w:r>
              <w:rPr>
                <w:rFonts w:ascii="宋体" w:hAnsi="宋体" w:hint="eastAsia"/>
                <w:lang w:eastAsia="zh-Hans"/>
              </w:rPr>
              <w:t>-</w:t>
            </w:r>
          </w:p>
        </w:tc>
      </w:tr>
    </w:tbl>
    <w:p w:rsidR="00B51669" w:rsidRDefault="00B51669">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p w:rsidR="00B51669" w:rsidRDefault="00B51669">
      <w:pPr>
        <w:spacing w:line="360" w:lineRule="auto"/>
        <w:ind w:firstLineChars="200" w:firstLine="420"/>
        <w:jc w:val="left"/>
        <w:divId w:val="1244682115"/>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B51669" w:rsidRDefault="00B51669">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B51669" w:rsidRDefault="00B51669">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879"/>
        <w:gridCol w:w="975"/>
        <w:gridCol w:w="1710"/>
        <w:gridCol w:w="1020"/>
        <w:gridCol w:w="1055"/>
        <w:gridCol w:w="1710"/>
        <w:gridCol w:w="1246"/>
      </w:tblGrid>
      <w:tr w:rsidR="00000000">
        <w:trPr>
          <w:divId w:val="1987929644"/>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jc w:val="center"/>
              <w:rPr>
                <w:rFonts w:hint="eastAsia"/>
              </w:rPr>
            </w:pPr>
            <w:bookmarkStart w:id="346" w:name="OLE_LINK42"/>
            <w:bookmarkStart w:id="347" w:name="OLE_LINK41"/>
            <w:bookmarkStart w:id="348" w:name="m13_01"/>
            <w:bookmarkStart w:id="349" w:name="m13_01_01"/>
            <w:bookmarkStart w:id="350" w:name="_Toc433036733"/>
            <w:bookmarkStart w:id="351" w:name="m12_01"/>
            <w:bookmarkEnd w:id="22"/>
            <w:bookmarkEnd w:id="42"/>
            <w:bookmarkEnd w:id="43"/>
            <w:bookmarkEnd w:id="346"/>
            <w:bookmarkEnd w:id="347"/>
            <w:bookmarkEnd w:id="348"/>
            <w:bookmarkEnd w:id="349"/>
            <w:bookmarkEnd w:id="350"/>
            <w:bookmarkEnd w:id="351"/>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1987929644"/>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51669" w:rsidRDefault="00B51669">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widowControl/>
              <w:jc w:val="center"/>
            </w:pPr>
            <w:r>
              <w:rPr>
                <w:rFonts w:ascii="宋体" w:hAnsi="宋体" w:hint="eastAsia"/>
                <w:color w:val="000000"/>
                <w:kern w:val="0"/>
              </w:rPr>
              <w:t>期初</w:t>
            </w:r>
            <w:r>
              <w:rPr>
                <w:rFonts w:ascii="宋体" w:hAnsi="宋体" w:hint="eastAsia"/>
                <w:color w:val="000000"/>
                <w:kern w:val="0"/>
              </w:rPr>
              <w:t xml:space="preserve"> </w:t>
            </w:r>
          </w:p>
          <w:p w:rsidR="00B51669" w:rsidRDefault="00B51669">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widowControl/>
              <w:jc w:val="center"/>
            </w:pPr>
            <w:r>
              <w:rPr>
                <w:rFonts w:ascii="宋体" w:hAnsi="宋体" w:hint="eastAsia"/>
                <w:color w:val="000000"/>
                <w:kern w:val="0"/>
              </w:rPr>
              <w:t>申购</w:t>
            </w:r>
            <w:r>
              <w:rPr>
                <w:rFonts w:ascii="宋体" w:hAnsi="宋体" w:hint="eastAsia"/>
                <w:color w:val="000000"/>
                <w:kern w:val="0"/>
              </w:rPr>
              <w:t xml:space="preserve"> </w:t>
            </w:r>
          </w:p>
          <w:p w:rsidR="00B51669" w:rsidRDefault="00B51669">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widowControl/>
              <w:jc w:val="center"/>
            </w:pPr>
            <w:r>
              <w:rPr>
                <w:rFonts w:ascii="宋体" w:hAnsi="宋体" w:hint="eastAsia"/>
                <w:color w:val="000000"/>
                <w:kern w:val="0"/>
              </w:rPr>
              <w:t>赎回</w:t>
            </w:r>
            <w:r>
              <w:rPr>
                <w:rFonts w:ascii="宋体" w:hAnsi="宋体" w:hint="eastAsia"/>
                <w:color w:val="000000"/>
                <w:kern w:val="0"/>
              </w:rPr>
              <w:t xml:space="preserve"> </w:t>
            </w:r>
          </w:p>
          <w:p w:rsidR="00B51669" w:rsidRDefault="00B51669">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1669" w:rsidRDefault="00B51669">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1987929644"/>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widowControl/>
              <w:jc w:val="center"/>
            </w:pPr>
            <w:r>
              <w:rPr>
                <w:rFonts w:ascii="宋体" w:hAnsi="宋体" w:hint="eastAsia"/>
                <w:color w:val="000000"/>
                <w:szCs w:val="21"/>
              </w:rPr>
              <w:t>机</w:t>
            </w:r>
            <w:r>
              <w:rPr>
                <w:rFonts w:ascii="宋体" w:hAnsi="宋体" w:hint="eastAsia"/>
                <w:color w:val="000000"/>
                <w:szCs w:val="21"/>
              </w:rPr>
              <w:t>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widowControl/>
              <w:jc w:val="center"/>
            </w:pPr>
            <w:r>
              <w:rPr>
                <w:rFonts w:ascii="宋体" w:hAnsi="宋体" w:hint="eastAsia"/>
                <w:color w:val="000000"/>
                <w:szCs w:val="21"/>
              </w:rPr>
              <w:t>20260401-2026063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widowControl/>
              <w:jc w:val="right"/>
            </w:pPr>
            <w:r>
              <w:rPr>
                <w:rFonts w:ascii="宋体" w:hAnsi="宋体" w:hint="eastAsia"/>
                <w:color w:val="000000"/>
                <w:szCs w:val="21"/>
              </w:rPr>
              <w:t>1,156,056,960.0</w:t>
            </w:r>
            <w:r>
              <w:rPr>
                <w:rFonts w:ascii="宋体" w:hAnsi="宋体" w:hint="eastAsia"/>
                <w:color w:val="000000"/>
                <w:szCs w:val="21"/>
              </w:rPr>
              <w:t>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widowControl/>
              <w:jc w:val="right"/>
            </w:pPr>
            <w:r>
              <w:rPr>
                <w:rFonts w:ascii="宋体" w:hAnsi="宋体" w:hint="eastAsia"/>
                <w:color w:val="000000"/>
                <w:szCs w:val="21"/>
              </w:rPr>
              <w:t>1,156,056,960.0</w:t>
            </w:r>
            <w:r>
              <w:rPr>
                <w:rFonts w:ascii="宋体" w:hAnsi="宋体" w:hint="eastAsia"/>
                <w:color w:val="000000"/>
                <w:szCs w:val="21"/>
              </w:rPr>
              <w:t>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widowControl/>
              <w:jc w:val="right"/>
            </w:pPr>
            <w:r>
              <w:rPr>
                <w:rFonts w:ascii="宋体" w:hAnsi="宋体" w:hint="eastAsia"/>
                <w:color w:val="000000"/>
                <w:szCs w:val="21"/>
              </w:rPr>
              <w:t>21.8</w:t>
            </w:r>
            <w:r>
              <w:rPr>
                <w:rFonts w:ascii="宋体" w:hAnsi="宋体" w:hint="eastAsia"/>
                <w:color w:val="000000"/>
                <w:szCs w:val="21"/>
              </w:rPr>
              <w:t>1</w:t>
            </w:r>
            <w:r>
              <w:rPr>
                <w:szCs w:val="21"/>
              </w:rPr>
              <w:t>%</w:t>
            </w:r>
            <w:r>
              <w:t xml:space="preserve"> </w:t>
            </w:r>
          </w:p>
        </w:tc>
      </w:tr>
      <w:tr w:rsidR="00000000">
        <w:trPr>
          <w:divId w:val="1987929644"/>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1987929644"/>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51669" w:rsidRDefault="00B51669">
            <w:pPr>
              <w:widowControl/>
              <w:jc w:val="left"/>
            </w:pPr>
            <w:r>
              <w:rPr>
                <w:rFonts w:ascii="宋体" w:hAnsi="宋体" w:hint="eastAsia"/>
                <w:color w:val="000000"/>
                <w:szCs w:val="21"/>
              </w:rPr>
              <w:t>本基金的集中度风险主要体现在有单一投资者持有基金份额比例达到或者超过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B51669" w:rsidRDefault="00B51669">
      <w:pPr>
        <w:pStyle w:val="XBRLTitle1"/>
        <w:spacing w:before="156" w:line="360" w:lineRule="auto"/>
        <w:ind w:left="425"/>
      </w:pPr>
      <w:bookmarkStart w:id="352" w:name="_Toc17898228"/>
      <w:bookmarkStart w:id="353" w:name="_Toc17897969"/>
      <w:bookmarkStart w:id="354" w:name="_Toc512519529"/>
      <w:bookmarkStart w:id="355" w:name="_Toc490050049"/>
      <w:bookmarkStart w:id="356" w:name="_Toc481075097"/>
      <w:bookmarkStart w:id="357" w:name="_Toc438646481"/>
      <w:bookmarkStart w:id="358" w:name="_Toc513295878"/>
      <w:bookmarkStart w:id="359" w:name="_Toc513295941"/>
      <w:bookmarkEnd w:id="338"/>
      <w:r>
        <w:rPr>
          <w:rFonts w:hAnsi="宋体" w:hint="eastAsia"/>
        </w:rPr>
        <w:t>备查文件目</w:t>
      </w:r>
      <w:r>
        <w:rPr>
          <w:rFonts w:hAnsi="宋体" w:hint="eastAsia"/>
        </w:rPr>
        <w:t>录</w:t>
      </w:r>
      <w:bookmarkEnd w:id="352"/>
      <w:bookmarkEnd w:id="353"/>
      <w:bookmarkEnd w:id="354"/>
      <w:bookmarkEnd w:id="355"/>
      <w:bookmarkEnd w:id="356"/>
      <w:bookmarkEnd w:id="357"/>
      <w:bookmarkEnd w:id="358"/>
      <w:bookmarkEnd w:id="359"/>
      <w:r>
        <w:rPr>
          <w:rFonts w:hAnsi="宋体" w:hint="eastAsia"/>
        </w:rPr>
        <w:t xml:space="preserve"> </w:t>
      </w:r>
    </w:p>
    <w:p w:rsidR="00B51669" w:rsidRDefault="00B51669">
      <w:pPr>
        <w:pStyle w:val="XBRLTitle2"/>
        <w:spacing w:before="156" w:line="360" w:lineRule="auto"/>
        <w:ind w:left="454"/>
        <w:rPr>
          <w:rFonts w:hint="eastAsia"/>
        </w:rPr>
      </w:pPr>
      <w:bookmarkStart w:id="360" w:name="_Toc438646482"/>
      <w:bookmarkStart w:id="361" w:name="_Toc17898229"/>
      <w:bookmarkStart w:id="362" w:name="_Toc17897970"/>
      <w:bookmarkStart w:id="363" w:name="_Toc512519530"/>
      <w:bookmarkStart w:id="364" w:name="_Toc481075098"/>
      <w:bookmarkStart w:id="365" w:name="_Toc490050050"/>
      <w:bookmarkStart w:id="366" w:name="_Toc513295879"/>
      <w:bookmarkStart w:id="367" w:name="_Toc513295942"/>
      <w:bookmarkStart w:id="368" w:name="m801_01_1733"/>
      <w:r>
        <w:rPr>
          <w:rFonts w:hAnsi="宋体" w:hint="eastAsia"/>
        </w:rPr>
        <w:t>备查文件目</w:t>
      </w:r>
      <w:r>
        <w:rPr>
          <w:rFonts w:hAnsi="宋体" w:hint="eastAsia"/>
        </w:rPr>
        <w:t>录</w:t>
      </w:r>
      <w:bookmarkEnd w:id="360"/>
      <w:bookmarkEnd w:id="361"/>
      <w:bookmarkEnd w:id="362"/>
      <w:bookmarkEnd w:id="363"/>
      <w:bookmarkEnd w:id="364"/>
      <w:bookmarkEnd w:id="365"/>
      <w:bookmarkEnd w:id="366"/>
      <w:bookmarkEnd w:id="367"/>
      <w:r>
        <w:rPr>
          <w:rFonts w:hAnsi="宋体" w:hint="eastAsia"/>
        </w:rPr>
        <w:t xml:space="preserve"> </w:t>
      </w:r>
    </w:p>
    <w:p w:rsidR="00B51669" w:rsidRDefault="00B51669">
      <w:pPr>
        <w:spacing w:line="360" w:lineRule="auto"/>
        <w:ind w:firstLineChars="200" w:firstLine="420"/>
        <w:jc w:val="left"/>
        <w:rPr>
          <w:rFonts w:hint="eastAsia"/>
        </w:rPr>
      </w:pPr>
      <w:r>
        <w:rPr>
          <w:rFonts w:ascii="宋体" w:hAnsi="宋体" w:cs="宋体" w:hint="eastAsia"/>
          <w:color w:val="000000"/>
          <w:kern w:val="0"/>
        </w:rPr>
        <w:t>（一）中国证监会准予摩根共同分类目录绿色债券债券型证券投资基金募集注册的文件</w:t>
      </w:r>
      <w:r>
        <w:rPr>
          <w:rFonts w:ascii="宋体" w:hAnsi="宋体" w:cs="宋体" w:hint="eastAsia"/>
          <w:color w:val="000000"/>
          <w:kern w:val="0"/>
        </w:rPr>
        <w:br/>
      </w:r>
      <w:r>
        <w:rPr>
          <w:rFonts w:ascii="宋体" w:hAnsi="宋体" w:cs="宋体" w:hint="eastAsia"/>
          <w:color w:val="000000"/>
          <w:kern w:val="0"/>
        </w:rPr>
        <w:t xml:space="preserve">　　（二）摩根共同分类目录绿色债券债券型证券投资基金基金合同</w:t>
      </w:r>
      <w:r>
        <w:rPr>
          <w:rFonts w:ascii="宋体" w:hAnsi="宋体" w:cs="宋体" w:hint="eastAsia"/>
          <w:color w:val="000000"/>
          <w:kern w:val="0"/>
        </w:rPr>
        <w:br/>
      </w:r>
      <w:r>
        <w:rPr>
          <w:rFonts w:ascii="宋体" w:hAnsi="宋体" w:cs="宋体" w:hint="eastAsia"/>
          <w:color w:val="000000"/>
          <w:kern w:val="0"/>
        </w:rPr>
        <w:t xml:space="preserve">　　（三）摩根共同分类目录绿色债券债券型证券投资基金托管协议</w:t>
      </w:r>
      <w:r>
        <w:rPr>
          <w:rFonts w:ascii="宋体" w:hAnsi="宋体" w:cs="宋体" w:hint="eastAsia"/>
          <w:color w:val="000000"/>
          <w:kern w:val="0"/>
        </w:rPr>
        <w:br/>
      </w:r>
      <w:r>
        <w:rPr>
          <w:rFonts w:ascii="宋体" w:hAnsi="宋体" w:cs="宋体" w:hint="eastAsia"/>
          <w:color w:val="000000"/>
          <w:kern w:val="0"/>
        </w:rPr>
        <w:t xml:space="preserve">　　（四）法律意见书</w:t>
      </w:r>
      <w:r>
        <w:rPr>
          <w:rFonts w:ascii="宋体" w:hAnsi="宋体" w:cs="宋体" w:hint="eastAsia"/>
          <w:color w:val="000000"/>
          <w:kern w:val="0"/>
        </w:rPr>
        <w:br/>
      </w:r>
      <w:r>
        <w:rPr>
          <w:rFonts w:ascii="宋体" w:hAnsi="宋体" w:cs="宋体" w:hint="eastAsia"/>
          <w:color w:val="000000"/>
          <w:kern w:val="0"/>
        </w:rPr>
        <w:t xml:space="preserve">　　（五）基金管理人业务资格批件、营业执照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（六）基金托管人业务资格批件、营业执照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（七）摩根基金管理（中国）有限公司开放式基金业务规则</w:t>
      </w:r>
      <w:r>
        <w:rPr>
          <w:rFonts w:ascii="宋体" w:hAnsi="宋体" w:cs="宋体" w:hint="eastAsia"/>
          <w:color w:val="000000"/>
          <w:kern w:val="0"/>
        </w:rPr>
        <w:br/>
      </w:r>
      <w:r>
        <w:rPr>
          <w:rFonts w:ascii="宋体" w:hAnsi="宋体" w:cs="宋体" w:hint="eastAsia"/>
          <w:color w:val="000000"/>
          <w:kern w:val="0"/>
        </w:rPr>
        <w:t xml:space="preserve">　　（八）中国证监会要求的其他文</w:t>
      </w:r>
      <w:r>
        <w:rPr>
          <w:rFonts w:ascii="宋体" w:hAnsi="宋体" w:cs="宋体" w:hint="eastAsia"/>
          <w:color w:val="000000"/>
          <w:kern w:val="0"/>
        </w:rPr>
        <w:t>件</w:t>
      </w:r>
    </w:p>
    <w:p w:rsidR="00B51669" w:rsidRDefault="00B51669">
      <w:pPr>
        <w:pStyle w:val="XBRLTitle2"/>
        <w:spacing w:before="156" w:line="360" w:lineRule="auto"/>
        <w:ind w:left="454"/>
      </w:pPr>
      <w:bookmarkStart w:id="369" w:name="_Toc438646483"/>
      <w:bookmarkStart w:id="370" w:name="_Toc17898230"/>
      <w:bookmarkStart w:id="371" w:name="_Toc17897971"/>
      <w:bookmarkStart w:id="372" w:name="_Toc512519531"/>
      <w:bookmarkStart w:id="373" w:name="_Toc481075099"/>
      <w:bookmarkStart w:id="374" w:name="_Toc490050051"/>
      <w:bookmarkStart w:id="375" w:name="_Toc513295880"/>
      <w:bookmarkStart w:id="376" w:name="_Toc513295943"/>
      <w:bookmarkStart w:id="377" w:name="m801_01_1734"/>
      <w:bookmarkEnd w:id="368"/>
      <w:r>
        <w:rPr>
          <w:rFonts w:hAnsi="宋体" w:hint="eastAsia"/>
        </w:rPr>
        <w:t>存放地</w:t>
      </w:r>
      <w:r>
        <w:rPr>
          <w:rFonts w:hAnsi="宋体" w:hint="eastAsia"/>
        </w:rPr>
        <w:t>点</w:t>
      </w:r>
      <w:bookmarkEnd w:id="369"/>
      <w:bookmarkEnd w:id="370"/>
      <w:bookmarkEnd w:id="371"/>
      <w:bookmarkEnd w:id="372"/>
      <w:bookmarkEnd w:id="373"/>
      <w:bookmarkEnd w:id="374"/>
      <w:bookmarkEnd w:id="375"/>
      <w:bookmarkEnd w:id="376"/>
      <w:r>
        <w:rPr>
          <w:rFonts w:hAnsi="宋体" w:hint="eastAsia"/>
        </w:rPr>
        <w:t xml:space="preserve"> </w:t>
      </w:r>
    </w:p>
    <w:p w:rsidR="00B51669" w:rsidRDefault="00B51669">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B51669" w:rsidRDefault="00B51669">
      <w:pPr>
        <w:pStyle w:val="XBRLTitle2"/>
        <w:spacing w:before="156" w:line="360" w:lineRule="auto"/>
        <w:ind w:left="454"/>
      </w:pPr>
      <w:bookmarkStart w:id="378" w:name="_Toc438646484"/>
      <w:bookmarkStart w:id="379" w:name="_Toc17898231"/>
      <w:bookmarkStart w:id="380" w:name="_Toc17897972"/>
      <w:bookmarkStart w:id="381" w:name="_Toc512519532"/>
      <w:bookmarkStart w:id="382" w:name="_Toc481075100"/>
      <w:bookmarkStart w:id="383" w:name="_Toc490050052"/>
      <w:bookmarkStart w:id="384" w:name="_Toc513295881"/>
      <w:bookmarkStart w:id="385" w:name="_Toc513295944"/>
      <w:bookmarkStart w:id="386" w:name="m801_01_1735"/>
      <w:bookmarkEnd w:id="377"/>
      <w:r>
        <w:rPr>
          <w:rFonts w:hAnsi="宋体" w:hint="eastAsia"/>
        </w:rPr>
        <w:t>查阅方</w:t>
      </w:r>
      <w:r>
        <w:rPr>
          <w:rFonts w:hAnsi="宋体" w:hint="eastAsia"/>
        </w:rPr>
        <w:t>式</w:t>
      </w:r>
      <w:bookmarkEnd w:id="378"/>
      <w:bookmarkEnd w:id="379"/>
      <w:bookmarkEnd w:id="380"/>
      <w:bookmarkEnd w:id="381"/>
      <w:bookmarkEnd w:id="382"/>
      <w:bookmarkEnd w:id="383"/>
      <w:bookmarkEnd w:id="384"/>
      <w:bookmarkEnd w:id="385"/>
      <w:r>
        <w:rPr>
          <w:rFonts w:hAnsi="宋体" w:hint="eastAsia"/>
        </w:rPr>
        <w:t xml:space="preserve"> </w:t>
      </w:r>
    </w:p>
    <w:p w:rsidR="00B51669" w:rsidRDefault="00B51669">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6"/>
    <w:p w:rsidR="00B51669" w:rsidRDefault="00B51669">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B51669" w:rsidRDefault="00B51669">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B51669" w:rsidRDefault="00B51669">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B51669" w:rsidRDefault="00B51669">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B51669">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1669" w:rsidRDefault="00B51669">
      <w:pPr>
        <w:rPr>
          <w:szCs w:val="21"/>
        </w:rPr>
      </w:pPr>
      <w:r>
        <w:rPr>
          <w:szCs w:val="21"/>
        </w:rPr>
        <w:separator/>
      </w:r>
      <w:r>
        <w:rPr>
          <w:szCs w:val="21"/>
        </w:rPr>
        <w:t xml:space="preserve"> </w:t>
      </w:r>
    </w:p>
  </w:endnote>
  <w:endnote w:type="continuationSeparator" w:id="0">
    <w:p w:rsidR="00B51669" w:rsidRDefault="00B51669">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669" w:rsidRDefault="00B51669">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1669" w:rsidRDefault="00B51669">
      <w:pPr>
        <w:rPr>
          <w:szCs w:val="21"/>
        </w:rPr>
      </w:pPr>
      <w:r>
        <w:rPr>
          <w:szCs w:val="21"/>
        </w:rPr>
        <w:separator/>
      </w:r>
      <w:r>
        <w:rPr>
          <w:szCs w:val="21"/>
        </w:rPr>
        <w:t xml:space="preserve"> </w:t>
      </w:r>
    </w:p>
  </w:footnote>
  <w:footnote w:type="continuationSeparator" w:id="0">
    <w:p w:rsidR="00B51669" w:rsidRDefault="00B51669">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669" w:rsidRDefault="00B51669">
    <w:pPr>
      <w:pStyle w:val="a8"/>
      <w:jc w:val="right"/>
    </w:pPr>
    <w:r>
      <w:rPr>
        <w:rFonts w:ascii="宋体" w:hAnsi="宋体" w:hint="eastAsia"/>
      </w:rPr>
      <w:t>摩根共同分类目录绿色债券债券型证券投资基金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629356562">
    <w:abstractNumId w:val="0"/>
  </w:num>
  <w:num w:numId="2" w16cid:durableId="4077279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14CD8"/>
    <w:rsid w:val="00514CD8"/>
    <w:rsid w:val="00584843"/>
    <w:rsid w:val="00B516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233404C5-B9E8-4BF7-A684-4834B8FE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302535">
      <w:marLeft w:val="0"/>
      <w:marRight w:val="0"/>
      <w:marTop w:val="0"/>
      <w:marBottom w:val="0"/>
      <w:divBdr>
        <w:top w:val="none" w:sz="0" w:space="0" w:color="auto"/>
        <w:left w:val="none" w:sz="0" w:space="0" w:color="auto"/>
        <w:bottom w:val="none" w:sz="0" w:space="0" w:color="auto"/>
        <w:right w:val="none" w:sz="0" w:space="0" w:color="auto"/>
      </w:divBdr>
    </w:div>
    <w:div w:id="232394706">
      <w:marLeft w:val="0"/>
      <w:marRight w:val="0"/>
      <w:marTop w:val="0"/>
      <w:marBottom w:val="0"/>
      <w:divBdr>
        <w:top w:val="none" w:sz="0" w:space="0" w:color="auto"/>
        <w:left w:val="none" w:sz="0" w:space="0" w:color="auto"/>
        <w:bottom w:val="none" w:sz="0" w:space="0" w:color="auto"/>
        <w:right w:val="none" w:sz="0" w:space="0" w:color="auto"/>
      </w:divBdr>
    </w:div>
    <w:div w:id="304941083">
      <w:marLeft w:val="0"/>
      <w:marRight w:val="0"/>
      <w:marTop w:val="0"/>
      <w:marBottom w:val="0"/>
      <w:divBdr>
        <w:top w:val="none" w:sz="0" w:space="0" w:color="auto"/>
        <w:left w:val="none" w:sz="0" w:space="0" w:color="auto"/>
        <w:bottom w:val="none" w:sz="0" w:space="0" w:color="auto"/>
        <w:right w:val="none" w:sz="0" w:space="0" w:color="auto"/>
      </w:divBdr>
    </w:div>
    <w:div w:id="397829017">
      <w:marLeft w:val="0"/>
      <w:marRight w:val="0"/>
      <w:marTop w:val="0"/>
      <w:marBottom w:val="0"/>
      <w:divBdr>
        <w:top w:val="none" w:sz="0" w:space="0" w:color="auto"/>
        <w:left w:val="none" w:sz="0" w:space="0" w:color="auto"/>
        <w:bottom w:val="none" w:sz="0" w:space="0" w:color="auto"/>
        <w:right w:val="none" w:sz="0" w:space="0" w:color="auto"/>
      </w:divBdr>
    </w:div>
    <w:div w:id="617109719">
      <w:marLeft w:val="0"/>
      <w:marRight w:val="0"/>
      <w:marTop w:val="0"/>
      <w:marBottom w:val="0"/>
      <w:divBdr>
        <w:top w:val="none" w:sz="0" w:space="0" w:color="auto"/>
        <w:left w:val="none" w:sz="0" w:space="0" w:color="auto"/>
        <w:bottom w:val="none" w:sz="0" w:space="0" w:color="auto"/>
        <w:right w:val="none" w:sz="0" w:space="0" w:color="auto"/>
      </w:divBdr>
    </w:div>
    <w:div w:id="623081109">
      <w:marLeft w:val="0"/>
      <w:marRight w:val="0"/>
      <w:marTop w:val="0"/>
      <w:marBottom w:val="0"/>
      <w:divBdr>
        <w:top w:val="none" w:sz="0" w:space="0" w:color="auto"/>
        <w:left w:val="none" w:sz="0" w:space="0" w:color="auto"/>
        <w:bottom w:val="none" w:sz="0" w:space="0" w:color="auto"/>
        <w:right w:val="none" w:sz="0" w:space="0" w:color="auto"/>
      </w:divBdr>
    </w:div>
    <w:div w:id="1042752373">
      <w:marLeft w:val="0"/>
      <w:marRight w:val="0"/>
      <w:marTop w:val="0"/>
      <w:marBottom w:val="0"/>
      <w:divBdr>
        <w:top w:val="none" w:sz="0" w:space="0" w:color="auto"/>
        <w:left w:val="none" w:sz="0" w:space="0" w:color="auto"/>
        <w:bottom w:val="none" w:sz="0" w:space="0" w:color="auto"/>
        <w:right w:val="none" w:sz="0" w:space="0" w:color="auto"/>
      </w:divBdr>
      <w:divsChild>
        <w:div w:id="1987929644">
          <w:marLeft w:val="0"/>
          <w:marRight w:val="0"/>
          <w:marTop w:val="0"/>
          <w:marBottom w:val="0"/>
          <w:divBdr>
            <w:top w:val="none" w:sz="0" w:space="0" w:color="auto"/>
            <w:left w:val="none" w:sz="0" w:space="0" w:color="auto"/>
            <w:bottom w:val="none" w:sz="0" w:space="0" w:color="auto"/>
            <w:right w:val="none" w:sz="0" w:space="0" w:color="auto"/>
          </w:divBdr>
        </w:div>
      </w:divsChild>
    </w:div>
    <w:div w:id="1125974610">
      <w:marLeft w:val="0"/>
      <w:marRight w:val="0"/>
      <w:marTop w:val="0"/>
      <w:marBottom w:val="0"/>
      <w:divBdr>
        <w:top w:val="none" w:sz="0" w:space="0" w:color="auto"/>
        <w:left w:val="none" w:sz="0" w:space="0" w:color="auto"/>
        <w:bottom w:val="none" w:sz="0" w:space="0" w:color="auto"/>
        <w:right w:val="none" w:sz="0" w:space="0" w:color="auto"/>
      </w:divBdr>
    </w:div>
    <w:div w:id="1205604960">
      <w:marLeft w:val="0"/>
      <w:marRight w:val="0"/>
      <w:marTop w:val="0"/>
      <w:marBottom w:val="0"/>
      <w:divBdr>
        <w:top w:val="none" w:sz="0" w:space="0" w:color="auto"/>
        <w:left w:val="none" w:sz="0" w:space="0" w:color="auto"/>
        <w:bottom w:val="none" w:sz="0" w:space="0" w:color="auto"/>
        <w:right w:val="none" w:sz="0" w:space="0" w:color="auto"/>
      </w:divBdr>
      <w:divsChild>
        <w:div w:id="896167829">
          <w:marLeft w:val="0"/>
          <w:marRight w:val="0"/>
          <w:marTop w:val="0"/>
          <w:marBottom w:val="0"/>
          <w:divBdr>
            <w:top w:val="none" w:sz="0" w:space="0" w:color="auto"/>
            <w:left w:val="none" w:sz="0" w:space="0" w:color="auto"/>
            <w:bottom w:val="none" w:sz="0" w:space="0" w:color="auto"/>
            <w:right w:val="none" w:sz="0" w:space="0" w:color="auto"/>
          </w:divBdr>
        </w:div>
      </w:divsChild>
    </w:div>
    <w:div w:id="1244682115">
      <w:marLeft w:val="0"/>
      <w:marRight w:val="0"/>
      <w:marTop w:val="0"/>
      <w:marBottom w:val="0"/>
      <w:divBdr>
        <w:top w:val="none" w:sz="0" w:space="0" w:color="auto"/>
        <w:left w:val="none" w:sz="0" w:space="0" w:color="auto"/>
        <w:bottom w:val="none" w:sz="0" w:space="0" w:color="auto"/>
        <w:right w:val="none" w:sz="0" w:space="0" w:color="auto"/>
      </w:divBdr>
    </w:div>
    <w:div w:id="1328559039">
      <w:marLeft w:val="0"/>
      <w:marRight w:val="0"/>
      <w:marTop w:val="0"/>
      <w:marBottom w:val="0"/>
      <w:divBdr>
        <w:top w:val="none" w:sz="0" w:space="0" w:color="auto"/>
        <w:left w:val="none" w:sz="0" w:space="0" w:color="auto"/>
        <w:bottom w:val="none" w:sz="0" w:space="0" w:color="auto"/>
        <w:right w:val="none" w:sz="0" w:space="0" w:color="auto"/>
      </w:divBdr>
    </w:div>
    <w:div w:id="1336883069">
      <w:marLeft w:val="0"/>
      <w:marRight w:val="0"/>
      <w:marTop w:val="0"/>
      <w:marBottom w:val="0"/>
      <w:divBdr>
        <w:top w:val="none" w:sz="0" w:space="0" w:color="auto"/>
        <w:left w:val="none" w:sz="0" w:space="0" w:color="auto"/>
        <w:bottom w:val="none" w:sz="0" w:space="0" w:color="auto"/>
        <w:right w:val="none" w:sz="0" w:space="0" w:color="auto"/>
      </w:divBdr>
      <w:divsChild>
        <w:div w:id="117067430">
          <w:marLeft w:val="0"/>
          <w:marRight w:val="0"/>
          <w:marTop w:val="0"/>
          <w:marBottom w:val="0"/>
          <w:divBdr>
            <w:top w:val="none" w:sz="0" w:space="0" w:color="auto"/>
            <w:left w:val="none" w:sz="0" w:space="0" w:color="auto"/>
            <w:bottom w:val="none" w:sz="0" w:space="0" w:color="auto"/>
            <w:right w:val="none" w:sz="0" w:space="0" w:color="auto"/>
          </w:divBdr>
        </w:div>
      </w:divsChild>
    </w:div>
    <w:div w:id="1649241091">
      <w:marLeft w:val="0"/>
      <w:marRight w:val="0"/>
      <w:marTop w:val="0"/>
      <w:marBottom w:val="0"/>
      <w:divBdr>
        <w:top w:val="none" w:sz="0" w:space="0" w:color="auto"/>
        <w:left w:val="none" w:sz="0" w:space="0" w:color="auto"/>
        <w:bottom w:val="none" w:sz="0" w:space="0" w:color="auto"/>
        <w:right w:val="none" w:sz="0" w:space="0" w:color="auto"/>
      </w:divBdr>
      <w:divsChild>
        <w:div w:id="962417789">
          <w:marLeft w:val="0"/>
          <w:marRight w:val="0"/>
          <w:marTop w:val="0"/>
          <w:marBottom w:val="0"/>
          <w:divBdr>
            <w:top w:val="none" w:sz="0" w:space="0" w:color="auto"/>
            <w:left w:val="none" w:sz="0" w:space="0" w:color="auto"/>
            <w:bottom w:val="none" w:sz="0" w:space="0" w:color="auto"/>
            <w:right w:val="none" w:sz="0" w:space="0" w:color="auto"/>
          </w:divBdr>
        </w:div>
      </w:divsChild>
    </w:div>
    <w:div w:id="1692877447">
      <w:marLeft w:val="0"/>
      <w:marRight w:val="0"/>
      <w:marTop w:val="0"/>
      <w:marBottom w:val="0"/>
      <w:divBdr>
        <w:top w:val="none" w:sz="0" w:space="0" w:color="auto"/>
        <w:left w:val="none" w:sz="0" w:space="0" w:color="auto"/>
        <w:bottom w:val="none" w:sz="0" w:space="0" w:color="auto"/>
        <w:right w:val="none" w:sz="0" w:space="0" w:color="auto"/>
      </w:divBdr>
    </w:div>
    <w:div w:id="1708408006">
      <w:marLeft w:val="0"/>
      <w:marRight w:val="0"/>
      <w:marTop w:val="0"/>
      <w:marBottom w:val="0"/>
      <w:divBdr>
        <w:top w:val="none" w:sz="0" w:space="0" w:color="auto"/>
        <w:left w:val="none" w:sz="0" w:space="0" w:color="auto"/>
        <w:bottom w:val="none" w:sz="0" w:space="0" w:color="auto"/>
        <w:right w:val="none" w:sz="0" w:space="0" w:color="auto"/>
      </w:divBdr>
    </w:div>
    <w:div w:id="1785033547">
      <w:marLeft w:val="0"/>
      <w:marRight w:val="0"/>
      <w:marTop w:val="0"/>
      <w:marBottom w:val="0"/>
      <w:divBdr>
        <w:top w:val="none" w:sz="0" w:space="0" w:color="auto"/>
        <w:left w:val="none" w:sz="0" w:space="0" w:color="auto"/>
        <w:bottom w:val="none" w:sz="0" w:space="0" w:color="auto"/>
        <w:right w:val="none" w:sz="0" w:space="0" w:color="auto"/>
      </w:divBdr>
      <w:divsChild>
        <w:div w:id="728113277">
          <w:marLeft w:val="0"/>
          <w:marRight w:val="0"/>
          <w:marTop w:val="0"/>
          <w:marBottom w:val="0"/>
          <w:divBdr>
            <w:top w:val="none" w:sz="0" w:space="0" w:color="auto"/>
            <w:left w:val="none" w:sz="0" w:space="0" w:color="auto"/>
            <w:bottom w:val="none" w:sz="0" w:space="0" w:color="auto"/>
            <w:right w:val="none" w:sz="0" w:space="0" w:color="auto"/>
          </w:divBdr>
        </w:div>
      </w:divsChild>
    </w:div>
    <w:div w:id="1872721993">
      <w:marLeft w:val="0"/>
      <w:marRight w:val="0"/>
      <w:marTop w:val="0"/>
      <w:marBottom w:val="0"/>
      <w:divBdr>
        <w:top w:val="none" w:sz="0" w:space="0" w:color="auto"/>
        <w:left w:val="none" w:sz="0" w:space="0" w:color="auto"/>
        <w:bottom w:val="none" w:sz="0" w:space="0" w:color="auto"/>
        <w:right w:val="none" w:sz="0" w:space="0" w:color="auto"/>
      </w:divBdr>
      <w:divsChild>
        <w:div w:id="50270299">
          <w:marLeft w:val="0"/>
          <w:marRight w:val="0"/>
          <w:marTop w:val="0"/>
          <w:marBottom w:val="0"/>
          <w:divBdr>
            <w:top w:val="none" w:sz="0" w:space="0" w:color="auto"/>
            <w:left w:val="none" w:sz="0" w:space="0" w:color="auto"/>
            <w:bottom w:val="none" w:sz="0" w:space="0" w:color="auto"/>
            <w:right w:val="none" w:sz="0" w:space="0" w:color="auto"/>
          </w:divBdr>
        </w:div>
      </w:divsChild>
    </w:div>
    <w:div w:id="1915316271">
      <w:marLeft w:val="0"/>
      <w:marRight w:val="0"/>
      <w:marTop w:val="0"/>
      <w:marBottom w:val="0"/>
      <w:divBdr>
        <w:top w:val="none" w:sz="0" w:space="0" w:color="auto"/>
        <w:left w:val="none" w:sz="0" w:space="0" w:color="auto"/>
        <w:bottom w:val="none" w:sz="0" w:space="0" w:color="auto"/>
        <w:right w:val="none" w:sz="0" w:space="0" w:color="auto"/>
      </w:divBdr>
    </w:div>
    <w:div w:id="1979914714">
      <w:marLeft w:val="0"/>
      <w:marRight w:val="0"/>
      <w:marTop w:val="0"/>
      <w:marBottom w:val="0"/>
      <w:divBdr>
        <w:top w:val="none" w:sz="0" w:space="0" w:color="auto"/>
        <w:left w:val="none" w:sz="0" w:space="0" w:color="auto"/>
        <w:bottom w:val="none" w:sz="0" w:space="0" w:color="auto"/>
        <w:right w:val="none" w:sz="0" w:space="0" w:color="auto"/>
      </w:divBdr>
    </w:div>
    <w:div w:id="1999385761">
      <w:marLeft w:val="0"/>
      <w:marRight w:val="0"/>
      <w:marTop w:val="0"/>
      <w:marBottom w:val="0"/>
      <w:divBdr>
        <w:top w:val="none" w:sz="0" w:space="0" w:color="auto"/>
        <w:left w:val="none" w:sz="0" w:space="0" w:color="auto"/>
        <w:bottom w:val="none" w:sz="0" w:space="0" w:color="auto"/>
        <w:right w:val="none" w:sz="0" w:space="0" w:color="auto"/>
      </w:divBdr>
      <w:divsChild>
        <w:div w:id="508329454">
          <w:marLeft w:val="0"/>
          <w:marRight w:val="0"/>
          <w:marTop w:val="0"/>
          <w:marBottom w:val="0"/>
          <w:divBdr>
            <w:top w:val="none" w:sz="0" w:space="0" w:color="auto"/>
            <w:left w:val="none" w:sz="0" w:space="0" w:color="auto"/>
            <w:bottom w:val="none" w:sz="0" w:space="0" w:color="auto"/>
            <w:right w:val="none" w:sz="0" w:space="0" w:color="auto"/>
          </w:divBdr>
        </w:div>
        <w:div w:id="200479365">
          <w:marLeft w:val="0"/>
          <w:marRight w:val="0"/>
          <w:marTop w:val="0"/>
          <w:marBottom w:val="0"/>
          <w:divBdr>
            <w:top w:val="none" w:sz="0" w:space="0" w:color="auto"/>
            <w:left w:val="none" w:sz="0" w:space="0" w:color="auto"/>
            <w:bottom w:val="none" w:sz="0" w:space="0" w:color="auto"/>
            <w:right w:val="none" w:sz="0" w:space="0" w:color="auto"/>
          </w:divBdr>
        </w:div>
      </w:divsChild>
    </w:div>
    <w:div w:id="212391905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1305</Words>
  <Characters>7441</Characters>
  <Application>Microsoft Office Word</Application>
  <DocSecurity>4</DocSecurity>
  <Lines>62</Lines>
  <Paragraphs>17</Paragraphs>
  <ScaleCrop>false</ScaleCrop>
  <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2026-07-13T13:27:00Z</dcterms:created>
  <dcterms:modified xsi:type="dcterms:W3CDTF">2026-07-13T13:27:00Z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