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8C1747" w14:textId="77777777" w:rsidR="006F5FD0" w:rsidRDefault="006F5FD0">
      <w:pPr>
        <w:spacing w:line="360" w:lineRule="auto"/>
        <w:rPr>
          <w:rFonts w:ascii="宋体" w:hAnsi="宋体" w:hint="eastAsia"/>
          <w:sz w:val="48"/>
        </w:rPr>
      </w:pPr>
      <w:r>
        <w:rPr>
          <w:rFonts w:ascii="宋体" w:hAnsi="宋体" w:hint="eastAsia"/>
          <w:sz w:val="48"/>
        </w:rPr>
        <w:t xml:space="preserve">　 </w:t>
      </w:r>
    </w:p>
    <w:p w14:paraId="7E65BDF4" w14:textId="77777777" w:rsidR="006F5FD0" w:rsidRDefault="006F5FD0">
      <w:pPr>
        <w:spacing w:line="360" w:lineRule="auto"/>
        <w:rPr>
          <w:rFonts w:ascii="宋体" w:hAnsi="宋体" w:hint="eastAsia"/>
          <w:sz w:val="48"/>
        </w:rPr>
      </w:pPr>
      <w:r>
        <w:rPr>
          <w:rFonts w:ascii="宋体" w:hAnsi="宋体" w:hint="eastAsia"/>
          <w:sz w:val="48"/>
        </w:rPr>
        <w:t xml:space="preserve">　 </w:t>
      </w:r>
    </w:p>
    <w:p w14:paraId="20353E91" w14:textId="77777777" w:rsidR="006F5FD0" w:rsidRDefault="006F5FD0">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摩根恒鑫债券型证券投资基金</w:t>
      </w:r>
      <w:r>
        <w:rPr>
          <w:rFonts w:ascii="宋体" w:hAnsi="宋体" w:hint="eastAsia"/>
          <w:b/>
          <w:bCs/>
          <w:color w:val="000000" w:themeColor="text1"/>
          <w:sz w:val="48"/>
          <w:szCs w:val="30"/>
        </w:rPr>
        <w:br/>
        <w:t>2025年第2季度报告</w:t>
      </w:r>
    </w:p>
    <w:p w14:paraId="35ADFD25"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6ED53E51" w14:textId="77777777" w:rsidR="006F5FD0" w:rsidRDefault="006F5FD0">
      <w:pPr>
        <w:spacing w:line="360" w:lineRule="auto"/>
        <w:jc w:val="center"/>
      </w:pPr>
      <w:r>
        <w:rPr>
          <w:rFonts w:ascii="宋体" w:hAnsi="宋体" w:hint="eastAsia"/>
          <w:b/>
          <w:bCs/>
          <w:sz w:val="28"/>
          <w:szCs w:val="30"/>
        </w:rPr>
        <w:t>2025年6月30日</w:t>
      </w:r>
    </w:p>
    <w:p w14:paraId="05C4AD61"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653C10C4"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4C5C27B0"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066B67C7" w14:textId="77777777" w:rsidR="006F5FD0" w:rsidRDefault="006F5FD0">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178F2CA"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780723BE"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44F33399"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410F4CEC"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0306D97F"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38D295DC"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01CBDFA9" w14:textId="77777777" w:rsidR="006F5FD0" w:rsidRDefault="006F5FD0">
      <w:pPr>
        <w:spacing w:line="360" w:lineRule="auto"/>
        <w:jc w:val="center"/>
        <w:rPr>
          <w:rFonts w:ascii="宋体" w:hAnsi="宋体" w:hint="eastAsia"/>
          <w:sz w:val="28"/>
          <w:szCs w:val="30"/>
        </w:rPr>
      </w:pPr>
      <w:r>
        <w:rPr>
          <w:rFonts w:ascii="宋体" w:hAnsi="宋体" w:hint="eastAsia"/>
          <w:sz w:val="28"/>
          <w:szCs w:val="30"/>
        </w:rPr>
        <w:t xml:space="preserve">　 </w:t>
      </w:r>
    </w:p>
    <w:p w14:paraId="05500C7F" w14:textId="77777777" w:rsidR="006F5FD0" w:rsidRDefault="006F5FD0">
      <w:pPr>
        <w:spacing w:line="360" w:lineRule="auto"/>
        <w:ind w:firstLineChars="800" w:firstLine="2249"/>
        <w:jc w:val="left"/>
      </w:pPr>
      <w:r>
        <w:rPr>
          <w:rFonts w:ascii="宋体" w:hAnsi="宋体" w:hint="eastAsia"/>
          <w:b/>
          <w:bCs/>
          <w:sz w:val="28"/>
          <w:szCs w:val="30"/>
        </w:rPr>
        <w:t>基金管理人：摩根基金管理（中国）有限公司</w:t>
      </w:r>
    </w:p>
    <w:p w14:paraId="6AFC1D28" w14:textId="77777777" w:rsidR="006F5FD0" w:rsidRDefault="006F5FD0">
      <w:pPr>
        <w:spacing w:line="360" w:lineRule="auto"/>
        <w:ind w:firstLineChars="800" w:firstLine="2249"/>
        <w:jc w:val="left"/>
      </w:pPr>
      <w:r>
        <w:rPr>
          <w:rFonts w:ascii="宋体" w:hAnsi="宋体" w:hint="eastAsia"/>
          <w:b/>
          <w:bCs/>
          <w:sz w:val="28"/>
          <w:szCs w:val="30"/>
        </w:rPr>
        <w:t>基金托管人：招商银行股份有限公司</w:t>
      </w:r>
    </w:p>
    <w:p w14:paraId="64F78121" w14:textId="77777777" w:rsidR="006F5FD0" w:rsidRDefault="006F5FD0">
      <w:pPr>
        <w:spacing w:line="360" w:lineRule="auto"/>
        <w:ind w:firstLineChars="800" w:firstLine="2249"/>
        <w:jc w:val="left"/>
      </w:pPr>
      <w:r>
        <w:rPr>
          <w:rFonts w:ascii="宋体" w:hAnsi="宋体" w:hint="eastAsia"/>
          <w:b/>
          <w:bCs/>
          <w:sz w:val="28"/>
          <w:szCs w:val="30"/>
        </w:rPr>
        <w:t>报告送出日期：2025年7月21日</w:t>
      </w:r>
    </w:p>
    <w:p w14:paraId="0621B86B" w14:textId="77777777" w:rsidR="006F5FD0" w:rsidRDefault="006F5FD0">
      <w:pPr>
        <w:pStyle w:val="XBRLTitle1"/>
        <w:spacing w:before="156" w:line="360" w:lineRule="auto"/>
        <w:ind w:left="425"/>
      </w:pPr>
      <w:r>
        <w:rPr>
          <w:rFonts w:hAnsi="宋体" w:cs="宋体" w:hint="eastAsia"/>
          <w:color w:val="404040"/>
          <w:kern w:val="0"/>
        </w:rPr>
        <w:br w:type="page"/>
      </w:r>
      <w:bookmarkStart w:id="7" w:name="_Toc17899952"/>
      <w:bookmarkStart w:id="8" w:name="_Toc512519480"/>
      <w:bookmarkStart w:id="9" w:name="_Toc481075046"/>
      <w:bookmarkStart w:id="10" w:name="_Toc438646451"/>
      <w:bookmarkStart w:id="11" w:name="_Toc490050000"/>
      <w:bookmarkStart w:id="12" w:name="_Toc513295846"/>
      <w:bookmarkStart w:id="13" w:name="_Toc513295892"/>
      <w:bookmarkStart w:id="14" w:name="m101"/>
      <w:bookmarkStart w:id="15" w:name="m01_01"/>
      <w:bookmarkStart w:id="16" w:name="_Toc194311890"/>
      <w:r>
        <w:rPr>
          <w:rFonts w:hAnsi="宋体" w:hint="eastAsia"/>
        </w:rPr>
        <w:lastRenderedPageBreak/>
        <w:t>重要提示</w:t>
      </w:r>
      <w:bookmarkEnd w:id="7"/>
      <w:bookmarkEnd w:id="8"/>
      <w:bookmarkEnd w:id="9"/>
      <w:bookmarkEnd w:id="10"/>
      <w:bookmarkEnd w:id="11"/>
      <w:bookmarkEnd w:id="12"/>
      <w:bookmarkEnd w:id="13"/>
      <w:r>
        <w:rPr>
          <w:rFonts w:hAnsi="宋体" w:hint="eastAsia"/>
        </w:rPr>
        <w:t xml:space="preserve"> </w:t>
      </w:r>
    </w:p>
    <w:p w14:paraId="56AC83C9" w14:textId="77777777" w:rsidR="006F5FD0" w:rsidRDefault="006F5FD0">
      <w:pPr>
        <w:spacing w:line="360" w:lineRule="auto"/>
        <w:ind w:firstLineChars="200" w:firstLine="420"/>
      </w:pPr>
      <w:bookmarkStart w:id="17" w:name="m08QD_01"/>
      <w:bookmarkStart w:id="18" w:name="m504"/>
      <w:bookmarkStart w:id="19" w:name="_Toc438646470"/>
      <w:bookmarkStart w:id="20" w:name="m502"/>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3348A896" w14:textId="77777777" w:rsidR="006F5FD0" w:rsidRDefault="006F5FD0">
      <w:pPr>
        <w:pStyle w:val="XBRLTitle1"/>
        <w:spacing w:before="156" w:line="360" w:lineRule="auto"/>
        <w:ind w:left="425"/>
      </w:pPr>
      <w:bookmarkStart w:id="23" w:name="_Toc17899953"/>
      <w:bookmarkStart w:id="24" w:name="_Toc512519481"/>
      <w:bookmarkStart w:id="25" w:name="_Toc481075047"/>
      <w:bookmarkStart w:id="26" w:name="_Toc438646452"/>
      <w:bookmarkStart w:id="27" w:name="_Toc490050001"/>
      <w:bookmarkStart w:id="28" w:name="_Toc513295847"/>
      <w:bookmarkStart w:id="29" w:name="_Toc513295893"/>
      <w:r>
        <w:rPr>
          <w:rFonts w:hAnsi="宋体" w:hint="eastAsia"/>
        </w:rPr>
        <w:t>基金产品概况</w:t>
      </w:r>
      <w:bookmarkEnd w:id="23"/>
      <w:bookmarkEnd w:id="24"/>
      <w:bookmarkEnd w:id="25"/>
      <w:bookmarkEnd w:id="26"/>
      <w:bookmarkEnd w:id="27"/>
      <w:bookmarkEnd w:id="28"/>
      <w:bookmarkEnd w:id="29"/>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215D6D" w14:paraId="29AF4DD0" w14:textId="77777777">
        <w:trPr>
          <w:divId w:val="25270800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4"/>
          <w:p w14:paraId="057851EC" w14:textId="77777777" w:rsidR="006F5FD0" w:rsidRDefault="006F5FD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EB6C86" w14:textId="77777777" w:rsidR="006F5FD0" w:rsidRDefault="006F5FD0">
            <w:pPr>
              <w:jc w:val="left"/>
            </w:pPr>
            <w:r>
              <w:rPr>
                <w:rFonts w:ascii="宋体" w:hAnsi="宋体" w:hint="eastAsia"/>
                <w:szCs w:val="24"/>
                <w:lang w:eastAsia="zh-Hans"/>
              </w:rPr>
              <w:t>摩根恒鑫债券</w:t>
            </w:r>
            <w:r>
              <w:rPr>
                <w:rFonts w:ascii="宋体" w:hAnsi="宋体" w:hint="eastAsia"/>
                <w:lang w:eastAsia="zh-Hans"/>
              </w:rPr>
              <w:t xml:space="preserve"> </w:t>
            </w:r>
          </w:p>
        </w:tc>
      </w:tr>
      <w:tr w:rsidR="00215D6D" w14:paraId="35645B7C"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48E53A" w14:textId="77777777" w:rsidR="006F5FD0" w:rsidRDefault="006F5FD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8EB28C" w14:textId="77777777" w:rsidR="006F5FD0" w:rsidRDefault="006F5FD0">
            <w:pPr>
              <w:jc w:val="left"/>
            </w:pPr>
            <w:r>
              <w:rPr>
                <w:rFonts w:ascii="宋体" w:hAnsi="宋体" w:hint="eastAsia"/>
                <w:lang w:eastAsia="zh-Hans"/>
              </w:rPr>
              <w:t>022842</w:t>
            </w:r>
          </w:p>
        </w:tc>
      </w:tr>
      <w:tr w:rsidR="00215D6D" w14:paraId="278D4DCC"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16677B" w14:textId="77777777" w:rsidR="006F5FD0" w:rsidRDefault="006F5FD0">
            <w:pPr>
              <w:jc w:val="left"/>
            </w:pPr>
            <w:bookmarkStart w:id="30"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8CC5CF" w14:textId="77777777" w:rsidR="006F5FD0" w:rsidRDefault="006F5FD0">
            <w:pPr>
              <w:jc w:val="left"/>
            </w:pPr>
            <w:r>
              <w:rPr>
                <w:rFonts w:ascii="宋体" w:hAnsi="宋体" w:hint="eastAsia"/>
                <w:lang w:eastAsia="zh-Hans"/>
              </w:rPr>
              <w:t>契约型开放式</w:t>
            </w:r>
          </w:p>
        </w:tc>
      </w:tr>
      <w:tr w:rsidR="00215D6D" w14:paraId="087B0F23"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EE5C67" w14:textId="77777777" w:rsidR="006F5FD0" w:rsidRDefault="006F5FD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5BDEB1" w14:textId="77777777" w:rsidR="006F5FD0" w:rsidRDefault="006F5FD0">
            <w:pPr>
              <w:jc w:val="left"/>
            </w:pPr>
            <w:r>
              <w:rPr>
                <w:rFonts w:ascii="宋体" w:hAnsi="宋体" w:hint="eastAsia"/>
                <w:lang w:eastAsia="zh-Hans"/>
              </w:rPr>
              <w:t>2025年3月4日</w:t>
            </w:r>
          </w:p>
        </w:tc>
      </w:tr>
      <w:tr w:rsidR="00215D6D" w14:paraId="68D212B5"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00553A" w14:textId="77777777" w:rsidR="006F5FD0" w:rsidRDefault="006F5FD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D29605" w14:textId="77777777" w:rsidR="006F5FD0" w:rsidRDefault="006F5FD0">
            <w:pPr>
              <w:jc w:val="left"/>
            </w:pPr>
            <w:r>
              <w:rPr>
                <w:rFonts w:ascii="宋体" w:hAnsi="宋体" w:hint="eastAsia"/>
                <w:lang w:eastAsia="zh-Hans"/>
              </w:rPr>
              <w:t>499,079,279.49</w:t>
            </w:r>
            <w:r>
              <w:rPr>
                <w:rFonts w:hint="eastAsia"/>
              </w:rPr>
              <w:t>份</w:t>
            </w:r>
            <w:r>
              <w:rPr>
                <w:rFonts w:ascii="宋体" w:hAnsi="宋体" w:hint="eastAsia"/>
                <w:lang w:eastAsia="zh-Hans"/>
              </w:rPr>
              <w:t xml:space="preserve"> </w:t>
            </w:r>
          </w:p>
        </w:tc>
      </w:tr>
      <w:tr w:rsidR="00215D6D" w14:paraId="0A8E4481"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24A23D" w14:textId="77777777" w:rsidR="006F5FD0" w:rsidRDefault="006F5FD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70DAFF" w14:textId="77777777" w:rsidR="006F5FD0" w:rsidRDefault="006F5FD0">
            <w:pPr>
              <w:jc w:val="left"/>
            </w:pPr>
            <w:r>
              <w:rPr>
                <w:rFonts w:ascii="宋体" w:hAnsi="宋体" w:hint="eastAsia"/>
                <w:lang w:eastAsia="zh-Hans"/>
              </w:rPr>
              <w:t>本基金在严格的风险控制的基础上，力争实现基金资产的稳健增值。</w:t>
            </w:r>
          </w:p>
        </w:tc>
      </w:tr>
      <w:tr w:rsidR="00215D6D" w14:paraId="0A7E4D76"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E6B081" w14:textId="77777777" w:rsidR="006F5FD0" w:rsidRDefault="006F5FD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0DFBB6" w14:textId="77777777" w:rsidR="006F5FD0" w:rsidRDefault="006F5FD0">
            <w:pPr>
              <w:jc w:val="left"/>
            </w:pPr>
            <w:r>
              <w:rPr>
                <w:rFonts w:ascii="宋体" w:hAnsi="宋体" w:hint="eastAsia"/>
                <w:lang w:eastAsia="zh-Hans"/>
              </w:rPr>
              <w:t>1、资产配置策略</w:t>
            </w:r>
            <w:r>
              <w:rPr>
                <w:rFonts w:ascii="宋体" w:hAnsi="宋体" w:hint="eastAsia"/>
                <w:lang w:eastAsia="zh-Hans"/>
              </w:rPr>
              <w:b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r>
              <w:rPr>
                <w:rFonts w:ascii="宋体" w:hAnsi="宋体" w:hint="eastAsia"/>
                <w:lang w:eastAsia="zh-Hans"/>
              </w:rPr>
              <w:br/>
              <w:t>2、债券投资策略</w:t>
            </w:r>
            <w:r>
              <w:rPr>
                <w:rFonts w:ascii="宋体" w:hAnsi="宋体" w:hint="eastAsia"/>
                <w:lang w:eastAsia="zh-Hans"/>
              </w:rPr>
              <w:br/>
              <w:t>本基金采取债券类属配置策略、久期管理策略、收益率曲线策略、信用策略（含资产支持证券）、可转换债券和可交换债券投资策略、回购策略。</w:t>
            </w:r>
            <w:r>
              <w:rPr>
                <w:rFonts w:ascii="宋体" w:hAnsi="宋体" w:hint="eastAsia"/>
                <w:lang w:eastAsia="zh-Hans"/>
              </w:rPr>
              <w:br/>
              <w:t>3、股票投资策略</w:t>
            </w:r>
            <w:r>
              <w:rPr>
                <w:rFonts w:ascii="宋体" w:hAnsi="宋体" w:hint="eastAsia"/>
                <w:lang w:eastAsia="zh-Hans"/>
              </w:rPr>
              <w:br/>
              <w:t>采用“自下而上”的个股精选策略，基于公司内部研究团队对于个股的基本面的深入研究和细致的实地调研，有效挖掘价值低估及具有增长潜力的个股，为投资者获得超过业绩比较基准的收益。</w:t>
            </w:r>
            <w:r>
              <w:rPr>
                <w:rFonts w:ascii="宋体" w:hAnsi="宋体" w:hint="eastAsia"/>
                <w:lang w:eastAsia="zh-Hans"/>
              </w:rPr>
              <w:br/>
              <w:t>4、其他投资策略</w:t>
            </w:r>
            <w:r>
              <w:rPr>
                <w:rFonts w:ascii="宋体" w:hAnsi="宋体" w:hint="eastAsia"/>
                <w:lang w:eastAsia="zh-Hans"/>
              </w:rPr>
              <w:br/>
              <w:t>包括：存托凭证投资策略、港股投资策略、基金投资</w:t>
            </w:r>
            <w:r>
              <w:rPr>
                <w:rFonts w:ascii="宋体" w:hAnsi="宋体" w:hint="eastAsia"/>
                <w:lang w:eastAsia="zh-Hans"/>
              </w:rPr>
              <w:lastRenderedPageBreak/>
              <w:t>策略、国债期货投资策略。</w:t>
            </w:r>
          </w:p>
        </w:tc>
      </w:tr>
      <w:tr w:rsidR="00215D6D" w14:paraId="064CEA55"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6E6144" w14:textId="77777777" w:rsidR="006F5FD0" w:rsidRDefault="006F5FD0">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96266C" w14:textId="77777777" w:rsidR="006F5FD0" w:rsidRDefault="006F5FD0">
            <w:pPr>
              <w:jc w:val="left"/>
            </w:pPr>
            <w:r>
              <w:rPr>
                <w:rFonts w:ascii="宋体" w:hAnsi="宋体" w:hint="eastAsia"/>
                <w:lang w:eastAsia="zh-Hans"/>
              </w:rPr>
              <w:t>中债新综合财富(总值)指数收益率*90%+中证800指数收益率*7%+中证港股通综合指数收益率*3%</w:t>
            </w:r>
          </w:p>
        </w:tc>
      </w:tr>
      <w:tr w:rsidR="00215D6D" w14:paraId="75F9CB14"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C68456" w14:textId="77777777" w:rsidR="006F5FD0" w:rsidRDefault="006F5FD0">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CFBFB2" w14:textId="77777777" w:rsidR="006F5FD0" w:rsidRDefault="006F5FD0">
            <w:pPr>
              <w:jc w:val="left"/>
            </w:pPr>
            <w:r>
              <w:rPr>
                <w:rFonts w:ascii="宋体" w:hAnsi="宋体" w:hint="eastAsia"/>
                <w:lang w:eastAsia="zh-Hans"/>
              </w:rPr>
              <w:t>本基金为债券型基金，其预期风险与预期收益高于货币市场基金，低于混合型基金和股票型基金。本基金若投资香港联合交易所上市的股票，将面临港股通机制下因投资环境、投资标的、市场制度以及交易规则等差异带来的特有风险。</w:t>
            </w:r>
          </w:p>
        </w:tc>
      </w:tr>
      <w:tr w:rsidR="00215D6D" w14:paraId="28C760CC"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F0C00C" w14:textId="77777777" w:rsidR="006F5FD0" w:rsidRDefault="006F5FD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04308D" w14:textId="77777777" w:rsidR="006F5FD0" w:rsidRDefault="006F5FD0">
            <w:pPr>
              <w:jc w:val="left"/>
            </w:pPr>
            <w:r>
              <w:rPr>
                <w:rFonts w:ascii="宋体" w:hAnsi="宋体" w:hint="eastAsia"/>
                <w:lang w:eastAsia="zh-Hans"/>
              </w:rPr>
              <w:t>摩根基金管理（中国）有限公司</w:t>
            </w:r>
          </w:p>
        </w:tc>
      </w:tr>
      <w:tr w:rsidR="00215D6D" w14:paraId="280FE723" w14:textId="77777777">
        <w:trPr>
          <w:divId w:val="25270800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D94835" w14:textId="77777777" w:rsidR="006F5FD0" w:rsidRDefault="006F5FD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B3C16A" w14:textId="77777777" w:rsidR="006F5FD0" w:rsidRDefault="006F5FD0">
            <w:pPr>
              <w:jc w:val="left"/>
            </w:pPr>
            <w:r>
              <w:rPr>
                <w:rFonts w:ascii="宋体" w:hAnsi="宋体" w:hint="eastAsia"/>
                <w:lang w:eastAsia="zh-Hans"/>
              </w:rPr>
              <w:t>招商银行股份有限公司</w:t>
            </w:r>
          </w:p>
        </w:tc>
      </w:tr>
      <w:tr w:rsidR="00215D6D" w14:paraId="28F25B41" w14:textId="77777777">
        <w:trPr>
          <w:divId w:val="25270800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22E536" w14:textId="77777777" w:rsidR="006F5FD0" w:rsidRDefault="006F5FD0">
            <w:pPr>
              <w:jc w:val="left"/>
            </w:pPr>
            <w:bookmarkStart w:id="31"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004A3" w14:textId="77777777" w:rsidR="006F5FD0" w:rsidRDefault="006F5FD0">
            <w:pPr>
              <w:jc w:val="center"/>
            </w:pPr>
            <w:r>
              <w:rPr>
                <w:rFonts w:ascii="宋体" w:hAnsi="宋体" w:hint="eastAsia"/>
                <w:lang w:eastAsia="zh-Hans"/>
              </w:rPr>
              <w:t>摩根恒鑫债券A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7EA7A6" w14:textId="77777777" w:rsidR="006F5FD0" w:rsidRDefault="006F5FD0">
            <w:pPr>
              <w:jc w:val="center"/>
            </w:pPr>
            <w:r>
              <w:rPr>
                <w:rFonts w:ascii="宋体" w:hAnsi="宋体" w:hint="eastAsia"/>
                <w:lang w:eastAsia="zh-Hans"/>
              </w:rPr>
              <w:t>摩根恒鑫债券C</w:t>
            </w:r>
            <w:r>
              <w:rPr>
                <w:rFonts w:ascii="宋体" w:hAnsi="宋体" w:hint="eastAsia"/>
                <w:kern w:val="0"/>
                <w:sz w:val="20"/>
                <w:lang w:eastAsia="zh-Hans"/>
              </w:rPr>
              <w:t xml:space="preserve"> </w:t>
            </w:r>
          </w:p>
        </w:tc>
      </w:tr>
      <w:tr w:rsidR="00215D6D" w14:paraId="591E9811" w14:textId="77777777">
        <w:trPr>
          <w:divId w:val="25270800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A39F2E" w14:textId="77777777" w:rsidR="006F5FD0" w:rsidRDefault="006F5FD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EAE5B" w14:textId="77777777" w:rsidR="006F5FD0" w:rsidRDefault="006F5FD0">
            <w:pPr>
              <w:jc w:val="center"/>
            </w:pPr>
            <w:r>
              <w:rPr>
                <w:rFonts w:ascii="宋体" w:hAnsi="宋体" w:hint="eastAsia"/>
                <w:lang w:eastAsia="zh-Hans"/>
              </w:rPr>
              <w:t>022842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3C2A1" w14:textId="77777777" w:rsidR="006F5FD0" w:rsidRDefault="006F5FD0">
            <w:pPr>
              <w:jc w:val="center"/>
            </w:pPr>
            <w:r>
              <w:rPr>
                <w:rFonts w:ascii="宋体" w:hAnsi="宋体" w:hint="eastAsia"/>
                <w:lang w:eastAsia="zh-Hans"/>
              </w:rPr>
              <w:t>022843</w:t>
            </w:r>
            <w:r>
              <w:rPr>
                <w:rFonts w:ascii="宋体" w:hAnsi="宋体" w:hint="eastAsia"/>
                <w:kern w:val="0"/>
                <w:sz w:val="20"/>
                <w:lang w:eastAsia="zh-Hans"/>
              </w:rPr>
              <w:t xml:space="preserve"> </w:t>
            </w:r>
          </w:p>
        </w:tc>
      </w:tr>
      <w:bookmarkEnd w:id="31"/>
      <w:bookmarkEnd w:id="30"/>
      <w:tr w:rsidR="00215D6D" w14:paraId="11305E4A" w14:textId="77777777">
        <w:trPr>
          <w:divId w:val="25270800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BCAE81" w14:textId="77777777" w:rsidR="006F5FD0" w:rsidRDefault="006F5FD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7F34AD" w14:textId="77777777" w:rsidR="006F5FD0" w:rsidRDefault="006F5FD0">
            <w:pPr>
              <w:jc w:val="center"/>
            </w:pPr>
            <w:r>
              <w:rPr>
                <w:rFonts w:ascii="宋体" w:hAnsi="宋体" w:hint="eastAsia"/>
                <w:lang w:eastAsia="zh-Hans"/>
              </w:rPr>
              <w:t>165,340,419.44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491F6" w14:textId="77777777" w:rsidR="006F5FD0" w:rsidRDefault="006F5FD0">
            <w:pPr>
              <w:jc w:val="center"/>
            </w:pPr>
            <w:r>
              <w:rPr>
                <w:rFonts w:ascii="宋体" w:hAnsi="宋体" w:hint="eastAsia"/>
                <w:lang w:eastAsia="zh-Hans"/>
              </w:rPr>
              <w:t>333,738,860.05</w:t>
            </w:r>
            <w:r>
              <w:rPr>
                <w:rFonts w:hint="eastAsia"/>
              </w:rPr>
              <w:t>份</w:t>
            </w:r>
            <w:r>
              <w:rPr>
                <w:rFonts w:ascii="宋体" w:hAnsi="宋体" w:hint="eastAsia"/>
                <w:lang w:eastAsia="zh-Hans"/>
              </w:rPr>
              <w:t xml:space="preserve"> </w:t>
            </w:r>
          </w:p>
        </w:tc>
      </w:tr>
    </w:tbl>
    <w:p w14:paraId="079E0125" w14:textId="77777777" w:rsidR="006F5FD0" w:rsidRDefault="006F5FD0">
      <w:pPr>
        <w:pStyle w:val="XBRLTitle1"/>
        <w:spacing w:before="156" w:line="360" w:lineRule="auto"/>
        <w:ind w:left="425"/>
      </w:pPr>
      <w:bookmarkStart w:id="32" w:name="_Toc17899954"/>
      <w:bookmarkStart w:id="33" w:name="_Toc512519482"/>
      <w:bookmarkStart w:id="34" w:name="_Toc481075049"/>
      <w:bookmarkStart w:id="35" w:name="_Toc438646455"/>
      <w:bookmarkStart w:id="36" w:name="_Toc490050003"/>
      <w:bookmarkStart w:id="37" w:name="_Toc513295848"/>
      <w:bookmarkStart w:id="38" w:name="_Toc513295894"/>
      <w:bookmarkStart w:id="39" w:name="m401_tab"/>
      <w:bookmarkStart w:id="40" w:name="m401"/>
      <w:r>
        <w:rPr>
          <w:rFonts w:hAnsi="宋体" w:hint="eastAsia"/>
        </w:rPr>
        <w:t>主要财务指标和基金净值表现</w:t>
      </w:r>
      <w:bookmarkEnd w:id="32"/>
      <w:bookmarkEnd w:id="33"/>
      <w:bookmarkEnd w:id="34"/>
      <w:bookmarkEnd w:id="35"/>
      <w:bookmarkEnd w:id="36"/>
      <w:bookmarkEnd w:id="37"/>
      <w:bookmarkEnd w:id="38"/>
      <w:r>
        <w:rPr>
          <w:rFonts w:hAnsi="宋体" w:hint="eastAsia"/>
        </w:rPr>
        <w:t xml:space="preserve"> </w:t>
      </w:r>
    </w:p>
    <w:p w14:paraId="539EAE20" w14:textId="77777777" w:rsidR="006F5FD0" w:rsidRDefault="006F5FD0">
      <w:pPr>
        <w:pStyle w:val="XBRLTitle2"/>
        <w:spacing w:before="156" w:line="360" w:lineRule="auto"/>
        <w:ind w:left="454"/>
      </w:pPr>
      <w:bookmarkStart w:id="41" w:name="_Toc17899955"/>
      <w:bookmarkStart w:id="42" w:name="_Toc512519483"/>
      <w:bookmarkStart w:id="43" w:name="_Toc481075050"/>
      <w:bookmarkStart w:id="44" w:name="_Toc438646456"/>
      <w:bookmarkStart w:id="45" w:name="_Toc490050004"/>
      <w:bookmarkStart w:id="46" w:name="_Toc513295849"/>
      <w:bookmarkStart w:id="47" w:name="_Toc513295895"/>
      <w:r>
        <w:rPr>
          <w:rFonts w:hAnsi="宋体" w:hint="eastAsia"/>
        </w:rPr>
        <w:t>主要财务指标</w:t>
      </w:r>
      <w:bookmarkEnd w:id="41"/>
      <w:bookmarkEnd w:id="42"/>
      <w:bookmarkEnd w:id="43"/>
      <w:bookmarkEnd w:id="44"/>
      <w:bookmarkEnd w:id="45"/>
      <w:bookmarkEnd w:id="46"/>
      <w:bookmarkEnd w:id="47"/>
      <w:r>
        <w:rPr>
          <w:rFonts w:hAnsi="宋体" w:hint="eastAsia"/>
        </w:rPr>
        <w:t xml:space="preserve"> </w:t>
      </w:r>
    </w:p>
    <w:p w14:paraId="098AD89F" w14:textId="77777777" w:rsidR="006F5FD0" w:rsidRDefault="006F5FD0">
      <w:pPr>
        <w:jc w:val="right"/>
        <w:divId w:val="52443976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215D6D" w14:paraId="7B199537" w14:textId="77777777">
        <w:trPr>
          <w:divId w:val="52443976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EA4FAD1" w14:textId="77777777" w:rsidR="006F5FD0" w:rsidRDefault="006F5FD0">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A370077" w14:textId="77777777" w:rsidR="006F5FD0" w:rsidRDefault="006F5FD0">
            <w:pPr>
              <w:pStyle w:val="a5"/>
              <w:jc w:val="center"/>
              <w:rPr>
                <w:rFonts w:hint="eastAsia"/>
              </w:rPr>
            </w:pPr>
            <w:r>
              <w:rPr>
                <w:rFonts w:hint="eastAsia"/>
                <w:kern w:val="2"/>
                <w:sz w:val="21"/>
                <w:szCs w:val="24"/>
                <w:lang w:eastAsia="zh-Hans"/>
              </w:rPr>
              <w:t xml:space="preserve">报告期（2025年4月1日-2025年6月30日） </w:t>
            </w:r>
          </w:p>
        </w:tc>
      </w:tr>
      <w:tr w:rsidR="00215D6D" w14:paraId="1080A5FC" w14:textId="77777777">
        <w:trPr>
          <w:divId w:val="52443976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E63D5" w14:textId="77777777" w:rsidR="006F5FD0" w:rsidRDefault="006F5FD0">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EC897CD" w14:textId="77777777" w:rsidR="006F5FD0" w:rsidRDefault="006F5FD0">
            <w:pPr>
              <w:jc w:val="center"/>
            </w:pPr>
            <w:r>
              <w:rPr>
                <w:rFonts w:ascii="宋体" w:hAnsi="宋体" w:hint="eastAsia"/>
                <w:szCs w:val="24"/>
                <w:lang w:eastAsia="zh-Hans"/>
              </w:rPr>
              <w:t>摩根恒鑫债券A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07480DF" w14:textId="77777777" w:rsidR="006F5FD0" w:rsidRDefault="006F5FD0">
            <w:pPr>
              <w:jc w:val="center"/>
            </w:pPr>
            <w:r>
              <w:rPr>
                <w:rFonts w:ascii="宋体" w:hAnsi="宋体" w:hint="eastAsia"/>
                <w:szCs w:val="24"/>
                <w:lang w:eastAsia="zh-Hans"/>
              </w:rPr>
              <w:t>摩根恒鑫债券C</w:t>
            </w:r>
          </w:p>
        </w:tc>
      </w:tr>
      <w:tr w:rsidR="00215D6D" w14:paraId="55469CDD" w14:textId="77777777">
        <w:trPr>
          <w:divId w:val="5244397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6C6627" w14:textId="77777777" w:rsidR="006F5FD0" w:rsidRDefault="006F5FD0">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97AE97" w14:textId="77777777" w:rsidR="006F5FD0" w:rsidRDefault="006F5FD0">
            <w:pPr>
              <w:jc w:val="right"/>
            </w:pPr>
            <w:r>
              <w:rPr>
                <w:rFonts w:ascii="宋体" w:hAnsi="宋体" w:hint="eastAsia"/>
                <w:szCs w:val="24"/>
                <w:lang w:eastAsia="zh-Hans"/>
              </w:rPr>
              <w:t>751,728.42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118C77" w14:textId="77777777" w:rsidR="006F5FD0" w:rsidRDefault="006F5FD0">
            <w:pPr>
              <w:jc w:val="right"/>
            </w:pPr>
            <w:r>
              <w:rPr>
                <w:rFonts w:ascii="宋体" w:hAnsi="宋体" w:hint="eastAsia"/>
                <w:szCs w:val="24"/>
                <w:lang w:eastAsia="zh-Hans"/>
              </w:rPr>
              <w:t>1,748,814.41</w:t>
            </w:r>
          </w:p>
        </w:tc>
      </w:tr>
      <w:tr w:rsidR="00215D6D" w14:paraId="274A5CD6" w14:textId="77777777">
        <w:trPr>
          <w:divId w:val="5244397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0FCB49D" w14:textId="77777777" w:rsidR="006F5FD0" w:rsidRDefault="006F5FD0">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9A994D8" w14:textId="77777777" w:rsidR="006F5FD0" w:rsidRDefault="006F5FD0">
            <w:pPr>
              <w:jc w:val="right"/>
            </w:pPr>
            <w:r>
              <w:rPr>
                <w:rFonts w:ascii="宋体" w:hAnsi="宋体" w:hint="eastAsia"/>
                <w:szCs w:val="24"/>
                <w:lang w:eastAsia="zh-Hans"/>
              </w:rPr>
              <w:t>918,747.66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9C009F3" w14:textId="77777777" w:rsidR="006F5FD0" w:rsidRDefault="006F5FD0">
            <w:pPr>
              <w:jc w:val="right"/>
            </w:pPr>
            <w:r>
              <w:rPr>
                <w:rFonts w:ascii="宋体" w:hAnsi="宋体" w:hint="eastAsia"/>
                <w:szCs w:val="24"/>
                <w:lang w:eastAsia="zh-Hans"/>
              </w:rPr>
              <w:t>1,961,138.48</w:t>
            </w:r>
          </w:p>
        </w:tc>
      </w:tr>
      <w:tr w:rsidR="00215D6D" w14:paraId="66CDDEDA" w14:textId="77777777">
        <w:trPr>
          <w:divId w:val="5244397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D84200" w14:textId="77777777" w:rsidR="006F5FD0" w:rsidRDefault="006F5FD0">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68E60D" w14:textId="77777777" w:rsidR="006F5FD0" w:rsidRDefault="006F5FD0">
            <w:pPr>
              <w:jc w:val="right"/>
            </w:pPr>
            <w:r>
              <w:rPr>
                <w:rFonts w:ascii="宋体" w:hAnsi="宋体" w:hint="eastAsia"/>
                <w:szCs w:val="24"/>
                <w:lang w:eastAsia="zh-Hans"/>
              </w:rPr>
              <w:t>0.0042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4E3181" w14:textId="77777777" w:rsidR="006F5FD0" w:rsidRDefault="006F5FD0">
            <w:pPr>
              <w:jc w:val="right"/>
            </w:pPr>
            <w:r>
              <w:rPr>
                <w:rFonts w:ascii="宋体" w:hAnsi="宋体" w:hint="eastAsia"/>
                <w:szCs w:val="24"/>
                <w:lang w:eastAsia="zh-Hans"/>
              </w:rPr>
              <w:t>0.0027</w:t>
            </w:r>
          </w:p>
        </w:tc>
      </w:tr>
      <w:tr w:rsidR="00215D6D" w14:paraId="27606A98" w14:textId="77777777">
        <w:trPr>
          <w:divId w:val="5244397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EB4BDB" w14:textId="77777777" w:rsidR="006F5FD0" w:rsidRDefault="006F5FD0">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7C9D14D" w14:textId="77777777" w:rsidR="006F5FD0" w:rsidRDefault="006F5FD0">
            <w:pPr>
              <w:jc w:val="right"/>
            </w:pPr>
            <w:r>
              <w:rPr>
                <w:rFonts w:ascii="宋体" w:hAnsi="宋体" w:hint="eastAsia"/>
                <w:szCs w:val="24"/>
                <w:lang w:eastAsia="zh-Hans"/>
              </w:rPr>
              <w:t>166,140,248.73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46F280E" w14:textId="77777777" w:rsidR="006F5FD0" w:rsidRDefault="006F5FD0">
            <w:pPr>
              <w:jc w:val="right"/>
            </w:pPr>
            <w:r>
              <w:rPr>
                <w:rFonts w:ascii="宋体" w:hAnsi="宋体" w:hint="eastAsia"/>
                <w:szCs w:val="24"/>
                <w:lang w:eastAsia="zh-Hans"/>
              </w:rPr>
              <w:t>334,920,932.96</w:t>
            </w:r>
          </w:p>
        </w:tc>
      </w:tr>
      <w:tr w:rsidR="00215D6D" w14:paraId="7EB69EE4" w14:textId="77777777">
        <w:trPr>
          <w:divId w:val="5244397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E603F7" w14:textId="77777777" w:rsidR="006F5FD0" w:rsidRDefault="006F5FD0">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32DDCA" w14:textId="77777777" w:rsidR="006F5FD0" w:rsidRDefault="006F5FD0">
            <w:pPr>
              <w:jc w:val="right"/>
            </w:pPr>
            <w:r>
              <w:rPr>
                <w:rFonts w:ascii="宋体" w:hAnsi="宋体" w:hint="eastAsia"/>
                <w:szCs w:val="24"/>
                <w:lang w:eastAsia="zh-Hans"/>
              </w:rPr>
              <w:t>1.0048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9737E07" w14:textId="77777777" w:rsidR="006F5FD0" w:rsidRDefault="006F5FD0">
            <w:pPr>
              <w:jc w:val="right"/>
            </w:pPr>
            <w:r>
              <w:rPr>
                <w:rFonts w:ascii="宋体" w:hAnsi="宋体" w:hint="eastAsia"/>
                <w:szCs w:val="24"/>
                <w:lang w:eastAsia="zh-Hans"/>
              </w:rPr>
              <w:t>1.0035</w:t>
            </w:r>
          </w:p>
        </w:tc>
      </w:tr>
    </w:tbl>
    <w:p w14:paraId="3EFA948D" w14:textId="77777777" w:rsidR="006F5FD0" w:rsidRDefault="006F5FD0">
      <w:pPr>
        <w:wordWrap w:val="0"/>
        <w:spacing w:line="360" w:lineRule="auto"/>
        <w:jc w:val="left"/>
        <w:divId w:val="971133952"/>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　　上述基金业绩指标不包括持有人认购或交易基金的各项费用（例如，开放式基金的申购赎回费、红利再投资费、基金转换费等），计入费用后实际收益水平要低于所列数字。</w:t>
      </w:r>
    </w:p>
    <w:p w14:paraId="2E21CBA7" w14:textId="77777777" w:rsidR="006F5FD0" w:rsidRDefault="006F5FD0">
      <w:pPr>
        <w:pStyle w:val="XBRLTitle2"/>
        <w:spacing w:before="156" w:line="360" w:lineRule="auto"/>
        <w:ind w:left="454"/>
      </w:pPr>
      <w:bookmarkStart w:id="48" w:name="_Toc17899956"/>
      <w:bookmarkStart w:id="49" w:name="_Toc512519484"/>
      <w:bookmarkStart w:id="50" w:name="_Toc481075051"/>
      <w:bookmarkStart w:id="51" w:name="_Toc438646457"/>
      <w:bookmarkStart w:id="52" w:name="_Toc490050005"/>
      <w:bookmarkStart w:id="53" w:name="_Toc513295850"/>
      <w:bookmarkStart w:id="54" w:name="_Toc513295896"/>
      <w:r>
        <w:rPr>
          <w:rFonts w:hAnsi="宋体" w:hint="eastAsia"/>
        </w:rPr>
        <w:t>基金净值表现</w:t>
      </w:r>
      <w:bookmarkEnd w:id="48"/>
      <w:bookmarkEnd w:id="49"/>
      <w:bookmarkEnd w:id="50"/>
      <w:bookmarkEnd w:id="51"/>
      <w:bookmarkEnd w:id="52"/>
      <w:bookmarkEnd w:id="53"/>
      <w:bookmarkEnd w:id="54"/>
      <w:r>
        <w:rPr>
          <w:rFonts w:hAnsi="宋体" w:hint="eastAsia"/>
        </w:rPr>
        <w:t xml:space="preserve"> </w:t>
      </w:r>
    </w:p>
    <w:p w14:paraId="618E84C2" w14:textId="77777777" w:rsidR="006F5FD0" w:rsidRDefault="006F5FD0">
      <w:pPr>
        <w:pStyle w:val="XBRLTitle3"/>
        <w:spacing w:before="156"/>
        <w:ind w:left="0"/>
      </w:pPr>
      <w:bookmarkStart w:id="55" w:name="_Toc17899957"/>
      <w:bookmarkStart w:id="56" w:name="_Toc512519485"/>
      <w:bookmarkStart w:id="57" w:name="_Toc481075052"/>
      <w:bookmarkStart w:id="58" w:name="_Toc490050006"/>
      <w:bookmarkStart w:id="59" w:name="_Toc513295897"/>
      <w:r>
        <w:rPr>
          <w:rFonts w:hint="eastAsia"/>
        </w:rPr>
        <w:t>基金份额净值增长率及其与同期业绩比较基准收益率的比较</w:t>
      </w:r>
      <w:bookmarkEnd w:id="55"/>
      <w:bookmarkEnd w:id="56"/>
      <w:bookmarkEnd w:id="57"/>
      <w:bookmarkEnd w:id="58"/>
      <w:bookmarkEnd w:id="59"/>
      <w:r>
        <w:rPr>
          <w:rFonts w:hint="eastAsia"/>
          <w:lang w:eastAsia="zh-CN"/>
        </w:rPr>
        <w:t xml:space="preserve"> </w:t>
      </w:r>
    </w:p>
    <w:p w14:paraId="3387DE12" w14:textId="77777777" w:rsidR="006F5FD0" w:rsidRDefault="006F5FD0">
      <w:pPr>
        <w:spacing w:line="360" w:lineRule="auto"/>
        <w:jc w:val="center"/>
        <w:divId w:val="809446725"/>
      </w:pPr>
      <w:r>
        <w:rPr>
          <w:rFonts w:ascii="宋体" w:hAnsi="宋体" w:hint="eastAsia"/>
        </w:rPr>
        <w:t>摩根恒鑫债券A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15D6D" w14:paraId="346F8457" w14:textId="77777777">
        <w:trPr>
          <w:divId w:val="80944672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5F18F9" w14:textId="77777777" w:rsidR="006F5FD0" w:rsidRDefault="006F5FD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4E10C1" w14:textId="77777777" w:rsidR="006F5FD0" w:rsidRDefault="006F5FD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E57F2C" w14:textId="77777777" w:rsidR="006F5FD0" w:rsidRDefault="006F5FD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4CAAA0" w14:textId="77777777" w:rsidR="006F5FD0" w:rsidRDefault="006F5FD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3AAEB0" w14:textId="77777777" w:rsidR="006F5FD0" w:rsidRDefault="006F5FD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C8BBA" w14:textId="77777777" w:rsidR="006F5FD0" w:rsidRDefault="006F5FD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E9926BA" w14:textId="77777777" w:rsidR="006F5FD0" w:rsidRDefault="006F5FD0">
            <w:pPr>
              <w:spacing w:line="360" w:lineRule="auto"/>
              <w:jc w:val="center"/>
            </w:pPr>
            <w:r>
              <w:rPr>
                <w:rFonts w:ascii="宋体" w:hAnsi="宋体" w:hint="eastAsia"/>
              </w:rPr>
              <w:t xml:space="preserve">②－④ </w:t>
            </w:r>
          </w:p>
        </w:tc>
      </w:tr>
      <w:tr w:rsidR="00215D6D" w14:paraId="6CA85827" w14:textId="77777777">
        <w:trPr>
          <w:divId w:val="809446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34BE1F" w14:textId="77777777" w:rsidR="006F5FD0" w:rsidRDefault="006F5FD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6E6DCC" w14:textId="77777777" w:rsidR="006F5FD0" w:rsidRDefault="006F5FD0">
            <w:pPr>
              <w:spacing w:line="360" w:lineRule="auto"/>
              <w:jc w:val="right"/>
            </w:pPr>
            <w:r>
              <w:rPr>
                <w:rFonts w:ascii="宋体" w:hAnsi="宋体" w:hint="eastAsia"/>
              </w:rPr>
              <w:t xml:space="preserve">0.45%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71056" w14:textId="77777777" w:rsidR="006F5FD0" w:rsidRDefault="006F5FD0">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BA9C4B" w14:textId="77777777" w:rsidR="006F5FD0" w:rsidRDefault="006F5FD0">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0AB632" w14:textId="77777777" w:rsidR="006F5FD0" w:rsidRDefault="006F5FD0">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7FC8AE9" w14:textId="77777777" w:rsidR="006F5FD0" w:rsidRDefault="006F5FD0">
            <w:pPr>
              <w:spacing w:line="360" w:lineRule="auto"/>
              <w:jc w:val="right"/>
            </w:pPr>
            <w:r>
              <w:rPr>
                <w:rFonts w:ascii="宋体" w:hAnsi="宋体" w:hint="eastAsia"/>
              </w:rPr>
              <w:t xml:space="preserve">-1.22%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9D1F3" w14:textId="77777777" w:rsidR="006F5FD0" w:rsidRDefault="006F5FD0">
            <w:pPr>
              <w:spacing w:line="360" w:lineRule="auto"/>
              <w:jc w:val="right"/>
            </w:pPr>
            <w:r>
              <w:rPr>
                <w:rFonts w:ascii="宋体" w:hAnsi="宋体" w:hint="eastAsia"/>
              </w:rPr>
              <w:t xml:space="preserve">-0.07% </w:t>
            </w:r>
          </w:p>
        </w:tc>
      </w:tr>
      <w:tr w:rsidR="00215D6D" w14:paraId="71A9CDF2" w14:textId="77777777">
        <w:trPr>
          <w:divId w:val="809446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ABA32" w14:textId="77777777" w:rsidR="006F5FD0" w:rsidRDefault="006F5FD0">
            <w:pPr>
              <w:spacing w:line="360" w:lineRule="auto"/>
              <w:jc w:val="center"/>
            </w:pPr>
            <w:r>
              <w:rPr>
                <w:rFonts w:ascii="宋体" w:hAnsi="宋体" w:hint="eastAsia"/>
              </w:rPr>
              <w:lastRenderedPageBreak/>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5C489" w14:textId="77777777" w:rsidR="006F5FD0" w:rsidRDefault="006F5FD0">
            <w:pPr>
              <w:spacing w:line="360" w:lineRule="auto"/>
              <w:jc w:val="right"/>
            </w:pPr>
            <w:r>
              <w:rPr>
                <w:rFonts w:ascii="宋体" w:hAnsi="宋体" w:hint="eastAsia"/>
              </w:rPr>
              <w:t xml:space="preserve">0.48%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E1BAB2" w14:textId="77777777" w:rsidR="006F5FD0" w:rsidRDefault="006F5FD0">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C4337A" w14:textId="77777777" w:rsidR="006F5FD0" w:rsidRDefault="006F5FD0">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7B00D" w14:textId="77777777" w:rsidR="006F5FD0" w:rsidRDefault="006F5FD0">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D29CFBE" w14:textId="77777777" w:rsidR="006F5FD0" w:rsidRDefault="006F5FD0">
            <w:pPr>
              <w:spacing w:line="360" w:lineRule="auto"/>
              <w:jc w:val="right"/>
            </w:pPr>
            <w:r>
              <w:rPr>
                <w:rFonts w:ascii="宋体" w:hAnsi="宋体" w:hint="eastAsia"/>
              </w:rPr>
              <w:t xml:space="preserve">-0.89%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390E1" w14:textId="77777777" w:rsidR="006F5FD0" w:rsidRDefault="006F5FD0">
            <w:pPr>
              <w:spacing w:line="360" w:lineRule="auto"/>
              <w:jc w:val="right"/>
            </w:pPr>
            <w:r>
              <w:rPr>
                <w:rFonts w:ascii="宋体" w:hAnsi="宋体" w:hint="eastAsia"/>
              </w:rPr>
              <w:t xml:space="preserve">-0.09% </w:t>
            </w:r>
          </w:p>
        </w:tc>
      </w:tr>
    </w:tbl>
    <w:p w14:paraId="1A4E9E53" w14:textId="77777777" w:rsidR="006F5FD0" w:rsidRDefault="006F5FD0">
      <w:pPr>
        <w:spacing w:line="360" w:lineRule="auto"/>
        <w:jc w:val="center"/>
        <w:divId w:val="486288732"/>
      </w:pPr>
      <w:r>
        <w:rPr>
          <w:rFonts w:ascii="宋体" w:hAnsi="宋体" w:hint="eastAsia"/>
        </w:rPr>
        <w:t>摩根恒鑫债券C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15D6D" w14:paraId="2D6FD520" w14:textId="77777777">
        <w:trPr>
          <w:divId w:val="48628873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1C8EB9" w14:textId="77777777" w:rsidR="006F5FD0" w:rsidRDefault="006F5FD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9C2E5E" w14:textId="77777777" w:rsidR="006F5FD0" w:rsidRDefault="006F5FD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AB99D9" w14:textId="77777777" w:rsidR="006F5FD0" w:rsidRDefault="006F5FD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3A0189" w14:textId="77777777" w:rsidR="006F5FD0" w:rsidRDefault="006F5FD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759A73A" w14:textId="77777777" w:rsidR="006F5FD0" w:rsidRDefault="006F5FD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160B2" w14:textId="77777777" w:rsidR="006F5FD0" w:rsidRDefault="006F5FD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97539F" w14:textId="77777777" w:rsidR="006F5FD0" w:rsidRDefault="006F5FD0">
            <w:pPr>
              <w:spacing w:line="360" w:lineRule="auto"/>
              <w:jc w:val="center"/>
            </w:pPr>
            <w:r>
              <w:rPr>
                <w:rFonts w:ascii="宋体" w:hAnsi="宋体" w:hint="eastAsia"/>
              </w:rPr>
              <w:t xml:space="preserve">②－④ </w:t>
            </w:r>
          </w:p>
        </w:tc>
      </w:tr>
      <w:tr w:rsidR="00215D6D" w14:paraId="16D5B1DE" w14:textId="77777777">
        <w:trPr>
          <w:divId w:val="4862887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5008B6" w14:textId="77777777" w:rsidR="006F5FD0" w:rsidRDefault="006F5FD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6B1106" w14:textId="77777777" w:rsidR="006F5FD0" w:rsidRDefault="006F5FD0">
            <w:pPr>
              <w:spacing w:line="360" w:lineRule="auto"/>
              <w:jc w:val="right"/>
            </w:pPr>
            <w:r>
              <w:rPr>
                <w:rFonts w:ascii="宋体" w:hAnsi="宋体" w:hint="eastAsia"/>
              </w:rPr>
              <w:t xml:space="preserve">0.35%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8E408" w14:textId="77777777" w:rsidR="006F5FD0" w:rsidRDefault="006F5FD0">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0BA02" w14:textId="77777777" w:rsidR="006F5FD0" w:rsidRDefault="006F5FD0">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CB3EC" w14:textId="77777777" w:rsidR="006F5FD0" w:rsidRDefault="006F5FD0">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0F2C5F" w14:textId="77777777" w:rsidR="006F5FD0" w:rsidRDefault="006F5FD0">
            <w:pPr>
              <w:spacing w:line="360" w:lineRule="auto"/>
              <w:jc w:val="right"/>
            </w:pPr>
            <w:r>
              <w:rPr>
                <w:rFonts w:ascii="宋体" w:hAnsi="宋体" w:hint="eastAsia"/>
              </w:rPr>
              <w:t xml:space="preserve">-1.32%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5DE81" w14:textId="77777777" w:rsidR="006F5FD0" w:rsidRDefault="006F5FD0">
            <w:pPr>
              <w:spacing w:line="360" w:lineRule="auto"/>
              <w:jc w:val="right"/>
            </w:pPr>
            <w:r>
              <w:rPr>
                <w:rFonts w:ascii="宋体" w:hAnsi="宋体" w:hint="eastAsia"/>
              </w:rPr>
              <w:t xml:space="preserve">-0.07% </w:t>
            </w:r>
          </w:p>
        </w:tc>
      </w:tr>
      <w:tr w:rsidR="00215D6D" w14:paraId="37A06108" w14:textId="77777777">
        <w:trPr>
          <w:divId w:val="4862887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54234" w14:textId="77777777" w:rsidR="006F5FD0" w:rsidRDefault="006F5FD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999358" w14:textId="77777777" w:rsidR="006F5FD0" w:rsidRDefault="006F5FD0">
            <w:pPr>
              <w:spacing w:line="360" w:lineRule="auto"/>
              <w:jc w:val="right"/>
            </w:pPr>
            <w:r>
              <w:rPr>
                <w:rFonts w:ascii="宋体" w:hAnsi="宋体" w:hint="eastAsia"/>
              </w:rPr>
              <w:t xml:space="preserve">0.35%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65143" w14:textId="77777777" w:rsidR="006F5FD0" w:rsidRDefault="006F5FD0">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85D52" w14:textId="77777777" w:rsidR="006F5FD0" w:rsidRDefault="006F5FD0">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0CE6F" w14:textId="77777777" w:rsidR="006F5FD0" w:rsidRDefault="006F5FD0">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FC4247" w14:textId="77777777" w:rsidR="006F5FD0" w:rsidRDefault="006F5FD0">
            <w:pPr>
              <w:spacing w:line="360" w:lineRule="auto"/>
              <w:jc w:val="right"/>
            </w:pPr>
            <w:r>
              <w:rPr>
                <w:rFonts w:ascii="宋体" w:hAnsi="宋体" w:hint="eastAsia"/>
              </w:rPr>
              <w:t xml:space="preserve">-1.02%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78259" w14:textId="77777777" w:rsidR="006F5FD0" w:rsidRDefault="006F5FD0">
            <w:pPr>
              <w:spacing w:line="360" w:lineRule="auto"/>
              <w:jc w:val="right"/>
            </w:pPr>
            <w:r>
              <w:rPr>
                <w:rFonts w:ascii="宋体" w:hAnsi="宋体" w:hint="eastAsia"/>
              </w:rPr>
              <w:t xml:space="preserve">-0.09% </w:t>
            </w:r>
          </w:p>
        </w:tc>
      </w:tr>
    </w:tbl>
    <w:p w14:paraId="1EB73B70" w14:textId="77777777" w:rsidR="006F5FD0" w:rsidRDefault="006F5FD0">
      <w:pPr>
        <w:pStyle w:val="XBRLTitle3"/>
        <w:spacing w:before="156"/>
        <w:ind w:left="0"/>
      </w:pPr>
      <w:bookmarkStart w:id="60" w:name="_Toc17899958"/>
      <w:bookmarkStart w:id="61" w:name="_Toc512519486"/>
      <w:bookmarkStart w:id="62" w:name="_Toc481075053"/>
      <w:bookmarkStart w:id="63" w:name="_Toc490050007"/>
      <w:bookmarkStart w:id="64" w:name="_Toc513295898"/>
      <w:r>
        <w:rPr>
          <w:rFonts w:hint="eastAsia"/>
        </w:rPr>
        <w:t>自基金合同生效以来基金累计净值增长率变动及其与同期业绩比较基准收益率变动的比较</w:t>
      </w:r>
      <w:bookmarkEnd w:id="60"/>
      <w:bookmarkEnd w:id="61"/>
      <w:bookmarkEnd w:id="62"/>
      <w:bookmarkEnd w:id="63"/>
      <w:bookmarkEnd w:id="64"/>
    </w:p>
    <w:p w14:paraId="766FEEC2" w14:textId="77777777" w:rsidR="006F5FD0" w:rsidRDefault="006F5FD0">
      <w:pPr>
        <w:spacing w:line="360" w:lineRule="auto"/>
        <w:jc w:val="left"/>
        <w:divId w:val="1510870361"/>
      </w:pPr>
      <w:bookmarkStart w:id="65" w:name="m07_04_07_09"/>
      <w:bookmarkStart w:id="66" w:name="m07_04_07_09_tab"/>
      <w:r>
        <w:rPr>
          <w:rFonts w:ascii="宋体" w:hAnsi="宋体" w:hint="eastAsia"/>
          <w:noProof/>
        </w:rPr>
        <w:drawing>
          <wp:inline distT="0" distB="0" distL="0" distR="0" wp14:anchorId="72FF1D8A" wp14:editId="401D390F">
            <wp:extent cx="5227320" cy="3009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320" cy="3009900"/>
                    </a:xfrm>
                    <a:prstGeom prst="rect">
                      <a:avLst/>
                    </a:prstGeom>
                    <a:noFill/>
                    <a:ln>
                      <a:noFill/>
                    </a:ln>
                  </pic:spPr>
                </pic:pic>
              </a:graphicData>
            </a:graphic>
          </wp:inline>
        </w:drawing>
      </w:r>
    </w:p>
    <w:p w14:paraId="3F2775B9" w14:textId="77777777" w:rsidR="006F5FD0" w:rsidRDefault="006F5FD0">
      <w:pPr>
        <w:spacing w:line="360" w:lineRule="auto"/>
        <w:jc w:val="left"/>
        <w:divId w:val="193427947"/>
      </w:pPr>
      <w:r>
        <w:rPr>
          <w:rFonts w:ascii="宋体" w:hAnsi="宋体" w:hint="eastAsia"/>
          <w:noProof/>
        </w:rPr>
        <w:lastRenderedPageBreak/>
        <w:drawing>
          <wp:inline distT="0" distB="0" distL="0" distR="0" wp14:anchorId="3C22CD17" wp14:editId="1E22C0A0">
            <wp:extent cx="5227320" cy="3009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20" cy="3009900"/>
                    </a:xfrm>
                    <a:prstGeom prst="rect">
                      <a:avLst/>
                    </a:prstGeom>
                    <a:noFill/>
                    <a:ln>
                      <a:noFill/>
                    </a:ln>
                  </pic:spPr>
                </pic:pic>
              </a:graphicData>
            </a:graphic>
          </wp:inline>
        </w:drawing>
      </w:r>
    </w:p>
    <w:p w14:paraId="67DC0DC0" w14:textId="77777777" w:rsidR="006F5FD0" w:rsidRDefault="006F5FD0">
      <w:pPr>
        <w:spacing w:line="360" w:lineRule="auto"/>
      </w:pPr>
      <w:r>
        <w:rPr>
          <w:rFonts w:ascii="宋体" w:hAnsi="宋体" w:hint="eastAsia"/>
        </w:rPr>
        <w:t>注：</w:t>
      </w:r>
      <w:r>
        <w:rPr>
          <w:rFonts w:ascii="宋体" w:hAnsi="宋体" w:hint="eastAsia"/>
          <w:lang w:eastAsia="zh-Hans"/>
        </w:rPr>
        <w:t>本基金合同生效日为2025年3月4日，截至本报告期末本基金合同生效未满一年。</w:t>
      </w:r>
      <w:r>
        <w:rPr>
          <w:rFonts w:ascii="宋体" w:hAnsi="宋体" w:hint="eastAsia"/>
          <w:lang w:eastAsia="zh-Hans"/>
        </w:rPr>
        <w:br/>
        <w:t xml:space="preserve">　　本基金建仓期为本基金合同生效日起　6　个月，截至本报告期末本基金仍处于建仓期。</w:t>
      </w:r>
      <w:r>
        <w:rPr>
          <w:rFonts w:ascii="宋体" w:hAnsi="宋体" w:hint="eastAsia"/>
          <w:kern w:val="0"/>
          <w:lang w:eastAsia="zh-Hans"/>
        </w:rPr>
        <w:t xml:space="preserve"> </w:t>
      </w:r>
    </w:p>
    <w:p w14:paraId="00086CE6" w14:textId="77777777" w:rsidR="006F5FD0" w:rsidRDefault="006F5FD0">
      <w:pPr>
        <w:pStyle w:val="XBRLTitle1"/>
        <w:spacing w:before="156" w:line="360" w:lineRule="auto"/>
        <w:ind w:left="425"/>
      </w:pPr>
      <w:bookmarkStart w:id="67" w:name="_Toc17899960"/>
      <w:bookmarkStart w:id="68" w:name="_Toc481075054"/>
      <w:bookmarkStart w:id="69" w:name="_Toc438646458"/>
      <w:bookmarkStart w:id="70" w:name="_Toc490050008"/>
      <w:bookmarkStart w:id="71" w:name="_Toc512519487"/>
      <w:bookmarkStart w:id="72" w:name="_Toc513295851"/>
      <w:bookmarkStart w:id="73" w:name="_Toc513295899"/>
      <w:r>
        <w:rPr>
          <w:rFonts w:hAnsi="宋体" w:hint="eastAsia"/>
        </w:rPr>
        <w:t>管理人报告</w:t>
      </w:r>
      <w:bookmarkEnd w:id="67"/>
      <w:bookmarkEnd w:id="68"/>
      <w:bookmarkEnd w:id="69"/>
      <w:bookmarkEnd w:id="70"/>
      <w:bookmarkEnd w:id="71"/>
      <w:bookmarkEnd w:id="72"/>
      <w:bookmarkEnd w:id="73"/>
      <w:r>
        <w:rPr>
          <w:rFonts w:hAnsi="宋体" w:hint="eastAsia"/>
        </w:rPr>
        <w:t xml:space="preserve"> </w:t>
      </w:r>
    </w:p>
    <w:p w14:paraId="5E46677A" w14:textId="77777777" w:rsidR="006F5FD0" w:rsidRDefault="006F5FD0">
      <w:pPr>
        <w:pStyle w:val="XBRLTitle2"/>
        <w:spacing w:before="156" w:line="360" w:lineRule="auto"/>
        <w:ind w:left="454"/>
      </w:pPr>
      <w:bookmarkStart w:id="74" w:name="_Toc17899961"/>
      <w:bookmarkStart w:id="75" w:name="_Toc481075055"/>
      <w:bookmarkStart w:id="76" w:name="_Toc438646459"/>
      <w:bookmarkStart w:id="77" w:name="_Toc490050009"/>
      <w:bookmarkStart w:id="78" w:name="_Toc512519488"/>
      <w:bookmarkStart w:id="79" w:name="_Toc513295852"/>
      <w:bookmarkStart w:id="80" w:name="_Toc513295900"/>
      <w:r>
        <w:rPr>
          <w:rFonts w:hAnsi="宋体" w:hint="eastAsia"/>
        </w:rPr>
        <w:t>基金经理（或基金经理小组）简介</w:t>
      </w:r>
      <w:bookmarkEnd w:id="74"/>
      <w:bookmarkEnd w:id="75"/>
      <w:bookmarkEnd w:id="76"/>
      <w:bookmarkEnd w:id="77"/>
      <w:bookmarkEnd w:id="78"/>
      <w:bookmarkEnd w:id="79"/>
      <w:bookmarkEnd w:id="80"/>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215D6D" w14:paraId="1467361D" w14:textId="77777777">
        <w:trPr>
          <w:divId w:val="140741435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CAECE" w14:textId="77777777" w:rsidR="006F5FD0" w:rsidRDefault="006F5FD0">
            <w:pPr>
              <w:snapToGrid w:val="0"/>
              <w:jc w:val="center"/>
            </w:pPr>
            <w:bookmarkStart w:id="81" w:name="m04_02"/>
            <w:bookmarkEnd w:id="81"/>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AE322" w14:textId="77777777" w:rsidR="006F5FD0" w:rsidRDefault="006F5FD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88870" w14:textId="77777777" w:rsidR="006F5FD0" w:rsidRDefault="006F5FD0">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6F88C" w14:textId="77777777" w:rsidR="006F5FD0" w:rsidRDefault="006F5FD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9CDC0" w14:textId="77777777" w:rsidR="006F5FD0" w:rsidRDefault="006F5FD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215D6D" w14:paraId="55FD0A77" w14:textId="77777777">
        <w:trPr>
          <w:divId w:val="140741435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3B7A6" w14:textId="77777777" w:rsidR="006F5FD0" w:rsidRDefault="006F5FD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92F39" w14:textId="77777777" w:rsidR="006F5FD0" w:rsidRDefault="006F5FD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58855" w14:textId="77777777" w:rsidR="006F5FD0" w:rsidRDefault="006F5FD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BEAA4" w14:textId="77777777" w:rsidR="006F5FD0" w:rsidRDefault="006F5FD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54D2C" w14:textId="77777777" w:rsidR="006F5FD0" w:rsidRDefault="006F5FD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E88A6" w14:textId="77777777" w:rsidR="006F5FD0" w:rsidRDefault="006F5FD0">
            <w:pPr>
              <w:widowControl/>
              <w:jc w:val="left"/>
            </w:pPr>
          </w:p>
        </w:tc>
      </w:tr>
      <w:tr w:rsidR="00215D6D" w14:paraId="5D63F1BD" w14:textId="77777777">
        <w:trPr>
          <w:divId w:val="140741435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75FFA" w14:textId="77777777" w:rsidR="006F5FD0" w:rsidRDefault="006F5FD0">
            <w:pPr>
              <w:jc w:val="center"/>
            </w:pPr>
            <w:r>
              <w:rPr>
                <w:rFonts w:ascii="宋体" w:hAnsi="宋体" w:hint="eastAsia"/>
                <w:szCs w:val="24"/>
                <w:lang w:eastAsia="zh-Hans"/>
              </w:rPr>
              <w:t>张一格</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9F779" w14:textId="77777777" w:rsidR="006F5FD0" w:rsidRDefault="006F5FD0">
            <w:pPr>
              <w:jc w:val="left"/>
            </w:pPr>
            <w:r>
              <w:rPr>
                <w:rFonts w:ascii="宋体" w:hAnsi="宋体" w:hint="eastAsia"/>
                <w:szCs w:val="24"/>
                <w:lang w:eastAsia="zh-Hans"/>
              </w:rPr>
              <w:t>本基金基金经理、总经理助理兼债券投资总监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7CE40" w14:textId="77777777" w:rsidR="006F5FD0" w:rsidRDefault="006F5FD0">
            <w:pPr>
              <w:jc w:val="center"/>
            </w:pPr>
            <w:r>
              <w:rPr>
                <w:rFonts w:ascii="宋体" w:hAnsi="宋体" w:hint="eastAsia"/>
                <w:szCs w:val="24"/>
                <w:lang w:eastAsia="zh-Hans"/>
              </w:rPr>
              <w:t>2025年3月4日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50394D" w14:textId="77777777" w:rsidR="006F5FD0" w:rsidRDefault="006F5FD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326D3" w14:textId="77777777" w:rsidR="006F5FD0" w:rsidRDefault="006F5FD0">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53D0E" w14:textId="77777777" w:rsidR="006F5FD0" w:rsidRDefault="006F5FD0">
            <w:pPr>
              <w:jc w:val="left"/>
            </w:pPr>
            <w:r>
              <w:rPr>
                <w:rFonts w:ascii="宋体" w:hAnsi="宋体" w:hint="eastAsia"/>
                <w:szCs w:val="24"/>
                <w:lang w:eastAsia="zh-Hans"/>
              </w:rPr>
              <w:t>张一格先生曾任兴业银行资金营运中心投资经理,国泰基金管理有限公司基金经理，融通基金管理有限公司固收投资总监、基金经理；自2023年9月加入摩根基金管理（中国）有限公司（原上投摩根基金管理有限公司），现任总经理助理兼债券投资总监。</w:t>
            </w:r>
          </w:p>
        </w:tc>
      </w:tr>
      <w:tr w:rsidR="00215D6D" w14:paraId="3FCB4F24" w14:textId="77777777">
        <w:trPr>
          <w:divId w:val="140741435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3DCD94" w14:textId="77777777" w:rsidR="006F5FD0" w:rsidRDefault="006F5FD0">
            <w:pPr>
              <w:jc w:val="center"/>
            </w:pPr>
            <w:r>
              <w:rPr>
                <w:rFonts w:ascii="宋体" w:hAnsi="宋体" w:hint="eastAsia"/>
                <w:szCs w:val="24"/>
                <w:lang w:eastAsia="zh-Hans"/>
              </w:rPr>
              <w:t>周梦婕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49284" w14:textId="77777777" w:rsidR="006F5FD0" w:rsidRDefault="006F5FD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758D12" w14:textId="77777777" w:rsidR="006F5FD0" w:rsidRDefault="006F5FD0">
            <w:pPr>
              <w:jc w:val="center"/>
            </w:pPr>
            <w:r>
              <w:rPr>
                <w:rFonts w:ascii="宋体" w:hAnsi="宋体" w:hint="eastAsia"/>
                <w:szCs w:val="24"/>
                <w:lang w:eastAsia="zh-Hans"/>
              </w:rPr>
              <w:t>2025年3月4日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1D171" w14:textId="77777777" w:rsidR="006F5FD0" w:rsidRDefault="006F5FD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CB717" w14:textId="63196D38" w:rsidR="006F5FD0" w:rsidRDefault="006F5FD0">
            <w:pPr>
              <w:jc w:val="center"/>
            </w:pPr>
            <w:r>
              <w:rPr>
                <w:rFonts w:ascii="宋体" w:hAnsi="宋体" w:hint="eastAsia"/>
                <w:szCs w:val="24"/>
                <w:lang w:eastAsia="zh-Hans"/>
              </w:rPr>
              <w:t>1</w:t>
            </w:r>
            <w:r w:rsidR="000831CD">
              <w:rPr>
                <w:rFonts w:ascii="宋体" w:hAnsi="宋体"/>
                <w:szCs w:val="24"/>
                <w:lang w:eastAsia="zh-Hans"/>
              </w:rPr>
              <w:t>3</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C8BB6E" w14:textId="77777777" w:rsidR="006F5FD0" w:rsidRDefault="006F5FD0">
            <w:pPr>
              <w:jc w:val="left"/>
            </w:pPr>
            <w:r>
              <w:rPr>
                <w:rFonts w:ascii="宋体" w:hAnsi="宋体" w:hint="eastAsia"/>
                <w:szCs w:val="24"/>
                <w:lang w:eastAsia="zh-Hans"/>
              </w:rPr>
              <w:t>周梦婕女士曾任东方证券资产管理有限公司产品经理，长江证券股份有限公司投资经理助理，长江证券(上海)资产管理公司固定收益研究员、交易员，中海基金管理有限公司担任基金经理助理、基金经理。2021年10月加入摩根基金管理(中国)有限公司(原上投摩根基金管理有限公司)，现任基金经理。</w:t>
            </w:r>
          </w:p>
        </w:tc>
      </w:tr>
    </w:tbl>
    <w:p w14:paraId="75A7EC4B" w14:textId="77777777" w:rsidR="006F5FD0" w:rsidRDefault="006F5FD0">
      <w:pPr>
        <w:wordWrap w:val="0"/>
        <w:spacing w:line="360" w:lineRule="auto"/>
        <w:jc w:val="left"/>
        <w:divId w:val="146435762"/>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r>
      <w:r>
        <w:rPr>
          <w:rFonts w:ascii="宋体" w:hAnsi="宋体" w:hint="eastAsia"/>
          <w:szCs w:val="21"/>
        </w:rPr>
        <w:lastRenderedPageBreak/>
        <w:t xml:space="preserve">　　2.证券从业的含义遵从中国证监会及行业协会的相关规定。</w:t>
      </w:r>
    </w:p>
    <w:p w14:paraId="471D3892" w14:textId="6AF50812" w:rsidR="000831CD" w:rsidRDefault="006F5FD0" w:rsidP="000831CD">
      <w:pPr>
        <w:pStyle w:val="XBRLTitle2"/>
        <w:spacing w:before="156" w:line="360" w:lineRule="auto"/>
        <w:ind w:left="454"/>
        <w:rPr>
          <w:rFonts w:hAnsi="宋体"/>
        </w:rPr>
      </w:pPr>
      <w:bookmarkStart w:id="82" w:name="_Toc17899962"/>
      <w:bookmarkStart w:id="83" w:name="_Toc481075056"/>
      <w:bookmarkStart w:id="84" w:name="_Toc438646460"/>
      <w:bookmarkStart w:id="85" w:name="_Toc490050010"/>
      <w:bookmarkStart w:id="86" w:name="_Toc512519489"/>
      <w:bookmarkStart w:id="87" w:name="_Toc513295853"/>
      <w:bookmarkStart w:id="88" w:name="_Toc513295901"/>
      <w:bookmarkStart w:id="89" w:name="m402"/>
      <w:r>
        <w:rPr>
          <w:rFonts w:hAnsi="宋体" w:hint="eastAsia"/>
        </w:rPr>
        <w:t>管理人对报告期内本基金运作遵规守信情况的说明</w:t>
      </w:r>
      <w:bookmarkEnd w:id="82"/>
      <w:bookmarkEnd w:id="83"/>
      <w:bookmarkEnd w:id="84"/>
      <w:bookmarkEnd w:id="85"/>
      <w:bookmarkEnd w:id="86"/>
      <w:bookmarkEnd w:id="87"/>
      <w:bookmarkEnd w:id="88"/>
      <w:r>
        <w:rPr>
          <w:rFonts w:hAnsi="宋体" w:hint="eastAsia"/>
        </w:rPr>
        <w:t xml:space="preserve"> </w:t>
      </w:r>
    </w:p>
    <w:p w14:paraId="1927AFBA" w14:textId="58E4184B" w:rsidR="000831CD" w:rsidRPr="000831CD" w:rsidRDefault="000831CD" w:rsidP="000831CD">
      <w:pPr>
        <w:spacing w:line="360" w:lineRule="auto"/>
        <w:ind w:firstLineChars="200" w:firstLine="420"/>
      </w:pPr>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AFFF7A8" w14:textId="77777777" w:rsidR="006F5FD0" w:rsidRDefault="006F5FD0">
      <w:pPr>
        <w:pStyle w:val="XBRLTitle2"/>
        <w:spacing w:before="156" w:line="360" w:lineRule="auto"/>
        <w:ind w:left="454"/>
      </w:pPr>
      <w:bookmarkStart w:id="90" w:name="m403"/>
      <w:bookmarkStart w:id="91" w:name="_Toc17899963"/>
      <w:bookmarkStart w:id="92" w:name="_Toc481075057"/>
      <w:bookmarkStart w:id="93" w:name="_Toc438646462"/>
      <w:bookmarkStart w:id="94" w:name="_Toc490050011"/>
      <w:bookmarkStart w:id="95" w:name="_Toc512519490"/>
      <w:bookmarkStart w:id="96" w:name="_Toc513295854"/>
      <w:bookmarkStart w:id="97" w:name="_Toc513295902"/>
      <w:bookmarkEnd w:id="89"/>
      <w:bookmarkEnd w:id="90"/>
      <w:r>
        <w:rPr>
          <w:rFonts w:hAnsi="宋体" w:hint="eastAsia"/>
        </w:rPr>
        <w:t>公平交易专项说明</w:t>
      </w:r>
      <w:bookmarkEnd w:id="91"/>
      <w:bookmarkEnd w:id="92"/>
      <w:bookmarkEnd w:id="93"/>
      <w:bookmarkEnd w:id="94"/>
      <w:bookmarkEnd w:id="95"/>
      <w:bookmarkEnd w:id="96"/>
      <w:bookmarkEnd w:id="97"/>
      <w:r>
        <w:rPr>
          <w:rFonts w:hAnsi="宋体" w:hint="eastAsia"/>
        </w:rPr>
        <w:t xml:space="preserve"> </w:t>
      </w:r>
    </w:p>
    <w:p w14:paraId="48CCEDDA" w14:textId="77777777" w:rsidR="006F5FD0" w:rsidRDefault="006F5FD0">
      <w:pPr>
        <w:pStyle w:val="XBRLTitle3"/>
        <w:spacing w:before="156"/>
        <w:ind w:left="0"/>
      </w:pPr>
      <w:bookmarkStart w:id="98" w:name="_Toc17899964"/>
      <w:bookmarkStart w:id="99" w:name="_Toc481075058"/>
      <w:bookmarkStart w:id="100" w:name="_Toc490050012"/>
      <w:bookmarkStart w:id="101" w:name="_Toc512519491"/>
      <w:bookmarkStart w:id="102" w:name="_Toc513295903"/>
      <w:bookmarkStart w:id="103" w:name="m404_01_0570"/>
      <w:r>
        <w:rPr>
          <w:rFonts w:hint="eastAsia"/>
        </w:rPr>
        <w:t>公平交易制度的执行情况</w:t>
      </w:r>
      <w:bookmarkEnd w:id="98"/>
      <w:bookmarkEnd w:id="99"/>
      <w:bookmarkEnd w:id="100"/>
      <w:bookmarkEnd w:id="101"/>
      <w:bookmarkEnd w:id="102"/>
    </w:p>
    <w:p w14:paraId="09745DCC" w14:textId="07E1389B" w:rsidR="000831CD" w:rsidRPr="000831CD" w:rsidRDefault="000831CD" w:rsidP="000831CD">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8CDADEA" w14:textId="77777777" w:rsidR="006F5FD0" w:rsidRDefault="006F5FD0">
      <w:pPr>
        <w:pStyle w:val="XBRLTitle3"/>
        <w:spacing w:before="156"/>
        <w:ind w:left="0"/>
      </w:pPr>
      <w:bookmarkStart w:id="104" w:name="_Toc17899965"/>
      <w:bookmarkStart w:id="105" w:name="_Toc481075059"/>
      <w:bookmarkStart w:id="106" w:name="_Toc490050013"/>
      <w:bookmarkStart w:id="107" w:name="_Toc512519492"/>
      <w:bookmarkStart w:id="108" w:name="_Toc513295904"/>
      <w:bookmarkStart w:id="109" w:name="m404_01_0578"/>
      <w:bookmarkEnd w:id="103"/>
      <w:r>
        <w:rPr>
          <w:rFonts w:hint="eastAsia"/>
        </w:rPr>
        <w:t>异常交易行为的专项说明</w:t>
      </w:r>
      <w:bookmarkEnd w:id="104"/>
      <w:bookmarkEnd w:id="105"/>
      <w:bookmarkEnd w:id="106"/>
      <w:bookmarkEnd w:id="107"/>
      <w:bookmarkEnd w:id="108"/>
    </w:p>
    <w:p w14:paraId="76E124CF" w14:textId="1F921509" w:rsidR="000831CD" w:rsidRPr="000831CD" w:rsidRDefault="000831CD" w:rsidP="000831CD">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595F587" w14:textId="77777777" w:rsidR="006F5FD0" w:rsidRDefault="006F5FD0">
      <w:pPr>
        <w:pStyle w:val="XBRLTitle2"/>
        <w:spacing w:before="156" w:line="360" w:lineRule="auto"/>
        <w:ind w:left="454"/>
        <w:rPr>
          <w:rFonts w:hAnsi="宋体"/>
        </w:rPr>
      </w:pPr>
      <w:bookmarkStart w:id="110" w:name="_Toc17899966"/>
      <w:bookmarkStart w:id="111" w:name="_Toc481075061"/>
      <w:bookmarkStart w:id="112" w:name="_Toc490050014"/>
      <w:bookmarkStart w:id="113" w:name="_Toc512519493"/>
      <w:bookmarkStart w:id="114" w:name="_Toc513295855"/>
      <w:bookmarkStart w:id="115" w:name="_Toc513295905"/>
      <w:bookmarkStart w:id="116" w:name="m405_01_2550"/>
      <w:bookmarkEnd w:id="109"/>
      <w:r>
        <w:rPr>
          <w:rFonts w:hAnsi="宋体" w:hint="eastAsia"/>
        </w:rPr>
        <w:t>报告期内基金的投资策略和运作分析</w:t>
      </w:r>
      <w:bookmarkEnd w:id="110"/>
      <w:bookmarkEnd w:id="111"/>
      <w:bookmarkEnd w:id="112"/>
      <w:bookmarkEnd w:id="113"/>
      <w:bookmarkEnd w:id="114"/>
      <w:bookmarkEnd w:id="115"/>
      <w:r>
        <w:rPr>
          <w:rFonts w:hAnsi="宋体" w:hint="eastAsia"/>
        </w:rPr>
        <w:t xml:space="preserve"> </w:t>
      </w:r>
    </w:p>
    <w:p w14:paraId="139ADBA6" w14:textId="31738F9E" w:rsidR="000831CD" w:rsidRPr="000831CD" w:rsidRDefault="000831CD" w:rsidP="000831CD">
      <w:pPr>
        <w:spacing w:line="360" w:lineRule="auto"/>
        <w:ind w:firstLineChars="200" w:firstLine="420"/>
        <w:jc w:val="left"/>
      </w:pPr>
      <w:r>
        <w:rPr>
          <w:rFonts w:ascii="宋体" w:hAnsi="宋体" w:cs="宋体" w:hint="eastAsia"/>
          <w:color w:val="000000"/>
          <w:kern w:val="0"/>
        </w:rPr>
        <w:t>美国4月份对全球主要国家加征关税，由此引发的短期风险情绪大幅下挫以及货币宽松预期，使得国内10年国债收益率在4月初快速从1.8%附近下行到1.65%下方。4月中旬之后，10年国债收益率基本呈现震荡格局，并未明显突破1.6-1.7%区间。5月央行的降准降息落地后，资</w:t>
      </w:r>
      <w:r>
        <w:rPr>
          <w:rFonts w:ascii="宋体" w:hAnsi="宋体" w:cs="宋体" w:hint="eastAsia"/>
          <w:color w:val="000000"/>
          <w:kern w:val="0"/>
        </w:rPr>
        <w:lastRenderedPageBreak/>
        <w:t>金中枢呈现明显下移，驱动了收益率曲线陡峭化和信用利差压缩。</w:t>
      </w:r>
      <w:r>
        <w:rPr>
          <w:rFonts w:ascii="宋体" w:hAnsi="宋体" w:cs="宋体" w:hint="eastAsia"/>
          <w:color w:val="000000"/>
          <w:kern w:val="0"/>
        </w:rPr>
        <w:br/>
        <w:t xml:space="preserve">　　基本面方面，上半年财政政策前置发力和抢出口行为是经济增长的主要支撑，出口和制造业部门、政策驱动的耐用品消费和设备更新投资表现均较为强势，而地产链条在二季度进一步走弱。下半年有可能面临抢出口和消费前置效应后的退潮压力，内需弹性整体不大。我们判断，货币政策主要目标在二季度已从防风险转向稳增长，基于未来基本面的潜在变化，宽松基调有可能延续。</w:t>
      </w:r>
      <w:r>
        <w:rPr>
          <w:rFonts w:ascii="宋体" w:hAnsi="宋体" w:cs="宋体" w:hint="eastAsia"/>
          <w:color w:val="000000"/>
          <w:kern w:val="0"/>
        </w:rPr>
        <w:br/>
        <w:t xml:space="preserve">　　二季度，本基金根据净值累积情况，逐步加大对债券的配置，同时稳步提升权益类资产的仓位。</w:t>
      </w:r>
      <w:r>
        <w:rPr>
          <w:rFonts w:ascii="宋体" w:hAnsi="宋体" w:cs="宋体" w:hint="eastAsia"/>
          <w:color w:val="000000"/>
          <w:kern w:val="0"/>
        </w:rPr>
        <w:br/>
        <w:t xml:space="preserve">　　未来一个季度，流动性宽松或仍对债市构成较强支撑，能否打开收益率下行空间，重点需关注央行买入国债情况和NCD价格能否向下突破。</w:t>
      </w:r>
    </w:p>
    <w:p w14:paraId="64F8F7E9" w14:textId="77777777" w:rsidR="006F5FD0" w:rsidRDefault="006F5FD0">
      <w:pPr>
        <w:pStyle w:val="XBRLTitle2"/>
        <w:spacing w:before="156" w:line="360" w:lineRule="auto"/>
        <w:ind w:left="454"/>
      </w:pPr>
      <w:bookmarkStart w:id="117" w:name="_Toc17899967"/>
      <w:bookmarkStart w:id="118" w:name="_Toc490050015"/>
      <w:bookmarkStart w:id="119" w:name="_Toc481075062"/>
      <w:bookmarkStart w:id="120" w:name="_Toc512519494"/>
      <w:bookmarkStart w:id="121" w:name="_Toc513295856"/>
      <w:bookmarkStart w:id="122" w:name="_Toc513295906"/>
      <w:bookmarkStart w:id="123" w:name="m405_01_2549"/>
      <w:bookmarkEnd w:id="116"/>
      <w:r>
        <w:rPr>
          <w:rFonts w:hAnsi="宋体" w:hint="eastAsia"/>
        </w:rPr>
        <w:t>报告期内基金的业绩表现</w:t>
      </w:r>
      <w:bookmarkEnd w:id="117"/>
      <w:bookmarkEnd w:id="118"/>
      <w:bookmarkEnd w:id="119"/>
      <w:bookmarkEnd w:id="120"/>
      <w:bookmarkEnd w:id="121"/>
      <w:bookmarkEnd w:id="122"/>
      <w:r>
        <w:rPr>
          <w:rFonts w:hAnsi="宋体" w:hint="eastAsia"/>
        </w:rPr>
        <w:t xml:space="preserve"> </w:t>
      </w:r>
      <w:bookmarkEnd w:id="123"/>
    </w:p>
    <w:p w14:paraId="3E4B8481" w14:textId="77777777" w:rsidR="006F5FD0" w:rsidRDefault="006F5FD0">
      <w:pPr>
        <w:spacing w:line="360" w:lineRule="auto"/>
        <w:ind w:firstLineChars="200" w:firstLine="420"/>
      </w:pPr>
      <w:r>
        <w:rPr>
          <w:rFonts w:ascii="宋体" w:hAnsi="宋体" w:hint="eastAsia"/>
        </w:rPr>
        <w:t>本报告期摩根恒鑫债券A份额净值增长率为：0.45%，同期业绩比较基准收益率为：1.67%；</w:t>
      </w:r>
      <w:r>
        <w:rPr>
          <w:rFonts w:ascii="宋体" w:hAnsi="宋体" w:hint="eastAsia"/>
        </w:rPr>
        <w:br/>
        <w:t xml:space="preserve">　　摩根恒鑫债券C份额净值增长率为：0.35%，同期业绩比较基准收益率为：1.67%；</w:t>
      </w:r>
    </w:p>
    <w:p w14:paraId="7227210D" w14:textId="77777777" w:rsidR="006F5FD0" w:rsidRDefault="006F5FD0">
      <w:pPr>
        <w:pStyle w:val="XBRLTitle2"/>
        <w:spacing w:before="156" w:line="360" w:lineRule="auto"/>
        <w:ind w:left="454"/>
      </w:pPr>
      <w:bookmarkStart w:id="124" w:name="m406"/>
      <w:bookmarkStart w:id="125" w:name="_Toc17899968"/>
      <w:bookmarkStart w:id="126" w:name="_Toc490050016"/>
      <w:bookmarkStart w:id="127" w:name="_Toc481075063"/>
      <w:bookmarkStart w:id="128" w:name="_Toc438646465"/>
      <w:bookmarkStart w:id="129" w:name="_Toc512519495"/>
      <w:bookmarkStart w:id="130" w:name="_Toc513295857"/>
      <w:bookmarkStart w:id="131" w:name="_Toc513295907"/>
      <w:bookmarkStart w:id="132" w:name="m407"/>
      <w:bookmarkEnd w:id="124"/>
      <w:r>
        <w:rPr>
          <w:rFonts w:hAnsi="宋体" w:hint="eastAsia"/>
        </w:rPr>
        <w:t>报告期内基金持有人数或基金资产净值预警说明</w:t>
      </w:r>
      <w:bookmarkEnd w:id="125"/>
      <w:bookmarkEnd w:id="126"/>
      <w:bookmarkEnd w:id="127"/>
      <w:bookmarkEnd w:id="128"/>
      <w:bookmarkEnd w:id="129"/>
      <w:bookmarkEnd w:id="130"/>
      <w:bookmarkEnd w:id="131"/>
      <w:r>
        <w:rPr>
          <w:rFonts w:hAnsi="宋体" w:hint="eastAsia"/>
        </w:rPr>
        <w:t xml:space="preserve"> </w:t>
      </w:r>
    </w:p>
    <w:p w14:paraId="622BE7E8" w14:textId="77777777" w:rsidR="006F5FD0" w:rsidRDefault="006F5FD0">
      <w:pPr>
        <w:spacing w:line="360" w:lineRule="auto"/>
        <w:ind w:firstLineChars="200" w:firstLine="420"/>
        <w:jc w:val="left"/>
      </w:pPr>
      <w:r>
        <w:rPr>
          <w:rFonts w:ascii="宋体" w:hAnsi="宋体" w:hint="eastAsia"/>
        </w:rPr>
        <w:t>无。</w:t>
      </w:r>
    </w:p>
    <w:p w14:paraId="496C969B" w14:textId="77777777" w:rsidR="006F5FD0" w:rsidRDefault="006F5FD0">
      <w:pPr>
        <w:pStyle w:val="XBRLTitle1"/>
        <w:spacing w:before="156" w:line="360" w:lineRule="auto"/>
        <w:ind w:left="425"/>
      </w:pPr>
      <w:bookmarkStart w:id="133" w:name="_Toc17899969"/>
      <w:bookmarkStart w:id="134" w:name="_Toc512519496"/>
      <w:bookmarkStart w:id="135" w:name="_Toc481075064"/>
      <w:bookmarkStart w:id="136" w:name="_Toc438646466"/>
      <w:bookmarkStart w:id="137" w:name="_Toc490050017"/>
      <w:bookmarkStart w:id="138" w:name="_Toc513295858"/>
      <w:bookmarkStart w:id="139" w:name="_Toc513295908"/>
      <w:bookmarkEnd w:id="132"/>
      <w:r>
        <w:rPr>
          <w:rFonts w:hAnsi="宋体" w:hint="eastAsia"/>
        </w:rPr>
        <w:t>投资组合报告</w:t>
      </w:r>
      <w:bookmarkEnd w:id="133"/>
      <w:bookmarkEnd w:id="134"/>
      <w:bookmarkEnd w:id="135"/>
      <w:bookmarkEnd w:id="136"/>
      <w:bookmarkEnd w:id="137"/>
      <w:bookmarkEnd w:id="138"/>
      <w:bookmarkEnd w:id="139"/>
      <w:r>
        <w:rPr>
          <w:rFonts w:hAnsi="宋体" w:hint="eastAsia"/>
        </w:rPr>
        <w:t xml:space="preserve"> </w:t>
      </w:r>
    </w:p>
    <w:p w14:paraId="65DAA4A7" w14:textId="77777777" w:rsidR="006F5FD0" w:rsidRDefault="006F5FD0">
      <w:pPr>
        <w:pStyle w:val="XBRLTitle2"/>
        <w:spacing w:before="156" w:line="360" w:lineRule="auto"/>
        <w:ind w:left="454"/>
      </w:pPr>
      <w:bookmarkStart w:id="140" w:name="_Toc17899970"/>
      <w:bookmarkStart w:id="141" w:name="_Toc481075065"/>
      <w:bookmarkStart w:id="142" w:name="_Toc438646467"/>
      <w:bookmarkStart w:id="143" w:name="_Toc490050018"/>
      <w:bookmarkStart w:id="144" w:name="_Toc512519497"/>
      <w:bookmarkStart w:id="145" w:name="_Toc513295859"/>
      <w:bookmarkStart w:id="146" w:name="_Toc513295909"/>
      <w:bookmarkStart w:id="147" w:name="m501"/>
      <w:r>
        <w:rPr>
          <w:rFonts w:hAnsi="宋体" w:hint="eastAsia"/>
        </w:rPr>
        <w:t>报告期末基金资产组合情况</w:t>
      </w:r>
      <w:bookmarkEnd w:id="140"/>
      <w:bookmarkEnd w:id="141"/>
      <w:bookmarkEnd w:id="142"/>
      <w:bookmarkEnd w:id="143"/>
      <w:bookmarkEnd w:id="144"/>
      <w:bookmarkEnd w:id="145"/>
      <w:bookmarkEnd w:id="146"/>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215D6D" w14:paraId="0287B815"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EB8D89" w14:textId="77777777" w:rsidR="006F5FD0" w:rsidRDefault="006F5FD0">
            <w:pPr>
              <w:jc w:val="center"/>
            </w:pPr>
            <w:bookmarkStart w:id="148" w:name="m08QD_01_tab"/>
            <w:bookmarkEnd w:id="148"/>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AA185B4" w14:textId="77777777" w:rsidR="006F5FD0" w:rsidRDefault="006F5FD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193286E" w14:textId="77777777" w:rsidR="006F5FD0" w:rsidRDefault="006F5FD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0582B5DE" w14:textId="77777777" w:rsidR="006F5FD0" w:rsidRDefault="006F5FD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215D6D" w14:paraId="6D7AA7BE"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BAD9F9B" w14:textId="77777777" w:rsidR="006F5FD0" w:rsidRDefault="006F5FD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3ED0CAB0" w14:textId="77777777" w:rsidR="006F5FD0" w:rsidRDefault="006F5FD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AFCA4FE" w14:textId="77777777" w:rsidR="006F5FD0" w:rsidRDefault="006F5FD0">
            <w:pPr>
              <w:jc w:val="right"/>
            </w:pPr>
            <w:r>
              <w:rPr>
                <w:rFonts w:ascii="宋体" w:hAnsi="宋体" w:hint="eastAsia"/>
                <w:szCs w:val="24"/>
                <w:lang w:eastAsia="zh-Hans"/>
              </w:rPr>
              <w:t>17,933,360.00</w:t>
            </w:r>
          </w:p>
        </w:tc>
        <w:tc>
          <w:tcPr>
            <w:tcW w:w="1333" w:type="pct"/>
            <w:tcBorders>
              <w:top w:val="single" w:sz="4" w:space="0" w:color="auto"/>
              <w:left w:val="nil"/>
              <w:bottom w:val="single" w:sz="4" w:space="0" w:color="auto"/>
              <w:right w:val="single" w:sz="4" w:space="0" w:color="auto"/>
            </w:tcBorders>
            <w:vAlign w:val="center"/>
            <w:hideMark/>
          </w:tcPr>
          <w:p w14:paraId="7952830E" w14:textId="77777777" w:rsidR="006F5FD0" w:rsidRDefault="006F5FD0">
            <w:pPr>
              <w:jc w:val="right"/>
            </w:pPr>
            <w:r>
              <w:rPr>
                <w:rFonts w:ascii="宋体" w:hAnsi="宋体" w:hint="eastAsia"/>
                <w:szCs w:val="24"/>
                <w:lang w:eastAsia="zh-Hans"/>
              </w:rPr>
              <w:t>3.02</w:t>
            </w:r>
          </w:p>
        </w:tc>
      </w:tr>
      <w:tr w:rsidR="00215D6D" w14:paraId="3A16DDC0"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5822760" w14:textId="77777777" w:rsidR="006F5FD0" w:rsidRDefault="006F5FD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D2D5163" w14:textId="77777777" w:rsidR="006F5FD0" w:rsidRDefault="006F5FD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E980FB2" w14:textId="77777777" w:rsidR="006F5FD0" w:rsidRDefault="006F5FD0">
            <w:pPr>
              <w:jc w:val="right"/>
            </w:pPr>
            <w:r>
              <w:rPr>
                <w:rFonts w:ascii="宋体" w:hAnsi="宋体" w:hint="eastAsia"/>
                <w:szCs w:val="24"/>
                <w:lang w:eastAsia="zh-Hans"/>
              </w:rPr>
              <w:t>17,933,360.00</w:t>
            </w:r>
          </w:p>
        </w:tc>
        <w:tc>
          <w:tcPr>
            <w:tcW w:w="1333" w:type="pct"/>
            <w:tcBorders>
              <w:top w:val="single" w:sz="4" w:space="0" w:color="auto"/>
              <w:left w:val="nil"/>
              <w:bottom w:val="single" w:sz="4" w:space="0" w:color="auto"/>
              <w:right w:val="single" w:sz="4" w:space="0" w:color="auto"/>
            </w:tcBorders>
            <w:vAlign w:val="center"/>
            <w:hideMark/>
          </w:tcPr>
          <w:p w14:paraId="7A9ED323" w14:textId="77777777" w:rsidR="006F5FD0" w:rsidRDefault="006F5FD0">
            <w:pPr>
              <w:jc w:val="right"/>
            </w:pPr>
            <w:r>
              <w:rPr>
                <w:rFonts w:ascii="宋体" w:hAnsi="宋体" w:hint="eastAsia"/>
                <w:szCs w:val="24"/>
                <w:lang w:eastAsia="zh-Hans"/>
              </w:rPr>
              <w:t>3.02</w:t>
            </w:r>
          </w:p>
        </w:tc>
      </w:tr>
      <w:tr w:rsidR="00215D6D" w14:paraId="1FD89580"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45E84B" w14:textId="77777777" w:rsidR="006F5FD0" w:rsidRDefault="006F5FD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6ED3B0C" w14:textId="77777777" w:rsidR="006F5FD0" w:rsidRDefault="006F5FD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5FEFEDE" w14:textId="77777777" w:rsidR="006F5FD0" w:rsidRDefault="006F5FD0">
            <w:pPr>
              <w:jc w:val="right"/>
            </w:pPr>
            <w:r>
              <w:rPr>
                <w:rFonts w:ascii="宋体" w:hAnsi="宋体" w:hint="eastAsia"/>
                <w:szCs w:val="24"/>
                <w:lang w:eastAsia="zh-Hans"/>
              </w:rPr>
              <w:t>6,984,750.00</w:t>
            </w:r>
          </w:p>
        </w:tc>
        <w:tc>
          <w:tcPr>
            <w:tcW w:w="1333" w:type="pct"/>
            <w:tcBorders>
              <w:top w:val="single" w:sz="4" w:space="0" w:color="auto"/>
              <w:left w:val="nil"/>
              <w:bottom w:val="single" w:sz="4" w:space="0" w:color="auto"/>
              <w:right w:val="single" w:sz="4" w:space="0" w:color="auto"/>
            </w:tcBorders>
            <w:vAlign w:val="center"/>
            <w:hideMark/>
          </w:tcPr>
          <w:p w14:paraId="32847DBD" w14:textId="77777777" w:rsidR="006F5FD0" w:rsidRDefault="006F5FD0">
            <w:pPr>
              <w:jc w:val="right"/>
            </w:pPr>
            <w:r>
              <w:rPr>
                <w:rFonts w:ascii="宋体" w:hAnsi="宋体" w:hint="eastAsia"/>
                <w:szCs w:val="24"/>
                <w:lang w:eastAsia="zh-Hans"/>
              </w:rPr>
              <w:t>1.17</w:t>
            </w:r>
          </w:p>
        </w:tc>
      </w:tr>
      <w:tr w:rsidR="00215D6D" w14:paraId="03A85C82"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EC212C" w14:textId="77777777" w:rsidR="006F5FD0" w:rsidRDefault="006F5FD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7C16E60" w14:textId="77777777" w:rsidR="006F5FD0" w:rsidRDefault="006F5FD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B42719" w14:textId="77777777" w:rsidR="006F5FD0" w:rsidRDefault="006F5FD0">
            <w:pPr>
              <w:jc w:val="right"/>
            </w:pPr>
            <w:r>
              <w:rPr>
                <w:rFonts w:ascii="宋体" w:hAnsi="宋体" w:hint="eastAsia"/>
                <w:szCs w:val="24"/>
                <w:lang w:eastAsia="zh-Hans"/>
              </w:rPr>
              <w:t>540,622,781.47</w:t>
            </w:r>
          </w:p>
        </w:tc>
        <w:tc>
          <w:tcPr>
            <w:tcW w:w="1333" w:type="pct"/>
            <w:tcBorders>
              <w:top w:val="single" w:sz="4" w:space="0" w:color="auto"/>
              <w:left w:val="nil"/>
              <w:bottom w:val="single" w:sz="4" w:space="0" w:color="auto"/>
              <w:right w:val="single" w:sz="4" w:space="0" w:color="auto"/>
            </w:tcBorders>
            <w:vAlign w:val="center"/>
            <w:hideMark/>
          </w:tcPr>
          <w:p w14:paraId="344CDC33" w14:textId="77777777" w:rsidR="006F5FD0" w:rsidRDefault="006F5FD0">
            <w:pPr>
              <w:jc w:val="right"/>
            </w:pPr>
            <w:r>
              <w:rPr>
                <w:rFonts w:ascii="宋体" w:hAnsi="宋体" w:hint="eastAsia"/>
                <w:szCs w:val="24"/>
                <w:lang w:eastAsia="zh-Hans"/>
              </w:rPr>
              <w:t>90.90</w:t>
            </w:r>
          </w:p>
        </w:tc>
      </w:tr>
      <w:tr w:rsidR="00215D6D" w14:paraId="46611C56"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F1A1BE" w14:textId="77777777" w:rsidR="006F5FD0" w:rsidRDefault="006F5FD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CD6F0E9" w14:textId="77777777" w:rsidR="006F5FD0" w:rsidRDefault="006F5FD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CE4C9ED" w14:textId="77777777" w:rsidR="006F5FD0" w:rsidRDefault="006F5FD0">
            <w:pPr>
              <w:jc w:val="right"/>
            </w:pPr>
            <w:r>
              <w:rPr>
                <w:rFonts w:ascii="宋体" w:hAnsi="宋体" w:hint="eastAsia"/>
                <w:szCs w:val="24"/>
                <w:lang w:eastAsia="zh-Hans"/>
              </w:rPr>
              <w:t>540,622,781.47</w:t>
            </w:r>
          </w:p>
        </w:tc>
        <w:tc>
          <w:tcPr>
            <w:tcW w:w="1333" w:type="pct"/>
            <w:tcBorders>
              <w:top w:val="single" w:sz="4" w:space="0" w:color="auto"/>
              <w:left w:val="nil"/>
              <w:bottom w:val="single" w:sz="4" w:space="0" w:color="auto"/>
              <w:right w:val="single" w:sz="4" w:space="0" w:color="auto"/>
            </w:tcBorders>
            <w:vAlign w:val="center"/>
            <w:hideMark/>
          </w:tcPr>
          <w:p w14:paraId="6023542D" w14:textId="77777777" w:rsidR="006F5FD0" w:rsidRDefault="006F5FD0">
            <w:pPr>
              <w:jc w:val="right"/>
            </w:pPr>
            <w:r>
              <w:rPr>
                <w:rFonts w:ascii="宋体" w:hAnsi="宋体" w:hint="eastAsia"/>
                <w:szCs w:val="24"/>
                <w:lang w:eastAsia="zh-Hans"/>
              </w:rPr>
              <w:t>90.90</w:t>
            </w:r>
          </w:p>
        </w:tc>
      </w:tr>
      <w:tr w:rsidR="00215D6D" w14:paraId="3F62D341"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88EEDB" w14:textId="77777777" w:rsidR="006F5FD0" w:rsidRDefault="006F5FD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E3FF258" w14:textId="77777777" w:rsidR="006F5FD0" w:rsidRDefault="006F5FD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640E8F2" w14:textId="77777777" w:rsidR="006F5FD0" w:rsidRDefault="006F5FD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335509F" w14:textId="77777777" w:rsidR="006F5FD0" w:rsidRDefault="006F5FD0">
            <w:pPr>
              <w:jc w:val="right"/>
            </w:pPr>
            <w:r>
              <w:rPr>
                <w:rFonts w:ascii="宋体" w:hAnsi="宋体" w:hint="eastAsia"/>
                <w:szCs w:val="24"/>
                <w:lang w:eastAsia="zh-Hans"/>
              </w:rPr>
              <w:t>-</w:t>
            </w:r>
          </w:p>
        </w:tc>
      </w:tr>
      <w:tr w:rsidR="00215D6D" w14:paraId="4322FC7B"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4F493E" w14:textId="77777777" w:rsidR="006F5FD0" w:rsidRDefault="006F5FD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5B9A730" w14:textId="77777777" w:rsidR="006F5FD0" w:rsidRDefault="006F5FD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E4FCA34" w14:textId="77777777" w:rsidR="006F5FD0" w:rsidRDefault="006F5FD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60D3125" w14:textId="77777777" w:rsidR="006F5FD0" w:rsidRDefault="006F5FD0">
            <w:pPr>
              <w:jc w:val="right"/>
            </w:pPr>
            <w:r>
              <w:rPr>
                <w:rFonts w:ascii="宋体" w:hAnsi="宋体" w:hint="eastAsia"/>
                <w:szCs w:val="24"/>
                <w:lang w:eastAsia="zh-Hans"/>
              </w:rPr>
              <w:t>-</w:t>
            </w:r>
          </w:p>
        </w:tc>
      </w:tr>
      <w:tr w:rsidR="00215D6D" w14:paraId="43FEBAD6"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3CE2AF" w14:textId="77777777" w:rsidR="006F5FD0" w:rsidRDefault="006F5FD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AD131E9" w14:textId="77777777" w:rsidR="006F5FD0" w:rsidRDefault="006F5FD0">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74856C" w14:textId="77777777" w:rsidR="006F5FD0" w:rsidRDefault="006F5FD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F2F488B" w14:textId="77777777" w:rsidR="006F5FD0" w:rsidRDefault="006F5FD0">
            <w:pPr>
              <w:jc w:val="right"/>
            </w:pPr>
            <w:r>
              <w:rPr>
                <w:rFonts w:ascii="宋体" w:hAnsi="宋体" w:hint="eastAsia"/>
                <w:szCs w:val="24"/>
                <w:lang w:eastAsia="zh-Hans"/>
              </w:rPr>
              <w:t>-</w:t>
            </w:r>
          </w:p>
        </w:tc>
      </w:tr>
      <w:tr w:rsidR="00215D6D" w14:paraId="2F899FF6"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528261" w14:textId="77777777" w:rsidR="006F5FD0" w:rsidRDefault="006F5FD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E608686" w14:textId="77777777" w:rsidR="006F5FD0" w:rsidRDefault="006F5FD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15A0DE" w14:textId="77777777" w:rsidR="006F5FD0" w:rsidRDefault="006F5FD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0C9247D" w14:textId="77777777" w:rsidR="006F5FD0" w:rsidRDefault="006F5FD0">
            <w:pPr>
              <w:jc w:val="right"/>
            </w:pPr>
            <w:r>
              <w:rPr>
                <w:rFonts w:ascii="宋体" w:hAnsi="宋体" w:hint="eastAsia"/>
                <w:szCs w:val="24"/>
                <w:lang w:eastAsia="zh-Hans"/>
              </w:rPr>
              <w:t>-</w:t>
            </w:r>
          </w:p>
        </w:tc>
      </w:tr>
      <w:tr w:rsidR="00215D6D" w14:paraId="30103CDB"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CA5DF5" w14:textId="77777777" w:rsidR="006F5FD0" w:rsidRDefault="006F5FD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78365AE" w14:textId="77777777" w:rsidR="006F5FD0" w:rsidRDefault="006F5FD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E0B0B5" w14:textId="77777777" w:rsidR="006F5FD0" w:rsidRDefault="006F5FD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4E7EA31" w14:textId="77777777" w:rsidR="006F5FD0" w:rsidRDefault="006F5FD0">
            <w:pPr>
              <w:jc w:val="right"/>
            </w:pPr>
            <w:r>
              <w:rPr>
                <w:rFonts w:ascii="宋体" w:hAnsi="宋体" w:hint="eastAsia"/>
                <w:szCs w:val="24"/>
                <w:lang w:eastAsia="zh-Hans"/>
              </w:rPr>
              <w:t>-</w:t>
            </w:r>
          </w:p>
        </w:tc>
      </w:tr>
      <w:tr w:rsidR="00215D6D" w14:paraId="48E25953"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9FB7C57" w14:textId="77777777" w:rsidR="006F5FD0" w:rsidRDefault="006F5FD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FDE0D31" w14:textId="77777777" w:rsidR="006F5FD0" w:rsidRDefault="006F5FD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ACE6BE" w14:textId="77777777" w:rsidR="006F5FD0" w:rsidRDefault="006F5FD0">
            <w:pPr>
              <w:jc w:val="right"/>
            </w:pPr>
            <w:r>
              <w:rPr>
                <w:rFonts w:ascii="宋体" w:hAnsi="宋体" w:hint="eastAsia"/>
                <w:szCs w:val="24"/>
                <w:lang w:eastAsia="zh-Hans"/>
              </w:rPr>
              <w:t>5,369,389.82</w:t>
            </w:r>
          </w:p>
        </w:tc>
        <w:tc>
          <w:tcPr>
            <w:tcW w:w="1333" w:type="pct"/>
            <w:tcBorders>
              <w:top w:val="single" w:sz="4" w:space="0" w:color="auto"/>
              <w:left w:val="nil"/>
              <w:bottom w:val="single" w:sz="4" w:space="0" w:color="auto"/>
              <w:right w:val="single" w:sz="4" w:space="0" w:color="auto"/>
            </w:tcBorders>
            <w:vAlign w:val="center"/>
            <w:hideMark/>
          </w:tcPr>
          <w:p w14:paraId="381CEDFA" w14:textId="77777777" w:rsidR="006F5FD0" w:rsidRDefault="006F5FD0">
            <w:pPr>
              <w:jc w:val="right"/>
            </w:pPr>
            <w:r>
              <w:rPr>
                <w:rFonts w:ascii="宋体" w:hAnsi="宋体" w:hint="eastAsia"/>
                <w:szCs w:val="24"/>
                <w:lang w:eastAsia="zh-Hans"/>
              </w:rPr>
              <w:t>0.90</w:t>
            </w:r>
          </w:p>
        </w:tc>
      </w:tr>
      <w:tr w:rsidR="00215D6D" w14:paraId="2F5EA89A"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89A643" w14:textId="77777777" w:rsidR="006F5FD0" w:rsidRDefault="006F5FD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1BC1B66" w14:textId="77777777" w:rsidR="006F5FD0" w:rsidRDefault="006F5FD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87407B2" w14:textId="77777777" w:rsidR="006F5FD0" w:rsidRDefault="006F5FD0">
            <w:pPr>
              <w:jc w:val="right"/>
            </w:pPr>
            <w:r>
              <w:rPr>
                <w:rFonts w:ascii="宋体" w:hAnsi="宋体" w:hint="eastAsia"/>
                <w:szCs w:val="24"/>
                <w:lang w:eastAsia="zh-Hans"/>
              </w:rPr>
              <w:t>23,840,464.60</w:t>
            </w:r>
          </w:p>
        </w:tc>
        <w:tc>
          <w:tcPr>
            <w:tcW w:w="1333" w:type="pct"/>
            <w:tcBorders>
              <w:top w:val="single" w:sz="4" w:space="0" w:color="auto"/>
              <w:left w:val="nil"/>
              <w:bottom w:val="single" w:sz="4" w:space="0" w:color="auto"/>
              <w:right w:val="single" w:sz="4" w:space="0" w:color="auto"/>
            </w:tcBorders>
            <w:vAlign w:val="center"/>
            <w:hideMark/>
          </w:tcPr>
          <w:p w14:paraId="76582A60" w14:textId="77777777" w:rsidR="006F5FD0" w:rsidRDefault="006F5FD0">
            <w:pPr>
              <w:jc w:val="right"/>
            </w:pPr>
            <w:r>
              <w:rPr>
                <w:rFonts w:ascii="宋体" w:hAnsi="宋体" w:hint="eastAsia"/>
                <w:szCs w:val="24"/>
                <w:lang w:eastAsia="zh-Hans"/>
              </w:rPr>
              <w:t>4.01</w:t>
            </w:r>
          </w:p>
        </w:tc>
      </w:tr>
      <w:tr w:rsidR="00215D6D" w14:paraId="58D56FDC" w14:textId="77777777">
        <w:trPr>
          <w:divId w:val="1431608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D76DC02" w14:textId="77777777" w:rsidR="006F5FD0" w:rsidRDefault="006F5FD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3E31E2E" w14:textId="77777777" w:rsidR="006F5FD0" w:rsidRDefault="006F5FD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09A24E" w14:textId="77777777" w:rsidR="006F5FD0" w:rsidRDefault="006F5FD0">
            <w:pPr>
              <w:jc w:val="right"/>
            </w:pPr>
            <w:r>
              <w:rPr>
                <w:rFonts w:ascii="宋体" w:hAnsi="宋体" w:hint="eastAsia"/>
                <w:szCs w:val="24"/>
                <w:lang w:eastAsia="zh-Hans"/>
              </w:rPr>
              <w:t>594,750,745.89</w:t>
            </w:r>
          </w:p>
        </w:tc>
        <w:tc>
          <w:tcPr>
            <w:tcW w:w="1333" w:type="pct"/>
            <w:tcBorders>
              <w:top w:val="single" w:sz="4" w:space="0" w:color="auto"/>
              <w:left w:val="nil"/>
              <w:bottom w:val="single" w:sz="4" w:space="0" w:color="auto"/>
              <w:right w:val="single" w:sz="4" w:space="0" w:color="auto"/>
            </w:tcBorders>
            <w:vAlign w:val="center"/>
            <w:hideMark/>
          </w:tcPr>
          <w:p w14:paraId="2BA44AC7" w14:textId="77777777" w:rsidR="006F5FD0" w:rsidRDefault="006F5FD0">
            <w:pPr>
              <w:jc w:val="right"/>
            </w:pPr>
            <w:r>
              <w:rPr>
                <w:rFonts w:ascii="宋体" w:hAnsi="宋体" w:hint="eastAsia"/>
                <w:szCs w:val="24"/>
                <w:lang w:eastAsia="zh-Hans"/>
              </w:rPr>
              <w:t>100.00</w:t>
            </w:r>
          </w:p>
        </w:tc>
      </w:tr>
    </w:tbl>
    <w:p w14:paraId="0F313446" w14:textId="77777777" w:rsidR="006F5FD0" w:rsidRDefault="006F5FD0">
      <w:pPr>
        <w:spacing w:line="360" w:lineRule="auto"/>
        <w:jc w:val="left"/>
        <w:divId w:val="1303191954"/>
      </w:pPr>
      <w:r>
        <w:rPr>
          <w:rFonts w:ascii="宋体" w:hAnsi="宋体" w:hint="eastAsia"/>
          <w:szCs w:val="21"/>
        </w:rPr>
        <w:lastRenderedPageBreak/>
        <w:t>注：</w:t>
      </w:r>
      <w:r>
        <w:rPr>
          <w:rFonts w:ascii="宋体" w:hAnsi="宋体" w:hint="eastAsia"/>
        </w:rPr>
        <w:t>本基金本报告期末通过港股通交易机制投资的港股公允价值为人民币7,420,200.00元,占期末净值比例为1.48%。</w:t>
      </w:r>
    </w:p>
    <w:p w14:paraId="6DAF23BD" w14:textId="77777777" w:rsidR="006F5FD0" w:rsidRDefault="006F5FD0">
      <w:pPr>
        <w:pStyle w:val="XBRLTitle2"/>
        <w:spacing w:before="156" w:line="360" w:lineRule="auto"/>
        <w:ind w:left="454"/>
      </w:pPr>
      <w:bookmarkStart w:id="149" w:name="_Toc17899971"/>
      <w:bookmarkStart w:id="150" w:name="_Toc512519498"/>
      <w:bookmarkStart w:id="151" w:name="_Toc481075066"/>
      <w:bookmarkStart w:id="152" w:name="_Toc438646468"/>
      <w:bookmarkStart w:id="153" w:name="_Toc490050019"/>
      <w:bookmarkStart w:id="154" w:name="_Toc513295860"/>
      <w:bookmarkStart w:id="155" w:name="_Toc513295910"/>
      <w:bookmarkEnd w:id="147"/>
      <w:r>
        <w:rPr>
          <w:rFonts w:hAnsi="宋体" w:hint="eastAsia"/>
        </w:rPr>
        <w:t>报告期末按行业分类的股票投资组合</w:t>
      </w:r>
      <w:bookmarkEnd w:id="149"/>
      <w:bookmarkEnd w:id="150"/>
      <w:bookmarkEnd w:id="151"/>
      <w:bookmarkEnd w:id="152"/>
      <w:bookmarkEnd w:id="153"/>
      <w:bookmarkEnd w:id="154"/>
      <w:bookmarkEnd w:id="155"/>
      <w:r>
        <w:rPr>
          <w:rFonts w:hAnsi="宋体" w:hint="eastAsia"/>
          <w:lang w:eastAsia="zh-CN"/>
        </w:rPr>
        <w:t xml:space="preserve"> </w:t>
      </w:r>
    </w:p>
    <w:p w14:paraId="72FB0058" w14:textId="77777777" w:rsidR="006F5FD0" w:rsidRDefault="006F5FD0">
      <w:pPr>
        <w:pStyle w:val="XBRLTitle3"/>
        <w:spacing w:before="156"/>
        <w:ind w:left="0"/>
      </w:pPr>
      <w:bookmarkStart w:id="156" w:name="_Toc17899972"/>
      <w:bookmarkStart w:id="157" w:name="_Toc481075067"/>
      <w:bookmarkStart w:id="158" w:name="_Toc490050020"/>
      <w:bookmarkStart w:id="159" w:name="_Toc512519499"/>
      <w:bookmarkStart w:id="160" w:name="_Toc513295911"/>
      <w:r>
        <w:rPr>
          <w:rFonts w:hint="eastAsia"/>
        </w:rPr>
        <w:t>报告期末按行业分类的境内股票投资组合</w:t>
      </w:r>
      <w:bookmarkEnd w:id="156"/>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215D6D" w14:paraId="14CF416E" w14:textId="77777777">
        <w:trPr>
          <w:divId w:val="44204191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492562" w14:textId="77777777" w:rsidR="006F5FD0" w:rsidRDefault="006F5FD0">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6B2BEC5A" w14:textId="77777777" w:rsidR="006F5FD0" w:rsidRDefault="006F5FD0">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F172B0A" w14:textId="77777777" w:rsidR="006F5FD0" w:rsidRDefault="006F5FD0">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06DAD94E" w14:textId="77777777" w:rsidR="006F5FD0" w:rsidRDefault="006F5FD0">
            <w:pPr>
              <w:jc w:val="center"/>
            </w:pPr>
            <w:r>
              <w:rPr>
                <w:rFonts w:ascii="宋体" w:hAnsi="宋体" w:hint="eastAsia"/>
                <w:color w:val="000000"/>
              </w:rPr>
              <w:t xml:space="preserve">占基金资产净值比例（%） </w:t>
            </w:r>
          </w:p>
        </w:tc>
      </w:tr>
      <w:tr w:rsidR="00215D6D" w14:paraId="423C5BCF"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E0DE65C" w14:textId="77777777" w:rsidR="006F5FD0" w:rsidRDefault="006F5FD0">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64B499D" w14:textId="77777777" w:rsidR="006F5FD0" w:rsidRDefault="006F5FD0">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153DEFB"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9E1FF1" w14:textId="77777777" w:rsidR="006F5FD0" w:rsidRDefault="006F5FD0">
            <w:pPr>
              <w:jc w:val="right"/>
            </w:pPr>
            <w:r>
              <w:rPr>
                <w:rFonts w:ascii="宋体" w:hAnsi="宋体" w:hint="eastAsia"/>
                <w:szCs w:val="24"/>
                <w:lang w:eastAsia="zh-Hans"/>
              </w:rPr>
              <w:t>-</w:t>
            </w:r>
          </w:p>
        </w:tc>
      </w:tr>
      <w:tr w:rsidR="00215D6D" w14:paraId="26C3BB19"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9AE666" w14:textId="77777777" w:rsidR="006F5FD0" w:rsidRDefault="006F5FD0">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85947E" w14:textId="77777777" w:rsidR="006F5FD0" w:rsidRDefault="006F5FD0">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C9EA3E1"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01BD30" w14:textId="77777777" w:rsidR="006F5FD0" w:rsidRDefault="006F5FD0">
            <w:pPr>
              <w:jc w:val="right"/>
            </w:pPr>
            <w:r>
              <w:rPr>
                <w:rFonts w:ascii="宋体" w:hAnsi="宋体" w:hint="eastAsia"/>
                <w:szCs w:val="24"/>
                <w:lang w:eastAsia="zh-Hans"/>
              </w:rPr>
              <w:t>-</w:t>
            </w:r>
          </w:p>
        </w:tc>
      </w:tr>
      <w:tr w:rsidR="00215D6D" w14:paraId="4489C739"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ED6DB2" w14:textId="77777777" w:rsidR="006F5FD0" w:rsidRDefault="006F5FD0">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89627AB" w14:textId="77777777" w:rsidR="006F5FD0" w:rsidRDefault="006F5FD0">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7CBB71" w14:textId="77777777" w:rsidR="006F5FD0" w:rsidRDefault="006F5FD0">
            <w:pPr>
              <w:jc w:val="right"/>
            </w:pPr>
            <w:r>
              <w:rPr>
                <w:rFonts w:ascii="宋体" w:hAnsi="宋体" w:hint="eastAsia"/>
                <w:szCs w:val="24"/>
                <w:lang w:eastAsia="zh-Hans"/>
              </w:rPr>
              <w:t>2,776,430.00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2F9C3E" w14:textId="77777777" w:rsidR="006F5FD0" w:rsidRDefault="006F5FD0">
            <w:pPr>
              <w:jc w:val="right"/>
            </w:pPr>
            <w:r>
              <w:rPr>
                <w:rFonts w:ascii="宋体" w:hAnsi="宋体" w:hint="eastAsia"/>
                <w:szCs w:val="24"/>
                <w:lang w:eastAsia="zh-Hans"/>
              </w:rPr>
              <w:t>0.55</w:t>
            </w:r>
          </w:p>
        </w:tc>
      </w:tr>
      <w:tr w:rsidR="00215D6D" w14:paraId="2FB6AE69"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ACA13B" w14:textId="77777777" w:rsidR="006F5FD0" w:rsidRDefault="006F5FD0">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DB2583C" w14:textId="77777777" w:rsidR="006F5FD0" w:rsidRDefault="006F5FD0">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EFBCC1" w14:textId="77777777" w:rsidR="006F5FD0" w:rsidRDefault="006F5FD0">
            <w:pPr>
              <w:jc w:val="right"/>
            </w:pPr>
            <w:r>
              <w:rPr>
                <w:rFonts w:ascii="宋体" w:hAnsi="宋体" w:hint="eastAsia"/>
                <w:szCs w:val="24"/>
                <w:lang w:eastAsia="zh-Hans"/>
              </w:rPr>
              <w:t>1,656,530.00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29127A" w14:textId="77777777" w:rsidR="006F5FD0" w:rsidRDefault="006F5FD0">
            <w:pPr>
              <w:jc w:val="right"/>
            </w:pPr>
            <w:r>
              <w:rPr>
                <w:rFonts w:ascii="宋体" w:hAnsi="宋体" w:hint="eastAsia"/>
                <w:szCs w:val="24"/>
                <w:lang w:eastAsia="zh-Hans"/>
              </w:rPr>
              <w:t>0.33</w:t>
            </w:r>
          </w:p>
        </w:tc>
      </w:tr>
      <w:tr w:rsidR="00215D6D" w14:paraId="18C14A28"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4DAEB1" w14:textId="77777777" w:rsidR="006F5FD0" w:rsidRDefault="006F5FD0">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3366C9" w14:textId="77777777" w:rsidR="006F5FD0" w:rsidRDefault="006F5FD0">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FFB067C"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34983D" w14:textId="77777777" w:rsidR="006F5FD0" w:rsidRDefault="006F5FD0">
            <w:pPr>
              <w:jc w:val="right"/>
            </w:pPr>
            <w:r>
              <w:rPr>
                <w:rFonts w:ascii="宋体" w:hAnsi="宋体" w:hint="eastAsia"/>
                <w:szCs w:val="24"/>
                <w:lang w:eastAsia="zh-Hans"/>
              </w:rPr>
              <w:t>-</w:t>
            </w:r>
          </w:p>
        </w:tc>
      </w:tr>
      <w:tr w:rsidR="00215D6D" w14:paraId="735740D6"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46ACE2" w14:textId="77777777" w:rsidR="006F5FD0" w:rsidRDefault="006F5FD0">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4633777" w14:textId="77777777" w:rsidR="006F5FD0" w:rsidRDefault="006F5FD0">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539025"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CDB2F5" w14:textId="77777777" w:rsidR="006F5FD0" w:rsidRDefault="006F5FD0">
            <w:pPr>
              <w:jc w:val="right"/>
            </w:pPr>
            <w:r>
              <w:rPr>
                <w:rFonts w:ascii="宋体" w:hAnsi="宋体" w:hint="eastAsia"/>
                <w:szCs w:val="24"/>
                <w:lang w:eastAsia="zh-Hans"/>
              </w:rPr>
              <w:t>-</w:t>
            </w:r>
          </w:p>
        </w:tc>
      </w:tr>
      <w:tr w:rsidR="00215D6D" w14:paraId="1FF801CA"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55F37CB" w14:textId="77777777" w:rsidR="006F5FD0" w:rsidRDefault="006F5FD0">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0EC4FDE" w14:textId="77777777" w:rsidR="006F5FD0" w:rsidRDefault="006F5FD0">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C0F1DB"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90B4236" w14:textId="77777777" w:rsidR="006F5FD0" w:rsidRDefault="006F5FD0">
            <w:pPr>
              <w:jc w:val="right"/>
            </w:pPr>
            <w:r>
              <w:rPr>
                <w:rFonts w:ascii="宋体" w:hAnsi="宋体" w:hint="eastAsia"/>
                <w:szCs w:val="24"/>
                <w:lang w:eastAsia="zh-Hans"/>
              </w:rPr>
              <w:t>-</w:t>
            </w:r>
          </w:p>
        </w:tc>
      </w:tr>
      <w:tr w:rsidR="00215D6D" w14:paraId="0C5ABE72"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6952A4" w14:textId="77777777" w:rsidR="006F5FD0" w:rsidRDefault="006F5FD0">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B941028" w14:textId="77777777" w:rsidR="006F5FD0" w:rsidRDefault="006F5FD0">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3C9950"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D2502D" w14:textId="77777777" w:rsidR="006F5FD0" w:rsidRDefault="006F5FD0">
            <w:pPr>
              <w:jc w:val="right"/>
            </w:pPr>
            <w:r>
              <w:rPr>
                <w:rFonts w:ascii="宋体" w:hAnsi="宋体" w:hint="eastAsia"/>
                <w:szCs w:val="24"/>
                <w:lang w:eastAsia="zh-Hans"/>
              </w:rPr>
              <w:t>-</w:t>
            </w:r>
          </w:p>
        </w:tc>
      </w:tr>
      <w:tr w:rsidR="00215D6D" w14:paraId="601088A7"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48C4B4" w14:textId="77777777" w:rsidR="006F5FD0" w:rsidRDefault="006F5FD0">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AEE416" w14:textId="77777777" w:rsidR="006F5FD0" w:rsidRDefault="006F5FD0">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7110C3"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E9CCA79" w14:textId="77777777" w:rsidR="006F5FD0" w:rsidRDefault="006F5FD0">
            <w:pPr>
              <w:jc w:val="right"/>
            </w:pPr>
            <w:r>
              <w:rPr>
                <w:rFonts w:ascii="宋体" w:hAnsi="宋体" w:hint="eastAsia"/>
                <w:szCs w:val="24"/>
                <w:lang w:eastAsia="zh-Hans"/>
              </w:rPr>
              <w:t>-</w:t>
            </w:r>
          </w:p>
        </w:tc>
      </w:tr>
      <w:tr w:rsidR="00215D6D" w14:paraId="05B7C481"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55762E1" w14:textId="77777777" w:rsidR="006F5FD0" w:rsidRDefault="006F5FD0">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794760" w14:textId="77777777" w:rsidR="006F5FD0" w:rsidRDefault="006F5FD0">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B40E9C" w14:textId="77777777" w:rsidR="006F5FD0" w:rsidRDefault="006F5FD0">
            <w:pPr>
              <w:jc w:val="right"/>
            </w:pPr>
            <w:r>
              <w:rPr>
                <w:rFonts w:ascii="宋体" w:hAnsi="宋体" w:hint="eastAsia"/>
                <w:szCs w:val="24"/>
                <w:lang w:eastAsia="zh-Hans"/>
              </w:rPr>
              <w:t>6,080,200.00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A13D41" w14:textId="77777777" w:rsidR="006F5FD0" w:rsidRDefault="006F5FD0">
            <w:pPr>
              <w:jc w:val="right"/>
            </w:pPr>
            <w:r>
              <w:rPr>
                <w:rFonts w:ascii="宋体" w:hAnsi="宋体" w:hint="eastAsia"/>
                <w:szCs w:val="24"/>
                <w:lang w:eastAsia="zh-Hans"/>
              </w:rPr>
              <w:t>1.21</w:t>
            </w:r>
          </w:p>
        </w:tc>
      </w:tr>
      <w:tr w:rsidR="00215D6D" w14:paraId="107ED73D"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5FA2CD3" w14:textId="77777777" w:rsidR="006F5FD0" w:rsidRDefault="006F5FD0">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996A20D" w14:textId="77777777" w:rsidR="006F5FD0" w:rsidRDefault="006F5FD0">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2D388E4"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8376732" w14:textId="77777777" w:rsidR="006F5FD0" w:rsidRDefault="006F5FD0">
            <w:pPr>
              <w:jc w:val="right"/>
            </w:pPr>
            <w:r>
              <w:rPr>
                <w:rFonts w:ascii="宋体" w:hAnsi="宋体" w:hint="eastAsia"/>
                <w:szCs w:val="24"/>
                <w:lang w:eastAsia="zh-Hans"/>
              </w:rPr>
              <w:t>-</w:t>
            </w:r>
          </w:p>
        </w:tc>
      </w:tr>
      <w:tr w:rsidR="00215D6D" w14:paraId="4FBA33B6"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13EC1D" w14:textId="77777777" w:rsidR="006F5FD0" w:rsidRDefault="006F5FD0">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0561424" w14:textId="77777777" w:rsidR="006F5FD0" w:rsidRDefault="006F5FD0">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14F6970"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8CEF04" w14:textId="77777777" w:rsidR="006F5FD0" w:rsidRDefault="006F5FD0">
            <w:pPr>
              <w:jc w:val="right"/>
            </w:pPr>
            <w:r>
              <w:rPr>
                <w:rFonts w:ascii="宋体" w:hAnsi="宋体" w:hint="eastAsia"/>
                <w:szCs w:val="24"/>
                <w:lang w:eastAsia="zh-Hans"/>
              </w:rPr>
              <w:t>-</w:t>
            </w:r>
          </w:p>
        </w:tc>
      </w:tr>
      <w:tr w:rsidR="00215D6D" w14:paraId="27574BA5"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5E9CFE" w14:textId="77777777" w:rsidR="006F5FD0" w:rsidRDefault="006F5FD0">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9B987E1" w14:textId="77777777" w:rsidR="006F5FD0" w:rsidRDefault="006F5FD0">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9E80C8"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4BF3B6B" w14:textId="77777777" w:rsidR="006F5FD0" w:rsidRDefault="006F5FD0">
            <w:pPr>
              <w:jc w:val="right"/>
            </w:pPr>
            <w:r>
              <w:rPr>
                <w:rFonts w:ascii="宋体" w:hAnsi="宋体" w:hint="eastAsia"/>
                <w:szCs w:val="24"/>
                <w:lang w:eastAsia="zh-Hans"/>
              </w:rPr>
              <w:t>-</w:t>
            </w:r>
          </w:p>
        </w:tc>
      </w:tr>
      <w:tr w:rsidR="00215D6D" w14:paraId="408D1713"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AFDAF43" w14:textId="77777777" w:rsidR="006F5FD0" w:rsidRDefault="006F5FD0">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3991A1" w14:textId="77777777" w:rsidR="006F5FD0" w:rsidRDefault="006F5FD0">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94A3BC"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5A1965" w14:textId="77777777" w:rsidR="006F5FD0" w:rsidRDefault="006F5FD0">
            <w:pPr>
              <w:jc w:val="right"/>
            </w:pPr>
            <w:r>
              <w:rPr>
                <w:rFonts w:ascii="宋体" w:hAnsi="宋体" w:hint="eastAsia"/>
                <w:szCs w:val="24"/>
                <w:lang w:eastAsia="zh-Hans"/>
              </w:rPr>
              <w:t>-</w:t>
            </w:r>
          </w:p>
        </w:tc>
      </w:tr>
      <w:tr w:rsidR="00215D6D" w14:paraId="071AD0E2"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FBB1681" w14:textId="77777777" w:rsidR="006F5FD0" w:rsidRDefault="006F5FD0">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75B5490" w14:textId="77777777" w:rsidR="006F5FD0" w:rsidRDefault="006F5FD0">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C80257"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0E77E8" w14:textId="77777777" w:rsidR="006F5FD0" w:rsidRDefault="006F5FD0">
            <w:pPr>
              <w:jc w:val="right"/>
            </w:pPr>
            <w:r>
              <w:rPr>
                <w:rFonts w:ascii="宋体" w:hAnsi="宋体" w:hint="eastAsia"/>
                <w:szCs w:val="24"/>
                <w:lang w:eastAsia="zh-Hans"/>
              </w:rPr>
              <w:t>-</w:t>
            </w:r>
          </w:p>
        </w:tc>
      </w:tr>
      <w:tr w:rsidR="00215D6D" w14:paraId="7ED0BACF"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CC1A29" w14:textId="77777777" w:rsidR="006F5FD0" w:rsidRDefault="006F5FD0">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314693D" w14:textId="77777777" w:rsidR="006F5FD0" w:rsidRDefault="006F5FD0">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1163AE6"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DE7F90" w14:textId="77777777" w:rsidR="006F5FD0" w:rsidRDefault="006F5FD0">
            <w:pPr>
              <w:jc w:val="right"/>
            </w:pPr>
            <w:r>
              <w:rPr>
                <w:rFonts w:ascii="宋体" w:hAnsi="宋体" w:hint="eastAsia"/>
                <w:szCs w:val="24"/>
                <w:lang w:eastAsia="zh-Hans"/>
              </w:rPr>
              <w:t>-</w:t>
            </w:r>
          </w:p>
        </w:tc>
      </w:tr>
      <w:tr w:rsidR="00215D6D" w14:paraId="46993167"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9B8F03" w14:textId="77777777" w:rsidR="006F5FD0" w:rsidRDefault="006F5FD0">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2CA2AA5" w14:textId="77777777" w:rsidR="006F5FD0" w:rsidRDefault="006F5FD0">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D303DC"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47FBF1" w14:textId="77777777" w:rsidR="006F5FD0" w:rsidRDefault="006F5FD0">
            <w:pPr>
              <w:jc w:val="right"/>
            </w:pPr>
            <w:r>
              <w:rPr>
                <w:rFonts w:ascii="宋体" w:hAnsi="宋体" w:hint="eastAsia"/>
                <w:szCs w:val="24"/>
                <w:lang w:eastAsia="zh-Hans"/>
              </w:rPr>
              <w:t>-</w:t>
            </w:r>
          </w:p>
        </w:tc>
      </w:tr>
      <w:tr w:rsidR="00215D6D" w14:paraId="40065AD4"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0928FC" w14:textId="77777777" w:rsidR="006F5FD0" w:rsidRDefault="006F5FD0">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0765351" w14:textId="77777777" w:rsidR="006F5FD0" w:rsidRDefault="006F5FD0">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667295D"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AA8D96" w14:textId="77777777" w:rsidR="006F5FD0" w:rsidRDefault="006F5FD0">
            <w:pPr>
              <w:jc w:val="right"/>
            </w:pPr>
            <w:r>
              <w:rPr>
                <w:rFonts w:ascii="宋体" w:hAnsi="宋体" w:hint="eastAsia"/>
                <w:szCs w:val="24"/>
                <w:lang w:eastAsia="zh-Hans"/>
              </w:rPr>
              <w:t>-</w:t>
            </w:r>
          </w:p>
        </w:tc>
      </w:tr>
      <w:tr w:rsidR="00215D6D" w14:paraId="7AC111D4"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ED75EB7" w14:textId="77777777" w:rsidR="006F5FD0" w:rsidRDefault="006F5FD0">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597B4E" w14:textId="77777777" w:rsidR="006F5FD0" w:rsidRDefault="006F5FD0">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EDC3D98" w14:textId="77777777" w:rsidR="006F5FD0" w:rsidRDefault="006F5FD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33DD63" w14:textId="77777777" w:rsidR="006F5FD0" w:rsidRDefault="006F5FD0">
            <w:pPr>
              <w:jc w:val="right"/>
            </w:pPr>
            <w:r>
              <w:rPr>
                <w:rFonts w:ascii="宋体" w:hAnsi="宋体" w:hint="eastAsia"/>
                <w:szCs w:val="24"/>
                <w:lang w:eastAsia="zh-Hans"/>
              </w:rPr>
              <w:t>-</w:t>
            </w:r>
          </w:p>
        </w:tc>
      </w:tr>
      <w:tr w:rsidR="00215D6D" w14:paraId="1828DE78" w14:textId="77777777">
        <w:trPr>
          <w:divId w:val="44204191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D5DD50" w14:textId="77777777" w:rsidR="006F5FD0" w:rsidRDefault="006F5FD0">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6982419" w14:textId="77777777" w:rsidR="006F5FD0" w:rsidRDefault="006F5FD0">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5ADAB5A" w14:textId="77777777" w:rsidR="006F5FD0" w:rsidRDefault="006F5FD0">
            <w:pPr>
              <w:jc w:val="right"/>
            </w:pPr>
            <w:r>
              <w:rPr>
                <w:rFonts w:ascii="宋体" w:hAnsi="宋体" w:hint="eastAsia"/>
                <w:szCs w:val="24"/>
                <w:lang w:eastAsia="zh-Hans"/>
              </w:rPr>
              <w:t>10,513,160.00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934E1F" w14:textId="77777777" w:rsidR="006F5FD0" w:rsidRDefault="006F5FD0">
            <w:pPr>
              <w:jc w:val="right"/>
            </w:pPr>
            <w:r>
              <w:rPr>
                <w:rFonts w:ascii="宋体" w:hAnsi="宋体" w:hint="eastAsia"/>
                <w:szCs w:val="24"/>
                <w:lang w:eastAsia="zh-Hans"/>
              </w:rPr>
              <w:t>2.10</w:t>
            </w:r>
          </w:p>
        </w:tc>
      </w:tr>
    </w:tbl>
    <w:p w14:paraId="72EB67F3" w14:textId="77777777" w:rsidR="006F5FD0" w:rsidRDefault="006F5FD0">
      <w:pPr>
        <w:pStyle w:val="XBRLTitle3"/>
        <w:spacing w:before="156"/>
        <w:ind w:left="0"/>
      </w:pPr>
      <w:bookmarkStart w:id="161" w:name="_Toc17899973"/>
      <w:bookmarkStart w:id="162" w:name="m502_tab"/>
      <w:bookmarkStart w:id="163" w:name="_Toc481075068"/>
      <w:bookmarkStart w:id="164" w:name="_Toc490050021"/>
      <w:bookmarkStart w:id="165" w:name="_Toc512519500"/>
      <w:bookmarkStart w:id="166" w:name="_Toc513295912"/>
      <w:r>
        <w:rPr>
          <w:rFonts w:hint="eastAsia"/>
        </w:rPr>
        <w:t>报告期末按行业分类的港股通投资股票投资组合</w:t>
      </w:r>
      <w:bookmarkEnd w:id="161"/>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215D6D" w14:paraId="5FCFD529"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FFC49F" w14:textId="77777777" w:rsidR="006F5FD0" w:rsidRDefault="006F5FD0">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E26DE9B" w14:textId="77777777" w:rsidR="006F5FD0" w:rsidRDefault="006F5FD0">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36A7CB" w14:textId="77777777" w:rsidR="006F5FD0" w:rsidRDefault="006F5FD0">
            <w:pPr>
              <w:jc w:val="center"/>
            </w:pPr>
            <w:r>
              <w:rPr>
                <w:rFonts w:ascii="宋体" w:hAnsi="宋体" w:hint="eastAsia"/>
                <w:color w:val="000000"/>
              </w:rPr>
              <w:t xml:space="preserve">占基金资产净值比例（%） </w:t>
            </w:r>
          </w:p>
        </w:tc>
      </w:tr>
      <w:tr w:rsidR="00215D6D" w14:paraId="76B02A1A"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3316B7F" w14:textId="77777777" w:rsidR="006F5FD0" w:rsidRDefault="006F5FD0">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9F5CCAA" w14:textId="77777777" w:rsidR="006F5FD0" w:rsidRDefault="006F5FD0">
            <w:pPr>
              <w:jc w:val="right"/>
            </w:pPr>
            <w:r>
              <w:rPr>
                <w:rFonts w:ascii="宋体" w:hAnsi="宋体" w:hint="eastAsia"/>
                <w:szCs w:val="24"/>
                <w:lang w:eastAsia="zh-Hans"/>
              </w:rPr>
              <w:t>1,096,800.00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5B97451" w14:textId="77777777" w:rsidR="006F5FD0" w:rsidRDefault="006F5FD0">
            <w:pPr>
              <w:jc w:val="right"/>
            </w:pPr>
            <w:r>
              <w:rPr>
                <w:rFonts w:ascii="宋体" w:hAnsi="宋体" w:hint="eastAsia"/>
                <w:szCs w:val="24"/>
                <w:lang w:eastAsia="zh-Hans"/>
              </w:rPr>
              <w:t>0.22</w:t>
            </w:r>
          </w:p>
        </w:tc>
      </w:tr>
      <w:tr w:rsidR="00215D6D" w14:paraId="1C2518C2"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F4C301D" w14:textId="77777777" w:rsidR="006F5FD0" w:rsidRDefault="006F5FD0">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8DEAE5E" w14:textId="77777777" w:rsidR="006F5FD0" w:rsidRDefault="006F5FD0">
            <w:pPr>
              <w:jc w:val="right"/>
            </w:pPr>
            <w:r>
              <w:rPr>
                <w:rFonts w:ascii="宋体" w:hAnsi="宋体" w:hint="eastAsia"/>
                <w:szCs w:val="24"/>
                <w:lang w:eastAsia="zh-Hans"/>
              </w:rPr>
              <w:t>1,255,954.00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1D3F9DA" w14:textId="77777777" w:rsidR="006F5FD0" w:rsidRDefault="006F5FD0">
            <w:pPr>
              <w:jc w:val="right"/>
            </w:pPr>
            <w:r>
              <w:rPr>
                <w:rFonts w:ascii="宋体" w:hAnsi="宋体" w:hint="eastAsia"/>
                <w:szCs w:val="24"/>
                <w:lang w:eastAsia="zh-Hans"/>
              </w:rPr>
              <w:t>0.25</w:t>
            </w:r>
          </w:p>
        </w:tc>
      </w:tr>
      <w:tr w:rsidR="00215D6D" w14:paraId="3656FC56"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63387EB" w14:textId="77777777" w:rsidR="006F5FD0" w:rsidRDefault="006F5FD0">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1F21A1E" w14:textId="77777777" w:rsidR="006F5FD0" w:rsidRDefault="006F5FD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FE098EA" w14:textId="77777777" w:rsidR="006F5FD0" w:rsidRDefault="006F5FD0">
            <w:pPr>
              <w:jc w:val="right"/>
            </w:pPr>
            <w:r>
              <w:rPr>
                <w:rFonts w:ascii="宋体" w:hAnsi="宋体" w:hint="eastAsia"/>
                <w:szCs w:val="24"/>
                <w:lang w:eastAsia="zh-Hans"/>
              </w:rPr>
              <w:t>-</w:t>
            </w:r>
          </w:p>
        </w:tc>
      </w:tr>
      <w:tr w:rsidR="00215D6D" w14:paraId="5D2CA531"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21B32FA" w14:textId="77777777" w:rsidR="006F5FD0" w:rsidRDefault="006F5FD0">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87F8274" w14:textId="77777777" w:rsidR="006F5FD0" w:rsidRDefault="006F5FD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EBC699E" w14:textId="77777777" w:rsidR="006F5FD0" w:rsidRDefault="006F5FD0">
            <w:pPr>
              <w:jc w:val="right"/>
            </w:pPr>
            <w:r>
              <w:rPr>
                <w:rFonts w:ascii="宋体" w:hAnsi="宋体" w:hint="eastAsia"/>
                <w:szCs w:val="24"/>
                <w:lang w:eastAsia="zh-Hans"/>
              </w:rPr>
              <w:t>-</w:t>
            </w:r>
          </w:p>
        </w:tc>
      </w:tr>
      <w:tr w:rsidR="00215D6D" w14:paraId="1A2A62D1"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4CA3DFE" w14:textId="77777777" w:rsidR="006F5FD0" w:rsidRDefault="006F5FD0">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DB8F00C" w14:textId="77777777" w:rsidR="006F5FD0" w:rsidRDefault="006F5FD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ADDCDBC" w14:textId="77777777" w:rsidR="006F5FD0" w:rsidRDefault="006F5FD0">
            <w:pPr>
              <w:jc w:val="right"/>
            </w:pPr>
            <w:r>
              <w:rPr>
                <w:rFonts w:ascii="宋体" w:hAnsi="宋体" w:hint="eastAsia"/>
                <w:szCs w:val="24"/>
                <w:lang w:eastAsia="zh-Hans"/>
              </w:rPr>
              <w:t>-</w:t>
            </w:r>
          </w:p>
        </w:tc>
      </w:tr>
      <w:tr w:rsidR="00215D6D" w14:paraId="0A8F2DF2"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71DA445" w14:textId="77777777" w:rsidR="006F5FD0" w:rsidRDefault="006F5FD0">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733DBAE" w14:textId="77777777" w:rsidR="006F5FD0" w:rsidRDefault="006F5FD0">
            <w:pPr>
              <w:jc w:val="right"/>
            </w:pPr>
            <w:r>
              <w:rPr>
                <w:rFonts w:ascii="宋体" w:hAnsi="宋体" w:hint="eastAsia"/>
                <w:szCs w:val="24"/>
                <w:lang w:eastAsia="zh-Hans"/>
              </w:rPr>
              <w:t>1,014,526.00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B7FA2A4" w14:textId="77777777" w:rsidR="006F5FD0" w:rsidRDefault="006F5FD0">
            <w:pPr>
              <w:jc w:val="right"/>
            </w:pPr>
            <w:r>
              <w:rPr>
                <w:rFonts w:ascii="宋体" w:hAnsi="宋体" w:hint="eastAsia"/>
                <w:szCs w:val="24"/>
                <w:lang w:eastAsia="zh-Hans"/>
              </w:rPr>
              <w:t>0.20</w:t>
            </w:r>
          </w:p>
        </w:tc>
      </w:tr>
      <w:tr w:rsidR="00215D6D" w14:paraId="424BA098"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1E25184" w14:textId="77777777" w:rsidR="006F5FD0" w:rsidRDefault="006F5FD0">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25DFC0F" w14:textId="77777777" w:rsidR="006F5FD0" w:rsidRDefault="006F5FD0">
            <w:pPr>
              <w:jc w:val="right"/>
            </w:pPr>
            <w:r>
              <w:rPr>
                <w:rFonts w:ascii="宋体" w:hAnsi="宋体" w:hint="eastAsia"/>
                <w:szCs w:val="24"/>
                <w:lang w:eastAsia="zh-Hans"/>
              </w:rPr>
              <w:t>1,096,452.00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A9BB3BF" w14:textId="77777777" w:rsidR="006F5FD0" w:rsidRDefault="006F5FD0">
            <w:pPr>
              <w:jc w:val="right"/>
            </w:pPr>
            <w:r>
              <w:rPr>
                <w:rFonts w:ascii="宋体" w:hAnsi="宋体" w:hint="eastAsia"/>
                <w:szCs w:val="24"/>
                <w:lang w:eastAsia="zh-Hans"/>
              </w:rPr>
              <w:t>0.22</w:t>
            </w:r>
          </w:p>
        </w:tc>
      </w:tr>
      <w:tr w:rsidR="00215D6D" w14:paraId="678713A8"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A5CCAF2" w14:textId="77777777" w:rsidR="006F5FD0" w:rsidRDefault="006F5FD0">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4E29D0E" w14:textId="77777777" w:rsidR="006F5FD0" w:rsidRDefault="006F5FD0">
            <w:pPr>
              <w:jc w:val="right"/>
            </w:pPr>
            <w:r>
              <w:rPr>
                <w:rFonts w:ascii="宋体" w:hAnsi="宋体" w:hint="eastAsia"/>
                <w:szCs w:val="24"/>
                <w:lang w:eastAsia="zh-Hans"/>
              </w:rPr>
              <w:t>2,740,318.00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4AFCE39" w14:textId="77777777" w:rsidR="006F5FD0" w:rsidRDefault="006F5FD0">
            <w:pPr>
              <w:jc w:val="right"/>
            </w:pPr>
            <w:r>
              <w:rPr>
                <w:rFonts w:ascii="宋体" w:hAnsi="宋体" w:hint="eastAsia"/>
                <w:szCs w:val="24"/>
                <w:lang w:eastAsia="zh-Hans"/>
              </w:rPr>
              <w:t>0.55</w:t>
            </w:r>
          </w:p>
        </w:tc>
      </w:tr>
      <w:tr w:rsidR="00215D6D" w14:paraId="55B4CE7C"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40A01A7" w14:textId="77777777" w:rsidR="006F5FD0" w:rsidRDefault="006F5FD0">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EEE338A" w14:textId="77777777" w:rsidR="006F5FD0" w:rsidRDefault="006F5FD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33C271A" w14:textId="77777777" w:rsidR="006F5FD0" w:rsidRDefault="006F5FD0">
            <w:pPr>
              <w:jc w:val="right"/>
            </w:pPr>
            <w:r>
              <w:rPr>
                <w:rFonts w:ascii="宋体" w:hAnsi="宋体" w:hint="eastAsia"/>
                <w:szCs w:val="24"/>
                <w:lang w:eastAsia="zh-Hans"/>
              </w:rPr>
              <w:t>-</w:t>
            </w:r>
          </w:p>
        </w:tc>
      </w:tr>
      <w:tr w:rsidR="00215D6D" w14:paraId="0DD2D567"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462542D" w14:textId="77777777" w:rsidR="006F5FD0" w:rsidRDefault="006F5FD0">
            <w:pPr>
              <w:jc w:val="left"/>
            </w:pPr>
            <w:r>
              <w:rPr>
                <w:rFonts w:ascii="宋体" w:hAnsi="宋体" w:hint="eastAsia"/>
                <w:szCs w:val="24"/>
                <w:lang w:eastAsia="zh-Hans"/>
              </w:rPr>
              <w:lastRenderedPageBreak/>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B43EFC2" w14:textId="77777777" w:rsidR="006F5FD0" w:rsidRDefault="006F5FD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8519BCD" w14:textId="77777777" w:rsidR="006F5FD0" w:rsidRDefault="006F5FD0">
            <w:pPr>
              <w:jc w:val="right"/>
            </w:pPr>
            <w:r>
              <w:rPr>
                <w:rFonts w:ascii="宋体" w:hAnsi="宋体" w:hint="eastAsia"/>
                <w:szCs w:val="24"/>
                <w:lang w:eastAsia="zh-Hans"/>
              </w:rPr>
              <w:t>-</w:t>
            </w:r>
          </w:p>
        </w:tc>
      </w:tr>
      <w:tr w:rsidR="00215D6D" w14:paraId="76456D14"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C51804B" w14:textId="77777777" w:rsidR="006F5FD0" w:rsidRDefault="006F5FD0">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DB3C013" w14:textId="77777777" w:rsidR="006F5FD0" w:rsidRDefault="006F5FD0">
            <w:pPr>
              <w:jc w:val="right"/>
            </w:pPr>
            <w:r>
              <w:rPr>
                <w:rFonts w:ascii="宋体" w:hAnsi="宋体" w:hint="eastAsia"/>
                <w:szCs w:val="24"/>
                <w:lang w:eastAsia="zh-Hans"/>
              </w:rPr>
              <w:t>216,150.00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3DC5213" w14:textId="77777777" w:rsidR="006F5FD0" w:rsidRDefault="006F5FD0">
            <w:pPr>
              <w:jc w:val="right"/>
            </w:pPr>
            <w:r>
              <w:rPr>
                <w:rFonts w:ascii="宋体" w:hAnsi="宋体" w:hint="eastAsia"/>
                <w:szCs w:val="24"/>
                <w:lang w:eastAsia="zh-Hans"/>
              </w:rPr>
              <w:t>0.04</w:t>
            </w:r>
          </w:p>
        </w:tc>
      </w:tr>
      <w:tr w:rsidR="00215D6D" w14:paraId="6FF62D95" w14:textId="77777777">
        <w:trPr>
          <w:divId w:val="209192066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07691B9" w14:textId="77777777" w:rsidR="006F5FD0" w:rsidRDefault="006F5FD0">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FC150FB" w14:textId="77777777" w:rsidR="006F5FD0" w:rsidRDefault="006F5FD0">
            <w:pPr>
              <w:jc w:val="right"/>
            </w:pPr>
            <w:r>
              <w:rPr>
                <w:rFonts w:ascii="宋体" w:hAnsi="宋体" w:hint="eastAsia"/>
                <w:szCs w:val="24"/>
                <w:lang w:eastAsia="zh-Hans"/>
              </w:rPr>
              <w:t>7,420,200.00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64C80CD" w14:textId="77777777" w:rsidR="006F5FD0" w:rsidRDefault="006F5FD0">
            <w:pPr>
              <w:jc w:val="right"/>
            </w:pPr>
            <w:r>
              <w:rPr>
                <w:rFonts w:ascii="宋体" w:hAnsi="宋体" w:hint="eastAsia"/>
                <w:szCs w:val="24"/>
                <w:lang w:eastAsia="zh-Hans"/>
              </w:rPr>
              <w:t>1.48</w:t>
            </w:r>
          </w:p>
        </w:tc>
      </w:tr>
    </w:tbl>
    <w:p w14:paraId="523FA9BC" w14:textId="77777777" w:rsidR="006F5FD0" w:rsidRDefault="006F5FD0">
      <w:pPr>
        <w:spacing w:line="360" w:lineRule="auto"/>
        <w:divId w:val="1848248398"/>
      </w:pPr>
      <w:r>
        <w:rPr>
          <w:rFonts w:ascii="宋体" w:hAnsi="宋体" w:hint="eastAsia"/>
          <w:szCs w:val="21"/>
        </w:rPr>
        <w:t>注：</w:t>
      </w:r>
      <w:r>
        <w:rPr>
          <w:rFonts w:ascii="宋体" w:hAnsi="宋体" w:hint="eastAsia"/>
          <w:szCs w:val="21"/>
          <w:lang w:eastAsia="zh-Hans"/>
        </w:rPr>
        <w:t>以上分类采用全球行业分类标准（GICS）。</w:t>
      </w:r>
    </w:p>
    <w:p w14:paraId="6F5F6DD5" w14:textId="77777777" w:rsidR="006F5FD0" w:rsidRDefault="006F5FD0">
      <w:pPr>
        <w:pStyle w:val="XBRLTitle2"/>
        <w:spacing w:before="156"/>
        <w:ind w:left="454"/>
      </w:pPr>
      <w:bookmarkStart w:id="167" w:name="_Toc178982961"/>
      <w:bookmarkStart w:id="168" w:name="_Toc17897958"/>
      <w:bookmarkStart w:id="169" w:name="_Toc485300375"/>
      <w:bookmarkStart w:id="170" w:name="_Toc453852755"/>
      <w:bookmarkStart w:id="171" w:name="_Toc452398761"/>
      <w:bookmarkStart w:id="172" w:name="_Toc454983410"/>
      <w:bookmarkStart w:id="173" w:name="_Toc497398255"/>
      <w:bookmarkStart w:id="174" w:name="_Toc506208451"/>
      <w:bookmarkStart w:id="175" w:name="m08QD_10"/>
      <w:r>
        <w:rPr>
          <w:rFonts w:hint="eastAsia"/>
        </w:rPr>
        <w:t>期末按公允价值占基金资产净值比例大小排序的股票投资明细</w:t>
      </w:r>
      <w:bookmarkEnd w:id="167"/>
      <w:bookmarkEnd w:id="168"/>
    </w:p>
    <w:p w14:paraId="3B056ABB" w14:textId="77777777" w:rsidR="006F5FD0" w:rsidRDefault="006F5FD0">
      <w:pPr>
        <w:pStyle w:val="XBRLTitle3"/>
        <w:spacing w:before="156"/>
        <w:ind w:left="0"/>
      </w:pPr>
      <w:bookmarkStart w:id="176" w:name="_Toc178982962"/>
      <w:bookmarkStart w:id="177" w:name="_Toc485300376"/>
      <w:bookmarkStart w:id="178" w:name="_Toc497398256"/>
      <w:bookmarkStart w:id="179" w:name="_Toc453852756"/>
      <w:bookmarkStart w:id="180" w:name="_Toc454983411"/>
      <w:r>
        <w:rPr>
          <w:rFonts w:hAnsi="宋体" w:hint="eastAsia"/>
        </w:rPr>
        <w:t>报告期末按公允价值占基金资产净值比例大小排序的前十名股票投资明细</w:t>
      </w:r>
      <w:bookmarkEnd w:id="176"/>
      <w:bookmarkEnd w:id="177"/>
      <w:bookmarkEnd w:id="178"/>
      <w:bookmarkEnd w:id="179"/>
      <w:bookmarkEnd w:id="1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15D6D" w14:paraId="4C6D1881" w14:textId="77777777">
        <w:trPr>
          <w:divId w:val="80347342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DC6691" w14:textId="77777777" w:rsidR="006F5FD0" w:rsidRDefault="006F5FD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57B252" w14:textId="77777777" w:rsidR="006F5FD0" w:rsidRDefault="006F5FD0">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60F855" w14:textId="77777777" w:rsidR="006F5FD0" w:rsidRDefault="006F5FD0">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23E184" w14:textId="77777777" w:rsidR="006F5FD0" w:rsidRDefault="006F5FD0">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8F82E7" w14:textId="77777777" w:rsidR="006F5FD0" w:rsidRDefault="006F5FD0">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9DE529" w14:textId="77777777" w:rsidR="006F5FD0" w:rsidRDefault="006F5FD0">
            <w:pPr>
              <w:jc w:val="center"/>
            </w:pPr>
            <w:r>
              <w:rPr>
                <w:rFonts w:ascii="宋体" w:hAnsi="宋体" w:hint="eastAsia"/>
                <w:color w:val="000000"/>
              </w:rPr>
              <w:t xml:space="preserve">占基金资产净值比例（%） </w:t>
            </w:r>
          </w:p>
        </w:tc>
      </w:tr>
      <w:tr w:rsidR="00215D6D" w14:paraId="65A4B5AA"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1F910" w14:textId="77777777" w:rsidR="006F5FD0" w:rsidRDefault="006F5FD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CC9961" w14:textId="77777777" w:rsidR="006F5FD0" w:rsidRDefault="006F5FD0">
            <w:pPr>
              <w:jc w:val="center"/>
            </w:pPr>
            <w:r>
              <w:rPr>
                <w:rFonts w:ascii="宋体" w:hAnsi="宋体" w:hint="eastAsia"/>
                <w:szCs w:val="24"/>
                <w:lang w:eastAsia="zh-Hans"/>
              </w:rPr>
              <w:t>600000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4EB6A" w14:textId="77777777" w:rsidR="006F5FD0" w:rsidRDefault="006F5FD0">
            <w:pPr>
              <w:jc w:val="center"/>
            </w:pPr>
            <w:r>
              <w:rPr>
                <w:rFonts w:ascii="宋体" w:hAnsi="宋体" w:hint="eastAsia"/>
                <w:szCs w:val="24"/>
                <w:lang w:eastAsia="zh-Hans"/>
              </w:rPr>
              <w:t>浦发银行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81ECB" w14:textId="77777777" w:rsidR="006F5FD0" w:rsidRDefault="006F5FD0">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2310E" w14:textId="77777777" w:rsidR="006F5FD0" w:rsidRDefault="006F5FD0">
            <w:pPr>
              <w:jc w:val="right"/>
            </w:pPr>
            <w:r>
              <w:rPr>
                <w:rFonts w:ascii="宋体" w:hAnsi="宋体" w:hint="eastAsia"/>
                <w:szCs w:val="24"/>
                <w:lang w:eastAsia="zh-Hans"/>
              </w:rPr>
              <w:t>4,164,000.00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D0C1B9" w14:textId="77777777" w:rsidR="006F5FD0" w:rsidRDefault="006F5FD0">
            <w:pPr>
              <w:jc w:val="right"/>
            </w:pPr>
            <w:r>
              <w:rPr>
                <w:rFonts w:ascii="宋体" w:hAnsi="宋体" w:hint="eastAsia"/>
                <w:szCs w:val="24"/>
                <w:lang w:eastAsia="zh-Hans"/>
              </w:rPr>
              <w:t>0.83</w:t>
            </w:r>
          </w:p>
        </w:tc>
      </w:tr>
      <w:tr w:rsidR="00215D6D" w14:paraId="5258DE52"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A247A" w14:textId="77777777" w:rsidR="006F5FD0" w:rsidRDefault="006F5FD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667D7" w14:textId="77777777" w:rsidR="006F5FD0" w:rsidRDefault="006F5FD0">
            <w:pPr>
              <w:jc w:val="center"/>
            </w:pPr>
            <w:r>
              <w:rPr>
                <w:rFonts w:ascii="宋体" w:hAnsi="宋体" w:hint="eastAsia"/>
                <w:szCs w:val="24"/>
                <w:lang w:eastAsia="zh-Hans"/>
              </w:rPr>
              <w:t>601319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A5EF8" w14:textId="77777777" w:rsidR="006F5FD0" w:rsidRDefault="006F5FD0">
            <w:pPr>
              <w:jc w:val="center"/>
            </w:pPr>
            <w:r>
              <w:rPr>
                <w:rFonts w:ascii="宋体" w:hAnsi="宋体" w:hint="eastAsia"/>
                <w:szCs w:val="24"/>
                <w:lang w:eastAsia="zh-Hans"/>
              </w:rPr>
              <w:t>中国人保</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A5550" w14:textId="77777777" w:rsidR="006F5FD0" w:rsidRDefault="006F5FD0">
            <w:pPr>
              <w:jc w:val="right"/>
            </w:pPr>
            <w:r>
              <w:rPr>
                <w:rFonts w:ascii="宋体" w:hAnsi="宋体" w:hint="eastAsia"/>
                <w:szCs w:val="24"/>
                <w:lang w:eastAsia="zh-Hans"/>
              </w:rPr>
              <w:t>220,000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07DCC4" w14:textId="77777777" w:rsidR="006F5FD0" w:rsidRDefault="006F5FD0">
            <w:pPr>
              <w:jc w:val="right"/>
            </w:pPr>
            <w:r>
              <w:rPr>
                <w:rFonts w:ascii="宋体" w:hAnsi="宋体" w:hint="eastAsia"/>
                <w:szCs w:val="24"/>
                <w:lang w:eastAsia="zh-Hans"/>
              </w:rPr>
              <w:t>1,916,200.00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D2B0A" w14:textId="77777777" w:rsidR="006F5FD0" w:rsidRDefault="006F5FD0">
            <w:pPr>
              <w:jc w:val="right"/>
            </w:pPr>
            <w:r>
              <w:rPr>
                <w:rFonts w:ascii="宋体" w:hAnsi="宋体" w:hint="eastAsia"/>
                <w:szCs w:val="24"/>
                <w:lang w:eastAsia="zh-Hans"/>
              </w:rPr>
              <w:t>0.38</w:t>
            </w:r>
          </w:p>
        </w:tc>
      </w:tr>
      <w:tr w:rsidR="00215D6D" w14:paraId="3597FBF3"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55D8C4" w14:textId="77777777" w:rsidR="006F5FD0" w:rsidRDefault="006F5FD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99D0A" w14:textId="77777777" w:rsidR="006F5FD0" w:rsidRDefault="006F5FD0">
            <w:pPr>
              <w:jc w:val="center"/>
            </w:pPr>
            <w:r>
              <w:rPr>
                <w:rFonts w:ascii="宋体" w:hAnsi="宋体" w:hint="eastAsia"/>
                <w:szCs w:val="24"/>
                <w:lang w:eastAsia="zh-Hans"/>
              </w:rPr>
              <w:t>01347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A4732" w14:textId="77777777" w:rsidR="006F5FD0" w:rsidRDefault="006F5FD0">
            <w:pPr>
              <w:jc w:val="center"/>
            </w:pPr>
            <w:r>
              <w:rPr>
                <w:rFonts w:ascii="宋体" w:hAnsi="宋体" w:hint="eastAsia"/>
                <w:szCs w:val="24"/>
                <w:lang w:eastAsia="zh-Hans"/>
              </w:rPr>
              <w:t>华虹半导体</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4A3CB4" w14:textId="77777777" w:rsidR="006F5FD0" w:rsidRDefault="006F5FD0">
            <w:pPr>
              <w:jc w:val="right"/>
            </w:pPr>
            <w:r>
              <w:rPr>
                <w:rFonts w:ascii="宋体" w:hAnsi="宋体" w:hint="eastAsia"/>
                <w:szCs w:val="24"/>
                <w:lang w:eastAsia="zh-Hans"/>
              </w:rPr>
              <w:t>60,000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07A2D3" w14:textId="77777777" w:rsidR="006F5FD0" w:rsidRDefault="006F5FD0">
            <w:pPr>
              <w:jc w:val="right"/>
            </w:pPr>
            <w:r>
              <w:rPr>
                <w:rFonts w:ascii="宋体" w:hAnsi="宋体" w:hint="eastAsia"/>
                <w:szCs w:val="24"/>
                <w:lang w:eastAsia="zh-Hans"/>
              </w:rPr>
              <w:t>1,898,400.00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E65E6" w14:textId="77777777" w:rsidR="006F5FD0" w:rsidRDefault="006F5FD0">
            <w:pPr>
              <w:jc w:val="right"/>
            </w:pPr>
            <w:r>
              <w:rPr>
                <w:rFonts w:ascii="宋体" w:hAnsi="宋体" w:hint="eastAsia"/>
                <w:szCs w:val="24"/>
                <w:lang w:eastAsia="zh-Hans"/>
              </w:rPr>
              <w:t>0.38</w:t>
            </w:r>
          </w:p>
        </w:tc>
      </w:tr>
      <w:tr w:rsidR="00215D6D" w14:paraId="5061734E"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9797D" w14:textId="77777777" w:rsidR="006F5FD0" w:rsidRDefault="006F5FD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A66C94" w14:textId="77777777" w:rsidR="006F5FD0" w:rsidRDefault="006F5FD0">
            <w:pPr>
              <w:jc w:val="center"/>
            </w:pPr>
            <w:r>
              <w:rPr>
                <w:rFonts w:ascii="宋体" w:hAnsi="宋体" w:hint="eastAsia"/>
                <w:szCs w:val="24"/>
                <w:lang w:eastAsia="zh-Hans"/>
              </w:rPr>
              <w:t>600900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03E23" w14:textId="77777777" w:rsidR="006F5FD0" w:rsidRDefault="006F5FD0">
            <w:pPr>
              <w:jc w:val="center"/>
            </w:pPr>
            <w:r>
              <w:rPr>
                <w:rFonts w:ascii="宋体" w:hAnsi="宋体" w:hint="eastAsia"/>
                <w:szCs w:val="24"/>
                <w:lang w:eastAsia="zh-Hans"/>
              </w:rPr>
              <w:t>长江电力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7C8C6C" w14:textId="77777777" w:rsidR="006F5FD0" w:rsidRDefault="006F5FD0">
            <w:pPr>
              <w:jc w:val="right"/>
            </w:pPr>
            <w:r>
              <w:rPr>
                <w:rFonts w:ascii="宋体" w:hAnsi="宋体" w:hint="eastAsia"/>
                <w:szCs w:val="24"/>
                <w:lang w:eastAsia="zh-Hans"/>
              </w:rPr>
              <w:t>39,500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23DE8F" w14:textId="77777777" w:rsidR="006F5FD0" w:rsidRDefault="006F5FD0">
            <w:pPr>
              <w:jc w:val="right"/>
            </w:pPr>
            <w:r>
              <w:rPr>
                <w:rFonts w:ascii="宋体" w:hAnsi="宋体" w:hint="eastAsia"/>
                <w:szCs w:val="24"/>
                <w:lang w:eastAsia="zh-Hans"/>
              </w:rPr>
              <w:t>1,190,530.00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1DC6D3" w14:textId="77777777" w:rsidR="006F5FD0" w:rsidRDefault="006F5FD0">
            <w:pPr>
              <w:jc w:val="right"/>
            </w:pPr>
            <w:r>
              <w:rPr>
                <w:rFonts w:ascii="宋体" w:hAnsi="宋体" w:hint="eastAsia"/>
                <w:szCs w:val="24"/>
                <w:lang w:eastAsia="zh-Hans"/>
              </w:rPr>
              <w:t>0.24</w:t>
            </w:r>
          </w:p>
        </w:tc>
      </w:tr>
      <w:tr w:rsidR="00215D6D" w14:paraId="145349CC"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14B55" w14:textId="77777777" w:rsidR="006F5FD0" w:rsidRDefault="006F5FD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3C71B" w14:textId="77777777" w:rsidR="006F5FD0" w:rsidRDefault="006F5FD0">
            <w:pPr>
              <w:jc w:val="center"/>
            </w:pPr>
            <w:r>
              <w:rPr>
                <w:rFonts w:ascii="宋体" w:hAnsi="宋体" w:hint="eastAsia"/>
                <w:szCs w:val="24"/>
                <w:lang w:eastAsia="zh-Hans"/>
              </w:rPr>
              <w:t>600276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FA3EBD" w14:textId="77777777" w:rsidR="006F5FD0" w:rsidRDefault="006F5FD0">
            <w:pPr>
              <w:jc w:val="center"/>
            </w:pPr>
            <w:r>
              <w:rPr>
                <w:rFonts w:ascii="宋体" w:hAnsi="宋体" w:hint="eastAsia"/>
                <w:szCs w:val="24"/>
                <w:lang w:eastAsia="zh-Hans"/>
              </w:rPr>
              <w:t>恒瑞医药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589BD" w14:textId="77777777" w:rsidR="006F5FD0" w:rsidRDefault="006F5FD0">
            <w:pPr>
              <w:jc w:val="right"/>
            </w:pPr>
            <w:r>
              <w:rPr>
                <w:rFonts w:ascii="宋体" w:hAnsi="宋体" w:hint="eastAsia"/>
                <w:szCs w:val="24"/>
                <w:lang w:eastAsia="zh-Hans"/>
              </w:rPr>
              <w:t>21,700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C1F086" w14:textId="77777777" w:rsidR="006F5FD0" w:rsidRDefault="006F5FD0">
            <w:pPr>
              <w:jc w:val="right"/>
            </w:pPr>
            <w:r>
              <w:rPr>
                <w:rFonts w:ascii="宋体" w:hAnsi="宋体" w:hint="eastAsia"/>
                <w:szCs w:val="24"/>
                <w:lang w:eastAsia="zh-Hans"/>
              </w:rPr>
              <w:t>1,126,230.00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352EDA" w14:textId="77777777" w:rsidR="006F5FD0" w:rsidRDefault="006F5FD0">
            <w:pPr>
              <w:jc w:val="right"/>
            </w:pPr>
            <w:r>
              <w:rPr>
                <w:rFonts w:ascii="宋体" w:hAnsi="宋体" w:hint="eastAsia"/>
                <w:szCs w:val="24"/>
                <w:lang w:eastAsia="zh-Hans"/>
              </w:rPr>
              <w:t>0.22</w:t>
            </w:r>
          </w:p>
        </w:tc>
      </w:tr>
      <w:tr w:rsidR="00215D6D" w14:paraId="6C8BDE25"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2E077" w14:textId="77777777" w:rsidR="006F5FD0" w:rsidRDefault="006F5FD0">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A0866" w14:textId="77777777" w:rsidR="006F5FD0" w:rsidRDefault="006F5FD0">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1122B8" w14:textId="77777777" w:rsidR="006F5FD0" w:rsidRDefault="006F5FD0">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DDBBE" w14:textId="77777777" w:rsidR="006F5FD0" w:rsidRDefault="006F5FD0">
            <w:pPr>
              <w:jc w:val="right"/>
            </w:pPr>
            <w:r>
              <w:rPr>
                <w:rFonts w:ascii="宋体" w:hAnsi="宋体" w:hint="eastAsia"/>
                <w:szCs w:val="24"/>
                <w:lang w:eastAsia="zh-Hans"/>
              </w:rPr>
              <w:t>11,000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3B4E7" w14:textId="77777777" w:rsidR="006F5FD0" w:rsidRDefault="006F5FD0">
            <w:pPr>
              <w:jc w:val="right"/>
            </w:pPr>
            <w:r>
              <w:rPr>
                <w:rFonts w:ascii="宋体" w:hAnsi="宋体" w:hint="eastAsia"/>
                <w:szCs w:val="24"/>
                <w:lang w:eastAsia="zh-Hans"/>
              </w:rPr>
              <w:t>1,101,430.00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FFA8D" w14:textId="77777777" w:rsidR="006F5FD0" w:rsidRDefault="006F5FD0">
            <w:pPr>
              <w:jc w:val="right"/>
            </w:pPr>
            <w:r>
              <w:rPr>
                <w:rFonts w:ascii="宋体" w:hAnsi="宋体" w:hint="eastAsia"/>
                <w:szCs w:val="24"/>
                <w:lang w:eastAsia="zh-Hans"/>
              </w:rPr>
              <w:t>0.22</w:t>
            </w:r>
          </w:p>
        </w:tc>
      </w:tr>
      <w:tr w:rsidR="00215D6D" w14:paraId="68727812"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D612FF" w14:textId="77777777" w:rsidR="006F5FD0" w:rsidRDefault="006F5FD0">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3ADA8" w14:textId="77777777" w:rsidR="006F5FD0" w:rsidRDefault="006F5FD0">
            <w:pPr>
              <w:jc w:val="center"/>
            </w:pPr>
            <w:r>
              <w:rPr>
                <w:rFonts w:ascii="宋体" w:hAnsi="宋体" w:hint="eastAsia"/>
                <w:szCs w:val="24"/>
                <w:lang w:eastAsia="zh-Hans"/>
              </w:rPr>
              <w:t>02899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9EAE2" w14:textId="77777777" w:rsidR="006F5FD0" w:rsidRDefault="006F5FD0">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4CCAC" w14:textId="77777777" w:rsidR="006F5FD0" w:rsidRDefault="006F5FD0">
            <w:pPr>
              <w:jc w:val="right"/>
            </w:pPr>
            <w:r>
              <w:rPr>
                <w:rFonts w:ascii="宋体" w:hAnsi="宋体" w:hint="eastAsia"/>
                <w:szCs w:val="24"/>
                <w:lang w:eastAsia="zh-Hans"/>
              </w:rPr>
              <w:t>60,000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CC3E3" w14:textId="77777777" w:rsidR="006F5FD0" w:rsidRDefault="006F5FD0">
            <w:pPr>
              <w:jc w:val="right"/>
            </w:pPr>
            <w:r>
              <w:rPr>
                <w:rFonts w:ascii="宋体" w:hAnsi="宋体" w:hint="eastAsia"/>
                <w:szCs w:val="24"/>
                <w:lang w:eastAsia="zh-Hans"/>
              </w:rPr>
              <w:t>1,096,800.00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23E0C3" w14:textId="77777777" w:rsidR="006F5FD0" w:rsidRDefault="006F5FD0">
            <w:pPr>
              <w:jc w:val="right"/>
            </w:pPr>
            <w:r>
              <w:rPr>
                <w:rFonts w:ascii="宋体" w:hAnsi="宋体" w:hint="eastAsia"/>
                <w:szCs w:val="24"/>
                <w:lang w:eastAsia="zh-Hans"/>
              </w:rPr>
              <w:t>0.22</w:t>
            </w:r>
          </w:p>
        </w:tc>
      </w:tr>
      <w:tr w:rsidR="00215D6D" w14:paraId="0E1FEA25"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754593" w14:textId="77777777" w:rsidR="006F5FD0" w:rsidRDefault="006F5FD0">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FAD59E" w14:textId="77777777" w:rsidR="006F5FD0" w:rsidRDefault="006F5FD0">
            <w:pPr>
              <w:jc w:val="center"/>
            </w:pPr>
            <w:r>
              <w:rPr>
                <w:rFonts w:ascii="宋体" w:hAnsi="宋体" w:hint="eastAsia"/>
                <w:szCs w:val="24"/>
                <w:lang w:eastAsia="zh-Hans"/>
              </w:rPr>
              <w:t>06936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E1F799" w14:textId="77777777" w:rsidR="006F5FD0" w:rsidRDefault="006F5FD0">
            <w:pPr>
              <w:jc w:val="center"/>
            </w:pPr>
            <w:r>
              <w:rPr>
                <w:rFonts w:ascii="宋体" w:hAnsi="宋体" w:hint="eastAsia"/>
                <w:szCs w:val="24"/>
                <w:lang w:eastAsia="zh-Hans"/>
              </w:rPr>
              <w:t>顺丰控股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E48352" w14:textId="77777777" w:rsidR="006F5FD0" w:rsidRDefault="006F5FD0">
            <w:pPr>
              <w:jc w:val="right"/>
            </w:pPr>
            <w:r>
              <w:rPr>
                <w:rFonts w:ascii="宋体" w:hAnsi="宋体" w:hint="eastAsia"/>
                <w:szCs w:val="24"/>
                <w:lang w:eastAsia="zh-Hans"/>
              </w:rPr>
              <w:t>26,600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8EB95B" w14:textId="77777777" w:rsidR="006F5FD0" w:rsidRDefault="006F5FD0">
            <w:pPr>
              <w:jc w:val="right"/>
            </w:pPr>
            <w:r>
              <w:rPr>
                <w:rFonts w:ascii="宋体" w:hAnsi="宋体" w:hint="eastAsia"/>
                <w:szCs w:val="24"/>
                <w:lang w:eastAsia="zh-Hans"/>
              </w:rPr>
              <w:t>1,096,452.00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9A65C" w14:textId="77777777" w:rsidR="006F5FD0" w:rsidRDefault="006F5FD0">
            <w:pPr>
              <w:jc w:val="right"/>
            </w:pPr>
            <w:r>
              <w:rPr>
                <w:rFonts w:ascii="宋体" w:hAnsi="宋体" w:hint="eastAsia"/>
                <w:szCs w:val="24"/>
                <w:lang w:eastAsia="zh-Hans"/>
              </w:rPr>
              <w:t>0.22</w:t>
            </w:r>
          </w:p>
        </w:tc>
      </w:tr>
      <w:tr w:rsidR="00215D6D" w14:paraId="6CF327F1"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6554B" w14:textId="77777777" w:rsidR="006F5FD0" w:rsidRDefault="006F5FD0">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E325DD" w14:textId="77777777" w:rsidR="006F5FD0" w:rsidRDefault="006F5FD0">
            <w:pPr>
              <w:jc w:val="center"/>
            </w:pPr>
            <w:r>
              <w:rPr>
                <w:rFonts w:ascii="宋体" w:hAnsi="宋体" w:hint="eastAsia"/>
                <w:szCs w:val="24"/>
                <w:lang w:eastAsia="zh-Hans"/>
              </w:rPr>
              <w:t>06990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086CB" w14:textId="77777777" w:rsidR="006F5FD0" w:rsidRDefault="006F5FD0">
            <w:pPr>
              <w:jc w:val="center"/>
            </w:pPr>
            <w:r>
              <w:rPr>
                <w:rFonts w:ascii="宋体" w:hAnsi="宋体" w:hint="eastAsia"/>
                <w:szCs w:val="24"/>
                <w:lang w:eastAsia="zh-Hans"/>
              </w:rPr>
              <w:t>科伦博泰生物-B</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00F16" w14:textId="77777777" w:rsidR="006F5FD0" w:rsidRDefault="006F5FD0">
            <w:pPr>
              <w:jc w:val="right"/>
            </w:pPr>
            <w:r>
              <w:rPr>
                <w:rFonts w:ascii="宋体" w:hAnsi="宋体" w:hint="eastAsia"/>
                <w:szCs w:val="24"/>
                <w:lang w:eastAsia="zh-Hans"/>
              </w:rPr>
              <w:t>3,400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F83B3" w14:textId="77777777" w:rsidR="006F5FD0" w:rsidRDefault="006F5FD0">
            <w:pPr>
              <w:jc w:val="right"/>
            </w:pPr>
            <w:r>
              <w:rPr>
                <w:rFonts w:ascii="宋体" w:hAnsi="宋体" w:hint="eastAsia"/>
                <w:szCs w:val="24"/>
                <w:lang w:eastAsia="zh-Hans"/>
              </w:rPr>
              <w:t>1,014,526.00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AC5986" w14:textId="77777777" w:rsidR="006F5FD0" w:rsidRDefault="006F5FD0">
            <w:pPr>
              <w:jc w:val="right"/>
            </w:pPr>
            <w:r>
              <w:rPr>
                <w:rFonts w:ascii="宋体" w:hAnsi="宋体" w:hint="eastAsia"/>
                <w:szCs w:val="24"/>
                <w:lang w:eastAsia="zh-Hans"/>
              </w:rPr>
              <w:t>0.20</w:t>
            </w:r>
          </w:p>
        </w:tc>
      </w:tr>
      <w:tr w:rsidR="00215D6D" w14:paraId="1C1D14A7" w14:textId="77777777">
        <w:trPr>
          <w:divId w:val="803473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04694" w14:textId="77777777" w:rsidR="006F5FD0" w:rsidRDefault="006F5FD0">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089AF" w14:textId="77777777" w:rsidR="006F5FD0" w:rsidRDefault="006F5FD0">
            <w:pPr>
              <w:jc w:val="center"/>
            </w:pPr>
            <w:r>
              <w:rPr>
                <w:rFonts w:ascii="宋体" w:hAnsi="宋体" w:hint="eastAsia"/>
                <w:szCs w:val="24"/>
                <w:lang w:eastAsia="zh-Hans"/>
              </w:rPr>
              <w:t>688775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9EEA53" w14:textId="77777777" w:rsidR="006F5FD0" w:rsidRDefault="006F5FD0">
            <w:pPr>
              <w:jc w:val="center"/>
            </w:pPr>
            <w:r>
              <w:rPr>
                <w:rFonts w:ascii="宋体" w:hAnsi="宋体" w:hint="eastAsia"/>
                <w:szCs w:val="24"/>
                <w:lang w:eastAsia="zh-Hans"/>
              </w:rPr>
              <w:t>影石创新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902D6B" w14:textId="77777777" w:rsidR="006F5FD0" w:rsidRDefault="006F5FD0">
            <w:pPr>
              <w:jc w:val="right"/>
            </w:pPr>
            <w:r>
              <w:rPr>
                <w:rFonts w:ascii="宋体" w:hAnsi="宋体" w:hint="eastAsia"/>
                <w:szCs w:val="24"/>
                <w:lang w:eastAsia="zh-Hans"/>
              </w:rPr>
              <w:t>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2B55B5" w14:textId="77777777" w:rsidR="006F5FD0" w:rsidRDefault="006F5FD0">
            <w:pPr>
              <w:jc w:val="right"/>
            </w:pPr>
            <w:r>
              <w:rPr>
                <w:rFonts w:ascii="宋体" w:hAnsi="宋体" w:hint="eastAsia"/>
                <w:szCs w:val="24"/>
                <w:lang w:eastAsia="zh-Hans"/>
              </w:rPr>
              <w:t>842,200.00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83FA11" w14:textId="77777777" w:rsidR="006F5FD0" w:rsidRDefault="006F5FD0">
            <w:pPr>
              <w:jc w:val="right"/>
            </w:pPr>
            <w:r>
              <w:rPr>
                <w:rFonts w:ascii="宋体" w:hAnsi="宋体" w:hint="eastAsia"/>
                <w:szCs w:val="24"/>
                <w:lang w:eastAsia="zh-Hans"/>
              </w:rPr>
              <w:t>0.17</w:t>
            </w:r>
          </w:p>
        </w:tc>
      </w:tr>
    </w:tbl>
    <w:p w14:paraId="22AE002C" w14:textId="77777777" w:rsidR="006F5FD0" w:rsidRDefault="006F5FD0">
      <w:pPr>
        <w:pStyle w:val="XBRLTitle2"/>
        <w:spacing w:before="156" w:line="360" w:lineRule="auto"/>
        <w:ind w:left="454"/>
      </w:pPr>
      <w:bookmarkStart w:id="181" w:name="_Toc17899975"/>
      <w:bookmarkStart w:id="182" w:name="_Toc481075070"/>
      <w:bookmarkStart w:id="183" w:name="_Toc438646471"/>
      <w:bookmarkStart w:id="184" w:name="_Toc490050023"/>
      <w:bookmarkStart w:id="185" w:name="_Toc512519502"/>
      <w:bookmarkStart w:id="186" w:name="_Toc513295862"/>
      <w:bookmarkStart w:id="187" w:name="_Toc513295914"/>
      <w:bookmarkStart w:id="188" w:name="m505"/>
      <w:r>
        <w:rPr>
          <w:rFonts w:hAnsi="宋体" w:hint="eastAsia"/>
        </w:rPr>
        <w:t>报告期末按债券品种分类的债券投资组合</w:t>
      </w:r>
      <w:bookmarkEnd w:id="181"/>
      <w:bookmarkEnd w:id="182"/>
      <w:bookmarkEnd w:id="183"/>
      <w:bookmarkEnd w:id="184"/>
      <w:bookmarkEnd w:id="185"/>
      <w:bookmarkEnd w:id="186"/>
      <w:bookmarkEnd w:id="1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215D6D" w14:paraId="76E4C97A"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4956A1" w14:textId="77777777" w:rsidR="006F5FD0" w:rsidRDefault="006F5FD0">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8D0C46" w14:textId="77777777" w:rsidR="006F5FD0" w:rsidRDefault="006F5FD0">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1C8C3B" w14:textId="77777777" w:rsidR="006F5FD0" w:rsidRDefault="006F5FD0">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3C931E" w14:textId="77777777" w:rsidR="006F5FD0" w:rsidRDefault="006F5FD0">
            <w:pPr>
              <w:jc w:val="center"/>
            </w:pPr>
            <w:r>
              <w:rPr>
                <w:rFonts w:ascii="宋体" w:hAnsi="宋体" w:hint="eastAsia"/>
                <w:color w:val="000000"/>
              </w:rPr>
              <w:t xml:space="preserve">占基金资产净值比例（%） </w:t>
            </w:r>
          </w:p>
        </w:tc>
      </w:tr>
      <w:tr w:rsidR="00215D6D" w14:paraId="7F543CE3"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2123685" w14:textId="77777777" w:rsidR="006F5FD0" w:rsidRDefault="006F5FD0">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FC2670E" w14:textId="77777777" w:rsidR="006F5FD0" w:rsidRDefault="006F5FD0">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FF85CA6" w14:textId="77777777" w:rsidR="006F5FD0" w:rsidRDefault="006F5FD0">
            <w:pPr>
              <w:jc w:val="right"/>
            </w:pPr>
            <w:r>
              <w:rPr>
                <w:rFonts w:ascii="宋体" w:hAnsi="宋体" w:hint="eastAsia"/>
                <w:szCs w:val="24"/>
                <w:lang w:eastAsia="zh-Hans"/>
              </w:rPr>
              <w:t>83,151,670.35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60740F8" w14:textId="77777777" w:rsidR="006F5FD0" w:rsidRDefault="006F5FD0">
            <w:pPr>
              <w:jc w:val="right"/>
            </w:pPr>
            <w:r>
              <w:rPr>
                <w:rFonts w:ascii="宋体" w:hAnsi="宋体" w:hint="eastAsia"/>
                <w:szCs w:val="24"/>
                <w:lang w:eastAsia="zh-Hans"/>
              </w:rPr>
              <w:t>16.60</w:t>
            </w:r>
          </w:p>
        </w:tc>
      </w:tr>
      <w:tr w:rsidR="00215D6D" w14:paraId="6627CC0F"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DB0C5A7" w14:textId="77777777" w:rsidR="006F5FD0" w:rsidRDefault="006F5FD0">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19B74CD" w14:textId="77777777" w:rsidR="006F5FD0" w:rsidRDefault="006F5FD0">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3DCD436" w14:textId="77777777" w:rsidR="006F5FD0" w:rsidRDefault="006F5FD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9C5D922" w14:textId="77777777" w:rsidR="006F5FD0" w:rsidRDefault="006F5FD0">
            <w:pPr>
              <w:jc w:val="right"/>
            </w:pPr>
            <w:r>
              <w:rPr>
                <w:rFonts w:ascii="宋体" w:hAnsi="宋体" w:hint="eastAsia"/>
                <w:szCs w:val="24"/>
                <w:lang w:eastAsia="zh-Hans"/>
              </w:rPr>
              <w:t>-</w:t>
            </w:r>
          </w:p>
        </w:tc>
      </w:tr>
      <w:tr w:rsidR="00215D6D" w14:paraId="5CBF3628"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FCC4C12" w14:textId="77777777" w:rsidR="006F5FD0" w:rsidRDefault="006F5FD0">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B8F023C" w14:textId="77777777" w:rsidR="006F5FD0" w:rsidRDefault="006F5FD0">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855C4BD" w14:textId="77777777" w:rsidR="006F5FD0" w:rsidRDefault="006F5FD0">
            <w:pPr>
              <w:jc w:val="right"/>
            </w:pPr>
            <w:r>
              <w:rPr>
                <w:rFonts w:ascii="宋体" w:hAnsi="宋体" w:hint="eastAsia"/>
                <w:szCs w:val="24"/>
                <w:lang w:eastAsia="zh-Hans"/>
              </w:rPr>
              <w:t>349,165,579.17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D6953C3" w14:textId="77777777" w:rsidR="006F5FD0" w:rsidRDefault="006F5FD0">
            <w:pPr>
              <w:jc w:val="right"/>
            </w:pPr>
            <w:r>
              <w:rPr>
                <w:rFonts w:ascii="宋体" w:hAnsi="宋体" w:hint="eastAsia"/>
                <w:szCs w:val="24"/>
                <w:lang w:eastAsia="zh-Hans"/>
              </w:rPr>
              <w:t>69.69</w:t>
            </w:r>
          </w:p>
        </w:tc>
      </w:tr>
      <w:tr w:rsidR="00215D6D" w14:paraId="403DDA7D"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E8D7FF6" w14:textId="77777777" w:rsidR="006F5FD0" w:rsidRDefault="006F5FD0">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572DBA2" w14:textId="77777777" w:rsidR="006F5FD0" w:rsidRDefault="006F5FD0">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2609278" w14:textId="77777777" w:rsidR="006F5FD0" w:rsidRDefault="006F5FD0">
            <w:pPr>
              <w:jc w:val="right"/>
            </w:pPr>
            <w:r>
              <w:rPr>
                <w:rFonts w:ascii="宋体" w:hAnsi="宋体" w:hint="eastAsia"/>
                <w:szCs w:val="24"/>
                <w:lang w:eastAsia="zh-Hans"/>
              </w:rPr>
              <w:t>144,212,235.61</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DDFDD68" w14:textId="77777777" w:rsidR="006F5FD0" w:rsidRDefault="006F5FD0">
            <w:pPr>
              <w:jc w:val="right"/>
            </w:pPr>
            <w:r>
              <w:rPr>
                <w:rFonts w:ascii="宋体" w:hAnsi="宋体" w:hint="eastAsia"/>
                <w:szCs w:val="24"/>
                <w:lang w:eastAsia="zh-Hans"/>
              </w:rPr>
              <w:t>28.78</w:t>
            </w:r>
          </w:p>
        </w:tc>
      </w:tr>
      <w:tr w:rsidR="00215D6D" w14:paraId="60559D48"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FF3C30E" w14:textId="77777777" w:rsidR="006F5FD0" w:rsidRDefault="006F5FD0">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58EBB2A" w14:textId="77777777" w:rsidR="006F5FD0" w:rsidRDefault="006F5FD0">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FAF143F" w14:textId="77777777" w:rsidR="006F5FD0" w:rsidRDefault="006F5FD0">
            <w:pPr>
              <w:jc w:val="right"/>
            </w:pPr>
            <w:r>
              <w:rPr>
                <w:rFonts w:ascii="宋体" w:hAnsi="宋体" w:hint="eastAsia"/>
                <w:szCs w:val="24"/>
                <w:lang w:eastAsia="zh-Hans"/>
              </w:rPr>
              <w:t>99,709,313.48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AA8947E" w14:textId="77777777" w:rsidR="006F5FD0" w:rsidRDefault="006F5FD0">
            <w:pPr>
              <w:jc w:val="right"/>
            </w:pPr>
            <w:r>
              <w:rPr>
                <w:rFonts w:ascii="宋体" w:hAnsi="宋体" w:hint="eastAsia"/>
                <w:szCs w:val="24"/>
                <w:lang w:eastAsia="zh-Hans"/>
              </w:rPr>
              <w:t>19.90</w:t>
            </w:r>
          </w:p>
        </w:tc>
      </w:tr>
      <w:tr w:rsidR="00215D6D" w14:paraId="6E1FE44D"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F7FC87E" w14:textId="77777777" w:rsidR="006F5FD0" w:rsidRDefault="006F5FD0">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43B74D8" w14:textId="77777777" w:rsidR="006F5FD0" w:rsidRDefault="006F5FD0">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7FE71F7" w14:textId="77777777" w:rsidR="006F5FD0" w:rsidRDefault="006F5FD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766CEFE" w14:textId="77777777" w:rsidR="006F5FD0" w:rsidRDefault="006F5FD0">
            <w:pPr>
              <w:jc w:val="right"/>
            </w:pPr>
            <w:r>
              <w:rPr>
                <w:rFonts w:ascii="宋体" w:hAnsi="宋体" w:hint="eastAsia"/>
                <w:szCs w:val="24"/>
                <w:lang w:eastAsia="zh-Hans"/>
              </w:rPr>
              <w:t>-</w:t>
            </w:r>
          </w:p>
        </w:tc>
      </w:tr>
      <w:tr w:rsidR="00215D6D" w14:paraId="2EC8A7DE"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8864BBE" w14:textId="77777777" w:rsidR="006F5FD0" w:rsidRDefault="006F5FD0">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31495E9" w14:textId="77777777" w:rsidR="006F5FD0" w:rsidRDefault="006F5FD0">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7C7D5F9" w14:textId="77777777" w:rsidR="006F5FD0" w:rsidRDefault="006F5FD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868927E" w14:textId="77777777" w:rsidR="006F5FD0" w:rsidRDefault="006F5FD0">
            <w:pPr>
              <w:jc w:val="right"/>
            </w:pPr>
            <w:r>
              <w:rPr>
                <w:rFonts w:ascii="宋体" w:hAnsi="宋体" w:hint="eastAsia"/>
                <w:szCs w:val="24"/>
                <w:lang w:eastAsia="zh-Hans"/>
              </w:rPr>
              <w:t>-</w:t>
            </w:r>
          </w:p>
        </w:tc>
      </w:tr>
      <w:tr w:rsidR="00215D6D" w14:paraId="057A7180"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2DCBD0C" w14:textId="77777777" w:rsidR="006F5FD0" w:rsidRDefault="006F5FD0">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94D678D" w14:textId="77777777" w:rsidR="006F5FD0" w:rsidRDefault="006F5FD0">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98A5F2B" w14:textId="77777777" w:rsidR="006F5FD0" w:rsidRDefault="006F5FD0">
            <w:pPr>
              <w:jc w:val="right"/>
            </w:pPr>
            <w:r>
              <w:rPr>
                <w:rFonts w:ascii="宋体" w:hAnsi="宋体" w:hint="eastAsia"/>
                <w:szCs w:val="24"/>
                <w:lang w:eastAsia="zh-Hans"/>
              </w:rPr>
              <w:t>8,596,218.47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C71D163" w14:textId="77777777" w:rsidR="006F5FD0" w:rsidRDefault="006F5FD0">
            <w:pPr>
              <w:jc w:val="right"/>
            </w:pPr>
            <w:r>
              <w:rPr>
                <w:rFonts w:ascii="宋体" w:hAnsi="宋体" w:hint="eastAsia"/>
                <w:szCs w:val="24"/>
                <w:lang w:eastAsia="zh-Hans"/>
              </w:rPr>
              <w:t>1.72</w:t>
            </w:r>
          </w:p>
        </w:tc>
      </w:tr>
      <w:tr w:rsidR="00215D6D" w14:paraId="662757CA"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560E742" w14:textId="77777777" w:rsidR="006F5FD0" w:rsidRDefault="006F5FD0">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194ABD0" w14:textId="77777777" w:rsidR="006F5FD0" w:rsidRDefault="006F5FD0">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F90266D" w14:textId="77777777" w:rsidR="006F5FD0" w:rsidRDefault="006F5FD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81EF199" w14:textId="77777777" w:rsidR="006F5FD0" w:rsidRDefault="006F5FD0">
            <w:pPr>
              <w:jc w:val="right"/>
            </w:pPr>
            <w:r>
              <w:rPr>
                <w:rFonts w:ascii="宋体" w:hAnsi="宋体" w:hint="eastAsia"/>
                <w:szCs w:val="24"/>
                <w:lang w:eastAsia="zh-Hans"/>
              </w:rPr>
              <w:t>-</w:t>
            </w:r>
          </w:p>
        </w:tc>
      </w:tr>
      <w:tr w:rsidR="00215D6D" w14:paraId="59262FC7"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E5FDF17" w14:textId="77777777" w:rsidR="006F5FD0" w:rsidRDefault="006F5FD0">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EFE2EC1" w14:textId="77777777" w:rsidR="006F5FD0" w:rsidRDefault="006F5FD0">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8545AD5" w14:textId="77777777" w:rsidR="006F5FD0" w:rsidRDefault="006F5FD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72D8A79" w14:textId="77777777" w:rsidR="006F5FD0" w:rsidRDefault="006F5FD0">
            <w:pPr>
              <w:jc w:val="right"/>
            </w:pPr>
            <w:r>
              <w:rPr>
                <w:rFonts w:ascii="宋体" w:hAnsi="宋体" w:hint="eastAsia"/>
                <w:szCs w:val="24"/>
                <w:lang w:eastAsia="zh-Hans"/>
              </w:rPr>
              <w:t>-</w:t>
            </w:r>
          </w:p>
        </w:tc>
      </w:tr>
      <w:tr w:rsidR="00215D6D" w14:paraId="500E1469" w14:textId="77777777">
        <w:trPr>
          <w:divId w:val="43629648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903CDBF" w14:textId="77777777" w:rsidR="006F5FD0" w:rsidRDefault="006F5FD0">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1F8D3CF" w14:textId="77777777" w:rsidR="006F5FD0" w:rsidRDefault="006F5FD0">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1E26140" w14:textId="77777777" w:rsidR="006F5FD0" w:rsidRDefault="006F5FD0">
            <w:pPr>
              <w:jc w:val="right"/>
            </w:pPr>
            <w:r>
              <w:rPr>
                <w:rFonts w:ascii="宋体" w:hAnsi="宋体" w:hint="eastAsia"/>
                <w:szCs w:val="24"/>
                <w:lang w:eastAsia="zh-Hans"/>
              </w:rPr>
              <w:t>540,622,781.47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4B99ECE" w14:textId="77777777" w:rsidR="006F5FD0" w:rsidRDefault="006F5FD0">
            <w:pPr>
              <w:jc w:val="right"/>
            </w:pPr>
            <w:r>
              <w:rPr>
                <w:rFonts w:ascii="宋体" w:hAnsi="宋体" w:hint="eastAsia"/>
                <w:szCs w:val="24"/>
                <w:lang w:eastAsia="zh-Hans"/>
              </w:rPr>
              <w:t>107.90</w:t>
            </w:r>
          </w:p>
        </w:tc>
      </w:tr>
    </w:tbl>
    <w:p w14:paraId="4731D63D" w14:textId="77777777" w:rsidR="006F5FD0" w:rsidRDefault="006F5FD0">
      <w:pPr>
        <w:pStyle w:val="XBRLTitle2"/>
        <w:spacing w:before="156" w:line="360" w:lineRule="auto"/>
        <w:ind w:left="454"/>
      </w:pPr>
      <w:bookmarkStart w:id="189" w:name="_Toc17899976"/>
      <w:bookmarkStart w:id="190" w:name="_Toc481075071"/>
      <w:bookmarkStart w:id="191" w:name="_Toc438646472"/>
      <w:bookmarkStart w:id="192" w:name="_Toc490050024"/>
      <w:bookmarkStart w:id="193" w:name="_Toc512519503"/>
      <w:bookmarkStart w:id="194" w:name="_Toc513295863"/>
      <w:bookmarkStart w:id="195" w:name="_Toc513295915"/>
      <w:bookmarkStart w:id="196" w:name="m506"/>
      <w:bookmarkEnd w:id="188"/>
      <w:r>
        <w:rPr>
          <w:rFonts w:hAnsi="宋体" w:hint="eastAsia"/>
        </w:rPr>
        <w:t>报告期末按公允价值占基金资产净值比例大小排序的前五名债券投资明细</w:t>
      </w:r>
      <w:bookmarkEnd w:id="189"/>
      <w:bookmarkEnd w:id="190"/>
      <w:bookmarkEnd w:id="191"/>
      <w:bookmarkEnd w:id="192"/>
      <w:bookmarkEnd w:id="193"/>
      <w:bookmarkEnd w:id="194"/>
      <w:bookmarkEnd w:id="195"/>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15D6D" w14:paraId="47AE8538" w14:textId="77777777">
        <w:trPr>
          <w:divId w:val="192645527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F4B0AF" w14:textId="77777777" w:rsidR="006F5FD0" w:rsidRDefault="006F5FD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2B1134" w14:textId="77777777" w:rsidR="006F5FD0" w:rsidRDefault="006F5FD0">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3FB363" w14:textId="77777777" w:rsidR="006F5FD0" w:rsidRDefault="006F5FD0">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D198FB" w14:textId="77777777" w:rsidR="006F5FD0" w:rsidRDefault="006F5FD0">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6C1FB" w14:textId="77777777" w:rsidR="006F5FD0" w:rsidRDefault="006F5FD0">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ACA123" w14:textId="77777777" w:rsidR="006F5FD0" w:rsidRDefault="006F5FD0">
            <w:pPr>
              <w:jc w:val="center"/>
            </w:pPr>
            <w:r>
              <w:rPr>
                <w:rFonts w:ascii="宋体" w:hAnsi="宋体" w:hint="eastAsia"/>
                <w:color w:val="000000"/>
              </w:rPr>
              <w:t xml:space="preserve">占基金资产净值比例（%） </w:t>
            </w:r>
          </w:p>
        </w:tc>
      </w:tr>
      <w:tr w:rsidR="00215D6D" w14:paraId="3BA8A34C" w14:textId="77777777">
        <w:trPr>
          <w:divId w:val="19264552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99674" w14:textId="77777777" w:rsidR="006F5FD0" w:rsidRDefault="006F5FD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4DA333" w14:textId="77777777" w:rsidR="006F5FD0" w:rsidRDefault="006F5FD0">
            <w:pPr>
              <w:jc w:val="center"/>
            </w:pPr>
            <w:r>
              <w:rPr>
                <w:rFonts w:ascii="宋体" w:hAnsi="宋体" w:hint="eastAsia"/>
                <w:szCs w:val="24"/>
                <w:lang w:eastAsia="zh-Hans"/>
              </w:rPr>
              <w:t>230203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7ACB2C" w14:textId="77777777" w:rsidR="006F5FD0" w:rsidRDefault="006F5FD0">
            <w:pPr>
              <w:jc w:val="center"/>
            </w:pPr>
            <w:r>
              <w:rPr>
                <w:rFonts w:ascii="宋体" w:hAnsi="宋体" w:hint="eastAsia"/>
                <w:szCs w:val="24"/>
                <w:lang w:eastAsia="zh-Hans"/>
              </w:rPr>
              <w:t>23国开03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D12357" w14:textId="77777777" w:rsidR="006F5FD0" w:rsidRDefault="006F5FD0">
            <w:pPr>
              <w:jc w:val="right"/>
            </w:pPr>
            <w:r>
              <w:rPr>
                <w:rFonts w:ascii="宋体" w:hAnsi="宋体" w:hint="eastAsia"/>
                <w:szCs w:val="24"/>
                <w:lang w:eastAsia="zh-Hans"/>
              </w:rPr>
              <w:t>600,000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57799" w14:textId="77777777" w:rsidR="006F5FD0" w:rsidRDefault="006F5FD0">
            <w:pPr>
              <w:jc w:val="right"/>
            </w:pPr>
            <w:r>
              <w:rPr>
                <w:rFonts w:ascii="宋体" w:hAnsi="宋体" w:hint="eastAsia"/>
                <w:szCs w:val="24"/>
                <w:lang w:eastAsia="zh-Hans"/>
              </w:rPr>
              <w:t>62,489,391.78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0A3538" w14:textId="77777777" w:rsidR="006F5FD0" w:rsidRDefault="006F5FD0">
            <w:pPr>
              <w:jc w:val="right"/>
            </w:pPr>
            <w:r>
              <w:rPr>
                <w:rFonts w:ascii="宋体" w:hAnsi="宋体" w:hint="eastAsia"/>
                <w:szCs w:val="24"/>
                <w:lang w:eastAsia="zh-Hans"/>
              </w:rPr>
              <w:t>12.47</w:t>
            </w:r>
          </w:p>
        </w:tc>
      </w:tr>
      <w:tr w:rsidR="00215D6D" w14:paraId="698B6EC8" w14:textId="77777777">
        <w:trPr>
          <w:divId w:val="19264552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D817C" w14:textId="77777777" w:rsidR="006F5FD0" w:rsidRDefault="006F5FD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AD5AF3" w14:textId="77777777" w:rsidR="006F5FD0" w:rsidRDefault="006F5FD0">
            <w:pPr>
              <w:jc w:val="center"/>
            </w:pPr>
            <w:r>
              <w:rPr>
                <w:rFonts w:ascii="宋体" w:hAnsi="宋体" w:hint="eastAsia"/>
                <w:szCs w:val="24"/>
                <w:lang w:eastAsia="zh-Hans"/>
              </w:rPr>
              <w:t>230208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6DB24" w14:textId="77777777" w:rsidR="006F5FD0" w:rsidRDefault="006F5FD0">
            <w:pPr>
              <w:jc w:val="center"/>
            </w:pPr>
            <w:r>
              <w:rPr>
                <w:rFonts w:ascii="宋体" w:hAnsi="宋体" w:hint="eastAsia"/>
                <w:szCs w:val="24"/>
                <w:lang w:eastAsia="zh-Hans"/>
              </w:rPr>
              <w:t>23国开08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1DD22" w14:textId="77777777" w:rsidR="006F5FD0" w:rsidRDefault="006F5FD0">
            <w:pPr>
              <w:jc w:val="right"/>
            </w:pPr>
            <w:r>
              <w:rPr>
                <w:rFonts w:ascii="宋体" w:hAnsi="宋体" w:hint="eastAsia"/>
                <w:szCs w:val="24"/>
                <w:lang w:eastAsia="zh-Hans"/>
              </w:rPr>
              <w:t>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DD1ECC" w14:textId="77777777" w:rsidR="006F5FD0" w:rsidRDefault="006F5FD0">
            <w:pPr>
              <w:jc w:val="right"/>
            </w:pPr>
            <w:r>
              <w:rPr>
                <w:rFonts w:ascii="宋体" w:hAnsi="宋体" w:hint="eastAsia"/>
                <w:szCs w:val="24"/>
                <w:lang w:eastAsia="zh-Hans"/>
              </w:rPr>
              <w:t>51,472,726.03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F3297C" w14:textId="77777777" w:rsidR="006F5FD0" w:rsidRDefault="006F5FD0">
            <w:pPr>
              <w:jc w:val="right"/>
            </w:pPr>
            <w:r>
              <w:rPr>
                <w:rFonts w:ascii="宋体" w:hAnsi="宋体" w:hint="eastAsia"/>
                <w:szCs w:val="24"/>
                <w:lang w:eastAsia="zh-Hans"/>
              </w:rPr>
              <w:t>10.27</w:t>
            </w:r>
          </w:p>
        </w:tc>
      </w:tr>
      <w:tr w:rsidR="00215D6D" w14:paraId="06E61BBC" w14:textId="77777777">
        <w:trPr>
          <w:divId w:val="19264552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25EEDC" w14:textId="77777777" w:rsidR="006F5FD0" w:rsidRDefault="006F5FD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93F98" w14:textId="77777777" w:rsidR="006F5FD0" w:rsidRDefault="006F5FD0">
            <w:pPr>
              <w:jc w:val="center"/>
            </w:pPr>
            <w:r>
              <w:rPr>
                <w:rFonts w:ascii="宋体" w:hAnsi="宋体" w:hint="eastAsia"/>
                <w:szCs w:val="24"/>
                <w:lang w:eastAsia="zh-Hans"/>
              </w:rPr>
              <w:t>2400001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9839D" w14:textId="77777777" w:rsidR="006F5FD0" w:rsidRDefault="006F5FD0">
            <w:pPr>
              <w:jc w:val="center"/>
            </w:pPr>
            <w:r>
              <w:rPr>
                <w:rFonts w:ascii="宋体" w:hAnsi="宋体" w:hint="eastAsia"/>
                <w:szCs w:val="24"/>
                <w:lang w:eastAsia="zh-Hans"/>
              </w:rPr>
              <w:t>24特别国债01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DAC5E5" w14:textId="77777777" w:rsidR="006F5FD0" w:rsidRDefault="006F5FD0">
            <w:pPr>
              <w:jc w:val="right"/>
            </w:pPr>
            <w:r>
              <w:rPr>
                <w:rFonts w:ascii="宋体" w:hAnsi="宋体" w:hint="eastAsia"/>
                <w:szCs w:val="24"/>
                <w:lang w:eastAsia="zh-Hans"/>
              </w:rPr>
              <w:t>400,000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6D44F" w14:textId="77777777" w:rsidR="006F5FD0" w:rsidRDefault="006F5FD0">
            <w:pPr>
              <w:jc w:val="right"/>
            </w:pPr>
            <w:r>
              <w:rPr>
                <w:rFonts w:ascii="宋体" w:hAnsi="宋体" w:hint="eastAsia"/>
                <w:szCs w:val="24"/>
                <w:lang w:eastAsia="zh-Hans"/>
              </w:rPr>
              <w:t>45,717,326.09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6BA6AD" w14:textId="77777777" w:rsidR="006F5FD0" w:rsidRDefault="006F5FD0">
            <w:pPr>
              <w:jc w:val="right"/>
            </w:pPr>
            <w:r>
              <w:rPr>
                <w:rFonts w:ascii="宋体" w:hAnsi="宋体" w:hint="eastAsia"/>
                <w:szCs w:val="24"/>
                <w:lang w:eastAsia="zh-Hans"/>
              </w:rPr>
              <w:t>9.12</w:t>
            </w:r>
          </w:p>
        </w:tc>
      </w:tr>
      <w:tr w:rsidR="00215D6D" w14:paraId="098C4F06" w14:textId="77777777">
        <w:trPr>
          <w:divId w:val="19264552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C2A974" w14:textId="77777777" w:rsidR="006F5FD0" w:rsidRDefault="006F5FD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EB9CC8" w14:textId="77777777" w:rsidR="006F5FD0" w:rsidRDefault="006F5FD0">
            <w:pPr>
              <w:jc w:val="center"/>
            </w:pPr>
            <w:r>
              <w:rPr>
                <w:rFonts w:ascii="宋体" w:hAnsi="宋体" w:hint="eastAsia"/>
                <w:szCs w:val="24"/>
                <w:lang w:eastAsia="zh-Hans"/>
              </w:rPr>
              <w:t>230023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A9619" w14:textId="77777777" w:rsidR="006F5FD0" w:rsidRDefault="006F5FD0">
            <w:pPr>
              <w:jc w:val="center"/>
            </w:pPr>
            <w:r>
              <w:rPr>
                <w:rFonts w:ascii="宋体" w:hAnsi="宋体" w:hint="eastAsia"/>
                <w:szCs w:val="24"/>
                <w:lang w:eastAsia="zh-Hans"/>
              </w:rPr>
              <w:t>23附息国债23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D1739" w14:textId="77777777" w:rsidR="006F5FD0" w:rsidRDefault="006F5FD0">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C0ACE4" w14:textId="77777777" w:rsidR="006F5FD0" w:rsidRDefault="006F5FD0">
            <w:pPr>
              <w:jc w:val="right"/>
            </w:pPr>
            <w:r>
              <w:rPr>
                <w:rFonts w:ascii="宋体" w:hAnsi="宋体" w:hint="eastAsia"/>
                <w:szCs w:val="24"/>
                <w:lang w:eastAsia="zh-Hans"/>
              </w:rPr>
              <w:t>37,434,344.26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B56FBB" w14:textId="77777777" w:rsidR="006F5FD0" w:rsidRDefault="006F5FD0">
            <w:pPr>
              <w:jc w:val="right"/>
            </w:pPr>
            <w:r>
              <w:rPr>
                <w:rFonts w:ascii="宋体" w:hAnsi="宋体" w:hint="eastAsia"/>
                <w:szCs w:val="24"/>
                <w:lang w:eastAsia="zh-Hans"/>
              </w:rPr>
              <w:t>7.47</w:t>
            </w:r>
          </w:p>
        </w:tc>
      </w:tr>
      <w:tr w:rsidR="00215D6D" w14:paraId="0C7D69DD" w14:textId="77777777">
        <w:trPr>
          <w:divId w:val="19264552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C056D8" w14:textId="77777777" w:rsidR="006F5FD0" w:rsidRDefault="006F5FD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D0891D" w14:textId="77777777" w:rsidR="006F5FD0" w:rsidRDefault="006F5FD0">
            <w:pPr>
              <w:jc w:val="center"/>
            </w:pPr>
            <w:r>
              <w:rPr>
                <w:rFonts w:ascii="宋体" w:hAnsi="宋体" w:hint="eastAsia"/>
                <w:szCs w:val="24"/>
                <w:lang w:eastAsia="zh-Hans"/>
              </w:rPr>
              <w:t>242380017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905EA" w14:textId="77777777" w:rsidR="006F5FD0" w:rsidRDefault="006F5FD0">
            <w:pPr>
              <w:jc w:val="center"/>
            </w:pPr>
            <w:r>
              <w:rPr>
                <w:rFonts w:ascii="宋体" w:hAnsi="宋体" w:hint="eastAsia"/>
                <w:szCs w:val="24"/>
                <w:lang w:eastAsia="zh-Hans"/>
              </w:rPr>
              <w:t>23农行永续债01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49688" w14:textId="77777777" w:rsidR="006F5FD0" w:rsidRDefault="006F5FD0">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FC5E9" w14:textId="77777777" w:rsidR="006F5FD0" w:rsidRDefault="006F5FD0">
            <w:pPr>
              <w:jc w:val="right"/>
            </w:pPr>
            <w:r>
              <w:rPr>
                <w:rFonts w:ascii="宋体" w:hAnsi="宋体" w:hint="eastAsia"/>
                <w:szCs w:val="24"/>
                <w:lang w:eastAsia="zh-Hans"/>
              </w:rPr>
              <w:t>32,021,980.27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7841B3" w14:textId="77777777" w:rsidR="006F5FD0" w:rsidRDefault="006F5FD0">
            <w:pPr>
              <w:jc w:val="right"/>
            </w:pPr>
            <w:r>
              <w:rPr>
                <w:rFonts w:ascii="宋体" w:hAnsi="宋体" w:hint="eastAsia"/>
                <w:szCs w:val="24"/>
                <w:lang w:eastAsia="zh-Hans"/>
              </w:rPr>
              <w:t>6.39</w:t>
            </w:r>
          </w:p>
        </w:tc>
      </w:tr>
    </w:tbl>
    <w:p w14:paraId="42530419" w14:textId="77777777" w:rsidR="006F5FD0" w:rsidRDefault="006F5FD0">
      <w:pPr>
        <w:pStyle w:val="XBRLTitle2"/>
        <w:spacing w:before="156" w:line="360" w:lineRule="auto"/>
        <w:ind w:left="454"/>
      </w:pPr>
      <w:bookmarkStart w:id="197" w:name="_Toc17899977"/>
      <w:bookmarkStart w:id="198" w:name="_Toc481075072"/>
      <w:bookmarkStart w:id="199" w:name="_Toc438646473"/>
      <w:bookmarkStart w:id="200" w:name="_Toc490050025"/>
      <w:bookmarkStart w:id="201" w:name="_Toc512519504"/>
      <w:bookmarkStart w:id="202" w:name="_Toc513295864"/>
      <w:bookmarkStart w:id="203" w:name="_Toc513295916"/>
      <w:bookmarkStart w:id="204" w:name="m507"/>
      <w:bookmarkEnd w:id="196"/>
      <w:r>
        <w:rPr>
          <w:rFonts w:hAnsi="宋体" w:hint="eastAsia"/>
        </w:rPr>
        <w:lastRenderedPageBreak/>
        <w:t>报告期末按公允价值占基金资产净值比例大小排序的前十名资产支持证券投资明细</w:t>
      </w:r>
      <w:bookmarkEnd w:id="197"/>
      <w:bookmarkEnd w:id="198"/>
      <w:bookmarkEnd w:id="199"/>
      <w:bookmarkEnd w:id="200"/>
      <w:bookmarkEnd w:id="201"/>
      <w:bookmarkEnd w:id="202"/>
      <w:bookmarkEnd w:id="203"/>
      <w:r>
        <w:rPr>
          <w:rFonts w:hAnsi="宋体" w:hint="eastAsia"/>
        </w:rPr>
        <w:t xml:space="preserve"> </w:t>
      </w:r>
    </w:p>
    <w:p w14:paraId="05D1117F" w14:textId="77777777" w:rsidR="006F5FD0" w:rsidRDefault="006F5FD0">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4098E385" w14:textId="77777777" w:rsidR="006F5FD0" w:rsidRDefault="006F5FD0">
      <w:pPr>
        <w:pStyle w:val="XBRLTitle2"/>
        <w:spacing w:before="156" w:line="360" w:lineRule="auto"/>
        <w:ind w:left="454"/>
      </w:pPr>
      <w:bookmarkStart w:id="205" w:name="_Toc17899978"/>
      <w:bookmarkStart w:id="206" w:name="_Toc481075073"/>
      <w:bookmarkStart w:id="207" w:name="_Toc438646474"/>
      <w:bookmarkStart w:id="208" w:name="_Toc490050026"/>
      <w:bookmarkStart w:id="209" w:name="_Toc512519505"/>
      <w:bookmarkStart w:id="210" w:name="_Toc513295865"/>
      <w:bookmarkStart w:id="211" w:name="_Toc513295917"/>
      <w:bookmarkStart w:id="212" w:name="m508"/>
      <w:bookmarkEnd w:id="204"/>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05"/>
      <w:bookmarkEnd w:id="206"/>
      <w:bookmarkEnd w:id="207"/>
      <w:bookmarkEnd w:id="208"/>
      <w:bookmarkEnd w:id="209"/>
      <w:bookmarkEnd w:id="210"/>
      <w:bookmarkEnd w:id="211"/>
      <w:r>
        <w:rPr>
          <w:rFonts w:hAnsi="宋体" w:hint="eastAsia"/>
        </w:rPr>
        <w:t xml:space="preserve"> </w:t>
      </w:r>
    </w:p>
    <w:p w14:paraId="445D2980" w14:textId="77777777" w:rsidR="006F5FD0" w:rsidRDefault="006F5FD0">
      <w:pPr>
        <w:spacing w:line="360" w:lineRule="auto"/>
        <w:ind w:firstLineChars="200" w:firstLine="420"/>
        <w:divId w:val="1872112156"/>
      </w:pPr>
      <w:r>
        <w:rPr>
          <w:rFonts w:ascii="宋体" w:hAnsi="宋体" w:hint="eastAsia"/>
          <w:szCs w:val="21"/>
          <w:lang w:eastAsia="zh-Hans"/>
        </w:rPr>
        <w:t>本基金本报告期末未持有贵金属。</w:t>
      </w:r>
    </w:p>
    <w:p w14:paraId="450DF894" w14:textId="77777777" w:rsidR="006F5FD0" w:rsidRDefault="006F5FD0">
      <w:pPr>
        <w:pStyle w:val="XBRLTitle2"/>
        <w:spacing w:before="156" w:line="360" w:lineRule="auto"/>
        <w:ind w:left="454"/>
      </w:pPr>
      <w:bookmarkStart w:id="213" w:name="_Toc17899979"/>
      <w:bookmarkStart w:id="214" w:name="_Toc481075074"/>
      <w:bookmarkStart w:id="215" w:name="_Toc438646475"/>
      <w:bookmarkStart w:id="216" w:name="_Toc490050027"/>
      <w:bookmarkStart w:id="217" w:name="_Toc512519506"/>
      <w:bookmarkStart w:id="218" w:name="_Toc513295866"/>
      <w:bookmarkStart w:id="219" w:name="_Toc513295918"/>
      <w:bookmarkStart w:id="220" w:name="m509"/>
      <w:bookmarkEnd w:id="212"/>
      <w:r>
        <w:rPr>
          <w:rFonts w:hAnsi="宋体" w:hint="eastAsia"/>
        </w:rPr>
        <w:t>报告期末按公允价值占基金资产净值比例大小排序的前五名权证投资明细</w:t>
      </w:r>
      <w:bookmarkEnd w:id="213"/>
      <w:bookmarkEnd w:id="214"/>
      <w:bookmarkEnd w:id="215"/>
      <w:bookmarkEnd w:id="216"/>
      <w:bookmarkEnd w:id="217"/>
      <w:bookmarkEnd w:id="218"/>
      <w:bookmarkEnd w:id="219"/>
      <w:r>
        <w:rPr>
          <w:rFonts w:hAnsi="宋体" w:hint="eastAsia"/>
        </w:rPr>
        <w:t xml:space="preserve"> </w:t>
      </w:r>
      <w:bookmarkEnd w:id="220"/>
    </w:p>
    <w:p w14:paraId="440620E1" w14:textId="77777777" w:rsidR="006F5FD0" w:rsidRDefault="006F5FD0">
      <w:pPr>
        <w:spacing w:line="360" w:lineRule="auto"/>
        <w:ind w:firstLineChars="200" w:firstLine="420"/>
        <w:divId w:val="436754858"/>
      </w:pPr>
      <w:r>
        <w:rPr>
          <w:rFonts w:ascii="宋体" w:hAnsi="宋体" w:hint="eastAsia"/>
          <w:szCs w:val="21"/>
          <w:lang w:eastAsia="zh-Hans"/>
        </w:rPr>
        <w:t>本基金本报告期末未持有权证。</w:t>
      </w:r>
    </w:p>
    <w:p w14:paraId="3A282CC8" w14:textId="77777777" w:rsidR="006F5FD0" w:rsidRDefault="006F5FD0">
      <w:pPr>
        <w:pStyle w:val="XBRLTitle2"/>
        <w:spacing w:before="156"/>
        <w:ind w:left="454"/>
      </w:pPr>
      <w:bookmarkStart w:id="221" w:name="_Toc17899980"/>
      <w:r>
        <w:rPr>
          <w:rFonts w:hint="eastAsia"/>
        </w:rPr>
        <w:t>报告期末本基金投资的股指期货交易情况说明</w:t>
      </w:r>
      <w:bookmarkEnd w:id="221"/>
      <w:bookmarkEnd w:id="169"/>
      <w:bookmarkEnd w:id="170"/>
      <w:bookmarkEnd w:id="171"/>
      <w:bookmarkEnd w:id="172"/>
      <w:bookmarkEnd w:id="173"/>
      <w:bookmarkEnd w:id="174"/>
    </w:p>
    <w:p w14:paraId="324AD4B7" w14:textId="77777777" w:rsidR="006F5FD0" w:rsidRDefault="006F5FD0">
      <w:pPr>
        <w:spacing w:line="360" w:lineRule="auto"/>
        <w:ind w:firstLineChars="200" w:firstLine="420"/>
        <w:divId w:val="1856966015"/>
      </w:pPr>
      <w:r>
        <w:rPr>
          <w:rFonts w:ascii="宋体" w:hAnsi="宋体" w:hint="eastAsia"/>
          <w:szCs w:val="21"/>
          <w:lang w:eastAsia="zh-Hans"/>
        </w:rPr>
        <w:t>本基金本报告期末未持有股指期货。</w:t>
      </w:r>
    </w:p>
    <w:p w14:paraId="7BCF4512" w14:textId="77777777" w:rsidR="006F5FD0" w:rsidRDefault="006F5FD0">
      <w:pPr>
        <w:pStyle w:val="XBRLTitle2"/>
        <w:spacing w:before="156" w:line="360" w:lineRule="auto"/>
        <w:ind w:left="454"/>
      </w:pPr>
      <w:bookmarkStart w:id="222" w:name="_Toc17899983"/>
      <w:bookmarkStart w:id="223" w:name="_Toc512519510"/>
      <w:bookmarkStart w:id="224" w:name="_Toc481075078"/>
      <w:bookmarkStart w:id="225" w:name="_Toc490050031"/>
      <w:bookmarkStart w:id="226" w:name="_Toc513295868"/>
      <w:bookmarkStart w:id="227" w:name="_Toc513295922"/>
      <w:bookmarkStart w:id="228" w:name="_Toc438646476"/>
      <w:r>
        <w:rPr>
          <w:rFonts w:hAnsi="宋体" w:hint="eastAsia"/>
        </w:rPr>
        <w:t>报告期末本基金投资的国债期货交易情况说明</w:t>
      </w:r>
      <w:bookmarkEnd w:id="222"/>
      <w:bookmarkEnd w:id="223"/>
      <w:bookmarkEnd w:id="224"/>
      <w:bookmarkEnd w:id="225"/>
      <w:bookmarkEnd w:id="226"/>
      <w:bookmarkEnd w:id="227"/>
      <w:r>
        <w:rPr>
          <w:rFonts w:hAnsi="宋体" w:hint="eastAsia"/>
        </w:rPr>
        <w:t xml:space="preserve"> </w:t>
      </w:r>
      <w:bookmarkEnd w:id="228"/>
    </w:p>
    <w:p w14:paraId="5999C683" w14:textId="77777777" w:rsidR="006F5FD0" w:rsidRDefault="006F5FD0">
      <w:pPr>
        <w:spacing w:line="360" w:lineRule="auto"/>
        <w:ind w:firstLineChars="200" w:firstLine="420"/>
        <w:divId w:val="1425690457"/>
      </w:pPr>
      <w:bookmarkStart w:id="229" w:name="m510_01_1597"/>
      <w:bookmarkStart w:id="230" w:name="m510_01_1598"/>
      <w:bookmarkEnd w:id="229"/>
      <w:r>
        <w:rPr>
          <w:rFonts w:ascii="宋体" w:hAnsi="宋体" w:hint="eastAsia"/>
          <w:szCs w:val="21"/>
          <w:lang w:eastAsia="zh-Hans"/>
        </w:rPr>
        <w:t>本基金本报告期末未持有国债期货。</w:t>
      </w:r>
    </w:p>
    <w:p w14:paraId="7B617CE8" w14:textId="77777777" w:rsidR="006F5FD0" w:rsidRDefault="006F5FD0">
      <w:pPr>
        <w:pStyle w:val="XBRLTitle2"/>
        <w:spacing w:before="156" w:line="360" w:lineRule="auto"/>
        <w:ind w:left="454"/>
      </w:pPr>
      <w:bookmarkStart w:id="231" w:name="_Toc17899987"/>
      <w:bookmarkStart w:id="232" w:name="_Toc512519514"/>
      <w:bookmarkStart w:id="233" w:name="_Toc481075082"/>
      <w:bookmarkStart w:id="234" w:name="_Toc490050035"/>
      <w:bookmarkStart w:id="235" w:name="_Toc513295869"/>
      <w:bookmarkStart w:id="236" w:name="_Toc513295926"/>
      <w:r>
        <w:rPr>
          <w:rFonts w:hAnsi="宋体" w:hint="eastAsia"/>
        </w:rPr>
        <w:t>投资组合报告附注</w:t>
      </w:r>
      <w:bookmarkEnd w:id="231"/>
      <w:bookmarkEnd w:id="232"/>
      <w:bookmarkEnd w:id="233"/>
      <w:bookmarkEnd w:id="234"/>
      <w:bookmarkEnd w:id="235"/>
      <w:bookmarkEnd w:id="236"/>
      <w:r>
        <w:rPr>
          <w:rFonts w:hAnsi="宋体" w:hint="eastAsia"/>
        </w:rPr>
        <w:t xml:space="preserve"> </w:t>
      </w:r>
    </w:p>
    <w:p w14:paraId="6601D102" w14:textId="77777777" w:rsidR="006F5FD0" w:rsidRDefault="006F5FD0">
      <w:pPr>
        <w:pStyle w:val="XBRLTitle3"/>
        <w:spacing w:before="156"/>
        <w:ind w:left="0"/>
      </w:pPr>
      <w:bookmarkStart w:id="237" w:name="_Toc513295927"/>
      <w:bookmarkStart w:id="238" w:name="_Toc490050036"/>
      <w:bookmarkStart w:id="239" w:name="_Toc481075083"/>
      <w:bookmarkStart w:id="240" w:name="_Toc512519515"/>
      <w:bookmarkStart w:id="241" w:name="_Toc17899988"/>
      <w:bookmarkEnd w:id="237"/>
      <w:bookmarkEnd w:id="238"/>
      <w:bookmarkEnd w:id="239"/>
      <w:bookmarkEnd w:id="240"/>
      <w:r>
        <w:rPr>
          <w:rFonts w:hint="eastAsia"/>
          <w:lang w:eastAsia="zh-CN"/>
        </w:rPr>
        <w:t xml:space="preserve"> </w:t>
      </w:r>
      <w:bookmarkEnd w:id="241"/>
    </w:p>
    <w:p w14:paraId="6EBC15F6" w14:textId="77777777" w:rsidR="006F5FD0" w:rsidRDefault="006F5FD0">
      <w:pPr>
        <w:spacing w:line="360" w:lineRule="auto"/>
        <w:ind w:firstLineChars="200" w:firstLine="420"/>
      </w:pPr>
      <w:r>
        <w:rPr>
          <w:rFonts w:ascii="宋体" w:hAnsi="宋体" w:hint="eastAsia"/>
        </w:rPr>
        <w:t>本基金投资的前十名证券的发行主体中，中国民生银行股份有限公司报告编制日前一年内曾受到央行的处罚，中国农业银行股份有限公司报告编制日前一年内曾受到央行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0A36F36" w14:textId="77777777" w:rsidR="006F5FD0" w:rsidRDefault="006F5FD0">
      <w:pPr>
        <w:pStyle w:val="XBRLTitle3"/>
        <w:spacing w:before="156"/>
        <w:ind w:left="0"/>
      </w:pPr>
      <w:bookmarkStart w:id="242" w:name="_Toc490050037"/>
      <w:bookmarkStart w:id="243" w:name="_Toc481075084"/>
      <w:bookmarkStart w:id="244" w:name="_Toc512519516"/>
      <w:bookmarkStart w:id="245" w:name="_Toc513295928"/>
      <w:bookmarkStart w:id="246" w:name="_Toc17899989"/>
      <w:bookmarkEnd w:id="242"/>
      <w:bookmarkEnd w:id="243"/>
      <w:bookmarkEnd w:id="244"/>
      <w:bookmarkEnd w:id="245"/>
      <w:r>
        <w:rPr>
          <w:rFonts w:hint="eastAsia"/>
          <w:lang w:eastAsia="zh-CN"/>
        </w:rPr>
        <w:t xml:space="preserve"> </w:t>
      </w:r>
      <w:bookmarkEnd w:id="246"/>
    </w:p>
    <w:p w14:paraId="58EE335F" w14:textId="77777777" w:rsidR="006F5FD0" w:rsidRDefault="006F5FD0">
      <w:pPr>
        <w:spacing w:line="360" w:lineRule="auto"/>
        <w:ind w:firstLineChars="200" w:firstLine="420"/>
      </w:pPr>
      <w:r>
        <w:rPr>
          <w:rFonts w:ascii="宋体" w:hAnsi="宋体" w:hint="eastAsia"/>
        </w:rPr>
        <w:t>报告期内本基金投资的前十名股票中没有在基金合同规定备选股票库之外的股票。</w:t>
      </w:r>
    </w:p>
    <w:p w14:paraId="4535ABA9" w14:textId="77777777" w:rsidR="006F5FD0" w:rsidRDefault="006F5FD0">
      <w:pPr>
        <w:pStyle w:val="XBRLTitle3"/>
        <w:spacing w:before="156"/>
        <w:ind w:left="0"/>
      </w:pPr>
      <w:bookmarkStart w:id="247" w:name="_Toc17899990"/>
      <w:bookmarkStart w:id="248" w:name="_Toc481075085"/>
      <w:bookmarkStart w:id="249" w:name="_Toc490050038"/>
      <w:bookmarkStart w:id="250" w:name="_Toc512519517"/>
      <w:bookmarkStart w:id="251" w:name="_Toc513295929"/>
      <w:bookmarkStart w:id="252" w:name="m510_02"/>
      <w:bookmarkEnd w:id="230"/>
      <w:r>
        <w:rPr>
          <w:rFonts w:hint="eastAsia"/>
        </w:rPr>
        <w:t>其他资产构成</w:t>
      </w:r>
      <w:bookmarkEnd w:id="247"/>
      <w:bookmarkEnd w:id="248"/>
      <w:bookmarkEnd w:id="249"/>
      <w:bookmarkEnd w:id="250"/>
      <w:bookmarkEnd w:id="2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215D6D" w14:paraId="6DA9AAA6" w14:textId="77777777">
        <w:trPr>
          <w:divId w:val="202357958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75EAB" w14:textId="77777777" w:rsidR="006F5FD0" w:rsidRDefault="006F5FD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C78BA8" w14:textId="77777777" w:rsidR="006F5FD0" w:rsidRDefault="006F5FD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57515" w14:textId="77777777" w:rsidR="006F5FD0" w:rsidRDefault="006F5FD0">
            <w:pPr>
              <w:jc w:val="center"/>
            </w:pPr>
            <w:r>
              <w:rPr>
                <w:rFonts w:ascii="宋体" w:hAnsi="宋体" w:hint="eastAsia"/>
              </w:rPr>
              <w:t>金额（元）</w:t>
            </w:r>
            <w:r>
              <w:t xml:space="preserve"> </w:t>
            </w:r>
          </w:p>
        </w:tc>
      </w:tr>
      <w:tr w:rsidR="00215D6D" w14:paraId="6DFF27B4" w14:textId="77777777">
        <w:trPr>
          <w:divId w:val="20235795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4A49B" w14:textId="77777777" w:rsidR="006F5FD0" w:rsidRDefault="006F5FD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BA35A" w14:textId="77777777" w:rsidR="006F5FD0" w:rsidRDefault="006F5FD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693C2" w14:textId="77777777" w:rsidR="006F5FD0" w:rsidRDefault="006F5FD0">
            <w:pPr>
              <w:jc w:val="right"/>
            </w:pPr>
            <w:r>
              <w:rPr>
                <w:rFonts w:ascii="宋体" w:hAnsi="宋体" w:hint="eastAsia"/>
              </w:rPr>
              <w:t>23,372.40</w:t>
            </w:r>
          </w:p>
        </w:tc>
      </w:tr>
      <w:tr w:rsidR="00215D6D" w14:paraId="414629F1" w14:textId="77777777">
        <w:trPr>
          <w:divId w:val="20235795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3275D" w14:textId="77777777" w:rsidR="006F5FD0" w:rsidRDefault="006F5FD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A081B" w14:textId="77777777" w:rsidR="006F5FD0" w:rsidRDefault="006F5FD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5CE3F" w14:textId="77777777" w:rsidR="006F5FD0" w:rsidRDefault="006F5FD0">
            <w:pPr>
              <w:jc w:val="right"/>
            </w:pPr>
            <w:r>
              <w:rPr>
                <w:rFonts w:ascii="宋体" w:hAnsi="宋体" w:hint="eastAsia"/>
              </w:rPr>
              <w:t>18,782,939.84</w:t>
            </w:r>
          </w:p>
        </w:tc>
      </w:tr>
      <w:tr w:rsidR="00215D6D" w14:paraId="3BDFF758" w14:textId="77777777">
        <w:trPr>
          <w:divId w:val="20235795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C3E17C" w14:textId="77777777" w:rsidR="006F5FD0" w:rsidRDefault="006F5FD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E3134" w14:textId="77777777" w:rsidR="006F5FD0" w:rsidRDefault="006F5FD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28BF5" w14:textId="77777777" w:rsidR="006F5FD0" w:rsidRDefault="006F5FD0">
            <w:pPr>
              <w:jc w:val="right"/>
            </w:pPr>
            <w:r>
              <w:rPr>
                <w:rFonts w:ascii="宋体" w:hAnsi="宋体" w:hint="eastAsia"/>
              </w:rPr>
              <w:t>34,654.35</w:t>
            </w:r>
          </w:p>
        </w:tc>
      </w:tr>
      <w:tr w:rsidR="00215D6D" w14:paraId="582E0C74" w14:textId="77777777">
        <w:trPr>
          <w:divId w:val="20235795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20AD6F" w14:textId="77777777" w:rsidR="006F5FD0" w:rsidRDefault="006F5FD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AA3338" w14:textId="77777777" w:rsidR="006F5FD0" w:rsidRDefault="006F5FD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7BD885" w14:textId="77777777" w:rsidR="006F5FD0" w:rsidRDefault="006F5FD0">
            <w:pPr>
              <w:jc w:val="right"/>
            </w:pPr>
            <w:r>
              <w:rPr>
                <w:rFonts w:ascii="宋体" w:hAnsi="宋体" w:hint="eastAsia"/>
              </w:rPr>
              <w:t>-</w:t>
            </w:r>
          </w:p>
        </w:tc>
      </w:tr>
      <w:tr w:rsidR="00215D6D" w14:paraId="35652A9E" w14:textId="77777777">
        <w:trPr>
          <w:divId w:val="20235795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0A96F" w14:textId="77777777" w:rsidR="006F5FD0" w:rsidRDefault="006F5FD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910BB9" w14:textId="77777777" w:rsidR="006F5FD0" w:rsidRDefault="006F5FD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B908D" w14:textId="77777777" w:rsidR="006F5FD0" w:rsidRDefault="006F5FD0">
            <w:pPr>
              <w:jc w:val="right"/>
            </w:pPr>
            <w:r>
              <w:rPr>
                <w:rFonts w:ascii="宋体" w:hAnsi="宋体" w:hint="eastAsia"/>
              </w:rPr>
              <w:t>4,999,498.01</w:t>
            </w:r>
          </w:p>
        </w:tc>
      </w:tr>
      <w:tr w:rsidR="00215D6D" w14:paraId="2D2DBFFD" w14:textId="77777777">
        <w:trPr>
          <w:divId w:val="20235795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20CE7D" w14:textId="77777777" w:rsidR="006F5FD0" w:rsidRDefault="006F5FD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9E31C7" w14:textId="77777777" w:rsidR="006F5FD0" w:rsidRDefault="006F5FD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88B1E" w14:textId="77777777" w:rsidR="006F5FD0" w:rsidRDefault="006F5FD0">
            <w:pPr>
              <w:jc w:val="right"/>
            </w:pPr>
            <w:r>
              <w:rPr>
                <w:rFonts w:ascii="宋体" w:hAnsi="宋体" w:hint="eastAsia"/>
              </w:rPr>
              <w:t>-</w:t>
            </w:r>
          </w:p>
        </w:tc>
      </w:tr>
      <w:tr w:rsidR="00215D6D" w14:paraId="4D83CB07" w14:textId="77777777">
        <w:trPr>
          <w:divId w:val="20235795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B0854" w14:textId="77777777" w:rsidR="006F5FD0" w:rsidRDefault="006F5FD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B59EE" w14:textId="77777777" w:rsidR="006F5FD0" w:rsidRDefault="006F5FD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5CA04" w14:textId="77777777" w:rsidR="006F5FD0" w:rsidRDefault="006F5FD0">
            <w:pPr>
              <w:jc w:val="right"/>
            </w:pPr>
            <w:r>
              <w:rPr>
                <w:rFonts w:ascii="宋体" w:hAnsi="宋体" w:hint="eastAsia"/>
              </w:rPr>
              <w:t>-</w:t>
            </w:r>
          </w:p>
        </w:tc>
      </w:tr>
      <w:tr w:rsidR="00215D6D" w14:paraId="3E935C60" w14:textId="77777777">
        <w:trPr>
          <w:divId w:val="20235795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0A1A2" w14:textId="77777777" w:rsidR="006F5FD0" w:rsidRDefault="006F5FD0">
            <w:pPr>
              <w:jc w:val="center"/>
            </w:pPr>
            <w:r>
              <w:rPr>
                <w:rFonts w:ascii="宋体" w:hAnsi="宋体" w:hint="eastAsia"/>
              </w:rPr>
              <w:lastRenderedPageBreak/>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5B8BE" w14:textId="77777777" w:rsidR="006F5FD0" w:rsidRDefault="006F5FD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5D1249" w14:textId="77777777" w:rsidR="006F5FD0" w:rsidRDefault="006F5FD0">
            <w:pPr>
              <w:jc w:val="right"/>
            </w:pPr>
            <w:r>
              <w:rPr>
                <w:rFonts w:ascii="宋体" w:hAnsi="宋体" w:hint="eastAsia"/>
              </w:rPr>
              <w:t>23,840,464.60</w:t>
            </w:r>
          </w:p>
        </w:tc>
      </w:tr>
    </w:tbl>
    <w:p w14:paraId="364BB142" w14:textId="77777777" w:rsidR="006F5FD0" w:rsidRDefault="006F5FD0">
      <w:pPr>
        <w:pStyle w:val="XBRLTitle3"/>
        <w:spacing w:before="156"/>
        <w:ind w:left="0"/>
      </w:pPr>
      <w:bookmarkStart w:id="253" w:name="_Toc17899991"/>
      <w:bookmarkStart w:id="254" w:name="_Toc481075086"/>
      <w:bookmarkStart w:id="255" w:name="_Toc490050039"/>
      <w:bookmarkStart w:id="256" w:name="_Toc512519518"/>
      <w:bookmarkStart w:id="257" w:name="_Toc513295930"/>
      <w:bookmarkStart w:id="258" w:name="m510_03"/>
      <w:bookmarkEnd w:id="252"/>
      <w:r>
        <w:rPr>
          <w:rFonts w:hint="eastAsia"/>
        </w:rPr>
        <w:t>报告期末持有的处于转股期的可转换债券明细</w:t>
      </w:r>
      <w:bookmarkEnd w:id="253"/>
      <w:bookmarkEnd w:id="254"/>
      <w:bookmarkEnd w:id="255"/>
      <w:bookmarkEnd w:id="256"/>
      <w:bookmarkEnd w:id="2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215D6D" w14:paraId="3C9BC3BA" w14:textId="77777777">
        <w:trPr>
          <w:divId w:val="21300968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10DBF76A" w14:textId="77777777" w:rsidR="006F5FD0" w:rsidRDefault="006F5FD0">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1AF4717" w14:textId="77777777" w:rsidR="006F5FD0" w:rsidRDefault="006F5FD0">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1C47364B" w14:textId="77777777" w:rsidR="006F5FD0" w:rsidRDefault="006F5FD0">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2FA952A" w14:textId="77777777" w:rsidR="006F5FD0" w:rsidRDefault="006F5FD0">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123955C3" w14:textId="77777777" w:rsidR="006F5FD0" w:rsidRDefault="006F5FD0">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215D6D" w14:paraId="5A90D162" w14:textId="77777777">
        <w:trPr>
          <w:divId w:val="21300968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07EA7" w14:textId="77777777" w:rsidR="006F5FD0" w:rsidRDefault="006F5FD0">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79C78" w14:textId="77777777" w:rsidR="006F5FD0" w:rsidRDefault="006F5FD0">
            <w:pPr>
              <w:jc w:val="center"/>
            </w:pPr>
            <w:r>
              <w:rPr>
                <w:rFonts w:ascii="宋体" w:hAnsi="宋体" w:hint="eastAsia"/>
                <w:kern w:val="0"/>
                <w:szCs w:val="21"/>
                <w:lang w:eastAsia="zh-Hans"/>
              </w:rPr>
              <w:t>113052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A6C3B" w14:textId="77777777" w:rsidR="006F5FD0" w:rsidRDefault="006F5FD0">
            <w:pPr>
              <w:jc w:val="center"/>
            </w:pPr>
            <w:r>
              <w:rPr>
                <w:rFonts w:ascii="宋体" w:hAnsi="宋体" w:hint="eastAsia"/>
                <w:kern w:val="0"/>
                <w:szCs w:val="21"/>
                <w:lang w:eastAsia="zh-Hans"/>
              </w:rPr>
              <w:t>兴业转债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56D598" w14:textId="77777777" w:rsidR="006F5FD0" w:rsidRDefault="006F5FD0">
            <w:pPr>
              <w:jc w:val="right"/>
            </w:pPr>
            <w:r>
              <w:rPr>
                <w:rFonts w:ascii="宋体" w:hAnsi="宋体" w:hint="eastAsia"/>
                <w:kern w:val="0"/>
                <w:szCs w:val="21"/>
                <w:lang w:eastAsia="zh-Hans"/>
              </w:rPr>
              <w:t>1,867,372.60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D10F8" w14:textId="77777777" w:rsidR="006F5FD0" w:rsidRDefault="006F5FD0">
            <w:pPr>
              <w:jc w:val="right"/>
            </w:pPr>
            <w:r>
              <w:rPr>
                <w:rFonts w:ascii="宋体" w:hAnsi="宋体" w:hint="eastAsia"/>
                <w:kern w:val="0"/>
                <w:szCs w:val="21"/>
                <w:lang w:eastAsia="zh-Hans"/>
              </w:rPr>
              <w:t>0.37</w:t>
            </w:r>
          </w:p>
        </w:tc>
      </w:tr>
      <w:tr w:rsidR="00215D6D" w14:paraId="02596B4C" w14:textId="77777777">
        <w:trPr>
          <w:divId w:val="21300968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BD8DE6" w14:textId="77777777" w:rsidR="006F5FD0" w:rsidRDefault="006F5FD0">
            <w:pPr>
              <w:jc w:val="center"/>
            </w:pPr>
            <w:r>
              <w:rPr>
                <w:rFonts w:ascii="宋体" w:hAnsi="宋体" w:hint="eastAsia"/>
                <w:kern w:val="0"/>
                <w:szCs w:val="21"/>
                <w:lang w:eastAsia="zh-Hans"/>
              </w:rPr>
              <w:t>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9563F" w14:textId="77777777" w:rsidR="006F5FD0" w:rsidRDefault="006F5FD0">
            <w:pPr>
              <w:jc w:val="center"/>
            </w:pPr>
            <w:r>
              <w:rPr>
                <w:rFonts w:ascii="宋体" w:hAnsi="宋体" w:hint="eastAsia"/>
                <w:kern w:val="0"/>
                <w:szCs w:val="21"/>
                <w:lang w:eastAsia="zh-Hans"/>
              </w:rPr>
              <w:t>110081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E7060" w14:textId="77777777" w:rsidR="006F5FD0" w:rsidRDefault="006F5FD0">
            <w:pPr>
              <w:jc w:val="center"/>
            </w:pPr>
            <w:r>
              <w:rPr>
                <w:rFonts w:ascii="宋体" w:hAnsi="宋体" w:hint="eastAsia"/>
                <w:kern w:val="0"/>
                <w:szCs w:val="21"/>
                <w:lang w:eastAsia="zh-Hans"/>
              </w:rPr>
              <w:t>闻泰转债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9EEC5" w14:textId="77777777" w:rsidR="006F5FD0" w:rsidRDefault="006F5FD0">
            <w:pPr>
              <w:jc w:val="right"/>
            </w:pPr>
            <w:r>
              <w:rPr>
                <w:rFonts w:ascii="宋体" w:hAnsi="宋体" w:hint="eastAsia"/>
                <w:kern w:val="0"/>
                <w:szCs w:val="21"/>
                <w:lang w:eastAsia="zh-Hans"/>
              </w:rPr>
              <w:t>1,674,918.49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A9EF98" w14:textId="77777777" w:rsidR="006F5FD0" w:rsidRDefault="006F5FD0">
            <w:pPr>
              <w:jc w:val="right"/>
            </w:pPr>
            <w:r>
              <w:rPr>
                <w:rFonts w:ascii="宋体" w:hAnsi="宋体" w:hint="eastAsia"/>
                <w:kern w:val="0"/>
                <w:szCs w:val="21"/>
                <w:lang w:eastAsia="zh-Hans"/>
              </w:rPr>
              <w:t>0.33</w:t>
            </w:r>
          </w:p>
        </w:tc>
      </w:tr>
      <w:tr w:rsidR="00215D6D" w14:paraId="08AEE9E4" w14:textId="77777777">
        <w:trPr>
          <w:divId w:val="21300968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75E441" w14:textId="77777777" w:rsidR="006F5FD0" w:rsidRDefault="006F5FD0">
            <w:pPr>
              <w:jc w:val="center"/>
            </w:pPr>
            <w:r>
              <w:rPr>
                <w:rFonts w:ascii="宋体" w:hAnsi="宋体" w:hint="eastAsia"/>
                <w:kern w:val="0"/>
                <w:szCs w:val="21"/>
                <w:lang w:eastAsia="zh-Hans"/>
              </w:rPr>
              <w:t>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C25A72" w14:textId="77777777" w:rsidR="006F5FD0" w:rsidRDefault="006F5FD0">
            <w:pPr>
              <w:jc w:val="center"/>
            </w:pPr>
            <w:r>
              <w:rPr>
                <w:rFonts w:ascii="宋体" w:hAnsi="宋体" w:hint="eastAsia"/>
                <w:kern w:val="0"/>
                <w:szCs w:val="21"/>
                <w:lang w:eastAsia="zh-Hans"/>
              </w:rPr>
              <w:t>123213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4A72D" w14:textId="77777777" w:rsidR="006F5FD0" w:rsidRDefault="006F5FD0">
            <w:pPr>
              <w:jc w:val="center"/>
            </w:pPr>
            <w:r>
              <w:rPr>
                <w:rFonts w:ascii="宋体" w:hAnsi="宋体" w:hint="eastAsia"/>
                <w:kern w:val="0"/>
                <w:szCs w:val="21"/>
                <w:lang w:eastAsia="zh-Hans"/>
              </w:rPr>
              <w:t>天源转债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E2211" w14:textId="77777777" w:rsidR="006F5FD0" w:rsidRDefault="006F5FD0">
            <w:pPr>
              <w:jc w:val="right"/>
            </w:pPr>
            <w:r>
              <w:rPr>
                <w:rFonts w:ascii="宋体" w:hAnsi="宋体" w:hint="eastAsia"/>
                <w:kern w:val="0"/>
                <w:szCs w:val="21"/>
                <w:lang w:eastAsia="zh-Hans"/>
              </w:rPr>
              <w:t>1,462,262.47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4DD346" w14:textId="77777777" w:rsidR="006F5FD0" w:rsidRDefault="006F5FD0">
            <w:pPr>
              <w:jc w:val="right"/>
            </w:pPr>
            <w:r>
              <w:rPr>
                <w:rFonts w:ascii="宋体" w:hAnsi="宋体" w:hint="eastAsia"/>
                <w:kern w:val="0"/>
                <w:szCs w:val="21"/>
                <w:lang w:eastAsia="zh-Hans"/>
              </w:rPr>
              <w:t>0.29</w:t>
            </w:r>
          </w:p>
        </w:tc>
      </w:tr>
    </w:tbl>
    <w:p w14:paraId="394F91EA" w14:textId="77777777" w:rsidR="006F5FD0" w:rsidRDefault="006F5FD0">
      <w:pPr>
        <w:pStyle w:val="XBRLTitle3"/>
        <w:spacing w:before="156"/>
        <w:ind w:left="0"/>
      </w:pPr>
      <w:bookmarkStart w:id="259" w:name="_Toc17899992"/>
      <w:bookmarkStart w:id="260" w:name="_Toc481075087"/>
      <w:bookmarkStart w:id="261" w:name="_Toc490050040"/>
      <w:bookmarkStart w:id="262" w:name="_Toc512519519"/>
      <w:bookmarkStart w:id="263" w:name="_Toc513295931"/>
      <w:bookmarkStart w:id="264" w:name="m510_04"/>
      <w:bookmarkEnd w:id="258"/>
      <w:r>
        <w:rPr>
          <w:rFonts w:hint="eastAsia"/>
        </w:rPr>
        <w:t>报告期末前十名股票中存在流通受限情况的说明</w:t>
      </w:r>
      <w:bookmarkEnd w:id="259"/>
      <w:bookmarkEnd w:id="260"/>
      <w:bookmarkEnd w:id="261"/>
      <w:bookmarkEnd w:id="262"/>
      <w:bookmarkEnd w:id="263"/>
    </w:p>
    <w:p w14:paraId="3C9D9FCA" w14:textId="77777777" w:rsidR="006F5FD0" w:rsidRDefault="006F5FD0">
      <w:pPr>
        <w:spacing w:line="360" w:lineRule="auto"/>
        <w:ind w:firstLineChars="200" w:firstLine="420"/>
        <w:jc w:val="left"/>
        <w:divId w:val="1296831345"/>
      </w:pPr>
      <w:r>
        <w:rPr>
          <w:rFonts w:ascii="宋体" w:hAnsi="宋体" w:hint="eastAsia"/>
        </w:rPr>
        <w:t>本基金本报告期末前十名股票中不存在流通受限情况。</w:t>
      </w:r>
      <w:bookmarkEnd w:id="17"/>
    </w:p>
    <w:p w14:paraId="0607E3CD" w14:textId="77777777" w:rsidR="006F5FD0" w:rsidRDefault="006F5FD0">
      <w:pPr>
        <w:pStyle w:val="XBRLTitle3"/>
        <w:spacing w:before="156"/>
        <w:ind w:left="0"/>
      </w:pPr>
      <w:bookmarkStart w:id="265" w:name="_Toc17899993"/>
      <w:bookmarkStart w:id="266" w:name="_Toc512519520"/>
      <w:bookmarkStart w:id="267" w:name="_Toc481075088"/>
      <w:bookmarkStart w:id="268" w:name="_Toc490050041"/>
      <w:bookmarkStart w:id="269" w:name="_Toc513295932"/>
      <w:bookmarkStart w:id="270" w:name="m510_05_1678"/>
      <w:bookmarkEnd w:id="264"/>
      <w:r>
        <w:rPr>
          <w:rFonts w:hint="eastAsia"/>
        </w:rPr>
        <w:t>投资组合报告附注的其他文字描述部分</w:t>
      </w:r>
      <w:bookmarkEnd w:id="265"/>
      <w:bookmarkEnd w:id="266"/>
      <w:bookmarkEnd w:id="267"/>
      <w:bookmarkEnd w:id="268"/>
      <w:bookmarkEnd w:id="269"/>
      <w:r>
        <w:rPr>
          <w:rFonts w:hint="eastAsia"/>
          <w:sz w:val="21"/>
        </w:rPr>
        <w:t xml:space="preserve"> </w:t>
      </w:r>
    </w:p>
    <w:p w14:paraId="77BAD3A9" w14:textId="77777777" w:rsidR="006F5FD0" w:rsidRDefault="006F5FD0">
      <w:pPr>
        <w:spacing w:line="360" w:lineRule="auto"/>
        <w:ind w:firstLineChars="200" w:firstLine="420"/>
        <w:jc w:val="left"/>
      </w:pPr>
      <w:r>
        <w:rPr>
          <w:rFonts w:ascii="宋体" w:hAnsi="宋体" w:hint="eastAsia"/>
        </w:rPr>
        <w:t>因四舍五入原因，投资组合报告中分项之和与合计可能存在尾差。</w:t>
      </w:r>
    </w:p>
    <w:p w14:paraId="5556F055" w14:textId="77777777" w:rsidR="006F5FD0" w:rsidRDefault="006F5FD0">
      <w:pPr>
        <w:pStyle w:val="XBRLTitle1"/>
        <w:spacing w:before="156" w:line="360" w:lineRule="auto"/>
        <w:ind w:left="425"/>
      </w:pPr>
      <w:bookmarkStart w:id="271" w:name="_Toc17899994"/>
      <w:r>
        <w:rPr>
          <w:rFonts w:hint="eastAsia"/>
        </w:rPr>
        <w:t>基金中基金</w:t>
      </w:r>
      <w:bookmarkEnd w:id="271"/>
      <w:r>
        <w:rPr>
          <w:rFonts w:hint="eastAsia"/>
          <w:lang w:eastAsia="zh-CN"/>
        </w:rPr>
        <w:t xml:space="preserve"> </w:t>
      </w:r>
    </w:p>
    <w:p w14:paraId="034EC320" w14:textId="77777777" w:rsidR="006F5FD0" w:rsidRDefault="006F5FD0">
      <w:pPr>
        <w:pStyle w:val="XBRLTitle2"/>
        <w:spacing w:before="156"/>
        <w:ind w:left="454"/>
      </w:pPr>
      <w:bookmarkStart w:id="272" w:name="_Toc502858550"/>
      <w:bookmarkStart w:id="273" w:name="_Toc17899995"/>
      <w:bookmarkStart w:id="274" w:name="_Toc514255300"/>
      <w:r>
        <w:rPr>
          <w:rFonts w:hint="eastAsia"/>
        </w:rPr>
        <w:t>报告期末按公允价值占基金资产净值比例大小排序的前十名基金投资明细</w:t>
      </w:r>
      <w:bookmarkEnd w:id="272"/>
      <w:bookmarkEnd w:id="273"/>
      <w:bookmarkEnd w:id="274"/>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1090"/>
        <w:gridCol w:w="1029"/>
        <w:gridCol w:w="1138"/>
        <w:gridCol w:w="1356"/>
        <w:gridCol w:w="1356"/>
        <w:gridCol w:w="949"/>
        <w:gridCol w:w="888"/>
      </w:tblGrid>
      <w:tr w:rsidR="00215D6D" w14:paraId="7E26B51D" w14:textId="77777777">
        <w:trPr>
          <w:divId w:val="1871528497"/>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7FA058B8" w14:textId="77777777" w:rsidR="006F5FD0" w:rsidRDefault="006F5FD0">
            <w:pPr>
              <w:pStyle w:val="a5"/>
              <w:spacing w:before="0" w:beforeAutospacing="0" w:after="0" w:afterAutospacing="0"/>
              <w:ind w:firstLineChars="50" w:firstLine="105"/>
              <w:jc w:val="center"/>
              <w:rPr>
                <w:rFonts w:hint="eastAsia"/>
              </w:rPr>
            </w:pPr>
            <w:bookmarkStart w:id="275" w:name="OLE_LINK46"/>
            <w:bookmarkStart w:id="276" w:name="OLE_LINK45"/>
            <w:bookmarkStart w:id="277" w:name="OLE_LINK42"/>
            <w:bookmarkStart w:id="278" w:name="OLE_LINK41"/>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45789098" w14:textId="77777777" w:rsidR="006F5FD0" w:rsidRDefault="006F5FD0">
            <w:pPr>
              <w:pStyle w:val="a5"/>
              <w:spacing w:before="0" w:beforeAutospacing="0" w:after="0" w:afterAutospacing="0"/>
              <w:jc w:val="center"/>
              <w:rPr>
                <w:rFonts w:hint="eastAsia"/>
              </w:rPr>
            </w:pPr>
            <w:r>
              <w:rPr>
                <w:rFonts w:hint="eastAsia"/>
                <w:kern w:val="2"/>
                <w:sz w:val="21"/>
              </w:rPr>
              <w:t>基金代码</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D4FEA77" w14:textId="77777777" w:rsidR="006F5FD0" w:rsidRDefault="006F5FD0">
            <w:pPr>
              <w:pStyle w:val="a5"/>
              <w:spacing w:before="0" w:beforeAutospacing="0" w:after="0" w:afterAutospacing="0"/>
              <w:jc w:val="center"/>
              <w:rPr>
                <w:rFonts w:hint="eastAsia"/>
              </w:rPr>
            </w:pPr>
            <w:r>
              <w:rPr>
                <w:rFonts w:hint="eastAsia"/>
                <w:kern w:val="2"/>
                <w:sz w:val="21"/>
              </w:rPr>
              <w:t>基金名称</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DE2A981" w14:textId="77777777" w:rsidR="006F5FD0" w:rsidRDefault="006F5FD0">
            <w:pPr>
              <w:pStyle w:val="a5"/>
              <w:spacing w:before="0" w:beforeAutospacing="0" w:after="0" w:afterAutospacing="0"/>
              <w:jc w:val="center"/>
              <w:rPr>
                <w:rFonts w:hint="eastAsia"/>
              </w:rPr>
            </w:pPr>
            <w:r>
              <w:rPr>
                <w:rFonts w:hint="eastAsia"/>
                <w:kern w:val="2"/>
                <w:sz w:val="21"/>
              </w:rPr>
              <w:t>运作方式</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B8D7E46" w14:textId="77777777" w:rsidR="006F5FD0" w:rsidRDefault="006F5FD0">
            <w:pPr>
              <w:pStyle w:val="a5"/>
              <w:spacing w:before="0" w:beforeAutospacing="0" w:after="0" w:afterAutospacing="0"/>
              <w:jc w:val="center"/>
              <w:rPr>
                <w:rFonts w:hint="eastAsia"/>
              </w:rPr>
            </w:pPr>
            <w:r>
              <w:rPr>
                <w:rFonts w:hint="eastAsia"/>
                <w:kern w:val="2"/>
                <w:sz w:val="21"/>
              </w:rPr>
              <w:t>持有份额（份）</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E32170D" w14:textId="77777777" w:rsidR="006F5FD0" w:rsidRDefault="006F5FD0">
            <w:pPr>
              <w:pStyle w:val="a5"/>
              <w:spacing w:before="0" w:beforeAutospacing="0" w:after="0" w:afterAutospacing="0"/>
              <w:jc w:val="center"/>
              <w:rPr>
                <w:rFonts w:hint="eastAsia"/>
              </w:rPr>
            </w:pPr>
            <w:r>
              <w:rPr>
                <w:rFonts w:hint="eastAsia"/>
                <w:kern w:val="2"/>
                <w:sz w:val="21"/>
              </w:rPr>
              <w:t>公允价值（元）</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22AB1C79" w14:textId="77777777" w:rsidR="006F5FD0" w:rsidRDefault="006F5FD0">
            <w:pPr>
              <w:pStyle w:val="a5"/>
              <w:spacing w:before="0" w:beforeAutospacing="0" w:after="0" w:afterAutospacing="0"/>
              <w:jc w:val="center"/>
              <w:rPr>
                <w:rFonts w:hint="eastAsia"/>
              </w:rPr>
            </w:pPr>
            <w:r>
              <w:rPr>
                <w:rFonts w:hint="eastAsia"/>
                <w:kern w:val="2"/>
                <w:sz w:val="21"/>
              </w:rPr>
              <w:t>占基金资产净值比例（%）</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19702421" w14:textId="77777777" w:rsidR="006F5FD0" w:rsidRDefault="006F5FD0">
            <w:pPr>
              <w:pStyle w:val="a5"/>
              <w:spacing w:before="0" w:beforeAutospacing="0" w:after="0" w:afterAutospacing="0"/>
              <w:jc w:val="center"/>
              <w:rPr>
                <w:rFonts w:hint="eastAsia"/>
              </w:rPr>
            </w:pPr>
            <w:r>
              <w:rPr>
                <w:rFonts w:hint="eastAsia"/>
                <w:kern w:val="2"/>
                <w:sz w:val="21"/>
              </w:rPr>
              <w:t>是否属于基金管理人及管理人关联方所管理的基金</w:t>
            </w:r>
            <w:r>
              <w:rPr>
                <w:rFonts w:hint="eastAsia"/>
                <w:kern w:val="2"/>
                <w:sz w:val="21"/>
                <w:lang w:eastAsia="zh-Hans"/>
              </w:rPr>
              <w:t xml:space="preserve"> </w:t>
            </w:r>
          </w:p>
        </w:tc>
      </w:tr>
      <w:tr w:rsidR="00215D6D" w14:paraId="23FCA240" w14:textId="77777777">
        <w:trPr>
          <w:divId w:val="1871528497"/>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FF2368" w14:textId="77777777" w:rsidR="006F5FD0" w:rsidRDefault="006F5FD0">
            <w:pPr>
              <w:pStyle w:val="a5"/>
              <w:spacing w:before="0" w:beforeAutospacing="0" w:after="0" w:afterAutospacing="0"/>
              <w:ind w:firstLineChars="50" w:firstLine="105"/>
              <w:jc w:val="center"/>
              <w:rPr>
                <w:rFonts w:hint="eastAsia"/>
              </w:rP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FFE08A6" w14:textId="77777777" w:rsidR="006F5FD0" w:rsidRDefault="006F5FD0">
            <w:pPr>
              <w:pStyle w:val="a5"/>
              <w:spacing w:before="0" w:beforeAutospacing="0" w:after="0" w:afterAutospacing="0"/>
              <w:jc w:val="center"/>
              <w:rPr>
                <w:rFonts w:hint="eastAsia"/>
              </w:rPr>
            </w:pPr>
            <w:r>
              <w:rPr>
                <w:rFonts w:hint="eastAsia"/>
                <w:kern w:val="2"/>
                <w:sz w:val="21"/>
                <w:lang w:eastAsia="zh-Hans"/>
              </w:rPr>
              <w:t>513630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F9EA72A" w14:textId="77777777" w:rsidR="006F5FD0" w:rsidRDefault="006F5FD0">
            <w:pPr>
              <w:pStyle w:val="a5"/>
              <w:spacing w:before="0" w:beforeAutospacing="0" w:after="0" w:afterAutospacing="0"/>
              <w:jc w:val="center"/>
              <w:rPr>
                <w:rFonts w:hint="eastAsia"/>
              </w:rPr>
            </w:pPr>
            <w:r>
              <w:rPr>
                <w:rFonts w:hint="eastAsia"/>
                <w:kern w:val="2"/>
                <w:sz w:val="21"/>
                <w:lang w:eastAsia="zh-Hans"/>
              </w:rPr>
              <w:t>摩根标普港股通低波红利ETF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47FCE73" w14:textId="77777777" w:rsidR="006F5FD0" w:rsidRDefault="006F5FD0">
            <w:pPr>
              <w:pStyle w:val="a5"/>
              <w:spacing w:before="0" w:beforeAutospacing="0" w:after="0" w:afterAutospacing="0"/>
              <w:jc w:val="center"/>
              <w:rPr>
                <w:rFonts w:hint="eastAsia"/>
              </w:rP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61FE399" w14:textId="77777777" w:rsidR="006F5FD0" w:rsidRDefault="006F5FD0">
            <w:pPr>
              <w:pStyle w:val="a5"/>
              <w:spacing w:before="0" w:beforeAutospacing="0" w:after="0" w:afterAutospacing="0"/>
              <w:jc w:val="right"/>
              <w:rPr>
                <w:rFonts w:hint="eastAsia"/>
              </w:rPr>
            </w:pPr>
            <w:r>
              <w:rPr>
                <w:rFonts w:hint="eastAsia"/>
                <w:kern w:val="2"/>
                <w:sz w:val="21"/>
                <w:lang w:eastAsia="zh-Hans"/>
              </w:rPr>
              <w:t>2,000,000.00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06B4BE9" w14:textId="77777777" w:rsidR="006F5FD0" w:rsidRDefault="006F5FD0">
            <w:pPr>
              <w:pStyle w:val="a5"/>
              <w:spacing w:before="0" w:beforeAutospacing="0" w:after="0" w:afterAutospacing="0"/>
              <w:jc w:val="right"/>
              <w:rPr>
                <w:rFonts w:hint="eastAsia"/>
              </w:rPr>
            </w:pPr>
            <w:r>
              <w:rPr>
                <w:rFonts w:hint="eastAsia"/>
                <w:kern w:val="2"/>
                <w:sz w:val="21"/>
                <w:lang w:eastAsia="zh-Hans"/>
              </w:rPr>
              <w:t>2,934,000.00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4BEFB3" w14:textId="77777777" w:rsidR="006F5FD0" w:rsidRDefault="006F5FD0">
            <w:pPr>
              <w:pStyle w:val="a5"/>
              <w:spacing w:before="0" w:beforeAutospacing="0" w:after="0" w:afterAutospacing="0"/>
              <w:jc w:val="right"/>
              <w:rPr>
                <w:rFonts w:hint="eastAsia"/>
              </w:rPr>
            </w:pPr>
            <w:r>
              <w:rPr>
                <w:rFonts w:hint="eastAsia"/>
                <w:kern w:val="2"/>
                <w:sz w:val="21"/>
                <w:lang w:eastAsia="zh-Hans"/>
              </w:rPr>
              <w:t>0.59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379FDC" w14:textId="77777777" w:rsidR="006F5FD0" w:rsidRDefault="006F5FD0">
            <w:pPr>
              <w:pStyle w:val="a5"/>
              <w:spacing w:before="0" w:beforeAutospacing="0" w:after="0" w:afterAutospacing="0"/>
              <w:jc w:val="right"/>
              <w:rPr>
                <w:rFonts w:hint="eastAsia"/>
              </w:rPr>
            </w:pPr>
            <w:r>
              <w:rPr>
                <w:rFonts w:hint="eastAsia"/>
                <w:kern w:val="2"/>
                <w:sz w:val="21"/>
                <w:lang w:eastAsia="zh-Hans"/>
              </w:rPr>
              <w:t>是</w:t>
            </w:r>
          </w:p>
        </w:tc>
      </w:tr>
      <w:tr w:rsidR="00215D6D" w14:paraId="57945CD5" w14:textId="77777777">
        <w:trPr>
          <w:divId w:val="1871528497"/>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E9373C" w14:textId="77777777" w:rsidR="006F5FD0" w:rsidRDefault="006F5FD0">
            <w:pPr>
              <w:pStyle w:val="a5"/>
              <w:spacing w:before="0" w:beforeAutospacing="0" w:after="0" w:afterAutospacing="0"/>
              <w:ind w:firstLineChars="50" w:firstLine="105"/>
              <w:jc w:val="center"/>
              <w:rPr>
                <w:rFonts w:hint="eastAsia"/>
              </w:rP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F8C54C" w14:textId="77777777" w:rsidR="006F5FD0" w:rsidRDefault="006F5FD0">
            <w:pPr>
              <w:pStyle w:val="a5"/>
              <w:spacing w:before="0" w:beforeAutospacing="0" w:after="0" w:afterAutospacing="0"/>
              <w:jc w:val="center"/>
              <w:rPr>
                <w:rFonts w:hint="eastAsia"/>
              </w:rPr>
            </w:pPr>
            <w:r>
              <w:rPr>
                <w:rFonts w:hint="eastAsia"/>
                <w:kern w:val="2"/>
                <w:sz w:val="21"/>
                <w:lang w:eastAsia="zh-Hans"/>
              </w:rPr>
              <w:t>512710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0B5DFE7" w14:textId="77777777" w:rsidR="006F5FD0" w:rsidRDefault="006F5FD0">
            <w:pPr>
              <w:pStyle w:val="a5"/>
              <w:spacing w:before="0" w:beforeAutospacing="0" w:after="0" w:afterAutospacing="0"/>
              <w:jc w:val="center"/>
              <w:rPr>
                <w:rFonts w:hint="eastAsia"/>
              </w:rPr>
            </w:pPr>
            <w:r>
              <w:rPr>
                <w:rFonts w:hint="eastAsia"/>
                <w:kern w:val="2"/>
                <w:sz w:val="21"/>
                <w:lang w:eastAsia="zh-Hans"/>
              </w:rPr>
              <w:t>富国中证军工龙头ETF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C5BA552" w14:textId="77777777" w:rsidR="006F5FD0" w:rsidRDefault="006F5FD0">
            <w:pPr>
              <w:pStyle w:val="a5"/>
              <w:spacing w:before="0" w:beforeAutospacing="0" w:after="0" w:afterAutospacing="0"/>
              <w:jc w:val="center"/>
              <w:rPr>
                <w:rFonts w:hint="eastAsia"/>
              </w:rP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E1ECC4" w14:textId="77777777" w:rsidR="006F5FD0" w:rsidRDefault="006F5FD0">
            <w:pPr>
              <w:pStyle w:val="a5"/>
              <w:spacing w:before="0" w:beforeAutospacing="0" w:after="0" w:afterAutospacing="0"/>
              <w:jc w:val="right"/>
              <w:rPr>
                <w:rFonts w:hint="eastAsia"/>
              </w:rPr>
            </w:pPr>
            <w:r>
              <w:rPr>
                <w:rFonts w:hint="eastAsia"/>
                <w:kern w:val="2"/>
                <w:sz w:val="21"/>
                <w:lang w:eastAsia="zh-Hans"/>
              </w:rPr>
              <w:t>3,600,000.00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44FAF7" w14:textId="77777777" w:rsidR="006F5FD0" w:rsidRDefault="006F5FD0">
            <w:pPr>
              <w:pStyle w:val="a5"/>
              <w:spacing w:before="0" w:beforeAutospacing="0" w:after="0" w:afterAutospacing="0"/>
              <w:jc w:val="right"/>
              <w:rPr>
                <w:rFonts w:hint="eastAsia"/>
              </w:rPr>
            </w:pPr>
            <w:r>
              <w:rPr>
                <w:rFonts w:hint="eastAsia"/>
                <w:kern w:val="2"/>
                <w:sz w:val="21"/>
                <w:lang w:eastAsia="zh-Hans"/>
              </w:rPr>
              <w:t>2,502,000.00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5C8E74" w14:textId="77777777" w:rsidR="006F5FD0" w:rsidRDefault="006F5FD0">
            <w:pPr>
              <w:pStyle w:val="a5"/>
              <w:spacing w:before="0" w:beforeAutospacing="0" w:after="0" w:afterAutospacing="0"/>
              <w:jc w:val="right"/>
              <w:rPr>
                <w:rFonts w:hint="eastAsia"/>
              </w:rPr>
            </w:pPr>
            <w:r>
              <w:rPr>
                <w:rFonts w:hint="eastAsia"/>
                <w:kern w:val="2"/>
                <w:sz w:val="21"/>
                <w:lang w:eastAsia="zh-Hans"/>
              </w:rPr>
              <w:t>0.50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D1BEE0" w14:textId="77777777" w:rsidR="006F5FD0" w:rsidRDefault="006F5FD0">
            <w:pPr>
              <w:pStyle w:val="a5"/>
              <w:spacing w:before="0" w:beforeAutospacing="0" w:after="0" w:afterAutospacing="0"/>
              <w:jc w:val="right"/>
              <w:rPr>
                <w:rFonts w:hint="eastAsia"/>
              </w:rPr>
            </w:pPr>
            <w:r>
              <w:rPr>
                <w:rFonts w:hint="eastAsia"/>
                <w:kern w:val="2"/>
                <w:sz w:val="21"/>
                <w:lang w:eastAsia="zh-Hans"/>
              </w:rPr>
              <w:t>否</w:t>
            </w:r>
          </w:p>
        </w:tc>
      </w:tr>
      <w:tr w:rsidR="00215D6D" w14:paraId="7BFAC35F" w14:textId="77777777">
        <w:trPr>
          <w:divId w:val="1871528497"/>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BA3FD4" w14:textId="77777777" w:rsidR="006F5FD0" w:rsidRDefault="006F5FD0">
            <w:pPr>
              <w:pStyle w:val="a5"/>
              <w:spacing w:before="0" w:beforeAutospacing="0" w:after="0" w:afterAutospacing="0"/>
              <w:ind w:firstLineChars="50" w:firstLine="105"/>
              <w:jc w:val="center"/>
              <w:rPr>
                <w:rFonts w:hint="eastAsia"/>
              </w:rP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2F89CD" w14:textId="77777777" w:rsidR="006F5FD0" w:rsidRDefault="006F5FD0">
            <w:pPr>
              <w:pStyle w:val="a5"/>
              <w:spacing w:before="0" w:beforeAutospacing="0" w:after="0" w:afterAutospacing="0"/>
              <w:jc w:val="center"/>
              <w:rPr>
                <w:rFonts w:hint="eastAsia"/>
              </w:rPr>
            </w:pPr>
            <w:r>
              <w:rPr>
                <w:rFonts w:hint="eastAsia"/>
                <w:kern w:val="2"/>
                <w:sz w:val="21"/>
                <w:lang w:eastAsia="zh-Hans"/>
              </w:rPr>
              <w:t>159792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7C63298" w14:textId="77777777" w:rsidR="006F5FD0" w:rsidRDefault="006F5FD0">
            <w:pPr>
              <w:pStyle w:val="a5"/>
              <w:spacing w:before="0" w:beforeAutospacing="0" w:after="0" w:afterAutospacing="0"/>
              <w:jc w:val="center"/>
              <w:rPr>
                <w:rFonts w:hint="eastAsia"/>
              </w:rPr>
            </w:pPr>
            <w:r>
              <w:rPr>
                <w:rFonts w:hint="eastAsia"/>
                <w:kern w:val="2"/>
                <w:sz w:val="21"/>
                <w:lang w:eastAsia="zh-Hans"/>
              </w:rPr>
              <w:t>互联网</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98FE91B" w14:textId="77777777" w:rsidR="006F5FD0" w:rsidRDefault="006F5FD0">
            <w:pPr>
              <w:pStyle w:val="a5"/>
              <w:spacing w:before="0" w:beforeAutospacing="0" w:after="0" w:afterAutospacing="0"/>
              <w:jc w:val="center"/>
              <w:rPr>
                <w:rFonts w:hint="eastAsia"/>
              </w:rP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0EE7C42" w14:textId="77777777" w:rsidR="006F5FD0" w:rsidRDefault="006F5FD0">
            <w:pPr>
              <w:pStyle w:val="a5"/>
              <w:spacing w:before="0" w:beforeAutospacing="0" w:after="0" w:afterAutospacing="0"/>
              <w:jc w:val="right"/>
              <w:rPr>
                <w:rFonts w:hint="eastAsia"/>
              </w:rPr>
            </w:pPr>
            <w:r>
              <w:rPr>
                <w:rFonts w:hint="eastAsia"/>
                <w:kern w:val="2"/>
                <w:sz w:val="21"/>
                <w:lang w:eastAsia="zh-Hans"/>
              </w:rPr>
              <w:t>1,750,000.00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821ECCF" w14:textId="77777777" w:rsidR="006F5FD0" w:rsidRDefault="006F5FD0">
            <w:pPr>
              <w:pStyle w:val="a5"/>
              <w:spacing w:before="0" w:beforeAutospacing="0" w:after="0" w:afterAutospacing="0"/>
              <w:jc w:val="right"/>
              <w:rPr>
                <w:rFonts w:hint="eastAsia"/>
              </w:rPr>
            </w:pPr>
            <w:r>
              <w:rPr>
                <w:rFonts w:hint="eastAsia"/>
                <w:kern w:val="2"/>
                <w:sz w:val="21"/>
                <w:lang w:eastAsia="zh-Hans"/>
              </w:rPr>
              <w:t>1,548,750.00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8868C35" w14:textId="77777777" w:rsidR="006F5FD0" w:rsidRDefault="006F5FD0">
            <w:pPr>
              <w:pStyle w:val="a5"/>
              <w:spacing w:before="0" w:beforeAutospacing="0" w:after="0" w:afterAutospacing="0"/>
              <w:jc w:val="right"/>
              <w:rPr>
                <w:rFonts w:hint="eastAsia"/>
              </w:rPr>
            </w:pPr>
            <w:r>
              <w:rPr>
                <w:rFonts w:hint="eastAsia"/>
                <w:kern w:val="2"/>
                <w:sz w:val="21"/>
                <w:lang w:eastAsia="zh-Hans"/>
              </w:rPr>
              <w:t>0.31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BD79EA" w14:textId="77777777" w:rsidR="006F5FD0" w:rsidRDefault="006F5FD0">
            <w:pPr>
              <w:pStyle w:val="a5"/>
              <w:spacing w:before="0" w:beforeAutospacing="0" w:after="0" w:afterAutospacing="0"/>
              <w:jc w:val="right"/>
              <w:rPr>
                <w:rFonts w:hint="eastAsia"/>
              </w:rPr>
            </w:pPr>
            <w:r>
              <w:rPr>
                <w:rFonts w:hint="eastAsia"/>
                <w:kern w:val="2"/>
                <w:sz w:val="21"/>
                <w:lang w:eastAsia="zh-Hans"/>
              </w:rPr>
              <w:t>否</w:t>
            </w:r>
            <w:bookmarkEnd w:id="275"/>
            <w:bookmarkEnd w:id="276"/>
            <w:bookmarkEnd w:id="277"/>
            <w:bookmarkEnd w:id="278"/>
            <w:bookmarkEnd w:id="175"/>
          </w:p>
        </w:tc>
      </w:tr>
    </w:tbl>
    <w:p w14:paraId="5E260AA5" w14:textId="77777777" w:rsidR="006F5FD0" w:rsidRDefault="006F5FD0">
      <w:pPr>
        <w:pStyle w:val="XBRLTitle3"/>
        <w:spacing w:before="156"/>
        <w:ind w:left="0"/>
      </w:pPr>
      <w:bookmarkStart w:id="279" w:name="_Toc178112372"/>
      <w:r>
        <w:rPr>
          <w:rFonts w:hint="eastAsia"/>
        </w:rPr>
        <w:t>报告期末按公允价值占基金资产净值比例大小排序的前十名公开募集基础设施证券投资基金投资明细</w:t>
      </w:r>
      <w:bookmarkEnd w:id="279"/>
      <w:bookmarkEnd w:id="157"/>
      <w:bookmarkEnd w:id="158"/>
      <w:bookmarkEnd w:id="159"/>
      <w:bookmarkEnd w:id="160"/>
      <w:r>
        <w:rPr>
          <w:rFonts w:hint="eastAsia"/>
          <w:lang w:eastAsia="zh-CN"/>
        </w:rPr>
        <w:t xml:space="preserve"> </w:t>
      </w:r>
    </w:p>
    <w:p w14:paraId="747354F3" w14:textId="77777777" w:rsidR="006F5FD0" w:rsidRDefault="006F5FD0">
      <w:pPr>
        <w:spacing w:line="360" w:lineRule="auto"/>
        <w:ind w:firstLineChars="200" w:firstLine="420"/>
        <w:divId w:val="1539774658"/>
        <w:rPr>
          <w:rFonts w:ascii="宋体" w:hAnsi="宋体" w:hint="eastAsia"/>
          <w:szCs w:val="21"/>
          <w:lang w:eastAsia="zh-Hans"/>
        </w:rPr>
      </w:pPr>
      <w:r>
        <w:rPr>
          <w:rFonts w:ascii="宋体" w:hAnsi="宋体" w:hint="eastAsia"/>
          <w:szCs w:val="21"/>
          <w:lang w:eastAsia="zh-Hans"/>
        </w:rPr>
        <w:t>无。</w:t>
      </w:r>
    </w:p>
    <w:p w14:paraId="078ED588" w14:textId="77777777" w:rsidR="006F5FD0" w:rsidRDefault="006F5FD0">
      <w:pPr>
        <w:pStyle w:val="XBRLTitle3"/>
        <w:spacing w:before="156"/>
        <w:ind w:left="0"/>
      </w:pPr>
      <w:bookmarkStart w:id="280" w:name="_Toc178112373"/>
      <w:bookmarkEnd w:id="162"/>
      <w:r>
        <w:rPr>
          <w:rFonts w:hint="eastAsia"/>
        </w:rPr>
        <w:t>报告期末基金持有的全部公开募集基础设施证券投资基金情况</w:t>
      </w:r>
      <w:bookmarkEnd w:id="280"/>
      <w:bookmarkEnd w:id="163"/>
      <w:bookmarkEnd w:id="164"/>
      <w:bookmarkEnd w:id="165"/>
      <w:bookmarkEnd w:id="166"/>
      <w:r>
        <w:rPr>
          <w:rFonts w:hint="eastAsia"/>
          <w:szCs w:val="24"/>
        </w:rPr>
        <w:t xml:space="preserve"> </w:t>
      </w:r>
      <w:bookmarkEnd w:id="18"/>
      <w:bookmarkEnd w:id="19"/>
      <w:bookmarkEnd w:id="20"/>
      <w:bookmarkEnd w:id="65"/>
      <w:bookmarkEnd w:id="66"/>
      <w:bookmarkEnd w:id="15"/>
      <w:bookmarkEnd w:id="16"/>
    </w:p>
    <w:p w14:paraId="0DA28193" w14:textId="77777777" w:rsidR="006F5FD0" w:rsidRDefault="006F5FD0">
      <w:pPr>
        <w:spacing w:line="360" w:lineRule="auto"/>
        <w:ind w:firstLineChars="200" w:firstLine="420"/>
        <w:divId w:val="1644238131"/>
        <w:rPr>
          <w:rFonts w:ascii="宋体" w:hAnsi="宋体" w:hint="eastAsia"/>
          <w:szCs w:val="21"/>
          <w:lang w:eastAsia="zh-Hans"/>
        </w:rPr>
      </w:pPr>
      <w:r>
        <w:rPr>
          <w:rFonts w:ascii="宋体" w:hAnsi="宋体" w:hint="eastAsia"/>
          <w:szCs w:val="21"/>
          <w:lang w:eastAsia="zh-Hans"/>
        </w:rPr>
        <w:t>无。</w:t>
      </w:r>
    </w:p>
    <w:p w14:paraId="2E519C9A" w14:textId="77777777" w:rsidR="006F5FD0" w:rsidRDefault="006F5FD0">
      <w:pPr>
        <w:pStyle w:val="XBRLTitle2"/>
        <w:spacing w:before="156"/>
        <w:ind w:left="454"/>
      </w:pPr>
      <w:bookmarkStart w:id="281" w:name="_Toc502822090"/>
      <w:bookmarkStart w:id="282" w:name="_Toc17899996"/>
      <w:bookmarkStart w:id="283" w:name="_Toc514255301"/>
      <w:r>
        <w:rPr>
          <w:rFonts w:hint="eastAsia"/>
        </w:rPr>
        <w:t>当期交易及持有基金产生的费用</w:t>
      </w:r>
      <w:bookmarkEnd w:id="281"/>
      <w:bookmarkEnd w:id="282"/>
      <w:bookmarkEnd w:id="283"/>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3170"/>
        <w:gridCol w:w="2719"/>
      </w:tblGrid>
      <w:tr w:rsidR="00215D6D" w14:paraId="6B41D4A2" w14:textId="77777777">
        <w:trPr>
          <w:divId w:val="2057047441"/>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0BF17C44" w14:textId="77777777" w:rsidR="006F5FD0" w:rsidRDefault="006F5FD0">
            <w:pPr>
              <w:jc w:val="center"/>
            </w:pPr>
            <w:r>
              <w:rPr>
                <w:rFonts w:ascii="宋体" w:hAnsi="宋体" w:hint="eastAsia"/>
                <w:color w:val="000000"/>
              </w:rPr>
              <w:t xml:space="preserve">项目 </w:t>
            </w:r>
          </w:p>
        </w:tc>
        <w:tc>
          <w:tcPr>
            <w:tcW w:w="1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4A38F8A5" w14:textId="77777777" w:rsidR="006F5FD0" w:rsidRDefault="006F5FD0">
            <w:pPr>
              <w:jc w:val="center"/>
            </w:pPr>
            <w:r>
              <w:rPr>
                <w:rFonts w:ascii="宋体" w:hAnsi="宋体" w:hint="eastAsia"/>
                <w:color w:val="000000"/>
              </w:rPr>
              <w:t>本期费用2025年4月1日至2025年6月30日</w:t>
            </w:r>
          </w:p>
        </w:tc>
        <w:tc>
          <w:tcPr>
            <w:tcW w:w="15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06A7B7C6" w14:textId="77777777" w:rsidR="006F5FD0" w:rsidRDefault="006F5FD0">
            <w:pPr>
              <w:jc w:val="center"/>
            </w:pPr>
            <w:r>
              <w:rPr>
                <w:rFonts w:ascii="宋体" w:hAnsi="宋体" w:hint="eastAsia"/>
                <w:color w:val="000000"/>
              </w:rPr>
              <w:t>其中：交易及持有基金管理人以及管理人关联方所管理</w:t>
            </w:r>
            <w:r>
              <w:rPr>
                <w:rFonts w:ascii="宋体" w:hAnsi="宋体" w:hint="eastAsia"/>
                <w:color w:val="000000"/>
              </w:rPr>
              <w:lastRenderedPageBreak/>
              <w:t xml:space="preserve">基金产生的费用 </w:t>
            </w:r>
          </w:p>
        </w:tc>
      </w:tr>
      <w:tr w:rsidR="00215D6D" w14:paraId="60DD1815" w14:textId="77777777">
        <w:trPr>
          <w:divId w:val="205704744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874369" w14:textId="77777777" w:rsidR="006F5FD0" w:rsidRDefault="006F5FD0">
            <w:pPr>
              <w:jc w:val="left"/>
            </w:pPr>
            <w:r>
              <w:rPr>
                <w:rFonts w:ascii="宋体" w:hAnsi="宋体" w:hint="eastAsia"/>
                <w:szCs w:val="24"/>
                <w:lang w:eastAsia="zh-Hans"/>
              </w:rPr>
              <w:lastRenderedPageBreak/>
              <w:t xml:space="preserve">当期交易基金产生的申购费（元）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31F705" w14:textId="77777777" w:rsidR="006F5FD0" w:rsidRDefault="006F5FD0">
            <w:pPr>
              <w:jc w:val="right"/>
            </w:pPr>
            <w:r>
              <w:rPr>
                <w:rFonts w:ascii="宋体" w:hAnsi="宋体" w:hint="eastAsia"/>
                <w:szCs w:val="24"/>
                <w:lang w:eastAsia="zh-Hans"/>
              </w:rPr>
              <w:t>-</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DE7FE4" w14:textId="77777777" w:rsidR="006F5FD0" w:rsidRDefault="006F5FD0">
            <w:pPr>
              <w:jc w:val="right"/>
            </w:pPr>
            <w:r>
              <w:rPr>
                <w:rFonts w:ascii="宋体" w:hAnsi="宋体" w:hint="eastAsia"/>
                <w:szCs w:val="24"/>
                <w:lang w:eastAsia="zh-Hans"/>
              </w:rPr>
              <w:t>-</w:t>
            </w:r>
          </w:p>
        </w:tc>
      </w:tr>
      <w:tr w:rsidR="00215D6D" w14:paraId="2008818E" w14:textId="77777777">
        <w:trPr>
          <w:divId w:val="205704744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CF1B7B2" w14:textId="77777777" w:rsidR="006F5FD0" w:rsidRDefault="006F5FD0">
            <w:pPr>
              <w:jc w:val="left"/>
            </w:pPr>
            <w:r>
              <w:rPr>
                <w:rFonts w:ascii="宋体" w:hAnsi="宋体" w:hint="eastAsia"/>
                <w:color w:val="000000"/>
              </w:rPr>
              <w:t xml:space="preserve">当期交易基金产生的赎回费（元）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020E7E2" w14:textId="77777777" w:rsidR="006F5FD0" w:rsidRDefault="006F5FD0">
            <w:pPr>
              <w:jc w:val="right"/>
            </w:pPr>
            <w:r>
              <w:rPr>
                <w:rFonts w:ascii="宋体" w:hAnsi="宋体" w:hint="eastAsia"/>
                <w:szCs w:val="24"/>
                <w:lang w:eastAsia="zh-Hans"/>
              </w:rPr>
              <w:t>-</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6C6FC5" w14:textId="77777777" w:rsidR="006F5FD0" w:rsidRDefault="006F5FD0">
            <w:pPr>
              <w:jc w:val="right"/>
            </w:pPr>
            <w:r>
              <w:rPr>
                <w:rFonts w:ascii="宋体" w:hAnsi="宋体" w:hint="eastAsia"/>
                <w:szCs w:val="24"/>
                <w:lang w:eastAsia="zh-Hans"/>
              </w:rPr>
              <w:t>-</w:t>
            </w:r>
          </w:p>
        </w:tc>
      </w:tr>
      <w:tr w:rsidR="00215D6D" w14:paraId="5D2CBEA9" w14:textId="77777777">
        <w:trPr>
          <w:divId w:val="205704744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5EF428" w14:textId="77777777" w:rsidR="006F5FD0" w:rsidRDefault="006F5FD0">
            <w:pPr>
              <w:jc w:val="left"/>
            </w:pPr>
            <w:r>
              <w:rPr>
                <w:rFonts w:ascii="宋体" w:hAnsi="宋体" w:hint="eastAsia"/>
                <w:color w:val="000000"/>
              </w:rPr>
              <w:t xml:space="preserve">当期持有基金产生的应支付销售服务费（元）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C94304" w14:textId="77777777" w:rsidR="006F5FD0" w:rsidRDefault="006F5FD0">
            <w:pPr>
              <w:jc w:val="right"/>
            </w:pPr>
            <w:r>
              <w:rPr>
                <w:rFonts w:ascii="宋体" w:hAnsi="宋体" w:hint="eastAsia"/>
                <w:szCs w:val="24"/>
                <w:lang w:eastAsia="zh-Hans"/>
              </w:rPr>
              <w:t>-</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E1CAD2E" w14:textId="77777777" w:rsidR="006F5FD0" w:rsidRDefault="006F5FD0">
            <w:pPr>
              <w:jc w:val="right"/>
            </w:pPr>
            <w:r>
              <w:rPr>
                <w:rFonts w:ascii="宋体" w:hAnsi="宋体" w:hint="eastAsia"/>
                <w:szCs w:val="24"/>
                <w:lang w:eastAsia="zh-Hans"/>
              </w:rPr>
              <w:t>-</w:t>
            </w:r>
          </w:p>
        </w:tc>
      </w:tr>
      <w:tr w:rsidR="00215D6D" w14:paraId="1A193AA2" w14:textId="77777777">
        <w:trPr>
          <w:divId w:val="205704744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89B4A77" w14:textId="77777777" w:rsidR="006F5FD0" w:rsidRDefault="006F5FD0">
            <w:pPr>
              <w:jc w:val="left"/>
            </w:pPr>
            <w:r>
              <w:rPr>
                <w:rFonts w:ascii="宋体" w:hAnsi="宋体" w:hint="eastAsia"/>
                <w:color w:val="000000"/>
              </w:rPr>
              <w:t xml:space="preserve">当期持有基金产生的应支付管理费（元）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8846E61" w14:textId="77777777" w:rsidR="006F5FD0" w:rsidRDefault="006F5FD0">
            <w:pPr>
              <w:jc w:val="right"/>
            </w:pPr>
            <w:r>
              <w:rPr>
                <w:rFonts w:ascii="宋体" w:hAnsi="宋体" w:hint="eastAsia"/>
                <w:szCs w:val="24"/>
                <w:lang w:eastAsia="zh-Hans"/>
              </w:rPr>
              <w:t>5,453.20</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8B4D17" w14:textId="77777777" w:rsidR="006F5FD0" w:rsidRDefault="006F5FD0">
            <w:pPr>
              <w:jc w:val="right"/>
            </w:pPr>
            <w:r>
              <w:rPr>
                <w:rFonts w:ascii="宋体" w:hAnsi="宋体" w:hint="eastAsia"/>
                <w:szCs w:val="24"/>
                <w:lang w:eastAsia="zh-Hans"/>
              </w:rPr>
              <w:t>2,613.88</w:t>
            </w:r>
          </w:p>
        </w:tc>
      </w:tr>
      <w:tr w:rsidR="00215D6D" w14:paraId="62764B7D" w14:textId="77777777">
        <w:trPr>
          <w:divId w:val="205704744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EB1312" w14:textId="77777777" w:rsidR="006F5FD0" w:rsidRDefault="006F5FD0">
            <w:pPr>
              <w:jc w:val="left"/>
            </w:pPr>
            <w:r>
              <w:rPr>
                <w:rFonts w:ascii="宋体" w:hAnsi="宋体" w:hint="eastAsia"/>
                <w:color w:val="000000"/>
              </w:rPr>
              <w:t xml:space="preserve">当期持有基金产生的应支付托管费（元）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947788C" w14:textId="77777777" w:rsidR="006F5FD0" w:rsidRDefault="006F5FD0">
            <w:pPr>
              <w:jc w:val="right"/>
            </w:pPr>
            <w:r>
              <w:rPr>
                <w:rFonts w:ascii="宋体" w:hAnsi="宋体" w:hint="eastAsia"/>
                <w:szCs w:val="24"/>
                <w:lang w:eastAsia="zh-Hans"/>
              </w:rPr>
              <w:t>1,092.74</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5E878FD" w14:textId="77777777" w:rsidR="006F5FD0" w:rsidRDefault="006F5FD0">
            <w:pPr>
              <w:jc w:val="right"/>
            </w:pPr>
            <w:r>
              <w:rPr>
                <w:rFonts w:ascii="宋体" w:hAnsi="宋体" w:hint="eastAsia"/>
                <w:szCs w:val="24"/>
                <w:lang w:eastAsia="zh-Hans"/>
              </w:rPr>
              <w:t>522.79</w:t>
            </w:r>
          </w:p>
        </w:tc>
      </w:tr>
      <w:tr w:rsidR="00215D6D" w14:paraId="5B88E760" w14:textId="77777777">
        <w:trPr>
          <w:divId w:val="205704744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3AE27C" w14:textId="77777777" w:rsidR="006F5FD0" w:rsidRDefault="006F5FD0">
            <w:pPr>
              <w:jc w:val="left"/>
            </w:pPr>
            <w:r>
              <w:rPr>
                <w:rFonts w:ascii="宋体" w:hAnsi="宋体" w:hint="eastAsia"/>
                <w:color w:val="000000"/>
              </w:rPr>
              <w:t>当期交易基金产生的交易费（元）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0F945A" w14:textId="77777777" w:rsidR="006F5FD0" w:rsidRDefault="006F5FD0">
            <w:pPr>
              <w:jc w:val="right"/>
            </w:pPr>
            <w:r>
              <w:rPr>
                <w:rFonts w:ascii="宋体" w:hAnsi="宋体" w:hint="eastAsia"/>
                <w:szCs w:val="24"/>
                <w:lang w:eastAsia="zh-Hans"/>
              </w:rPr>
              <w:t>493.13</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DBB0A5A" w14:textId="77777777" w:rsidR="006F5FD0" w:rsidRDefault="006F5FD0">
            <w:pPr>
              <w:jc w:val="right"/>
            </w:pPr>
            <w:r>
              <w:rPr>
                <w:rFonts w:ascii="宋体" w:hAnsi="宋体" w:hint="eastAsia"/>
                <w:szCs w:val="24"/>
                <w:lang w:eastAsia="zh-Hans"/>
              </w:rPr>
              <w:t>108.75</w:t>
            </w:r>
          </w:p>
        </w:tc>
      </w:tr>
    </w:tbl>
    <w:p w14:paraId="2E212F0F" w14:textId="77777777" w:rsidR="006F5FD0" w:rsidRDefault="006F5FD0">
      <w:pPr>
        <w:pStyle w:val="XBRLTitle2"/>
        <w:spacing w:before="156"/>
        <w:ind w:left="454"/>
      </w:pPr>
      <w:bookmarkStart w:id="284" w:name="_Toc502858552"/>
      <w:bookmarkStart w:id="285" w:name="_Toc17899997"/>
      <w:bookmarkStart w:id="286" w:name="_Toc514255302"/>
      <w:r>
        <w:rPr>
          <w:rFonts w:hint="eastAsia"/>
        </w:rPr>
        <w:t>本报告期持有的基金发生的重大影响事件</w:t>
      </w:r>
      <w:bookmarkEnd w:id="284"/>
      <w:bookmarkEnd w:id="285"/>
      <w:bookmarkEnd w:id="286"/>
      <w:r>
        <w:rPr>
          <w:rFonts w:hint="eastAsia"/>
          <w:lang w:eastAsia="zh-CN"/>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835"/>
      </w:tblGrid>
      <w:tr w:rsidR="00215D6D" w14:paraId="73AC5FD7" w14:textId="77777777">
        <w:trPr>
          <w:divId w:val="24033939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4A171C7A" w14:textId="77777777" w:rsidR="006F5FD0" w:rsidRDefault="006F5FD0">
            <w:pPr>
              <w:spacing w:line="360" w:lineRule="auto"/>
              <w:jc w:val="left"/>
            </w:pPr>
            <w:r>
              <w:rPr>
                <w:rFonts w:ascii="宋体" w:hAnsi="宋体" w:cs="宋体" w:hint="eastAsia"/>
                <w:color w:val="000000"/>
                <w:kern w:val="0"/>
              </w:rPr>
              <w:t>无。</w:t>
            </w:r>
          </w:p>
        </w:tc>
      </w:tr>
    </w:tbl>
    <w:p w14:paraId="36E5AE0C" w14:textId="77777777" w:rsidR="006F5FD0" w:rsidRDefault="006F5FD0">
      <w:pPr>
        <w:pStyle w:val="XBRLTitle1"/>
        <w:spacing w:before="156" w:line="360" w:lineRule="auto"/>
        <w:ind w:left="425"/>
      </w:pPr>
      <w:bookmarkStart w:id="287" w:name="_Toc17899998"/>
      <w:bookmarkStart w:id="288" w:name="_Toc512519521"/>
      <w:bookmarkStart w:id="289" w:name="_Toc481075089"/>
      <w:bookmarkStart w:id="290" w:name="_Toc438646477"/>
      <w:bookmarkStart w:id="291" w:name="_Toc490050042"/>
      <w:bookmarkStart w:id="292" w:name="_Toc513295870"/>
      <w:bookmarkStart w:id="293" w:name="_Toc513295933"/>
      <w:bookmarkStart w:id="294" w:name="m601"/>
      <w:bookmarkEnd w:id="270"/>
      <w:r>
        <w:rPr>
          <w:rFonts w:hAnsi="宋体" w:hint="eastAsia"/>
        </w:rPr>
        <w:t>开放式基金份额变动</w:t>
      </w:r>
      <w:bookmarkStart w:id="295" w:name="m601_tab"/>
      <w:bookmarkEnd w:id="287"/>
      <w:bookmarkEnd w:id="288"/>
      <w:bookmarkEnd w:id="289"/>
      <w:bookmarkEnd w:id="290"/>
      <w:bookmarkEnd w:id="291"/>
      <w:bookmarkEnd w:id="292"/>
      <w:bookmarkEnd w:id="293"/>
      <w:r>
        <w:rPr>
          <w:rFonts w:hAnsi="宋体" w:hint="eastAsia"/>
        </w:rPr>
        <w:t xml:space="preserve"> </w:t>
      </w:r>
    </w:p>
    <w:p w14:paraId="2452CE6A" w14:textId="77777777" w:rsidR="006F5FD0" w:rsidRDefault="006F5FD0">
      <w:pPr>
        <w:wordWrap w:val="0"/>
        <w:spacing w:line="360" w:lineRule="auto"/>
        <w:jc w:val="right"/>
        <w:divId w:val="1550603334"/>
      </w:pPr>
      <w:bookmarkStart w:id="29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215D6D" w14:paraId="42D7CD71" w14:textId="77777777">
        <w:trPr>
          <w:divId w:val="1550603334"/>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7C579FF" w14:textId="77777777" w:rsidR="006F5FD0" w:rsidRDefault="006F5FD0">
            <w:pPr>
              <w:pStyle w:val="xl33"/>
              <w:widowControl w:val="0"/>
              <w:pBdr>
                <w:left w:val="none" w:sz="0" w:space="0" w:color="auto"/>
                <w:bottom w:val="none" w:sz="0" w:space="0" w:color="auto"/>
                <w:right w:val="none" w:sz="0" w:space="0" w:color="auto"/>
              </w:pBdr>
              <w:spacing w:before="0" w:beforeAutospacing="0" w:after="0" w:afterAutospacing="0"/>
              <w:jc w:val="both"/>
            </w:pPr>
            <w:bookmarkStart w:id="297" w:name="m10_01" w:colFirst="1" w:colLast="2"/>
            <w:bookmarkEnd w:id="29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E5FC0A" w14:textId="77777777" w:rsidR="006F5FD0" w:rsidRDefault="006F5FD0">
            <w:pPr>
              <w:ind w:right="3"/>
              <w:jc w:val="center"/>
            </w:pPr>
            <w:r>
              <w:rPr>
                <w:rFonts w:ascii="宋体" w:hAnsi="宋体" w:hint="eastAsia"/>
                <w:lang w:eastAsia="zh-Hans"/>
              </w:rPr>
              <w:t>摩根恒鑫债券A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2BB49" w14:textId="77777777" w:rsidR="006F5FD0" w:rsidRDefault="006F5FD0">
            <w:pPr>
              <w:ind w:right="3"/>
              <w:jc w:val="center"/>
            </w:pPr>
            <w:r>
              <w:rPr>
                <w:rFonts w:ascii="宋体" w:hAnsi="宋体" w:hint="eastAsia"/>
                <w:lang w:eastAsia="zh-Hans"/>
              </w:rPr>
              <w:t>摩根恒鑫债券C</w:t>
            </w:r>
            <w:r>
              <w:rPr>
                <w:rFonts w:ascii="宋体" w:hAnsi="宋体" w:hint="eastAsia"/>
                <w:kern w:val="0"/>
                <w:szCs w:val="24"/>
                <w:lang w:eastAsia="zh-Hans"/>
              </w:rPr>
              <w:t xml:space="preserve"> </w:t>
            </w:r>
          </w:p>
        </w:tc>
      </w:tr>
      <w:tr w:rsidR="00215D6D" w14:paraId="67EAFD91" w14:textId="77777777">
        <w:trPr>
          <w:divId w:val="155060333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F12D6F" w14:textId="77777777" w:rsidR="006F5FD0" w:rsidRDefault="006F5FD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68DCCF" w14:textId="77777777" w:rsidR="006F5FD0" w:rsidRDefault="006F5FD0">
            <w:pPr>
              <w:jc w:val="right"/>
            </w:pPr>
            <w:r>
              <w:rPr>
                <w:rFonts w:ascii="宋体" w:hAnsi="宋体" w:hint="eastAsia"/>
              </w:rPr>
              <w:t>243,791,582.91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EBB0D0" w14:textId="77777777" w:rsidR="006F5FD0" w:rsidRDefault="006F5FD0">
            <w:pPr>
              <w:jc w:val="right"/>
            </w:pPr>
            <w:r>
              <w:rPr>
                <w:rFonts w:ascii="宋体" w:hAnsi="宋体" w:hint="eastAsia"/>
              </w:rPr>
              <w:t>970,292,048.78</w:t>
            </w:r>
          </w:p>
        </w:tc>
      </w:tr>
      <w:tr w:rsidR="00215D6D" w14:paraId="5ABECC15" w14:textId="77777777">
        <w:trPr>
          <w:divId w:val="155060333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0E93FE" w14:textId="77777777" w:rsidR="006F5FD0" w:rsidRDefault="006F5FD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505BD3" w14:textId="77777777" w:rsidR="006F5FD0" w:rsidRDefault="006F5FD0">
            <w:pPr>
              <w:jc w:val="right"/>
            </w:pPr>
            <w:r>
              <w:rPr>
                <w:rFonts w:ascii="宋体" w:hAnsi="宋体" w:hint="eastAsia"/>
              </w:rPr>
              <w:t>46,034,022.17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DFA4B6" w14:textId="77777777" w:rsidR="006F5FD0" w:rsidRDefault="006F5FD0">
            <w:pPr>
              <w:jc w:val="right"/>
            </w:pPr>
            <w:r>
              <w:rPr>
                <w:rFonts w:ascii="宋体" w:hAnsi="宋体" w:hint="eastAsia"/>
              </w:rPr>
              <w:t>253,104.07</w:t>
            </w:r>
          </w:p>
        </w:tc>
      </w:tr>
      <w:tr w:rsidR="00215D6D" w14:paraId="3B2801BD" w14:textId="77777777">
        <w:trPr>
          <w:divId w:val="155060333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A8261B" w14:textId="77777777" w:rsidR="006F5FD0" w:rsidRDefault="006F5FD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CAC9E7" w14:textId="77777777" w:rsidR="006F5FD0" w:rsidRDefault="006F5FD0">
            <w:pPr>
              <w:jc w:val="right"/>
            </w:pPr>
            <w:r>
              <w:rPr>
                <w:rFonts w:ascii="宋体" w:hAnsi="宋体" w:hint="eastAsia"/>
              </w:rPr>
              <w:t>124,485,185.64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B07290" w14:textId="77777777" w:rsidR="006F5FD0" w:rsidRDefault="006F5FD0">
            <w:pPr>
              <w:jc w:val="right"/>
            </w:pPr>
            <w:r>
              <w:rPr>
                <w:rFonts w:ascii="宋体" w:hAnsi="宋体" w:hint="eastAsia"/>
              </w:rPr>
              <w:t>636,806,292.80</w:t>
            </w:r>
          </w:p>
        </w:tc>
      </w:tr>
      <w:tr w:rsidR="00215D6D" w14:paraId="197F01BD" w14:textId="77777777">
        <w:trPr>
          <w:divId w:val="155060333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D77A38" w14:textId="77777777" w:rsidR="006F5FD0" w:rsidRDefault="006F5FD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785F8E" w14:textId="77777777" w:rsidR="006F5FD0" w:rsidRDefault="006F5FD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F6A0AE" w14:textId="77777777" w:rsidR="006F5FD0" w:rsidRDefault="006F5FD0">
            <w:pPr>
              <w:jc w:val="right"/>
            </w:pPr>
            <w:r>
              <w:rPr>
                <w:rFonts w:ascii="宋体" w:hAnsi="宋体" w:hint="eastAsia"/>
              </w:rPr>
              <w:t>-</w:t>
            </w:r>
          </w:p>
        </w:tc>
      </w:tr>
      <w:tr w:rsidR="00215D6D" w14:paraId="068F2899" w14:textId="77777777">
        <w:trPr>
          <w:divId w:val="155060333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7270EC" w14:textId="77777777" w:rsidR="006F5FD0" w:rsidRDefault="006F5FD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62EF98" w14:textId="77777777" w:rsidR="006F5FD0" w:rsidRDefault="006F5FD0">
            <w:pPr>
              <w:jc w:val="right"/>
            </w:pPr>
            <w:r>
              <w:rPr>
                <w:rFonts w:ascii="宋体" w:hAnsi="宋体" w:hint="eastAsia"/>
              </w:rPr>
              <w:t>165,340,419.44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8E563E" w14:textId="77777777" w:rsidR="006F5FD0" w:rsidRDefault="006F5FD0">
            <w:pPr>
              <w:jc w:val="right"/>
            </w:pPr>
            <w:r>
              <w:rPr>
                <w:rFonts w:ascii="宋体" w:hAnsi="宋体" w:hint="eastAsia"/>
              </w:rPr>
              <w:t>333,738,860.05</w:t>
            </w:r>
          </w:p>
        </w:tc>
      </w:tr>
    </w:tbl>
    <w:p w14:paraId="3D151F2B" w14:textId="77777777" w:rsidR="006F5FD0" w:rsidRDefault="006F5FD0">
      <w:pPr>
        <w:spacing w:line="360" w:lineRule="auto"/>
        <w:jc w:val="left"/>
        <w:divId w:val="1550603334"/>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97"/>
      <w:r>
        <w:rPr>
          <w:rFonts w:ascii="宋体" w:hAnsi="宋体" w:hint="eastAsia"/>
        </w:rPr>
        <w:t xml:space="preserve"> </w:t>
      </w:r>
    </w:p>
    <w:p w14:paraId="6E598731" w14:textId="77777777" w:rsidR="006F5FD0" w:rsidRDefault="006F5FD0">
      <w:pPr>
        <w:pStyle w:val="XBRLTitle1"/>
        <w:spacing w:before="156" w:line="360" w:lineRule="auto"/>
        <w:ind w:left="425"/>
      </w:pPr>
      <w:bookmarkStart w:id="298" w:name="_Toc17899999"/>
      <w:bookmarkStart w:id="299" w:name="m7manage01"/>
      <w:bookmarkStart w:id="300" w:name="_Toc512519522"/>
      <w:bookmarkStart w:id="301" w:name="_Toc481075090"/>
      <w:bookmarkStart w:id="302" w:name="_Toc438646478"/>
      <w:bookmarkStart w:id="303" w:name="_Toc490050043"/>
      <w:bookmarkStart w:id="304" w:name="_Toc513295871"/>
      <w:bookmarkStart w:id="305" w:name="_Toc513295934"/>
      <w:bookmarkEnd w:id="294"/>
      <w:bookmarkEnd w:id="295"/>
      <w:r>
        <w:rPr>
          <w:rFonts w:hAnsi="宋体" w:hint="eastAsia"/>
        </w:rPr>
        <w:t>基金管理人运用固有资金投资本基金情况</w:t>
      </w:r>
      <w:bookmarkEnd w:id="298"/>
      <w:bookmarkEnd w:id="299"/>
      <w:bookmarkEnd w:id="300"/>
      <w:bookmarkEnd w:id="301"/>
      <w:bookmarkEnd w:id="302"/>
      <w:bookmarkEnd w:id="303"/>
      <w:bookmarkEnd w:id="304"/>
      <w:bookmarkEnd w:id="305"/>
      <w:r>
        <w:rPr>
          <w:rFonts w:hAnsi="宋体" w:hint="eastAsia"/>
        </w:rPr>
        <w:t xml:space="preserve"> </w:t>
      </w:r>
    </w:p>
    <w:p w14:paraId="7BA44315" w14:textId="77777777" w:rsidR="006F5FD0" w:rsidRDefault="006F5FD0">
      <w:pPr>
        <w:pStyle w:val="XBRLTitle2"/>
        <w:spacing w:before="156" w:line="360" w:lineRule="auto"/>
        <w:ind w:left="454"/>
      </w:pPr>
      <w:bookmarkStart w:id="306" w:name="_Toc17900000"/>
      <w:bookmarkStart w:id="307" w:name="_Toc512519523"/>
      <w:bookmarkStart w:id="308" w:name="_Toc481075091"/>
      <w:bookmarkStart w:id="309" w:name="_Toc458599606"/>
      <w:bookmarkStart w:id="310" w:name="_Toc490050044"/>
      <w:bookmarkStart w:id="311" w:name="_Toc513295872"/>
      <w:bookmarkStart w:id="312" w:name="_Toc513295935"/>
      <w:r>
        <w:rPr>
          <w:rFonts w:hAnsi="宋体" w:hint="eastAsia"/>
        </w:rPr>
        <w:t>基金管理人持有本基金份额变动情况</w:t>
      </w:r>
      <w:bookmarkEnd w:id="306"/>
      <w:bookmarkEnd w:id="307"/>
      <w:bookmarkEnd w:id="308"/>
      <w:bookmarkEnd w:id="309"/>
      <w:bookmarkEnd w:id="310"/>
      <w:bookmarkEnd w:id="311"/>
      <w:bookmarkEnd w:id="312"/>
      <w:r>
        <w:rPr>
          <w:rFonts w:hAnsi="宋体" w:hint="eastAsia"/>
          <w:lang w:eastAsia="zh-CN"/>
        </w:rPr>
        <w:t xml:space="preserve"> </w:t>
      </w:r>
    </w:p>
    <w:p w14:paraId="67AE6633" w14:textId="77777777" w:rsidR="006F5FD0" w:rsidRDefault="006F5FD0">
      <w:pPr>
        <w:spacing w:line="360" w:lineRule="auto"/>
        <w:ind w:firstLineChars="200" w:firstLine="420"/>
        <w:jc w:val="left"/>
        <w:divId w:val="432937251"/>
      </w:pPr>
      <w:r>
        <w:rPr>
          <w:rFonts w:ascii="宋体" w:hAnsi="宋体" w:hint="eastAsia"/>
          <w:szCs w:val="21"/>
          <w:lang w:eastAsia="zh-Hans"/>
        </w:rPr>
        <w:t>无。</w:t>
      </w:r>
      <w:r>
        <w:rPr>
          <w:rFonts w:ascii="宋体" w:hAnsi="宋体" w:hint="eastAsia"/>
          <w:szCs w:val="21"/>
        </w:rPr>
        <w:t xml:space="preserve"> </w:t>
      </w:r>
    </w:p>
    <w:p w14:paraId="2893B02F" w14:textId="77777777" w:rsidR="006F5FD0" w:rsidRDefault="006F5FD0">
      <w:pPr>
        <w:pStyle w:val="XBRLTitle2"/>
        <w:spacing w:before="156" w:line="360" w:lineRule="auto"/>
        <w:ind w:left="454"/>
      </w:pPr>
      <w:bookmarkStart w:id="313" w:name="_Toc17900001"/>
      <w:bookmarkStart w:id="314" w:name="_Toc512519524"/>
      <w:bookmarkStart w:id="315" w:name="_Toc481075092"/>
      <w:bookmarkStart w:id="316" w:name="_Toc458599607"/>
      <w:bookmarkStart w:id="317" w:name="_Toc490050045"/>
      <w:bookmarkStart w:id="318" w:name="_Toc513295873"/>
      <w:bookmarkStart w:id="319" w:name="_Toc513295936"/>
      <w:r>
        <w:rPr>
          <w:rFonts w:hAnsi="宋体" w:hint="eastAsia"/>
        </w:rPr>
        <w:t>基金管理人运用固有资金投资本基金交易明细</w:t>
      </w:r>
      <w:bookmarkEnd w:id="313"/>
      <w:bookmarkEnd w:id="314"/>
      <w:bookmarkEnd w:id="315"/>
      <w:bookmarkEnd w:id="316"/>
      <w:bookmarkEnd w:id="317"/>
      <w:bookmarkEnd w:id="318"/>
      <w:bookmarkEnd w:id="319"/>
      <w:r>
        <w:rPr>
          <w:rFonts w:hAnsi="宋体" w:hint="eastAsia"/>
          <w:lang w:eastAsia="zh-CN"/>
        </w:rPr>
        <w:t xml:space="preserve"> </w:t>
      </w:r>
    </w:p>
    <w:p w14:paraId="44DAC601" w14:textId="77777777" w:rsidR="006F5FD0" w:rsidRDefault="006F5FD0">
      <w:pPr>
        <w:spacing w:line="360" w:lineRule="auto"/>
        <w:ind w:firstLineChars="200" w:firstLine="420"/>
        <w:jc w:val="left"/>
        <w:divId w:val="1912035862"/>
      </w:pPr>
      <w:r>
        <w:rPr>
          <w:rFonts w:ascii="宋体" w:hAnsi="宋体" w:hint="eastAsia"/>
          <w:lang w:eastAsia="zh-Hans"/>
        </w:rPr>
        <w:t>无。</w:t>
      </w:r>
      <w:r>
        <w:rPr>
          <w:rFonts w:ascii="宋体" w:hAnsi="宋体" w:hint="eastAsia"/>
        </w:rPr>
        <w:t xml:space="preserve"> </w:t>
      </w:r>
    </w:p>
    <w:p w14:paraId="17EAE06B" w14:textId="77777777" w:rsidR="006F5FD0" w:rsidRDefault="006F5FD0">
      <w:pPr>
        <w:pStyle w:val="XBRLTitle1"/>
        <w:spacing w:before="156" w:line="360" w:lineRule="auto"/>
        <w:ind w:left="425"/>
      </w:pPr>
      <w:bookmarkStart w:id="320" w:name="_Toc17900003"/>
      <w:bookmarkStart w:id="321" w:name="_Toc512519526"/>
      <w:bookmarkStart w:id="322" w:name="_Toc490050046"/>
      <w:bookmarkStart w:id="323" w:name="_Toc481075094"/>
      <w:bookmarkStart w:id="324" w:name="_Toc479856294"/>
      <w:bookmarkStart w:id="325" w:name="_Toc513295875"/>
      <w:bookmarkStart w:id="326" w:name="_Toc513295938"/>
      <w:bookmarkStart w:id="327" w:name="m701"/>
      <w:r>
        <w:rPr>
          <w:rFonts w:hAnsi="宋体" w:hint="eastAsia"/>
        </w:rPr>
        <w:t>影响投资者决策的其他重要信息</w:t>
      </w:r>
      <w:bookmarkEnd w:id="320"/>
      <w:bookmarkEnd w:id="321"/>
      <w:bookmarkEnd w:id="322"/>
      <w:bookmarkEnd w:id="323"/>
      <w:bookmarkEnd w:id="324"/>
      <w:bookmarkEnd w:id="325"/>
      <w:bookmarkEnd w:id="326"/>
      <w:r>
        <w:rPr>
          <w:rFonts w:hAnsi="宋体" w:hint="eastAsia"/>
          <w:lang w:eastAsia="zh-CN"/>
        </w:rPr>
        <w:t xml:space="preserve"> </w:t>
      </w:r>
    </w:p>
    <w:p w14:paraId="28B02A5C" w14:textId="77777777" w:rsidR="006F5FD0" w:rsidRDefault="006F5FD0">
      <w:pPr>
        <w:pStyle w:val="XBRLTitle2"/>
        <w:spacing w:before="156" w:line="360" w:lineRule="auto"/>
        <w:ind w:left="454"/>
      </w:pPr>
      <w:bookmarkStart w:id="328" w:name="_Toc17900004"/>
      <w:bookmarkStart w:id="329" w:name="_Toc512519527"/>
      <w:bookmarkStart w:id="330" w:name="_Toc481075095"/>
      <w:bookmarkStart w:id="331" w:name="_Toc490050047"/>
      <w:bookmarkStart w:id="332" w:name="_Toc513295876"/>
      <w:bookmarkStart w:id="333" w:name="_Toc513295939"/>
      <w:r>
        <w:rPr>
          <w:rFonts w:hAnsi="宋体" w:hint="eastAsia"/>
          <w:kern w:val="0"/>
        </w:rPr>
        <w:t>报告期内单一投资者持有基金份额比例达到或超过20%的情况</w:t>
      </w:r>
      <w:bookmarkEnd w:id="328"/>
      <w:bookmarkEnd w:id="329"/>
      <w:bookmarkEnd w:id="330"/>
      <w:bookmarkEnd w:id="331"/>
      <w:bookmarkEnd w:id="332"/>
      <w:bookmarkEnd w:id="333"/>
      <w:r>
        <w:rPr>
          <w:rFonts w:hAnsi="宋体" w:hint="eastAsia"/>
          <w:kern w:val="0"/>
          <w:lang w:eastAsia="zh-CN"/>
        </w:rPr>
        <w:t xml:space="preserve"> </w:t>
      </w:r>
    </w:p>
    <w:bookmarkEnd w:id="21"/>
    <w:bookmarkEnd w:id="39"/>
    <w:bookmarkEnd w:id="40"/>
    <w:p w14:paraId="0955DBD3" w14:textId="77777777" w:rsidR="006F5FD0" w:rsidRDefault="006F5FD0">
      <w:pPr>
        <w:spacing w:line="360" w:lineRule="auto"/>
        <w:ind w:firstLineChars="200" w:firstLine="420"/>
        <w:divId w:val="622463325"/>
        <w:rPr>
          <w:rFonts w:ascii="宋体" w:hAnsi="宋体" w:hint="eastAsia"/>
          <w:szCs w:val="21"/>
          <w:lang w:eastAsia="zh-Hans"/>
        </w:rPr>
      </w:pPr>
      <w:r>
        <w:rPr>
          <w:rFonts w:ascii="宋体" w:hAnsi="宋体" w:hint="eastAsia"/>
          <w:szCs w:val="21"/>
          <w:lang w:eastAsia="zh-Hans"/>
        </w:rPr>
        <w:t>无。</w:t>
      </w:r>
    </w:p>
    <w:p w14:paraId="3DDEDD4F" w14:textId="77777777" w:rsidR="006F5FD0" w:rsidRDefault="006F5FD0">
      <w:pPr>
        <w:pStyle w:val="XBRLTitle1"/>
        <w:spacing w:before="156" w:line="360" w:lineRule="auto"/>
        <w:ind w:left="425"/>
      </w:pPr>
      <w:bookmarkStart w:id="334" w:name="_Toc17900006"/>
      <w:bookmarkStart w:id="335" w:name="_Toc512519529"/>
      <w:bookmarkStart w:id="336" w:name="_Toc490050049"/>
      <w:bookmarkStart w:id="337" w:name="_Toc481075097"/>
      <w:bookmarkStart w:id="338" w:name="_Toc438646481"/>
      <w:bookmarkStart w:id="339" w:name="_Toc513295878"/>
      <w:bookmarkStart w:id="340" w:name="_Toc513295941"/>
      <w:bookmarkEnd w:id="327"/>
      <w:r>
        <w:rPr>
          <w:rFonts w:hAnsi="宋体" w:hint="eastAsia"/>
        </w:rPr>
        <w:lastRenderedPageBreak/>
        <w:t>备查文件目录</w:t>
      </w:r>
      <w:bookmarkEnd w:id="334"/>
      <w:bookmarkEnd w:id="335"/>
      <w:bookmarkEnd w:id="336"/>
      <w:bookmarkEnd w:id="337"/>
      <w:bookmarkEnd w:id="338"/>
      <w:bookmarkEnd w:id="339"/>
      <w:bookmarkEnd w:id="340"/>
      <w:r>
        <w:rPr>
          <w:rFonts w:hAnsi="宋体" w:hint="eastAsia"/>
        </w:rPr>
        <w:t xml:space="preserve"> </w:t>
      </w:r>
    </w:p>
    <w:p w14:paraId="29DCE742" w14:textId="77777777" w:rsidR="006F5FD0" w:rsidRDefault="006F5FD0">
      <w:pPr>
        <w:pStyle w:val="XBRLTitle2"/>
        <w:spacing w:before="156" w:line="360" w:lineRule="auto"/>
        <w:ind w:left="454"/>
      </w:pPr>
      <w:bookmarkStart w:id="341" w:name="_Toc438646482"/>
      <w:bookmarkStart w:id="342" w:name="_Toc17900007"/>
      <w:bookmarkStart w:id="343" w:name="_Toc512519530"/>
      <w:bookmarkStart w:id="344" w:name="_Toc481075098"/>
      <w:bookmarkStart w:id="345" w:name="_Toc490050050"/>
      <w:bookmarkStart w:id="346" w:name="_Toc513295879"/>
      <w:bookmarkStart w:id="347" w:name="_Toc513295942"/>
      <w:bookmarkStart w:id="348" w:name="m801_01_1733"/>
      <w:r>
        <w:rPr>
          <w:rFonts w:hAnsi="宋体" w:hint="eastAsia"/>
        </w:rPr>
        <w:t>备查文件目录</w:t>
      </w:r>
      <w:bookmarkEnd w:id="341"/>
      <w:bookmarkEnd w:id="342"/>
      <w:bookmarkEnd w:id="343"/>
      <w:bookmarkEnd w:id="344"/>
      <w:bookmarkEnd w:id="345"/>
      <w:bookmarkEnd w:id="346"/>
      <w:bookmarkEnd w:id="347"/>
      <w:r>
        <w:rPr>
          <w:rFonts w:hAnsi="宋体" w:hint="eastAsia"/>
        </w:rPr>
        <w:t xml:space="preserve"> </w:t>
      </w:r>
    </w:p>
    <w:p w14:paraId="1AA0945D" w14:textId="77777777" w:rsidR="006F5FD0" w:rsidRDefault="006F5FD0">
      <w:pPr>
        <w:spacing w:line="360" w:lineRule="auto"/>
        <w:ind w:firstLineChars="200" w:firstLine="420"/>
        <w:jc w:val="left"/>
      </w:pPr>
      <w:r>
        <w:rPr>
          <w:rFonts w:ascii="宋体" w:hAnsi="宋体" w:cs="宋体" w:hint="eastAsia"/>
          <w:color w:val="000000"/>
          <w:kern w:val="0"/>
        </w:rPr>
        <w:t>（一）中国证监会准予摩根恒鑫债券型证券投资基金募集注册的文件</w:t>
      </w:r>
      <w:r>
        <w:rPr>
          <w:rFonts w:ascii="宋体" w:hAnsi="宋体" w:cs="宋体" w:hint="eastAsia"/>
          <w:color w:val="000000"/>
          <w:kern w:val="0"/>
        </w:rPr>
        <w:br/>
        <w:t xml:space="preserve">　　（二）摩根恒鑫债券型证券投资基金基金合同</w:t>
      </w:r>
      <w:r>
        <w:rPr>
          <w:rFonts w:ascii="宋体" w:hAnsi="宋体" w:cs="宋体" w:hint="eastAsia"/>
          <w:color w:val="000000"/>
          <w:kern w:val="0"/>
        </w:rPr>
        <w:br/>
        <w:t xml:space="preserve">　　（三）摩根恒鑫债券型证券投资基金托管协议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D686EE8" w14:textId="77777777" w:rsidR="006F5FD0" w:rsidRDefault="006F5FD0">
      <w:pPr>
        <w:pStyle w:val="XBRLTitle2"/>
        <w:spacing w:before="156" w:line="360" w:lineRule="auto"/>
        <w:ind w:left="454"/>
        <w:rPr>
          <w:rFonts w:hAnsi="宋体"/>
        </w:rPr>
      </w:pPr>
      <w:bookmarkStart w:id="349" w:name="_Toc438646483"/>
      <w:bookmarkStart w:id="350" w:name="_Toc17900008"/>
      <w:bookmarkStart w:id="351" w:name="_Toc512519531"/>
      <w:bookmarkStart w:id="352" w:name="_Toc481075099"/>
      <w:bookmarkStart w:id="353" w:name="_Toc490050051"/>
      <w:bookmarkStart w:id="354" w:name="_Toc513295880"/>
      <w:bookmarkStart w:id="355" w:name="_Toc513295943"/>
      <w:bookmarkStart w:id="356" w:name="m801_01_1734"/>
      <w:bookmarkEnd w:id="348"/>
      <w:r>
        <w:rPr>
          <w:rFonts w:hAnsi="宋体" w:hint="eastAsia"/>
        </w:rPr>
        <w:t>存放地点</w:t>
      </w:r>
      <w:bookmarkEnd w:id="349"/>
      <w:bookmarkEnd w:id="350"/>
      <w:bookmarkEnd w:id="351"/>
      <w:bookmarkEnd w:id="352"/>
      <w:bookmarkEnd w:id="353"/>
      <w:bookmarkEnd w:id="354"/>
      <w:bookmarkEnd w:id="355"/>
      <w:r>
        <w:rPr>
          <w:rFonts w:hAnsi="宋体" w:hint="eastAsia"/>
        </w:rPr>
        <w:t xml:space="preserve"> </w:t>
      </w:r>
    </w:p>
    <w:p w14:paraId="5BD1128E" w14:textId="07C4A206" w:rsidR="00F54217" w:rsidRPr="00F54217" w:rsidRDefault="00F54217" w:rsidP="00F54217">
      <w:pPr>
        <w:spacing w:line="360" w:lineRule="auto"/>
        <w:ind w:firstLineChars="200" w:firstLine="420"/>
        <w:jc w:val="left"/>
      </w:pPr>
      <w:r>
        <w:rPr>
          <w:rFonts w:ascii="宋体" w:hAnsi="宋体" w:cs="宋体" w:hint="eastAsia"/>
          <w:color w:val="000000"/>
          <w:kern w:val="0"/>
        </w:rPr>
        <w:t>基金管理人或基金托管人住所。</w:t>
      </w:r>
    </w:p>
    <w:p w14:paraId="4A7379D2" w14:textId="77777777" w:rsidR="006F5FD0" w:rsidRDefault="006F5FD0">
      <w:pPr>
        <w:pStyle w:val="XBRLTitle2"/>
        <w:spacing w:before="156" w:line="360" w:lineRule="auto"/>
        <w:ind w:left="454"/>
        <w:rPr>
          <w:rFonts w:hAnsi="宋体"/>
        </w:rPr>
      </w:pPr>
      <w:bookmarkStart w:id="357" w:name="_Toc438646484"/>
      <w:bookmarkStart w:id="358" w:name="_Toc17900009"/>
      <w:bookmarkStart w:id="359" w:name="_Toc512519532"/>
      <w:bookmarkStart w:id="360" w:name="_Toc481075100"/>
      <w:bookmarkStart w:id="361" w:name="_Toc490050052"/>
      <w:bookmarkStart w:id="362" w:name="_Toc513295881"/>
      <w:bookmarkStart w:id="363" w:name="_Toc513295944"/>
      <w:bookmarkStart w:id="364" w:name="m801_01_1735"/>
      <w:bookmarkEnd w:id="356"/>
      <w:r>
        <w:rPr>
          <w:rFonts w:hAnsi="宋体" w:hint="eastAsia"/>
        </w:rPr>
        <w:t>查阅方式</w:t>
      </w:r>
      <w:bookmarkEnd w:id="357"/>
      <w:bookmarkEnd w:id="358"/>
      <w:bookmarkEnd w:id="359"/>
      <w:bookmarkEnd w:id="360"/>
      <w:bookmarkEnd w:id="361"/>
      <w:bookmarkEnd w:id="362"/>
      <w:bookmarkEnd w:id="363"/>
      <w:r>
        <w:rPr>
          <w:rFonts w:hAnsi="宋体" w:hint="eastAsia"/>
        </w:rPr>
        <w:t xml:space="preserve"> </w:t>
      </w:r>
    </w:p>
    <w:p w14:paraId="15969C0F" w14:textId="3FFD59C7" w:rsidR="00F54217" w:rsidRPr="00F54217" w:rsidRDefault="00F54217" w:rsidP="00F54217">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64"/>
    <w:p w14:paraId="4B154854" w14:textId="77777777" w:rsidR="006F5FD0" w:rsidRDefault="006F5FD0">
      <w:pPr>
        <w:spacing w:line="360" w:lineRule="auto"/>
        <w:ind w:firstLineChars="600" w:firstLine="1687"/>
        <w:jc w:val="left"/>
      </w:pPr>
      <w:r>
        <w:rPr>
          <w:rFonts w:ascii="宋体" w:hAnsi="宋体" w:hint="eastAsia"/>
          <w:b/>
          <w:bCs/>
          <w:sz w:val="28"/>
          <w:szCs w:val="30"/>
        </w:rPr>
        <w:t xml:space="preserve">　 </w:t>
      </w:r>
    </w:p>
    <w:p w14:paraId="0A848C98" w14:textId="77777777" w:rsidR="006F5FD0" w:rsidRDefault="006F5FD0">
      <w:pPr>
        <w:spacing w:line="360" w:lineRule="auto"/>
        <w:ind w:firstLineChars="600" w:firstLine="1687"/>
        <w:jc w:val="left"/>
      </w:pPr>
      <w:r>
        <w:rPr>
          <w:rFonts w:ascii="宋体" w:hAnsi="宋体" w:hint="eastAsia"/>
          <w:b/>
          <w:bCs/>
          <w:sz w:val="28"/>
          <w:szCs w:val="30"/>
        </w:rPr>
        <w:t xml:space="preserve">　 </w:t>
      </w:r>
    </w:p>
    <w:p w14:paraId="1A12610A" w14:textId="77777777" w:rsidR="006F5FD0" w:rsidRDefault="006F5FD0">
      <w:pPr>
        <w:spacing w:line="360" w:lineRule="auto"/>
        <w:ind w:firstLineChars="600" w:firstLine="1446"/>
        <w:jc w:val="right"/>
      </w:pPr>
      <w:r>
        <w:rPr>
          <w:rFonts w:ascii="宋体" w:hAnsi="宋体" w:hint="eastAsia"/>
          <w:b/>
          <w:bCs/>
          <w:sz w:val="24"/>
          <w:szCs w:val="24"/>
        </w:rPr>
        <w:t>摩根基金管理（中国）有限公司</w:t>
      </w:r>
    </w:p>
    <w:p w14:paraId="4E216A7D" w14:textId="77777777" w:rsidR="006F5FD0" w:rsidRDefault="006F5FD0">
      <w:pPr>
        <w:spacing w:line="360" w:lineRule="auto"/>
        <w:ind w:firstLineChars="600" w:firstLine="1446"/>
        <w:jc w:val="right"/>
      </w:pPr>
      <w:r>
        <w:rPr>
          <w:rFonts w:ascii="宋体" w:hAnsi="宋体" w:hint="eastAsia"/>
          <w:b/>
          <w:bCs/>
          <w:sz w:val="24"/>
          <w:szCs w:val="24"/>
        </w:rPr>
        <w:t>2025年7月21日</w:t>
      </w:r>
      <w:bookmarkEnd w:id="22"/>
    </w:p>
    <w:sectPr w:rsidR="006F5FD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E467" w14:textId="77777777" w:rsidR="006F5FD0" w:rsidRDefault="006F5FD0">
      <w:pPr>
        <w:rPr>
          <w:szCs w:val="21"/>
        </w:rPr>
      </w:pPr>
      <w:r>
        <w:rPr>
          <w:szCs w:val="21"/>
        </w:rPr>
        <w:separator/>
      </w:r>
      <w:r>
        <w:rPr>
          <w:szCs w:val="21"/>
        </w:rPr>
        <w:t xml:space="preserve"> </w:t>
      </w:r>
    </w:p>
  </w:endnote>
  <w:endnote w:type="continuationSeparator" w:id="0">
    <w:p w14:paraId="47DAD7FF" w14:textId="77777777" w:rsidR="006F5FD0" w:rsidRDefault="006F5FD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4984" w14:textId="77777777" w:rsidR="006F5FD0" w:rsidRDefault="006F5FD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10936" w14:textId="77777777" w:rsidR="006F5FD0" w:rsidRDefault="006F5FD0">
      <w:pPr>
        <w:rPr>
          <w:szCs w:val="21"/>
        </w:rPr>
      </w:pPr>
      <w:r>
        <w:rPr>
          <w:szCs w:val="21"/>
        </w:rPr>
        <w:separator/>
      </w:r>
      <w:r>
        <w:rPr>
          <w:szCs w:val="21"/>
        </w:rPr>
        <w:t xml:space="preserve"> </w:t>
      </w:r>
    </w:p>
  </w:footnote>
  <w:footnote w:type="continuationSeparator" w:id="0">
    <w:p w14:paraId="45FE2ADF" w14:textId="77777777" w:rsidR="006F5FD0" w:rsidRDefault="006F5FD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F625" w14:textId="77777777" w:rsidR="006F5FD0" w:rsidRDefault="006F5FD0">
    <w:pPr>
      <w:pStyle w:val="a8"/>
      <w:jc w:val="right"/>
    </w:pPr>
    <w:r>
      <w:rPr>
        <w:rFonts w:ascii="宋体" w:hAnsi="宋体" w:hint="eastAsia"/>
      </w:rPr>
      <w:t>摩根恒鑫债券型证券投资基金2025年第2季度报告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84460920">
    <w:abstractNumId w:val="0"/>
  </w:num>
  <w:num w:numId="2" w16cid:durableId="555699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D0"/>
    <w:rsid w:val="000831CD"/>
    <w:rsid w:val="00215D6D"/>
    <w:rsid w:val="005D2E15"/>
    <w:rsid w:val="006F5FD0"/>
    <w:rsid w:val="00B53FFA"/>
    <w:rsid w:val="00F5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AA50098"/>
  <w15:chartTrackingRefBased/>
  <w15:docId w15:val="{56821EAE-D572-4D8A-B3C3-75A81CE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35762">
      <w:marLeft w:val="0"/>
      <w:marRight w:val="0"/>
      <w:marTop w:val="0"/>
      <w:marBottom w:val="0"/>
      <w:divBdr>
        <w:top w:val="none" w:sz="0" w:space="0" w:color="auto"/>
        <w:left w:val="none" w:sz="0" w:space="0" w:color="auto"/>
        <w:bottom w:val="none" w:sz="0" w:space="0" w:color="auto"/>
        <w:right w:val="none" w:sz="0" w:space="0" w:color="auto"/>
      </w:divBdr>
      <w:divsChild>
        <w:div w:id="1407414350">
          <w:marLeft w:val="0"/>
          <w:marRight w:val="0"/>
          <w:marTop w:val="0"/>
          <w:marBottom w:val="0"/>
          <w:divBdr>
            <w:top w:val="none" w:sz="0" w:space="0" w:color="auto"/>
            <w:left w:val="none" w:sz="0" w:space="0" w:color="auto"/>
            <w:bottom w:val="none" w:sz="0" w:space="0" w:color="auto"/>
            <w:right w:val="none" w:sz="0" w:space="0" w:color="auto"/>
          </w:divBdr>
        </w:div>
      </w:divsChild>
    </w:div>
    <w:div w:id="193427947">
      <w:marLeft w:val="0"/>
      <w:marRight w:val="0"/>
      <w:marTop w:val="0"/>
      <w:marBottom w:val="0"/>
      <w:divBdr>
        <w:top w:val="none" w:sz="0" w:space="0" w:color="auto"/>
        <w:left w:val="none" w:sz="0" w:space="0" w:color="auto"/>
        <w:bottom w:val="none" w:sz="0" w:space="0" w:color="auto"/>
        <w:right w:val="none" w:sz="0" w:space="0" w:color="auto"/>
      </w:divBdr>
    </w:div>
    <w:div w:id="213009688">
      <w:marLeft w:val="0"/>
      <w:marRight w:val="0"/>
      <w:marTop w:val="0"/>
      <w:marBottom w:val="0"/>
      <w:divBdr>
        <w:top w:val="none" w:sz="0" w:space="0" w:color="auto"/>
        <w:left w:val="none" w:sz="0" w:space="0" w:color="auto"/>
        <w:bottom w:val="none" w:sz="0" w:space="0" w:color="auto"/>
        <w:right w:val="none" w:sz="0" w:space="0" w:color="auto"/>
      </w:divBdr>
    </w:div>
    <w:div w:id="252708006">
      <w:marLeft w:val="0"/>
      <w:marRight w:val="0"/>
      <w:marTop w:val="0"/>
      <w:marBottom w:val="0"/>
      <w:divBdr>
        <w:top w:val="none" w:sz="0" w:space="0" w:color="auto"/>
        <w:left w:val="none" w:sz="0" w:space="0" w:color="auto"/>
        <w:bottom w:val="none" w:sz="0" w:space="0" w:color="auto"/>
        <w:right w:val="none" w:sz="0" w:space="0" w:color="auto"/>
      </w:divBdr>
    </w:div>
    <w:div w:id="374931679">
      <w:marLeft w:val="0"/>
      <w:marRight w:val="0"/>
      <w:marTop w:val="0"/>
      <w:marBottom w:val="0"/>
      <w:divBdr>
        <w:top w:val="none" w:sz="0" w:space="0" w:color="auto"/>
        <w:left w:val="none" w:sz="0" w:space="0" w:color="auto"/>
        <w:bottom w:val="none" w:sz="0" w:space="0" w:color="auto"/>
        <w:right w:val="none" w:sz="0" w:space="0" w:color="auto"/>
      </w:divBdr>
      <w:divsChild>
        <w:div w:id="442041919">
          <w:marLeft w:val="0"/>
          <w:marRight w:val="0"/>
          <w:marTop w:val="0"/>
          <w:marBottom w:val="0"/>
          <w:divBdr>
            <w:top w:val="none" w:sz="0" w:space="0" w:color="auto"/>
            <w:left w:val="none" w:sz="0" w:space="0" w:color="auto"/>
            <w:bottom w:val="none" w:sz="0" w:space="0" w:color="auto"/>
            <w:right w:val="none" w:sz="0" w:space="0" w:color="auto"/>
          </w:divBdr>
        </w:div>
      </w:divsChild>
    </w:div>
    <w:div w:id="432937251">
      <w:marLeft w:val="0"/>
      <w:marRight w:val="0"/>
      <w:marTop w:val="0"/>
      <w:marBottom w:val="0"/>
      <w:divBdr>
        <w:top w:val="none" w:sz="0" w:space="0" w:color="auto"/>
        <w:left w:val="none" w:sz="0" w:space="0" w:color="auto"/>
        <w:bottom w:val="none" w:sz="0" w:space="0" w:color="auto"/>
        <w:right w:val="none" w:sz="0" w:space="0" w:color="auto"/>
      </w:divBdr>
    </w:div>
    <w:div w:id="436296482">
      <w:marLeft w:val="0"/>
      <w:marRight w:val="0"/>
      <w:marTop w:val="0"/>
      <w:marBottom w:val="0"/>
      <w:divBdr>
        <w:top w:val="none" w:sz="0" w:space="0" w:color="auto"/>
        <w:left w:val="none" w:sz="0" w:space="0" w:color="auto"/>
        <w:bottom w:val="none" w:sz="0" w:space="0" w:color="auto"/>
        <w:right w:val="none" w:sz="0" w:space="0" w:color="auto"/>
      </w:divBdr>
    </w:div>
    <w:div w:id="436754858">
      <w:marLeft w:val="0"/>
      <w:marRight w:val="0"/>
      <w:marTop w:val="0"/>
      <w:marBottom w:val="0"/>
      <w:divBdr>
        <w:top w:val="none" w:sz="0" w:space="0" w:color="auto"/>
        <w:left w:val="none" w:sz="0" w:space="0" w:color="auto"/>
        <w:bottom w:val="none" w:sz="0" w:space="0" w:color="auto"/>
        <w:right w:val="none" w:sz="0" w:space="0" w:color="auto"/>
      </w:divBdr>
    </w:div>
    <w:div w:id="622463325">
      <w:marLeft w:val="0"/>
      <w:marRight w:val="0"/>
      <w:marTop w:val="0"/>
      <w:marBottom w:val="0"/>
      <w:divBdr>
        <w:top w:val="none" w:sz="0" w:space="0" w:color="auto"/>
        <w:left w:val="none" w:sz="0" w:space="0" w:color="auto"/>
        <w:bottom w:val="none" w:sz="0" w:space="0" w:color="auto"/>
        <w:right w:val="none" w:sz="0" w:space="0" w:color="auto"/>
      </w:divBdr>
    </w:div>
    <w:div w:id="727651598">
      <w:marLeft w:val="0"/>
      <w:marRight w:val="0"/>
      <w:marTop w:val="0"/>
      <w:marBottom w:val="0"/>
      <w:divBdr>
        <w:top w:val="none" w:sz="0" w:space="0" w:color="auto"/>
        <w:left w:val="none" w:sz="0" w:space="0" w:color="auto"/>
        <w:bottom w:val="none" w:sz="0" w:space="0" w:color="auto"/>
        <w:right w:val="none" w:sz="0" w:space="0" w:color="auto"/>
      </w:divBdr>
      <w:divsChild>
        <w:div w:id="809446725">
          <w:marLeft w:val="0"/>
          <w:marRight w:val="0"/>
          <w:marTop w:val="0"/>
          <w:marBottom w:val="0"/>
          <w:divBdr>
            <w:top w:val="none" w:sz="0" w:space="0" w:color="auto"/>
            <w:left w:val="none" w:sz="0" w:space="0" w:color="auto"/>
            <w:bottom w:val="none" w:sz="0" w:space="0" w:color="auto"/>
            <w:right w:val="none" w:sz="0" w:space="0" w:color="auto"/>
          </w:divBdr>
        </w:div>
        <w:div w:id="486288732">
          <w:marLeft w:val="0"/>
          <w:marRight w:val="0"/>
          <w:marTop w:val="0"/>
          <w:marBottom w:val="0"/>
          <w:divBdr>
            <w:top w:val="none" w:sz="0" w:space="0" w:color="auto"/>
            <w:left w:val="none" w:sz="0" w:space="0" w:color="auto"/>
            <w:bottom w:val="none" w:sz="0" w:space="0" w:color="auto"/>
            <w:right w:val="none" w:sz="0" w:space="0" w:color="auto"/>
          </w:divBdr>
        </w:div>
      </w:divsChild>
    </w:div>
    <w:div w:id="803473427">
      <w:marLeft w:val="0"/>
      <w:marRight w:val="0"/>
      <w:marTop w:val="0"/>
      <w:marBottom w:val="0"/>
      <w:divBdr>
        <w:top w:val="none" w:sz="0" w:space="0" w:color="auto"/>
        <w:left w:val="none" w:sz="0" w:space="0" w:color="auto"/>
        <w:bottom w:val="none" w:sz="0" w:space="0" w:color="auto"/>
        <w:right w:val="none" w:sz="0" w:space="0" w:color="auto"/>
      </w:divBdr>
    </w:div>
    <w:div w:id="875654999">
      <w:marLeft w:val="0"/>
      <w:marRight w:val="0"/>
      <w:marTop w:val="0"/>
      <w:marBottom w:val="0"/>
      <w:divBdr>
        <w:top w:val="none" w:sz="0" w:space="0" w:color="auto"/>
        <w:left w:val="none" w:sz="0" w:space="0" w:color="auto"/>
        <w:bottom w:val="none" w:sz="0" w:space="0" w:color="auto"/>
        <w:right w:val="none" w:sz="0" w:space="0" w:color="auto"/>
      </w:divBdr>
      <w:divsChild>
        <w:div w:id="240339391">
          <w:marLeft w:val="0"/>
          <w:marRight w:val="0"/>
          <w:marTop w:val="0"/>
          <w:marBottom w:val="0"/>
          <w:divBdr>
            <w:top w:val="none" w:sz="0" w:space="0" w:color="auto"/>
            <w:left w:val="none" w:sz="0" w:space="0" w:color="auto"/>
            <w:bottom w:val="none" w:sz="0" w:space="0" w:color="auto"/>
            <w:right w:val="none" w:sz="0" w:space="0" w:color="auto"/>
          </w:divBdr>
        </w:div>
      </w:divsChild>
    </w:div>
    <w:div w:id="971133952">
      <w:marLeft w:val="0"/>
      <w:marRight w:val="0"/>
      <w:marTop w:val="0"/>
      <w:marBottom w:val="0"/>
      <w:divBdr>
        <w:top w:val="none" w:sz="0" w:space="0" w:color="auto"/>
        <w:left w:val="none" w:sz="0" w:space="0" w:color="auto"/>
        <w:bottom w:val="none" w:sz="0" w:space="0" w:color="auto"/>
        <w:right w:val="none" w:sz="0" w:space="0" w:color="auto"/>
      </w:divBdr>
      <w:divsChild>
        <w:div w:id="524439769">
          <w:marLeft w:val="0"/>
          <w:marRight w:val="0"/>
          <w:marTop w:val="0"/>
          <w:marBottom w:val="0"/>
          <w:divBdr>
            <w:top w:val="none" w:sz="0" w:space="0" w:color="auto"/>
            <w:left w:val="none" w:sz="0" w:space="0" w:color="auto"/>
            <w:bottom w:val="none" w:sz="0" w:space="0" w:color="auto"/>
            <w:right w:val="none" w:sz="0" w:space="0" w:color="auto"/>
          </w:divBdr>
        </w:div>
      </w:divsChild>
    </w:div>
    <w:div w:id="1296831345">
      <w:marLeft w:val="0"/>
      <w:marRight w:val="0"/>
      <w:marTop w:val="0"/>
      <w:marBottom w:val="0"/>
      <w:divBdr>
        <w:top w:val="none" w:sz="0" w:space="0" w:color="auto"/>
        <w:left w:val="none" w:sz="0" w:space="0" w:color="auto"/>
        <w:bottom w:val="none" w:sz="0" w:space="0" w:color="auto"/>
        <w:right w:val="none" w:sz="0" w:space="0" w:color="auto"/>
      </w:divBdr>
    </w:div>
    <w:div w:id="1303191954">
      <w:marLeft w:val="0"/>
      <w:marRight w:val="0"/>
      <w:marTop w:val="0"/>
      <w:marBottom w:val="0"/>
      <w:divBdr>
        <w:top w:val="none" w:sz="0" w:space="0" w:color="auto"/>
        <w:left w:val="none" w:sz="0" w:space="0" w:color="auto"/>
        <w:bottom w:val="none" w:sz="0" w:space="0" w:color="auto"/>
        <w:right w:val="none" w:sz="0" w:space="0" w:color="auto"/>
      </w:divBdr>
      <w:divsChild>
        <w:div w:id="143160837">
          <w:marLeft w:val="0"/>
          <w:marRight w:val="0"/>
          <w:marTop w:val="0"/>
          <w:marBottom w:val="0"/>
          <w:divBdr>
            <w:top w:val="none" w:sz="0" w:space="0" w:color="auto"/>
            <w:left w:val="none" w:sz="0" w:space="0" w:color="auto"/>
            <w:bottom w:val="none" w:sz="0" w:space="0" w:color="auto"/>
            <w:right w:val="none" w:sz="0" w:space="0" w:color="auto"/>
          </w:divBdr>
        </w:div>
      </w:divsChild>
    </w:div>
    <w:div w:id="1425690457">
      <w:marLeft w:val="0"/>
      <w:marRight w:val="0"/>
      <w:marTop w:val="0"/>
      <w:marBottom w:val="0"/>
      <w:divBdr>
        <w:top w:val="none" w:sz="0" w:space="0" w:color="auto"/>
        <w:left w:val="none" w:sz="0" w:space="0" w:color="auto"/>
        <w:bottom w:val="none" w:sz="0" w:space="0" w:color="auto"/>
        <w:right w:val="none" w:sz="0" w:space="0" w:color="auto"/>
      </w:divBdr>
    </w:div>
    <w:div w:id="1510870361">
      <w:marLeft w:val="0"/>
      <w:marRight w:val="0"/>
      <w:marTop w:val="0"/>
      <w:marBottom w:val="0"/>
      <w:divBdr>
        <w:top w:val="none" w:sz="0" w:space="0" w:color="auto"/>
        <w:left w:val="none" w:sz="0" w:space="0" w:color="auto"/>
        <w:bottom w:val="none" w:sz="0" w:space="0" w:color="auto"/>
        <w:right w:val="none" w:sz="0" w:space="0" w:color="auto"/>
      </w:divBdr>
    </w:div>
    <w:div w:id="1539774658">
      <w:marLeft w:val="0"/>
      <w:marRight w:val="0"/>
      <w:marTop w:val="0"/>
      <w:marBottom w:val="0"/>
      <w:divBdr>
        <w:top w:val="none" w:sz="0" w:space="0" w:color="auto"/>
        <w:left w:val="none" w:sz="0" w:space="0" w:color="auto"/>
        <w:bottom w:val="none" w:sz="0" w:space="0" w:color="auto"/>
        <w:right w:val="none" w:sz="0" w:space="0" w:color="auto"/>
      </w:divBdr>
    </w:div>
    <w:div w:id="1550603334">
      <w:marLeft w:val="0"/>
      <w:marRight w:val="0"/>
      <w:marTop w:val="0"/>
      <w:marBottom w:val="0"/>
      <w:divBdr>
        <w:top w:val="none" w:sz="0" w:space="0" w:color="auto"/>
        <w:left w:val="none" w:sz="0" w:space="0" w:color="auto"/>
        <w:bottom w:val="none" w:sz="0" w:space="0" w:color="auto"/>
        <w:right w:val="none" w:sz="0" w:space="0" w:color="auto"/>
      </w:divBdr>
    </w:div>
    <w:div w:id="1644238131">
      <w:marLeft w:val="0"/>
      <w:marRight w:val="0"/>
      <w:marTop w:val="0"/>
      <w:marBottom w:val="0"/>
      <w:divBdr>
        <w:top w:val="none" w:sz="0" w:space="0" w:color="auto"/>
        <w:left w:val="none" w:sz="0" w:space="0" w:color="auto"/>
        <w:bottom w:val="none" w:sz="0" w:space="0" w:color="auto"/>
        <w:right w:val="none" w:sz="0" w:space="0" w:color="auto"/>
      </w:divBdr>
    </w:div>
    <w:div w:id="1848248398">
      <w:marLeft w:val="0"/>
      <w:marRight w:val="0"/>
      <w:marTop w:val="0"/>
      <w:marBottom w:val="0"/>
      <w:divBdr>
        <w:top w:val="none" w:sz="0" w:space="0" w:color="auto"/>
        <w:left w:val="none" w:sz="0" w:space="0" w:color="auto"/>
        <w:bottom w:val="none" w:sz="0" w:space="0" w:color="auto"/>
        <w:right w:val="none" w:sz="0" w:space="0" w:color="auto"/>
      </w:divBdr>
      <w:divsChild>
        <w:div w:id="2091920667">
          <w:marLeft w:val="0"/>
          <w:marRight w:val="0"/>
          <w:marTop w:val="0"/>
          <w:marBottom w:val="0"/>
          <w:divBdr>
            <w:top w:val="none" w:sz="0" w:space="0" w:color="auto"/>
            <w:left w:val="none" w:sz="0" w:space="0" w:color="auto"/>
            <w:bottom w:val="none" w:sz="0" w:space="0" w:color="auto"/>
            <w:right w:val="none" w:sz="0" w:space="0" w:color="auto"/>
          </w:divBdr>
        </w:div>
      </w:divsChild>
    </w:div>
    <w:div w:id="1856966015">
      <w:marLeft w:val="0"/>
      <w:marRight w:val="0"/>
      <w:marTop w:val="0"/>
      <w:marBottom w:val="0"/>
      <w:divBdr>
        <w:top w:val="none" w:sz="0" w:space="0" w:color="auto"/>
        <w:left w:val="none" w:sz="0" w:space="0" w:color="auto"/>
        <w:bottom w:val="none" w:sz="0" w:space="0" w:color="auto"/>
        <w:right w:val="none" w:sz="0" w:space="0" w:color="auto"/>
      </w:divBdr>
    </w:div>
    <w:div w:id="1872112156">
      <w:marLeft w:val="0"/>
      <w:marRight w:val="0"/>
      <w:marTop w:val="0"/>
      <w:marBottom w:val="0"/>
      <w:divBdr>
        <w:top w:val="none" w:sz="0" w:space="0" w:color="auto"/>
        <w:left w:val="none" w:sz="0" w:space="0" w:color="auto"/>
        <w:bottom w:val="none" w:sz="0" w:space="0" w:color="auto"/>
        <w:right w:val="none" w:sz="0" w:space="0" w:color="auto"/>
      </w:divBdr>
    </w:div>
    <w:div w:id="1912035862">
      <w:marLeft w:val="0"/>
      <w:marRight w:val="0"/>
      <w:marTop w:val="0"/>
      <w:marBottom w:val="0"/>
      <w:divBdr>
        <w:top w:val="none" w:sz="0" w:space="0" w:color="auto"/>
        <w:left w:val="none" w:sz="0" w:space="0" w:color="auto"/>
        <w:bottom w:val="none" w:sz="0" w:space="0" w:color="auto"/>
        <w:right w:val="none" w:sz="0" w:space="0" w:color="auto"/>
      </w:divBdr>
    </w:div>
    <w:div w:id="1920215865">
      <w:marLeft w:val="0"/>
      <w:marRight w:val="0"/>
      <w:marTop w:val="0"/>
      <w:marBottom w:val="0"/>
      <w:divBdr>
        <w:top w:val="none" w:sz="0" w:space="0" w:color="auto"/>
        <w:left w:val="none" w:sz="0" w:space="0" w:color="auto"/>
        <w:bottom w:val="none" w:sz="0" w:space="0" w:color="auto"/>
        <w:right w:val="none" w:sz="0" w:space="0" w:color="auto"/>
      </w:divBdr>
      <w:divsChild>
        <w:div w:id="2023579587">
          <w:marLeft w:val="0"/>
          <w:marRight w:val="0"/>
          <w:marTop w:val="0"/>
          <w:marBottom w:val="0"/>
          <w:divBdr>
            <w:top w:val="none" w:sz="0" w:space="0" w:color="auto"/>
            <w:left w:val="none" w:sz="0" w:space="0" w:color="auto"/>
            <w:bottom w:val="none" w:sz="0" w:space="0" w:color="auto"/>
            <w:right w:val="none" w:sz="0" w:space="0" w:color="auto"/>
          </w:divBdr>
        </w:div>
      </w:divsChild>
    </w:div>
    <w:div w:id="1926455279">
      <w:marLeft w:val="0"/>
      <w:marRight w:val="0"/>
      <w:marTop w:val="0"/>
      <w:marBottom w:val="0"/>
      <w:divBdr>
        <w:top w:val="none" w:sz="0" w:space="0" w:color="auto"/>
        <w:left w:val="none" w:sz="0" w:space="0" w:color="auto"/>
        <w:bottom w:val="none" w:sz="0" w:space="0" w:color="auto"/>
        <w:right w:val="none" w:sz="0" w:space="0" w:color="auto"/>
      </w:divBdr>
    </w:div>
    <w:div w:id="1968243003">
      <w:marLeft w:val="0"/>
      <w:marRight w:val="0"/>
      <w:marTop w:val="0"/>
      <w:marBottom w:val="0"/>
      <w:divBdr>
        <w:top w:val="none" w:sz="0" w:space="0" w:color="auto"/>
        <w:left w:val="none" w:sz="0" w:space="0" w:color="auto"/>
        <w:bottom w:val="none" w:sz="0" w:space="0" w:color="auto"/>
        <w:right w:val="none" w:sz="0" w:space="0" w:color="auto"/>
      </w:divBdr>
      <w:divsChild>
        <w:div w:id="2057047441">
          <w:marLeft w:val="0"/>
          <w:marRight w:val="0"/>
          <w:marTop w:val="0"/>
          <w:marBottom w:val="0"/>
          <w:divBdr>
            <w:top w:val="none" w:sz="0" w:space="0" w:color="auto"/>
            <w:left w:val="none" w:sz="0" w:space="0" w:color="auto"/>
            <w:bottom w:val="none" w:sz="0" w:space="0" w:color="auto"/>
            <w:right w:val="none" w:sz="0" w:space="0" w:color="auto"/>
          </w:divBdr>
        </w:div>
      </w:divsChild>
    </w:div>
    <w:div w:id="2012677496">
      <w:marLeft w:val="0"/>
      <w:marRight w:val="0"/>
      <w:marTop w:val="0"/>
      <w:marBottom w:val="0"/>
      <w:divBdr>
        <w:top w:val="none" w:sz="0" w:space="0" w:color="auto"/>
        <w:left w:val="none" w:sz="0" w:space="0" w:color="auto"/>
        <w:bottom w:val="none" w:sz="0" w:space="0" w:color="auto"/>
        <w:right w:val="none" w:sz="0" w:space="0" w:color="auto"/>
      </w:divBdr>
      <w:divsChild>
        <w:div w:id="18715284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8EA0-3376-4F03-91DF-4C12AEA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6003</Words>
  <Characters>2650</Characters>
  <Application>Microsoft Office Word</Application>
  <DocSecurity>0</DocSecurity>
  <Lines>331</Lines>
  <Paragraphs>786</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非货币FOF季报</dc:title>
  <dc:subject/>
  <dc:creator>yss</dc:creator>
  <cp:keywords/>
  <dc:description/>
  <cp:lastModifiedBy>Jemma.Liu@Product-D&amp;S</cp:lastModifiedBy>
  <cp:revision>4</cp:revision>
  <dcterms:created xsi:type="dcterms:W3CDTF">2025-07-16T10:42:00Z</dcterms:created>
  <dcterms:modified xsi:type="dcterms:W3CDTF">2025-07-17T01:47:00Z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