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63154" w14:textId="77777777" w:rsidR="004907C1" w:rsidRDefault="004907C1">
      <w:pPr>
        <w:spacing w:line="360" w:lineRule="auto"/>
        <w:rPr>
          <w:rFonts w:ascii="宋体" w:hAnsi="宋体" w:hint="eastAsia"/>
          <w:sz w:val="48"/>
        </w:rPr>
      </w:pPr>
      <w:r>
        <w:rPr>
          <w:rFonts w:ascii="宋体" w:hAnsi="宋体" w:hint="eastAsia"/>
          <w:sz w:val="48"/>
        </w:rPr>
        <w:t xml:space="preserve">　 </w:t>
      </w:r>
    </w:p>
    <w:p w14:paraId="5E1F4AB1" w14:textId="77777777" w:rsidR="004907C1" w:rsidRDefault="004907C1">
      <w:pPr>
        <w:spacing w:line="360" w:lineRule="auto"/>
        <w:rPr>
          <w:rFonts w:ascii="宋体" w:hAnsi="宋体" w:hint="eastAsia"/>
          <w:sz w:val="48"/>
        </w:rPr>
      </w:pPr>
      <w:r>
        <w:rPr>
          <w:rFonts w:ascii="宋体" w:hAnsi="宋体" w:hint="eastAsia"/>
          <w:sz w:val="48"/>
        </w:rPr>
        <w:t xml:space="preserve">　 </w:t>
      </w:r>
    </w:p>
    <w:p w14:paraId="718146B5" w14:textId="77777777" w:rsidR="004907C1" w:rsidRDefault="004907C1">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w:t>
      </w:r>
      <w:proofErr w:type="gramStart"/>
      <w:r>
        <w:rPr>
          <w:rFonts w:ascii="宋体" w:hAnsi="宋体" w:hint="eastAsia"/>
          <w:b/>
          <w:bCs/>
          <w:color w:val="000000" w:themeColor="text1"/>
          <w:sz w:val="48"/>
          <w:szCs w:val="30"/>
        </w:rPr>
        <w:t>鑫</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2025年第3季度报告</w:t>
      </w:r>
    </w:p>
    <w:p w14:paraId="078288DD"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35C94A8C" w14:textId="77777777" w:rsidR="004907C1" w:rsidRDefault="004907C1">
      <w:pPr>
        <w:spacing w:line="360" w:lineRule="auto"/>
        <w:jc w:val="center"/>
      </w:pPr>
      <w:r>
        <w:rPr>
          <w:rFonts w:ascii="宋体" w:hAnsi="宋体" w:hint="eastAsia"/>
          <w:b/>
          <w:bCs/>
          <w:sz w:val="28"/>
          <w:szCs w:val="30"/>
        </w:rPr>
        <w:t>2025年9月30日</w:t>
      </w:r>
    </w:p>
    <w:p w14:paraId="063DA28C"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0591857E"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3ABAE1D4"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2E765E8E" w14:textId="77777777" w:rsidR="004907C1" w:rsidRDefault="004907C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E162D94"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03DF3EE4"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267C662E"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0D68B2C7"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049F3B63"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6BB5F631"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3EB29C9A" w14:textId="77777777" w:rsidR="004907C1" w:rsidRDefault="004907C1">
      <w:pPr>
        <w:spacing w:line="360" w:lineRule="auto"/>
        <w:jc w:val="center"/>
        <w:rPr>
          <w:rFonts w:ascii="宋体" w:hAnsi="宋体" w:hint="eastAsia"/>
          <w:sz w:val="28"/>
          <w:szCs w:val="30"/>
        </w:rPr>
      </w:pPr>
      <w:r>
        <w:rPr>
          <w:rFonts w:ascii="宋体" w:hAnsi="宋体" w:hint="eastAsia"/>
          <w:sz w:val="28"/>
          <w:szCs w:val="30"/>
        </w:rPr>
        <w:t xml:space="preserve">　 </w:t>
      </w:r>
    </w:p>
    <w:p w14:paraId="652EA1E0" w14:textId="77777777" w:rsidR="004907C1" w:rsidRDefault="004907C1">
      <w:pPr>
        <w:spacing w:line="360" w:lineRule="auto"/>
        <w:ind w:firstLineChars="800" w:firstLine="2249"/>
        <w:jc w:val="left"/>
      </w:pPr>
      <w:r>
        <w:rPr>
          <w:rFonts w:ascii="宋体" w:hAnsi="宋体" w:hint="eastAsia"/>
          <w:b/>
          <w:bCs/>
          <w:sz w:val="28"/>
          <w:szCs w:val="30"/>
        </w:rPr>
        <w:t>基金管理人：摩根基金管理（中国）有限公司</w:t>
      </w:r>
    </w:p>
    <w:p w14:paraId="4904F7B9" w14:textId="77777777" w:rsidR="004907C1" w:rsidRDefault="004907C1">
      <w:pPr>
        <w:spacing w:line="360" w:lineRule="auto"/>
        <w:ind w:firstLineChars="800" w:firstLine="2249"/>
        <w:jc w:val="left"/>
      </w:pPr>
      <w:r>
        <w:rPr>
          <w:rFonts w:ascii="宋体" w:hAnsi="宋体" w:hint="eastAsia"/>
          <w:b/>
          <w:bCs/>
          <w:sz w:val="28"/>
          <w:szCs w:val="30"/>
        </w:rPr>
        <w:t>基金托管人：招商银行股份有限公司</w:t>
      </w:r>
    </w:p>
    <w:p w14:paraId="5EA05CE1" w14:textId="77777777" w:rsidR="004907C1" w:rsidRDefault="004907C1">
      <w:pPr>
        <w:spacing w:line="360" w:lineRule="auto"/>
        <w:ind w:firstLineChars="800" w:firstLine="2249"/>
        <w:jc w:val="left"/>
      </w:pPr>
      <w:r>
        <w:rPr>
          <w:rFonts w:ascii="宋体" w:hAnsi="宋体" w:hint="eastAsia"/>
          <w:b/>
          <w:bCs/>
          <w:sz w:val="28"/>
          <w:szCs w:val="30"/>
        </w:rPr>
        <w:t>报告送出日期：2025年10月28日</w:t>
      </w:r>
    </w:p>
    <w:p w14:paraId="49181A6D" w14:textId="77777777" w:rsidR="004907C1" w:rsidRDefault="004907C1">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3CBA96A6" w14:textId="77777777" w:rsidR="004907C1" w:rsidRDefault="004907C1">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D3229FB" w14:textId="77777777" w:rsidR="004907C1" w:rsidRDefault="004907C1">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499"/>
        <w:gridCol w:w="2658"/>
      </w:tblGrid>
      <w:tr w:rsidR="0046551E" w14:paraId="772D05FF" w14:textId="77777777">
        <w:trPr>
          <w:divId w:val="189989701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68816D8E" w14:textId="77777777" w:rsidR="004907C1" w:rsidRDefault="004907C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54C597" w14:textId="77777777" w:rsidR="004907C1" w:rsidRDefault="004907C1">
            <w:pPr>
              <w:jc w:val="left"/>
            </w:pPr>
            <w:r>
              <w:rPr>
                <w:rFonts w:ascii="宋体" w:hAnsi="宋体" w:hint="eastAsia"/>
                <w:szCs w:val="24"/>
                <w:lang w:eastAsia="zh-Hans"/>
              </w:rPr>
              <w:t>摩根恒鑫债券</w:t>
            </w:r>
            <w:r>
              <w:rPr>
                <w:rFonts w:ascii="宋体" w:hAnsi="宋体" w:hint="eastAsia"/>
                <w:lang w:eastAsia="zh-Hans"/>
              </w:rPr>
              <w:t xml:space="preserve"> </w:t>
            </w:r>
          </w:p>
        </w:tc>
      </w:tr>
      <w:tr w:rsidR="0046551E" w14:paraId="5C457668"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4C072B" w14:textId="77777777" w:rsidR="004907C1" w:rsidRDefault="004907C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BBB618" w14:textId="77777777" w:rsidR="004907C1" w:rsidRDefault="004907C1">
            <w:pPr>
              <w:jc w:val="left"/>
            </w:pPr>
            <w:r>
              <w:rPr>
                <w:rFonts w:ascii="宋体" w:hAnsi="宋体" w:hint="eastAsia"/>
                <w:lang w:eastAsia="zh-Hans"/>
              </w:rPr>
              <w:t>022842</w:t>
            </w:r>
          </w:p>
        </w:tc>
      </w:tr>
      <w:tr w:rsidR="0046551E" w14:paraId="574C6FA0"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DC5CC1" w14:textId="77777777" w:rsidR="004907C1" w:rsidRDefault="004907C1">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DF444F" w14:textId="77777777" w:rsidR="004907C1" w:rsidRDefault="004907C1">
            <w:pPr>
              <w:jc w:val="left"/>
            </w:pPr>
            <w:r>
              <w:rPr>
                <w:rFonts w:ascii="宋体" w:hAnsi="宋体" w:hint="eastAsia"/>
                <w:lang w:eastAsia="zh-Hans"/>
              </w:rPr>
              <w:t>契约型开放式</w:t>
            </w:r>
          </w:p>
        </w:tc>
      </w:tr>
      <w:tr w:rsidR="0046551E" w14:paraId="6559CA32"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6340BE" w14:textId="77777777" w:rsidR="004907C1" w:rsidRDefault="004907C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776EA" w14:textId="77777777" w:rsidR="004907C1" w:rsidRDefault="004907C1">
            <w:pPr>
              <w:jc w:val="left"/>
            </w:pPr>
            <w:r>
              <w:rPr>
                <w:rFonts w:ascii="宋体" w:hAnsi="宋体" w:hint="eastAsia"/>
                <w:lang w:eastAsia="zh-Hans"/>
              </w:rPr>
              <w:t>2025年3月4日</w:t>
            </w:r>
          </w:p>
        </w:tc>
      </w:tr>
      <w:tr w:rsidR="0046551E" w14:paraId="6810537C"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AEBC2D" w14:textId="77777777" w:rsidR="004907C1" w:rsidRDefault="004907C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75E64A" w14:textId="77777777" w:rsidR="004907C1" w:rsidRDefault="004907C1">
            <w:pPr>
              <w:jc w:val="left"/>
            </w:pPr>
            <w:r>
              <w:rPr>
                <w:rFonts w:ascii="宋体" w:hAnsi="宋体" w:hint="eastAsia"/>
                <w:lang w:eastAsia="zh-Hans"/>
              </w:rPr>
              <w:t>204,703,694.97</w:t>
            </w:r>
            <w:r>
              <w:rPr>
                <w:rFonts w:hint="eastAsia"/>
              </w:rPr>
              <w:t>份</w:t>
            </w:r>
            <w:r>
              <w:rPr>
                <w:rFonts w:ascii="宋体" w:hAnsi="宋体" w:hint="eastAsia"/>
                <w:lang w:eastAsia="zh-Hans"/>
              </w:rPr>
              <w:t xml:space="preserve"> </w:t>
            </w:r>
          </w:p>
        </w:tc>
      </w:tr>
      <w:tr w:rsidR="0046551E" w14:paraId="70FA7837"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5FBB80" w14:textId="77777777" w:rsidR="004907C1" w:rsidRDefault="004907C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A8F637" w14:textId="77777777" w:rsidR="004907C1" w:rsidRDefault="004907C1">
            <w:pPr>
              <w:jc w:val="left"/>
            </w:pPr>
            <w:r>
              <w:rPr>
                <w:rFonts w:ascii="宋体" w:hAnsi="宋体" w:hint="eastAsia"/>
                <w:lang w:eastAsia="zh-Hans"/>
              </w:rPr>
              <w:t>本基金在严格的风险控制的基础上，力争实现基金资产的稳健增值。</w:t>
            </w:r>
          </w:p>
        </w:tc>
      </w:tr>
      <w:tr w:rsidR="0046551E" w14:paraId="14C35EEF"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E2C6D2" w14:textId="77777777" w:rsidR="004907C1" w:rsidRDefault="004907C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F25568" w14:textId="77777777" w:rsidR="004907C1" w:rsidRDefault="004907C1">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运用定性和定量相结合的分析手段，对证券市场现阶段的系统性风险以及未来一段时期内各大类资产的风险和预期收益率进行分析评估，并据此制定本基金在各类资产之间的配置比例、调整原则和调整范围。</w:t>
            </w:r>
            <w:r>
              <w:rPr>
                <w:rFonts w:ascii="宋体" w:hAnsi="宋体" w:hint="eastAsia"/>
                <w:lang w:eastAsia="zh-Hans"/>
              </w:rPr>
              <w:br/>
              <w:t>2、债券投资策略</w:t>
            </w:r>
            <w:r>
              <w:rPr>
                <w:rFonts w:ascii="宋体" w:hAnsi="宋体" w:hint="eastAsia"/>
                <w:lang w:eastAsia="zh-Hans"/>
              </w:rPr>
              <w:br/>
              <w:t>本基金采取债券类属配置策略、久期管理策略、收益率曲线策略、信用策略（含资产支持证券）、可转换债券和可交换债券投资策略、回购策略。</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采用“自下而上”的个股精选策略，基于公司内部研究团队对于个股的基本面的深入研究和细致的实地调研，有效挖掘价值低估及具有增长潜力的个股，为投资者获得超过业绩比较基准的收益。</w:t>
            </w:r>
            <w:r>
              <w:rPr>
                <w:rFonts w:ascii="宋体" w:hAnsi="宋体" w:hint="eastAsia"/>
                <w:lang w:eastAsia="zh-Hans"/>
              </w:rPr>
              <w:br/>
              <w:t>4、其他投资策略</w:t>
            </w:r>
            <w:r>
              <w:rPr>
                <w:rFonts w:ascii="宋体" w:hAnsi="宋体" w:hint="eastAsia"/>
                <w:lang w:eastAsia="zh-Hans"/>
              </w:rPr>
              <w:br/>
              <w:t>包括：存托凭证投资策略、港股投资策略、基金投资</w:t>
            </w:r>
            <w:r>
              <w:rPr>
                <w:rFonts w:ascii="宋体" w:hAnsi="宋体" w:hint="eastAsia"/>
                <w:lang w:eastAsia="zh-Hans"/>
              </w:rPr>
              <w:lastRenderedPageBreak/>
              <w:t>策略、国债期货投资策略。</w:t>
            </w:r>
          </w:p>
        </w:tc>
      </w:tr>
      <w:tr w:rsidR="0046551E" w14:paraId="31F6DD6F"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DBCBC" w14:textId="77777777" w:rsidR="004907C1" w:rsidRDefault="004907C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DE3DD4" w14:textId="77777777" w:rsidR="004907C1" w:rsidRDefault="004907C1">
            <w:pPr>
              <w:jc w:val="left"/>
            </w:pPr>
            <w:r>
              <w:rPr>
                <w:rFonts w:ascii="宋体" w:hAnsi="宋体" w:hint="eastAsia"/>
                <w:lang w:eastAsia="zh-Hans"/>
              </w:rPr>
              <w:t>中债新综合财富(总值)指数收益率*90%+中证800指数收益率*7%+中证港股通综合指数收益率*3%</w:t>
            </w:r>
          </w:p>
        </w:tc>
      </w:tr>
      <w:tr w:rsidR="0046551E" w14:paraId="4F7D7546"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9C8FC" w14:textId="77777777" w:rsidR="004907C1" w:rsidRDefault="004907C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C04756" w14:textId="77777777" w:rsidR="004907C1" w:rsidRDefault="004907C1">
            <w:pPr>
              <w:jc w:val="left"/>
            </w:pPr>
            <w:r>
              <w:rPr>
                <w:rFonts w:ascii="宋体" w:hAnsi="宋体" w:hint="eastAsia"/>
                <w:lang w:eastAsia="zh-Hans"/>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tc>
      </w:tr>
      <w:tr w:rsidR="0046551E" w14:paraId="5F6DA91D"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08DFC4" w14:textId="77777777" w:rsidR="004907C1" w:rsidRDefault="004907C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7D13CE" w14:textId="77777777" w:rsidR="004907C1" w:rsidRDefault="004907C1">
            <w:pPr>
              <w:jc w:val="left"/>
            </w:pPr>
            <w:r>
              <w:rPr>
                <w:rFonts w:ascii="宋体" w:hAnsi="宋体" w:hint="eastAsia"/>
                <w:lang w:eastAsia="zh-Hans"/>
              </w:rPr>
              <w:t>摩根基金管理（中国）有限公司</w:t>
            </w:r>
          </w:p>
        </w:tc>
      </w:tr>
      <w:tr w:rsidR="0046551E" w14:paraId="2F36FB87" w14:textId="77777777">
        <w:trPr>
          <w:divId w:val="18998970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FDB13A" w14:textId="77777777" w:rsidR="004907C1" w:rsidRDefault="004907C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84C2ED" w14:textId="77777777" w:rsidR="004907C1" w:rsidRDefault="004907C1">
            <w:pPr>
              <w:jc w:val="left"/>
            </w:pPr>
            <w:r>
              <w:rPr>
                <w:rFonts w:ascii="宋体" w:hAnsi="宋体" w:hint="eastAsia"/>
                <w:lang w:eastAsia="zh-Hans"/>
              </w:rPr>
              <w:t>招商银行股份有限公司</w:t>
            </w:r>
          </w:p>
        </w:tc>
      </w:tr>
      <w:tr w:rsidR="0046551E" w14:paraId="060A260F" w14:textId="77777777">
        <w:trPr>
          <w:divId w:val="18998970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5C4694" w14:textId="77777777" w:rsidR="004907C1" w:rsidRDefault="004907C1">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C821E" w14:textId="77777777" w:rsidR="004907C1" w:rsidRDefault="004907C1">
            <w:pPr>
              <w:jc w:val="center"/>
            </w:pPr>
            <w:r>
              <w:rPr>
                <w:rFonts w:ascii="宋体" w:hAnsi="宋体" w:hint="eastAsia"/>
                <w:lang w:eastAsia="zh-Hans"/>
              </w:rPr>
              <w:t>摩根恒鑫债券A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89788" w14:textId="77777777" w:rsidR="004907C1" w:rsidRDefault="004907C1">
            <w:pPr>
              <w:jc w:val="center"/>
            </w:pPr>
            <w:r>
              <w:rPr>
                <w:rFonts w:ascii="宋体" w:hAnsi="宋体" w:hint="eastAsia"/>
                <w:lang w:eastAsia="zh-Hans"/>
              </w:rPr>
              <w:t>摩根恒鑫债券C</w:t>
            </w:r>
            <w:r>
              <w:rPr>
                <w:rFonts w:ascii="宋体" w:hAnsi="宋体" w:hint="eastAsia"/>
                <w:kern w:val="0"/>
                <w:sz w:val="20"/>
                <w:lang w:eastAsia="zh-Hans"/>
              </w:rPr>
              <w:t xml:space="preserve"> </w:t>
            </w:r>
          </w:p>
        </w:tc>
      </w:tr>
      <w:tr w:rsidR="0046551E" w14:paraId="637553FD" w14:textId="77777777">
        <w:trPr>
          <w:divId w:val="18998970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62C545" w14:textId="77777777" w:rsidR="004907C1" w:rsidRDefault="004907C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6CE45" w14:textId="77777777" w:rsidR="004907C1" w:rsidRDefault="004907C1">
            <w:pPr>
              <w:jc w:val="center"/>
            </w:pPr>
            <w:r>
              <w:rPr>
                <w:rFonts w:ascii="宋体" w:hAnsi="宋体" w:hint="eastAsia"/>
                <w:lang w:eastAsia="zh-Hans"/>
              </w:rPr>
              <w:t>022842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3FD9D" w14:textId="77777777" w:rsidR="004907C1" w:rsidRDefault="004907C1">
            <w:pPr>
              <w:jc w:val="center"/>
            </w:pPr>
            <w:r>
              <w:rPr>
                <w:rFonts w:ascii="宋体" w:hAnsi="宋体" w:hint="eastAsia"/>
                <w:lang w:eastAsia="zh-Hans"/>
              </w:rPr>
              <w:t>022843</w:t>
            </w:r>
            <w:r>
              <w:rPr>
                <w:rFonts w:ascii="宋体" w:hAnsi="宋体" w:hint="eastAsia"/>
                <w:kern w:val="0"/>
                <w:sz w:val="20"/>
                <w:lang w:eastAsia="zh-Hans"/>
              </w:rPr>
              <w:t xml:space="preserve"> </w:t>
            </w:r>
          </w:p>
        </w:tc>
      </w:tr>
      <w:bookmarkEnd w:id="31"/>
      <w:bookmarkEnd w:id="30"/>
      <w:tr w:rsidR="0046551E" w14:paraId="2EA05163" w14:textId="77777777">
        <w:trPr>
          <w:divId w:val="18998970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23F697" w14:textId="77777777" w:rsidR="004907C1" w:rsidRDefault="004907C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7C4FD" w14:textId="77777777" w:rsidR="004907C1" w:rsidRDefault="004907C1">
            <w:pPr>
              <w:jc w:val="center"/>
            </w:pPr>
            <w:r>
              <w:rPr>
                <w:rFonts w:ascii="宋体" w:hAnsi="宋体" w:hint="eastAsia"/>
                <w:lang w:eastAsia="zh-Hans"/>
              </w:rPr>
              <w:t>70,543,026.56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CF85A" w14:textId="77777777" w:rsidR="004907C1" w:rsidRDefault="004907C1">
            <w:pPr>
              <w:jc w:val="center"/>
            </w:pPr>
            <w:r>
              <w:rPr>
                <w:rFonts w:ascii="宋体" w:hAnsi="宋体" w:hint="eastAsia"/>
                <w:lang w:eastAsia="zh-Hans"/>
              </w:rPr>
              <w:t>134,160,668.41</w:t>
            </w:r>
            <w:r>
              <w:rPr>
                <w:rFonts w:hint="eastAsia"/>
              </w:rPr>
              <w:t>份</w:t>
            </w:r>
            <w:r>
              <w:rPr>
                <w:rFonts w:ascii="宋体" w:hAnsi="宋体" w:hint="eastAsia"/>
                <w:lang w:eastAsia="zh-Hans"/>
              </w:rPr>
              <w:t xml:space="preserve"> </w:t>
            </w:r>
          </w:p>
        </w:tc>
      </w:tr>
    </w:tbl>
    <w:p w14:paraId="575F21BF" w14:textId="77777777" w:rsidR="004907C1" w:rsidRDefault="004907C1">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779E93F8" w14:textId="77777777" w:rsidR="004907C1" w:rsidRDefault="004907C1">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199F8D67" w14:textId="77777777" w:rsidR="004907C1" w:rsidRDefault="004907C1">
      <w:pPr>
        <w:jc w:val="right"/>
        <w:divId w:val="14589121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2"/>
        <w:gridCol w:w="2702"/>
        <w:gridCol w:w="2801"/>
      </w:tblGrid>
      <w:tr w:rsidR="0046551E" w14:paraId="1438916F" w14:textId="77777777">
        <w:trPr>
          <w:divId w:val="14589121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9006915" w14:textId="77777777" w:rsidR="004907C1" w:rsidRDefault="004907C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FCC1B1A" w14:textId="77777777" w:rsidR="004907C1" w:rsidRDefault="004907C1">
            <w:pPr>
              <w:pStyle w:val="a5"/>
              <w:jc w:val="center"/>
              <w:rPr>
                <w:rFonts w:hint="eastAsia"/>
              </w:rPr>
            </w:pPr>
            <w:r>
              <w:rPr>
                <w:rFonts w:hint="eastAsia"/>
                <w:kern w:val="2"/>
                <w:sz w:val="21"/>
                <w:szCs w:val="24"/>
                <w:lang w:eastAsia="zh-Hans"/>
              </w:rPr>
              <w:t xml:space="preserve">报告期（2025年7月1日 - 2025年9月30日） </w:t>
            </w:r>
          </w:p>
        </w:tc>
      </w:tr>
      <w:tr w:rsidR="0046551E" w14:paraId="3FC32CCB" w14:textId="77777777">
        <w:trPr>
          <w:divId w:val="14589121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012C2" w14:textId="77777777" w:rsidR="004907C1" w:rsidRDefault="004907C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4C889A" w14:textId="77777777" w:rsidR="004907C1" w:rsidRDefault="004907C1">
            <w:pPr>
              <w:jc w:val="center"/>
            </w:pPr>
            <w:r>
              <w:rPr>
                <w:rFonts w:ascii="宋体" w:hAnsi="宋体" w:hint="eastAsia"/>
                <w:szCs w:val="24"/>
                <w:lang w:eastAsia="zh-Hans"/>
              </w:rPr>
              <w:t>摩根恒鑫债券A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721338B" w14:textId="77777777" w:rsidR="004907C1" w:rsidRDefault="004907C1">
            <w:pPr>
              <w:jc w:val="center"/>
            </w:pPr>
            <w:r>
              <w:rPr>
                <w:rFonts w:ascii="宋体" w:hAnsi="宋体" w:hint="eastAsia"/>
                <w:szCs w:val="24"/>
                <w:lang w:eastAsia="zh-Hans"/>
              </w:rPr>
              <w:t>摩根恒鑫债券C</w:t>
            </w:r>
          </w:p>
        </w:tc>
      </w:tr>
      <w:tr w:rsidR="0046551E" w14:paraId="2B488BD8" w14:textId="77777777">
        <w:trPr>
          <w:divId w:val="14589121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9A44A8" w14:textId="77777777" w:rsidR="004907C1" w:rsidRDefault="004907C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48C3DC" w14:textId="77777777" w:rsidR="004907C1" w:rsidRDefault="004907C1">
            <w:pPr>
              <w:jc w:val="right"/>
            </w:pPr>
            <w:r>
              <w:rPr>
                <w:rFonts w:ascii="宋体" w:hAnsi="宋体" w:hint="eastAsia"/>
                <w:szCs w:val="24"/>
                <w:lang w:eastAsia="zh-Hans"/>
              </w:rPr>
              <w:t>1,993,200.74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8EBF2B" w14:textId="77777777" w:rsidR="004907C1" w:rsidRDefault="004907C1">
            <w:pPr>
              <w:jc w:val="right"/>
            </w:pPr>
            <w:r>
              <w:rPr>
                <w:rFonts w:ascii="宋体" w:hAnsi="宋体" w:hint="eastAsia"/>
                <w:szCs w:val="24"/>
                <w:lang w:eastAsia="zh-Hans"/>
              </w:rPr>
              <w:t>3,065,795.76</w:t>
            </w:r>
          </w:p>
        </w:tc>
      </w:tr>
      <w:tr w:rsidR="0046551E" w14:paraId="58578AB5" w14:textId="77777777">
        <w:trPr>
          <w:divId w:val="14589121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29B24A" w14:textId="77777777" w:rsidR="004907C1" w:rsidRDefault="004907C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A98C09" w14:textId="77777777" w:rsidR="004907C1" w:rsidRDefault="004907C1">
            <w:pPr>
              <w:jc w:val="right"/>
            </w:pPr>
            <w:r>
              <w:rPr>
                <w:rFonts w:ascii="宋体" w:hAnsi="宋体" w:hint="eastAsia"/>
                <w:szCs w:val="24"/>
                <w:lang w:eastAsia="zh-Hans"/>
              </w:rPr>
              <w:t>1,807,803.08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6E163A" w14:textId="77777777" w:rsidR="004907C1" w:rsidRDefault="004907C1">
            <w:pPr>
              <w:jc w:val="right"/>
            </w:pPr>
            <w:r>
              <w:rPr>
                <w:rFonts w:ascii="宋体" w:hAnsi="宋体" w:hint="eastAsia"/>
                <w:szCs w:val="24"/>
                <w:lang w:eastAsia="zh-Hans"/>
              </w:rPr>
              <w:t>2,804,526.95</w:t>
            </w:r>
          </w:p>
        </w:tc>
      </w:tr>
      <w:tr w:rsidR="0046551E" w14:paraId="009504C8" w14:textId="77777777">
        <w:trPr>
          <w:divId w:val="14589121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712137" w14:textId="77777777" w:rsidR="004907C1" w:rsidRDefault="004907C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13FE31" w14:textId="77777777" w:rsidR="004907C1" w:rsidRDefault="004907C1">
            <w:pPr>
              <w:jc w:val="right"/>
            </w:pPr>
            <w:r>
              <w:rPr>
                <w:rFonts w:ascii="宋体" w:hAnsi="宋体" w:hint="eastAsia"/>
                <w:szCs w:val="24"/>
                <w:lang w:eastAsia="zh-Hans"/>
              </w:rPr>
              <w:t>0.0147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0B7505" w14:textId="77777777" w:rsidR="004907C1" w:rsidRDefault="004907C1">
            <w:pPr>
              <w:jc w:val="right"/>
            </w:pPr>
            <w:r>
              <w:rPr>
                <w:rFonts w:ascii="宋体" w:hAnsi="宋体" w:hint="eastAsia"/>
                <w:szCs w:val="24"/>
                <w:lang w:eastAsia="zh-Hans"/>
              </w:rPr>
              <w:t>0.0132</w:t>
            </w:r>
          </w:p>
        </w:tc>
      </w:tr>
      <w:tr w:rsidR="0046551E" w14:paraId="73108E0F" w14:textId="77777777">
        <w:trPr>
          <w:divId w:val="14589121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E51677" w14:textId="77777777" w:rsidR="004907C1" w:rsidRDefault="004907C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9BBAB5" w14:textId="77777777" w:rsidR="004907C1" w:rsidRDefault="004907C1">
            <w:pPr>
              <w:jc w:val="right"/>
            </w:pPr>
            <w:r>
              <w:rPr>
                <w:rFonts w:ascii="宋体" w:hAnsi="宋体" w:hint="eastAsia"/>
                <w:szCs w:val="24"/>
                <w:lang w:eastAsia="zh-Hans"/>
              </w:rPr>
              <w:t>72,009,516.85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569149" w14:textId="77777777" w:rsidR="004907C1" w:rsidRDefault="004907C1">
            <w:pPr>
              <w:jc w:val="right"/>
            </w:pPr>
            <w:r>
              <w:rPr>
                <w:rFonts w:ascii="宋体" w:hAnsi="宋体" w:hint="eastAsia"/>
                <w:szCs w:val="24"/>
                <w:lang w:eastAsia="zh-Hans"/>
              </w:rPr>
              <w:t>136,634,395.60</w:t>
            </w:r>
          </w:p>
        </w:tc>
      </w:tr>
      <w:tr w:rsidR="0046551E" w14:paraId="3789B7E9" w14:textId="77777777">
        <w:trPr>
          <w:divId w:val="14589121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26CF0E" w14:textId="77777777" w:rsidR="004907C1" w:rsidRDefault="004907C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E244CC" w14:textId="77777777" w:rsidR="004907C1" w:rsidRDefault="004907C1">
            <w:pPr>
              <w:jc w:val="right"/>
            </w:pPr>
            <w:r>
              <w:rPr>
                <w:rFonts w:ascii="宋体" w:hAnsi="宋体" w:hint="eastAsia"/>
                <w:szCs w:val="24"/>
                <w:lang w:eastAsia="zh-Hans"/>
              </w:rPr>
              <w:t>1.0208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76117C" w14:textId="77777777" w:rsidR="004907C1" w:rsidRDefault="004907C1">
            <w:pPr>
              <w:jc w:val="right"/>
            </w:pPr>
            <w:r>
              <w:rPr>
                <w:rFonts w:ascii="宋体" w:hAnsi="宋体" w:hint="eastAsia"/>
                <w:szCs w:val="24"/>
                <w:lang w:eastAsia="zh-Hans"/>
              </w:rPr>
              <w:t>1.0184</w:t>
            </w:r>
          </w:p>
        </w:tc>
      </w:tr>
    </w:tbl>
    <w:p w14:paraId="396134C5" w14:textId="77777777" w:rsidR="004907C1" w:rsidRDefault="004907C1">
      <w:pPr>
        <w:wordWrap w:val="0"/>
        <w:spacing w:line="360" w:lineRule="auto"/>
        <w:jc w:val="left"/>
        <w:divId w:val="146997251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1323C36" w14:textId="77777777" w:rsidR="004907C1" w:rsidRDefault="004907C1">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5F3CCADE" w14:textId="77777777" w:rsidR="004907C1" w:rsidRDefault="004907C1">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3A3F8C07" w14:textId="77777777" w:rsidR="004907C1" w:rsidRDefault="004907C1">
      <w:pPr>
        <w:spacing w:line="360" w:lineRule="auto"/>
        <w:jc w:val="center"/>
        <w:divId w:val="1129859397"/>
      </w:pPr>
      <w:r>
        <w:rPr>
          <w:rFonts w:ascii="宋体" w:hAnsi="宋体" w:hint="eastAsia"/>
        </w:rPr>
        <w:t>摩根恒</w:t>
      </w:r>
      <w:proofErr w:type="gramStart"/>
      <w:r>
        <w:rPr>
          <w:rFonts w:ascii="宋体" w:hAnsi="宋体" w:hint="eastAsia"/>
        </w:rPr>
        <w:t>鑫</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6551E" w14:paraId="1ABB47E8" w14:textId="77777777">
        <w:trPr>
          <w:divId w:val="112985939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EBB92B" w14:textId="77777777" w:rsidR="004907C1" w:rsidRDefault="004907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2B6B2F" w14:textId="77777777" w:rsidR="004907C1" w:rsidRDefault="004907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BBA544" w14:textId="77777777" w:rsidR="004907C1" w:rsidRDefault="004907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C00E93" w14:textId="77777777" w:rsidR="004907C1" w:rsidRDefault="004907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FBF453" w14:textId="77777777" w:rsidR="004907C1" w:rsidRDefault="004907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8BC3D" w14:textId="77777777" w:rsidR="004907C1" w:rsidRDefault="004907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A50D2" w14:textId="77777777" w:rsidR="004907C1" w:rsidRDefault="004907C1">
            <w:pPr>
              <w:spacing w:line="360" w:lineRule="auto"/>
              <w:jc w:val="center"/>
            </w:pPr>
            <w:r>
              <w:rPr>
                <w:rFonts w:ascii="宋体" w:hAnsi="宋体" w:hint="eastAsia"/>
              </w:rPr>
              <w:t xml:space="preserve">②－④ </w:t>
            </w:r>
          </w:p>
        </w:tc>
      </w:tr>
      <w:tr w:rsidR="0046551E" w14:paraId="262625F1" w14:textId="77777777">
        <w:trPr>
          <w:divId w:val="11298593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24AED" w14:textId="77777777" w:rsidR="004907C1" w:rsidRDefault="004907C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1300D" w14:textId="77777777" w:rsidR="004907C1" w:rsidRDefault="004907C1">
            <w:pPr>
              <w:spacing w:line="360" w:lineRule="auto"/>
              <w:jc w:val="right"/>
            </w:pPr>
            <w:r>
              <w:rPr>
                <w:rFonts w:ascii="宋体" w:hAnsi="宋体" w:hint="eastAsia"/>
              </w:rPr>
              <w:t xml:space="preserve">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D4747" w14:textId="77777777" w:rsidR="004907C1" w:rsidRDefault="004907C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43F7E" w14:textId="77777777" w:rsidR="004907C1" w:rsidRDefault="004907C1">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4904D" w14:textId="77777777" w:rsidR="004907C1" w:rsidRDefault="004907C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A0B769" w14:textId="77777777" w:rsidR="004907C1" w:rsidRDefault="004907C1">
            <w:pPr>
              <w:spacing w:line="360" w:lineRule="auto"/>
              <w:jc w:val="right"/>
            </w:pPr>
            <w:r>
              <w:rPr>
                <w:rFonts w:ascii="宋体" w:hAnsi="宋体" w:hint="eastAsia"/>
              </w:rPr>
              <w:t xml:space="preserve">0.55%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8FE08" w14:textId="77777777" w:rsidR="004907C1" w:rsidRDefault="004907C1">
            <w:pPr>
              <w:spacing w:line="360" w:lineRule="auto"/>
              <w:jc w:val="right"/>
            </w:pPr>
            <w:r>
              <w:rPr>
                <w:rFonts w:ascii="宋体" w:hAnsi="宋体" w:hint="eastAsia"/>
              </w:rPr>
              <w:t xml:space="preserve">0.03% </w:t>
            </w:r>
          </w:p>
        </w:tc>
      </w:tr>
      <w:tr w:rsidR="0046551E" w14:paraId="4EEFEA20" w14:textId="77777777">
        <w:trPr>
          <w:divId w:val="11298593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A4866" w14:textId="77777777" w:rsidR="004907C1" w:rsidRDefault="004907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82D38" w14:textId="77777777" w:rsidR="004907C1" w:rsidRDefault="004907C1">
            <w:pPr>
              <w:spacing w:line="360" w:lineRule="auto"/>
              <w:jc w:val="right"/>
            </w:pPr>
            <w:r>
              <w:rPr>
                <w:rFonts w:ascii="宋体" w:hAnsi="宋体" w:hint="eastAsia"/>
              </w:rPr>
              <w:t xml:space="preserve">2.05%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BB813" w14:textId="77777777" w:rsidR="004907C1" w:rsidRDefault="004907C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19F1F" w14:textId="77777777" w:rsidR="004907C1" w:rsidRDefault="004907C1">
            <w:pPr>
              <w:spacing w:line="360" w:lineRule="auto"/>
              <w:jc w:val="right"/>
            </w:pPr>
            <w:r>
              <w:rPr>
                <w:rFonts w:ascii="宋体" w:hAnsi="宋体" w:hint="eastAsia"/>
              </w:rPr>
              <w:t xml:space="preserve">2.73%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24997" w14:textId="77777777" w:rsidR="004907C1" w:rsidRDefault="004907C1">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1E2430" w14:textId="77777777" w:rsidR="004907C1" w:rsidRDefault="004907C1">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F0281" w14:textId="77777777" w:rsidR="004907C1" w:rsidRDefault="004907C1">
            <w:pPr>
              <w:spacing w:line="360" w:lineRule="auto"/>
              <w:jc w:val="right"/>
            </w:pPr>
            <w:r>
              <w:rPr>
                <w:rFonts w:ascii="宋体" w:hAnsi="宋体" w:hint="eastAsia"/>
              </w:rPr>
              <w:t xml:space="preserve">-0.01% </w:t>
            </w:r>
          </w:p>
        </w:tc>
      </w:tr>
      <w:tr w:rsidR="0046551E" w14:paraId="00BD0BCA" w14:textId="77777777">
        <w:trPr>
          <w:divId w:val="11298593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5B09A" w14:textId="77777777" w:rsidR="004907C1" w:rsidRDefault="004907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50220" w14:textId="77777777" w:rsidR="004907C1" w:rsidRDefault="004907C1">
            <w:pPr>
              <w:spacing w:line="360" w:lineRule="auto"/>
              <w:jc w:val="right"/>
            </w:pPr>
            <w:r>
              <w:rPr>
                <w:rFonts w:ascii="宋体" w:hAnsi="宋体" w:hint="eastAsia"/>
              </w:rPr>
              <w:t xml:space="preserve">2.08%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F5AF8" w14:textId="77777777" w:rsidR="004907C1" w:rsidRDefault="004907C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1B1A9" w14:textId="77777777" w:rsidR="004907C1" w:rsidRDefault="004907C1">
            <w:pPr>
              <w:spacing w:line="360" w:lineRule="auto"/>
              <w:jc w:val="right"/>
            </w:pPr>
            <w:r>
              <w:rPr>
                <w:rFonts w:ascii="宋体" w:hAnsi="宋体" w:hint="eastAsia"/>
              </w:rPr>
              <w:t xml:space="preserve">2.43%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98ADE" w14:textId="77777777" w:rsidR="004907C1" w:rsidRDefault="004907C1">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6144C2" w14:textId="77777777" w:rsidR="004907C1" w:rsidRDefault="004907C1">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7A5B7" w14:textId="77777777" w:rsidR="004907C1" w:rsidRDefault="004907C1">
            <w:pPr>
              <w:spacing w:line="360" w:lineRule="auto"/>
              <w:jc w:val="right"/>
            </w:pPr>
            <w:r>
              <w:rPr>
                <w:rFonts w:ascii="宋体" w:hAnsi="宋体" w:hint="eastAsia"/>
              </w:rPr>
              <w:t xml:space="preserve">-0.02% </w:t>
            </w:r>
          </w:p>
        </w:tc>
      </w:tr>
    </w:tbl>
    <w:p w14:paraId="6F7A0199" w14:textId="77777777" w:rsidR="004907C1" w:rsidRDefault="004907C1">
      <w:pPr>
        <w:spacing w:line="360" w:lineRule="auto"/>
        <w:jc w:val="center"/>
        <w:divId w:val="471145066"/>
      </w:pPr>
      <w:r>
        <w:rPr>
          <w:rFonts w:ascii="宋体" w:hAnsi="宋体" w:hint="eastAsia"/>
        </w:rPr>
        <w:t>摩根恒</w:t>
      </w:r>
      <w:proofErr w:type="gramStart"/>
      <w:r>
        <w:rPr>
          <w:rFonts w:ascii="宋体" w:hAnsi="宋体" w:hint="eastAsia"/>
        </w:rPr>
        <w:t>鑫</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6551E" w14:paraId="08926313" w14:textId="77777777">
        <w:trPr>
          <w:divId w:val="4711450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9C33C9" w14:textId="77777777" w:rsidR="004907C1" w:rsidRDefault="004907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B65F0" w14:textId="77777777" w:rsidR="004907C1" w:rsidRDefault="004907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025958" w14:textId="77777777" w:rsidR="004907C1" w:rsidRDefault="004907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2A3E70" w14:textId="77777777" w:rsidR="004907C1" w:rsidRDefault="004907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AA34BE" w14:textId="77777777" w:rsidR="004907C1" w:rsidRDefault="004907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61FC9" w14:textId="77777777" w:rsidR="004907C1" w:rsidRDefault="004907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EE35C9" w14:textId="77777777" w:rsidR="004907C1" w:rsidRDefault="004907C1">
            <w:pPr>
              <w:spacing w:line="360" w:lineRule="auto"/>
              <w:jc w:val="center"/>
            </w:pPr>
            <w:r>
              <w:rPr>
                <w:rFonts w:ascii="宋体" w:hAnsi="宋体" w:hint="eastAsia"/>
              </w:rPr>
              <w:t xml:space="preserve">②－④ </w:t>
            </w:r>
          </w:p>
        </w:tc>
      </w:tr>
      <w:tr w:rsidR="0046551E" w14:paraId="053D7347" w14:textId="77777777">
        <w:trPr>
          <w:divId w:val="471145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F7789" w14:textId="77777777" w:rsidR="004907C1" w:rsidRDefault="004907C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9C657" w14:textId="77777777" w:rsidR="004907C1" w:rsidRDefault="004907C1">
            <w:pPr>
              <w:spacing w:line="360" w:lineRule="auto"/>
              <w:jc w:val="right"/>
            </w:pPr>
            <w:r>
              <w:rPr>
                <w:rFonts w:ascii="宋体" w:hAnsi="宋体" w:hint="eastAsia"/>
              </w:rPr>
              <w:t xml:space="preserve">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AF64F" w14:textId="77777777" w:rsidR="004907C1" w:rsidRDefault="004907C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81474" w14:textId="77777777" w:rsidR="004907C1" w:rsidRDefault="004907C1">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5AB96" w14:textId="77777777" w:rsidR="004907C1" w:rsidRDefault="004907C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6486A9" w14:textId="77777777" w:rsidR="004907C1" w:rsidRDefault="004907C1">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F443" w14:textId="77777777" w:rsidR="004907C1" w:rsidRDefault="004907C1">
            <w:pPr>
              <w:spacing w:line="360" w:lineRule="auto"/>
              <w:jc w:val="right"/>
            </w:pPr>
            <w:r>
              <w:rPr>
                <w:rFonts w:ascii="宋体" w:hAnsi="宋体" w:hint="eastAsia"/>
              </w:rPr>
              <w:t xml:space="preserve">0.03% </w:t>
            </w:r>
          </w:p>
        </w:tc>
      </w:tr>
      <w:tr w:rsidR="0046551E" w14:paraId="0163C7D7" w14:textId="77777777">
        <w:trPr>
          <w:divId w:val="471145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C2278" w14:textId="77777777" w:rsidR="004907C1" w:rsidRDefault="004907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3077F" w14:textId="77777777" w:rsidR="004907C1" w:rsidRDefault="004907C1">
            <w:pPr>
              <w:spacing w:line="360" w:lineRule="auto"/>
              <w:jc w:val="right"/>
            </w:pPr>
            <w:r>
              <w:rPr>
                <w:rFonts w:ascii="宋体" w:hAnsi="宋体" w:hint="eastAsia"/>
              </w:rPr>
              <w:t xml:space="preserve">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36BED" w14:textId="77777777" w:rsidR="004907C1" w:rsidRDefault="004907C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0464D" w14:textId="77777777" w:rsidR="004907C1" w:rsidRDefault="004907C1">
            <w:pPr>
              <w:spacing w:line="360" w:lineRule="auto"/>
              <w:jc w:val="right"/>
            </w:pPr>
            <w:r>
              <w:rPr>
                <w:rFonts w:ascii="宋体" w:hAnsi="宋体" w:hint="eastAsia"/>
              </w:rPr>
              <w:t xml:space="preserve">2.73%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5E4B2" w14:textId="77777777" w:rsidR="004907C1" w:rsidRDefault="004907C1">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C349A4" w14:textId="77777777" w:rsidR="004907C1" w:rsidRDefault="004907C1">
            <w:pPr>
              <w:spacing w:line="360" w:lineRule="auto"/>
              <w:jc w:val="right"/>
            </w:pPr>
            <w:r>
              <w:rPr>
                <w:rFonts w:ascii="宋体" w:hAnsi="宋体" w:hint="eastAsia"/>
              </w:rPr>
              <w:t xml:space="preserve">-0.89%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D15A2" w14:textId="77777777" w:rsidR="004907C1" w:rsidRDefault="004907C1">
            <w:pPr>
              <w:spacing w:line="360" w:lineRule="auto"/>
              <w:jc w:val="right"/>
            </w:pPr>
            <w:r>
              <w:rPr>
                <w:rFonts w:ascii="宋体" w:hAnsi="宋体" w:hint="eastAsia"/>
              </w:rPr>
              <w:t xml:space="preserve">-0.01% </w:t>
            </w:r>
          </w:p>
        </w:tc>
      </w:tr>
      <w:tr w:rsidR="0046551E" w14:paraId="651374AD" w14:textId="77777777">
        <w:trPr>
          <w:divId w:val="471145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62A71" w14:textId="77777777" w:rsidR="004907C1" w:rsidRDefault="004907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718C0" w14:textId="77777777" w:rsidR="004907C1" w:rsidRDefault="004907C1">
            <w:pPr>
              <w:spacing w:line="360" w:lineRule="auto"/>
              <w:jc w:val="right"/>
            </w:pPr>
            <w:r>
              <w:rPr>
                <w:rFonts w:ascii="宋体" w:hAnsi="宋体" w:hint="eastAsia"/>
              </w:rPr>
              <w:t xml:space="preserve">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D721D" w14:textId="77777777" w:rsidR="004907C1" w:rsidRDefault="004907C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F9FBF" w14:textId="77777777" w:rsidR="004907C1" w:rsidRDefault="004907C1">
            <w:pPr>
              <w:spacing w:line="360" w:lineRule="auto"/>
              <w:jc w:val="right"/>
            </w:pPr>
            <w:r>
              <w:rPr>
                <w:rFonts w:ascii="宋体" w:hAnsi="宋体" w:hint="eastAsia"/>
              </w:rPr>
              <w:t xml:space="preserve">2.43%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03ABB" w14:textId="77777777" w:rsidR="004907C1" w:rsidRDefault="004907C1">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D9D154" w14:textId="77777777" w:rsidR="004907C1" w:rsidRDefault="004907C1">
            <w:pPr>
              <w:spacing w:line="360" w:lineRule="auto"/>
              <w:jc w:val="right"/>
            </w:pPr>
            <w:r>
              <w:rPr>
                <w:rFonts w:ascii="宋体" w:hAnsi="宋体" w:hint="eastAsia"/>
              </w:rPr>
              <w:t xml:space="preserve">-0.59%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06299" w14:textId="77777777" w:rsidR="004907C1" w:rsidRDefault="004907C1">
            <w:pPr>
              <w:spacing w:line="360" w:lineRule="auto"/>
              <w:jc w:val="right"/>
            </w:pPr>
            <w:r>
              <w:rPr>
                <w:rFonts w:ascii="宋体" w:hAnsi="宋体" w:hint="eastAsia"/>
              </w:rPr>
              <w:t xml:space="preserve">-0.02% </w:t>
            </w:r>
          </w:p>
        </w:tc>
      </w:tr>
    </w:tbl>
    <w:p w14:paraId="366FFCAC" w14:textId="77777777" w:rsidR="004907C1" w:rsidRDefault="004907C1">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013D1493" w14:textId="77777777" w:rsidR="004907C1" w:rsidRDefault="004907C1">
      <w:pPr>
        <w:spacing w:line="360" w:lineRule="auto"/>
        <w:jc w:val="left"/>
        <w:divId w:val="448672699"/>
      </w:pPr>
      <w:bookmarkStart w:id="65" w:name="m07_04_07_09"/>
      <w:bookmarkStart w:id="66" w:name="m07_04_07_09_tab"/>
      <w:r>
        <w:rPr>
          <w:rFonts w:ascii="宋体" w:hAnsi="宋体" w:hint="eastAsia"/>
          <w:noProof/>
        </w:rPr>
        <w:drawing>
          <wp:inline distT="0" distB="0" distL="0" distR="0" wp14:anchorId="565BE29A" wp14:editId="1E111BD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4B06D3" w14:textId="77777777" w:rsidR="004907C1" w:rsidRDefault="004907C1">
      <w:pPr>
        <w:spacing w:line="360" w:lineRule="auto"/>
        <w:jc w:val="left"/>
        <w:divId w:val="398140344"/>
      </w:pPr>
      <w:r>
        <w:rPr>
          <w:rFonts w:ascii="宋体" w:hAnsi="宋体" w:hint="eastAsia"/>
          <w:noProof/>
        </w:rPr>
        <w:drawing>
          <wp:inline distT="0" distB="0" distL="0" distR="0" wp14:anchorId="1166D909" wp14:editId="31A0E96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5181B5" w14:textId="015C8D87" w:rsidR="004907C1" w:rsidRDefault="004907C1">
      <w:pPr>
        <w:spacing w:line="360" w:lineRule="auto"/>
      </w:pPr>
      <w:r>
        <w:rPr>
          <w:rFonts w:ascii="宋体" w:hAnsi="宋体" w:hint="eastAsia"/>
        </w:rPr>
        <w:t>注：</w:t>
      </w:r>
      <w:r>
        <w:rPr>
          <w:rFonts w:ascii="宋体" w:hAnsi="宋体" w:hint="eastAsia"/>
          <w:lang w:eastAsia="zh-Hans"/>
        </w:rPr>
        <w:t>本基金合同生效日为2025年3月4日，截至本报告期末本基金合同生效未满一年。</w:t>
      </w:r>
      <w:r>
        <w:rPr>
          <w:rFonts w:ascii="宋体" w:hAnsi="宋体" w:hint="eastAsia"/>
          <w:lang w:eastAsia="zh-Hans"/>
        </w:rPr>
        <w:br/>
        <w:t xml:space="preserve">　　本基金建仓期为本基金合同生效日起　6　个月，</w:t>
      </w:r>
      <w:r w:rsidR="009D7797">
        <w:rPr>
          <w:rFonts w:ascii="宋体" w:hAnsi="宋体" w:hint="eastAsia"/>
          <w:lang w:eastAsia="zh-Hans"/>
        </w:rPr>
        <w:t>建仓期结束时资产配置比例符合本基金基金合同规定。</w:t>
      </w:r>
    </w:p>
    <w:p w14:paraId="7DE9AC71" w14:textId="77777777" w:rsidR="004907C1" w:rsidRDefault="004907C1">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08896FA4" w14:textId="77777777" w:rsidR="004907C1" w:rsidRDefault="004907C1">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6551E" w14:paraId="5FDFC5F9" w14:textId="77777777">
        <w:trPr>
          <w:divId w:val="676044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C96C2" w14:textId="77777777" w:rsidR="004907C1" w:rsidRDefault="004907C1">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06272" w14:textId="77777777" w:rsidR="004907C1" w:rsidRDefault="004907C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DA4AE" w14:textId="77777777" w:rsidR="004907C1" w:rsidRDefault="004907C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6507" w14:textId="77777777" w:rsidR="004907C1" w:rsidRDefault="004907C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791C4" w14:textId="77777777" w:rsidR="004907C1" w:rsidRDefault="004907C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6551E" w14:paraId="19965639" w14:textId="77777777">
        <w:trPr>
          <w:divId w:val="676044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ABD05" w14:textId="77777777" w:rsidR="004907C1" w:rsidRDefault="004907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2414E" w14:textId="77777777" w:rsidR="004907C1" w:rsidRDefault="004907C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03B08" w14:textId="77777777" w:rsidR="004907C1" w:rsidRDefault="004907C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578C0" w14:textId="77777777" w:rsidR="004907C1" w:rsidRDefault="004907C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6253C" w14:textId="77777777" w:rsidR="004907C1" w:rsidRDefault="004907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F2D36" w14:textId="77777777" w:rsidR="004907C1" w:rsidRDefault="004907C1">
            <w:pPr>
              <w:widowControl/>
              <w:jc w:val="left"/>
            </w:pPr>
          </w:p>
        </w:tc>
      </w:tr>
      <w:tr w:rsidR="0046551E" w14:paraId="545B70EE" w14:textId="77777777">
        <w:trPr>
          <w:divId w:val="676044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687DF" w14:textId="77777777" w:rsidR="004907C1" w:rsidRDefault="004907C1">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75492" w14:textId="77777777" w:rsidR="004907C1" w:rsidRDefault="004907C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447B9" w14:textId="77777777" w:rsidR="004907C1" w:rsidRDefault="004907C1">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04027" w14:textId="77777777" w:rsidR="004907C1" w:rsidRDefault="004907C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9D7A2" w14:textId="77777777" w:rsidR="004907C1" w:rsidRDefault="004907C1">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235EC" w14:textId="77777777" w:rsidR="004907C1" w:rsidRDefault="004907C1">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46551E" w14:paraId="728028B6" w14:textId="77777777">
        <w:trPr>
          <w:divId w:val="676044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83E44" w14:textId="77777777" w:rsidR="004907C1" w:rsidRDefault="004907C1">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98E71" w14:textId="77777777" w:rsidR="004907C1" w:rsidRDefault="004907C1">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A79C9" w14:textId="77777777" w:rsidR="004907C1" w:rsidRDefault="004907C1">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F1439" w14:textId="77777777" w:rsidR="004907C1" w:rsidRDefault="004907C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7A062" w14:textId="77777777" w:rsidR="004907C1" w:rsidRDefault="004907C1">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082A0" w14:textId="77777777" w:rsidR="004907C1" w:rsidRDefault="004907C1">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39A6C03C" w14:textId="77777777" w:rsidR="004907C1" w:rsidRDefault="004907C1">
      <w:pPr>
        <w:wordWrap w:val="0"/>
        <w:spacing w:line="360" w:lineRule="auto"/>
        <w:jc w:val="left"/>
        <w:divId w:val="10754724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2989D9" w14:textId="77777777" w:rsidR="004907C1" w:rsidRDefault="004907C1">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4D9A31AF" w14:textId="77777777" w:rsidR="004907C1" w:rsidRDefault="004907C1">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F70D6F9" w14:textId="77777777" w:rsidR="004907C1" w:rsidRDefault="004907C1">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16F3E47A" w14:textId="77777777" w:rsidR="004907C1" w:rsidRDefault="004907C1">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2590E3E1" w14:textId="77777777" w:rsidR="004907C1" w:rsidRDefault="004907C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282F41F" w14:textId="77777777" w:rsidR="004907C1" w:rsidRDefault="004907C1">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34DC2ABF" w14:textId="77777777" w:rsidR="004907C1" w:rsidRDefault="004907C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D60A0EC" w14:textId="77777777" w:rsidR="004907C1" w:rsidRDefault="004907C1">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7F0A7F22" w14:textId="77777777" w:rsidR="004907C1" w:rsidRDefault="004907C1">
      <w:pPr>
        <w:spacing w:line="360" w:lineRule="auto"/>
        <w:ind w:firstLineChars="200" w:firstLine="420"/>
        <w:jc w:val="left"/>
      </w:pPr>
      <w:r>
        <w:rPr>
          <w:rFonts w:ascii="宋体" w:hAnsi="宋体" w:cs="宋体" w:hint="eastAsia"/>
          <w:color w:val="000000"/>
          <w:kern w:val="0"/>
        </w:rPr>
        <w:t>2025年三季度海外基本面，9月美联储FOMC会议上将基准利率下调25bp至4.0-4.25%，上调今明两年经济增长预测，下调明年失业率预测，上调明年通胀预测。降息有助于提振风偏，改善分子端盈利预期，对</w:t>
      </w:r>
      <w:proofErr w:type="gramStart"/>
      <w:r>
        <w:rPr>
          <w:rFonts w:ascii="宋体" w:hAnsi="宋体" w:cs="宋体" w:hint="eastAsia"/>
          <w:color w:val="000000"/>
          <w:kern w:val="0"/>
        </w:rPr>
        <w:t>美股美债</w:t>
      </w:r>
      <w:proofErr w:type="gramEnd"/>
      <w:r>
        <w:rPr>
          <w:rFonts w:ascii="宋体" w:hAnsi="宋体" w:cs="宋体" w:hint="eastAsia"/>
          <w:color w:val="000000"/>
          <w:kern w:val="0"/>
        </w:rPr>
        <w:t>均构成支撑。</w:t>
      </w:r>
      <w:r>
        <w:rPr>
          <w:rFonts w:ascii="宋体" w:hAnsi="宋体" w:cs="宋体" w:hint="eastAsia"/>
          <w:color w:val="000000"/>
          <w:kern w:val="0"/>
        </w:rPr>
        <w:br/>
        <w:t xml:space="preserve">　　三季度国内货币政策方面，中国央行保持“以我为主”的节奏，美联储降息与否并非当下国内货币政策的主要矛盾。在需求</w:t>
      </w:r>
      <w:proofErr w:type="gramStart"/>
      <w:r>
        <w:rPr>
          <w:rFonts w:ascii="宋体" w:hAnsi="宋体" w:cs="宋体" w:hint="eastAsia"/>
          <w:color w:val="000000"/>
          <w:kern w:val="0"/>
        </w:rPr>
        <w:t>端改善</w:t>
      </w:r>
      <w:proofErr w:type="gramEnd"/>
      <w:r>
        <w:rPr>
          <w:rFonts w:ascii="宋体" w:hAnsi="宋体" w:cs="宋体" w:hint="eastAsia"/>
          <w:color w:val="000000"/>
          <w:kern w:val="0"/>
        </w:rPr>
        <w:t>尚不清晰的情况下，央行刺激的必要性不强。在对等关税带来的贸易重构尚未靴子落地前，偏强的权益市场可能引发资金空转，央行宽松行为存在客观掣肘。</w:t>
      </w:r>
      <w:r>
        <w:rPr>
          <w:rFonts w:ascii="宋体" w:hAnsi="宋体" w:cs="宋体" w:hint="eastAsia"/>
          <w:color w:val="000000"/>
          <w:kern w:val="0"/>
        </w:rPr>
        <w:br/>
        <w:t xml:space="preserve">　　三季度权益市场表现较好，债券市场反应平淡，长端债券受到风偏提振的影响出现调整。</w:t>
      </w:r>
      <w:r>
        <w:rPr>
          <w:rFonts w:ascii="宋体" w:hAnsi="宋体" w:cs="宋体" w:hint="eastAsia"/>
          <w:color w:val="000000"/>
          <w:kern w:val="0"/>
        </w:rPr>
        <w:br/>
        <w:t xml:space="preserve">　　本基金在2025年三季度保持股票和债券均衡配置，投资组合保持流动性充足。</w:t>
      </w:r>
      <w:r>
        <w:rPr>
          <w:rFonts w:ascii="宋体" w:hAnsi="宋体" w:cs="宋体" w:hint="eastAsia"/>
          <w:color w:val="000000"/>
          <w:kern w:val="0"/>
        </w:rPr>
        <w:br/>
        <w:t xml:space="preserve">　　展望2025年四季度，关注扩内需方面的提</w:t>
      </w:r>
      <w:proofErr w:type="gramStart"/>
      <w:r>
        <w:rPr>
          <w:rFonts w:ascii="宋体" w:hAnsi="宋体" w:cs="宋体" w:hint="eastAsia"/>
          <w:color w:val="000000"/>
          <w:kern w:val="0"/>
        </w:rPr>
        <w:t>振政策</w:t>
      </w:r>
      <w:proofErr w:type="gramEnd"/>
      <w:r>
        <w:rPr>
          <w:rFonts w:ascii="宋体" w:hAnsi="宋体" w:cs="宋体" w:hint="eastAsia"/>
          <w:color w:val="000000"/>
          <w:kern w:val="0"/>
        </w:rPr>
        <w:t>动向，化解债务、促进消费、财税改革等方向值得关注。同时关注全球资本开支上行的大背景下，出口是否依旧维持较强的韧性，并受益于全球制造业PMI回升的过程。</w:t>
      </w:r>
      <w:r>
        <w:rPr>
          <w:rFonts w:ascii="宋体" w:hAnsi="宋体" w:cs="宋体" w:hint="eastAsia"/>
          <w:color w:val="000000"/>
          <w:kern w:val="0"/>
        </w:rPr>
        <w:br/>
        <w:t xml:space="preserve">　　本基金将继续保持当前的股票和债券配置，力争为组合提供稳健的资产配置。</w:t>
      </w:r>
    </w:p>
    <w:p w14:paraId="50BC2FDD" w14:textId="77777777" w:rsidR="004907C1" w:rsidRDefault="004907C1">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5E851C82" w14:textId="77777777" w:rsidR="004907C1" w:rsidRDefault="004907C1">
      <w:pPr>
        <w:spacing w:line="360" w:lineRule="auto"/>
        <w:ind w:firstLineChars="200" w:firstLine="420"/>
      </w:pPr>
      <w:r>
        <w:rPr>
          <w:rFonts w:ascii="宋体" w:hAnsi="宋体" w:hint="eastAsia"/>
        </w:rPr>
        <w:t>本报告期摩根恒</w:t>
      </w:r>
      <w:proofErr w:type="gramStart"/>
      <w:r>
        <w:rPr>
          <w:rFonts w:ascii="宋体" w:hAnsi="宋体" w:hint="eastAsia"/>
        </w:rPr>
        <w:t>鑫</w:t>
      </w:r>
      <w:proofErr w:type="gramEnd"/>
      <w:r>
        <w:rPr>
          <w:rFonts w:ascii="宋体" w:hAnsi="宋体" w:hint="eastAsia"/>
        </w:rPr>
        <w:t>债券A份额净值增长率为：1.59%，同期业绩比较基准收益率为：1.04%；</w:t>
      </w:r>
      <w:r>
        <w:rPr>
          <w:rFonts w:ascii="宋体" w:hAnsi="宋体" w:hint="eastAsia"/>
        </w:rPr>
        <w:br/>
        <w:t xml:space="preserve">　　摩根恒</w:t>
      </w:r>
      <w:proofErr w:type="gramStart"/>
      <w:r>
        <w:rPr>
          <w:rFonts w:ascii="宋体" w:hAnsi="宋体" w:hint="eastAsia"/>
        </w:rPr>
        <w:t>鑫</w:t>
      </w:r>
      <w:proofErr w:type="gramEnd"/>
      <w:r>
        <w:rPr>
          <w:rFonts w:ascii="宋体" w:hAnsi="宋体" w:hint="eastAsia"/>
        </w:rPr>
        <w:t>债券C份额净值增长率为：1.48%，同期业绩比较基准收益率为：1.04%。</w:t>
      </w:r>
    </w:p>
    <w:p w14:paraId="33A37E4B" w14:textId="77777777" w:rsidR="004907C1" w:rsidRDefault="004907C1">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2230DFA3" w14:textId="77777777" w:rsidR="004907C1" w:rsidRDefault="004907C1">
      <w:pPr>
        <w:spacing w:line="360" w:lineRule="auto"/>
        <w:ind w:firstLineChars="200" w:firstLine="420"/>
        <w:jc w:val="left"/>
      </w:pPr>
      <w:r>
        <w:rPr>
          <w:rFonts w:ascii="宋体" w:hAnsi="宋体" w:hint="eastAsia"/>
        </w:rPr>
        <w:t>无。</w:t>
      </w:r>
    </w:p>
    <w:p w14:paraId="48002244" w14:textId="77777777" w:rsidR="004907C1" w:rsidRDefault="004907C1">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482F716E" w14:textId="77777777" w:rsidR="004907C1" w:rsidRDefault="004907C1">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6551E" w14:paraId="45411199"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1F63EC" w14:textId="77777777" w:rsidR="004907C1" w:rsidRDefault="004907C1">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2494234" w14:textId="77777777" w:rsidR="004907C1" w:rsidRDefault="004907C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F7DAD30" w14:textId="77777777" w:rsidR="004907C1" w:rsidRDefault="004907C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36A04A5" w14:textId="77777777" w:rsidR="004907C1" w:rsidRDefault="004907C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6551E" w14:paraId="4459C86D"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4CE489" w14:textId="77777777" w:rsidR="004907C1" w:rsidRDefault="004907C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CE84052" w14:textId="77777777" w:rsidR="004907C1" w:rsidRDefault="004907C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F88100" w14:textId="77777777" w:rsidR="004907C1" w:rsidRDefault="004907C1">
            <w:pPr>
              <w:jc w:val="right"/>
            </w:pPr>
            <w:r>
              <w:rPr>
                <w:rFonts w:ascii="宋体" w:hAnsi="宋体" w:hint="eastAsia"/>
                <w:szCs w:val="24"/>
                <w:lang w:eastAsia="zh-Hans"/>
              </w:rPr>
              <w:t>15,005,034.00</w:t>
            </w:r>
          </w:p>
        </w:tc>
        <w:tc>
          <w:tcPr>
            <w:tcW w:w="1333" w:type="pct"/>
            <w:tcBorders>
              <w:top w:val="single" w:sz="4" w:space="0" w:color="auto"/>
              <w:left w:val="nil"/>
              <w:bottom w:val="single" w:sz="4" w:space="0" w:color="auto"/>
              <w:right w:val="single" w:sz="4" w:space="0" w:color="auto"/>
            </w:tcBorders>
            <w:vAlign w:val="center"/>
            <w:hideMark/>
          </w:tcPr>
          <w:p w14:paraId="5C79B677" w14:textId="77777777" w:rsidR="004907C1" w:rsidRDefault="004907C1">
            <w:pPr>
              <w:jc w:val="right"/>
            </w:pPr>
            <w:r>
              <w:rPr>
                <w:rFonts w:ascii="宋体" w:hAnsi="宋体" w:hint="eastAsia"/>
                <w:szCs w:val="24"/>
                <w:lang w:eastAsia="zh-Hans"/>
              </w:rPr>
              <w:t>4.74</w:t>
            </w:r>
          </w:p>
        </w:tc>
      </w:tr>
      <w:tr w:rsidR="0046551E" w14:paraId="02959237"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6AC53B" w14:textId="77777777" w:rsidR="004907C1" w:rsidRDefault="004907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21D34C8" w14:textId="77777777" w:rsidR="004907C1" w:rsidRDefault="004907C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7EE061" w14:textId="77777777" w:rsidR="004907C1" w:rsidRDefault="004907C1">
            <w:pPr>
              <w:jc w:val="right"/>
            </w:pPr>
            <w:r>
              <w:rPr>
                <w:rFonts w:ascii="宋体" w:hAnsi="宋体" w:hint="eastAsia"/>
                <w:szCs w:val="24"/>
                <w:lang w:eastAsia="zh-Hans"/>
              </w:rPr>
              <w:t>15,005,034.00</w:t>
            </w:r>
          </w:p>
        </w:tc>
        <w:tc>
          <w:tcPr>
            <w:tcW w:w="1333" w:type="pct"/>
            <w:tcBorders>
              <w:top w:val="single" w:sz="4" w:space="0" w:color="auto"/>
              <w:left w:val="nil"/>
              <w:bottom w:val="single" w:sz="4" w:space="0" w:color="auto"/>
              <w:right w:val="single" w:sz="4" w:space="0" w:color="auto"/>
            </w:tcBorders>
            <w:vAlign w:val="center"/>
            <w:hideMark/>
          </w:tcPr>
          <w:p w14:paraId="4F72CFAA" w14:textId="77777777" w:rsidR="004907C1" w:rsidRDefault="004907C1">
            <w:pPr>
              <w:jc w:val="right"/>
            </w:pPr>
            <w:r>
              <w:rPr>
                <w:rFonts w:ascii="宋体" w:hAnsi="宋体" w:hint="eastAsia"/>
                <w:szCs w:val="24"/>
                <w:lang w:eastAsia="zh-Hans"/>
              </w:rPr>
              <w:t>4.74</w:t>
            </w:r>
          </w:p>
        </w:tc>
      </w:tr>
      <w:tr w:rsidR="0046551E" w14:paraId="7A012B52"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16F935" w14:textId="77777777" w:rsidR="004907C1" w:rsidRDefault="004907C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F634D0E" w14:textId="77777777" w:rsidR="004907C1" w:rsidRDefault="004907C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900B05" w14:textId="77777777" w:rsidR="004907C1" w:rsidRDefault="004907C1">
            <w:pPr>
              <w:jc w:val="right"/>
            </w:pPr>
            <w:r>
              <w:rPr>
                <w:rFonts w:ascii="宋体" w:hAnsi="宋体" w:hint="eastAsia"/>
                <w:szCs w:val="24"/>
                <w:lang w:eastAsia="zh-Hans"/>
              </w:rPr>
              <w:t>1,284,000.00</w:t>
            </w:r>
          </w:p>
        </w:tc>
        <w:tc>
          <w:tcPr>
            <w:tcW w:w="1333" w:type="pct"/>
            <w:tcBorders>
              <w:top w:val="single" w:sz="4" w:space="0" w:color="auto"/>
              <w:left w:val="nil"/>
              <w:bottom w:val="single" w:sz="4" w:space="0" w:color="auto"/>
              <w:right w:val="single" w:sz="4" w:space="0" w:color="auto"/>
            </w:tcBorders>
            <w:vAlign w:val="center"/>
            <w:hideMark/>
          </w:tcPr>
          <w:p w14:paraId="64039F3F" w14:textId="77777777" w:rsidR="004907C1" w:rsidRDefault="004907C1">
            <w:pPr>
              <w:jc w:val="right"/>
            </w:pPr>
            <w:r>
              <w:rPr>
                <w:rFonts w:ascii="宋体" w:hAnsi="宋体" w:hint="eastAsia"/>
                <w:szCs w:val="24"/>
                <w:lang w:eastAsia="zh-Hans"/>
              </w:rPr>
              <w:t>0.41</w:t>
            </w:r>
          </w:p>
        </w:tc>
      </w:tr>
      <w:tr w:rsidR="0046551E" w14:paraId="5DEBCE72"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E7D729" w14:textId="77777777" w:rsidR="004907C1" w:rsidRDefault="004907C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3608CC" w14:textId="77777777" w:rsidR="004907C1" w:rsidRDefault="004907C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FC7033" w14:textId="77777777" w:rsidR="004907C1" w:rsidRDefault="004907C1">
            <w:pPr>
              <w:jc w:val="right"/>
            </w:pPr>
            <w:r>
              <w:rPr>
                <w:rFonts w:ascii="宋体" w:hAnsi="宋体" w:hint="eastAsia"/>
                <w:szCs w:val="24"/>
                <w:lang w:eastAsia="zh-Hans"/>
              </w:rPr>
              <w:t>267,057,362.53</w:t>
            </w:r>
          </w:p>
        </w:tc>
        <w:tc>
          <w:tcPr>
            <w:tcW w:w="1333" w:type="pct"/>
            <w:tcBorders>
              <w:top w:val="single" w:sz="4" w:space="0" w:color="auto"/>
              <w:left w:val="nil"/>
              <w:bottom w:val="single" w:sz="4" w:space="0" w:color="auto"/>
              <w:right w:val="single" w:sz="4" w:space="0" w:color="auto"/>
            </w:tcBorders>
            <w:vAlign w:val="center"/>
            <w:hideMark/>
          </w:tcPr>
          <w:p w14:paraId="54691231" w14:textId="77777777" w:rsidR="004907C1" w:rsidRDefault="004907C1">
            <w:pPr>
              <w:jc w:val="right"/>
            </w:pPr>
            <w:r>
              <w:rPr>
                <w:rFonts w:ascii="宋体" w:hAnsi="宋体" w:hint="eastAsia"/>
                <w:szCs w:val="24"/>
                <w:lang w:eastAsia="zh-Hans"/>
              </w:rPr>
              <w:t>84.39</w:t>
            </w:r>
          </w:p>
        </w:tc>
      </w:tr>
      <w:tr w:rsidR="0046551E" w14:paraId="18239539"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5BD3CA" w14:textId="77777777" w:rsidR="004907C1" w:rsidRDefault="004907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D8C731" w14:textId="77777777" w:rsidR="004907C1" w:rsidRDefault="004907C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5EA8B2" w14:textId="77777777" w:rsidR="004907C1" w:rsidRDefault="004907C1">
            <w:pPr>
              <w:jc w:val="right"/>
            </w:pPr>
            <w:r>
              <w:rPr>
                <w:rFonts w:ascii="宋体" w:hAnsi="宋体" w:hint="eastAsia"/>
                <w:szCs w:val="24"/>
                <w:lang w:eastAsia="zh-Hans"/>
              </w:rPr>
              <w:t>267,057,362.53</w:t>
            </w:r>
          </w:p>
        </w:tc>
        <w:tc>
          <w:tcPr>
            <w:tcW w:w="1333" w:type="pct"/>
            <w:tcBorders>
              <w:top w:val="single" w:sz="4" w:space="0" w:color="auto"/>
              <w:left w:val="nil"/>
              <w:bottom w:val="single" w:sz="4" w:space="0" w:color="auto"/>
              <w:right w:val="single" w:sz="4" w:space="0" w:color="auto"/>
            </w:tcBorders>
            <w:vAlign w:val="center"/>
            <w:hideMark/>
          </w:tcPr>
          <w:p w14:paraId="4C7AA548" w14:textId="77777777" w:rsidR="004907C1" w:rsidRDefault="004907C1">
            <w:pPr>
              <w:jc w:val="right"/>
            </w:pPr>
            <w:r>
              <w:rPr>
                <w:rFonts w:ascii="宋体" w:hAnsi="宋体" w:hint="eastAsia"/>
                <w:szCs w:val="24"/>
                <w:lang w:eastAsia="zh-Hans"/>
              </w:rPr>
              <w:t>84.39</w:t>
            </w:r>
          </w:p>
        </w:tc>
      </w:tr>
      <w:tr w:rsidR="0046551E" w14:paraId="353FD1AB"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206BEC" w14:textId="77777777" w:rsidR="004907C1" w:rsidRDefault="004907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D909C2" w14:textId="77777777" w:rsidR="004907C1" w:rsidRDefault="004907C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584D30" w14:textId="77777777" w:rsidR="004907C1" w:rsidRDefault="004907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961210" w14:textId="77777777" w:rsidR="004907C1" w:rsidRDefault="004907C1">
            <w:pPr>
              <w:jc w:val="right"/>
            </w:pPr>
            <w:r>
              <w:rPr>
                <w:rFonts w:ascii="宋体" w:hAnsi="宋体" w:hint="eastAsia"/>
                <w:szCs w:val="24"/>
                <w:lang w:eastAsia="zh-Hans"/>
              </w:rPr>
              <w:t>-</w:t>
            </w:r>
          </w:p>
        </w:tc>
      </w:tr>
      <w:tr w:rsidR="0046551E" w14:paraId="3AC03F9A"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5B6F80" w14:textId="77777777" w:rsidR="004907C1" w:rsidRDefault="004907C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AD16E4D" w14:textId="77777777" w:rsidR="004907C1" w:rsidRDefault="004907C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81298F" w14:textId="77777777" w:rsidR="004907C1" w:rsidRDefault="004907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242585" w14:textId="77777777" w:rsidR="004907C1" w:rsidRDefault="004907C1">
            <w:pPr>
              <w:jc w:val="right"/>
            </w:pPr>
            <w:r>
              <w:rPr>
                <w:rFonts w:ascii="宋体" w:hAnsi="宋体" w:hint="eastAsia"/>
                <w:szCs w:val="24"/>
                <w:lang w:eastAsia="zh-Hans"/>
              </w:rPr>
              <w:t>-</w:t>
            </w:r>
          </w:p>
        </w:tc>
      </w:tr>
      <w:tr w:rsidR="0046551E" w14:paraId="2D1B22E2"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54BA14" w14:textId="77777777" w:rsidR="004907C1" w:rsidRDefault="004907C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97387E0" w14:textId="77777777" w:rsidR="004907C1" w:rsidRDefault="004907C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308AE5" w14:textId="77777777" w:rsidR="004907C1" w:rsidRDefault="004907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4D49F6" w14:textId="77777777" w:rsidR="004907C1" w:rsidRDefault="004907C1">
            <w:pPr>
              <w:jc w:val="right"/>
            </w:pPr>
            <w:r>
              <w:rPr>
                <w:rFonts w:ascii="宋体" w:hAnsi="宋体" w:hint="eastAsia"/>
                <w:szCs w:val="24"/>
                <w:lang w:eastAsia="zh-Hans"/>
              </w:rPr>
              <w:t>-</w:t>
            </w:r>
          </w:p>
        </w:tc>
      </w:tr>
      <w:tr w:rsidR="0046551E" w14:paraId="69CB47B1"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15FAA4" w14:textId="77777777" w:rsidR="004907C1" w:rsidRDefault="004907C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73D2472" w14:textId="77777777" w:rsidR="004907C1" w:rsidRDefault="004907C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ABEC1A" w14:textId="77777777" w:rsidR="004907C1" w:rsidRDefault="004907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8D6E3F" w14:textId="77777777" w:rsidR="004907C1" w:rsidRDefault="004907C1">
            <w:pPr>
              <w:jc w:val="right"/>
            </w:pPr>
            <w:r>
              <w:rPr>
                <w:rFonts w:ascii="宋体" w:hAnsi="宋体" w:hint="eastAsia"/>
                <w:szCs w:val="24"/>
                <w:lang w:eastAsia="zh-Hans"/>
              </w:rPr>
              <w:t>-</w:t>
            </w:r>
          </w:p>
        </w:tc>
      </w:tr>
      <w:tr w:rsidR="0046551E" w14:paraId="17A4A773"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8A4537" w14:textId="77777777" w:rsidR="004907C1" w:rsidRDefault="004907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8E28BE" w14:textId="77777777" w:rsidR="004907C1" w:rsidRDefault="004907C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BDF216" w14:textId="77777777" w:rsidR="004907C1" w:rsidRDefault="004907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FD39F2" w14:textId="77777777" w:rsidR="004907C1" w:rsidRDefault="004907C1">
            <w:pPr>
              <w:jc w:val="right"/>
            </w:pPr>
            <w:r>
              <w:rPr>
                <w:rFonts w:ascii="宋体" w:hAnsi="宋体" w:hint="eastAsia"/>
                <w:szCs w:val="24"/>
                <w:lang w:eastAsia="zh-Hans"/>
              </w:rPr>
              <w:t>-</w:t>
            </w:r>
          </w:p>
        </w:tc>
      </w:tr>
      <w:tr w:rsidR="0046551E" w14:paraId="1503BDC3"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B8928A" w14:textId="77777777" w:rsidR="004907C1" w:rsidRDefault="004907C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DDA6E9C" w14:textId="77777777" w:rsidR="004907C1" w:rsidRDefault="004907C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D20C2B" w14:textId="77777777" w:rsidR="004907C1" w:rsidRDefault="004907C1">
            <w:pPr>
              <w:jc w:val="right"/>
            </w:pPr>
            <w:r>
              <w:rPr>
                <w:rFonts w:ascii="宋体" w:hAnsi="宋体" w:hint="eastAsia"/>
                <w:szCs w:val="24"/>
                <w:lang w:eastAsia="zh-Hans"/>
              </w:rPr>
              <w:t>31,267,480.29</w:t>
            </w:r>
          </w:p>
        </w:tc>
        <w:tc>
          <w:tcPr>
            <w:tcW w:w="1333" w:type="pct"/>
            <w:tcBorders>
              <w:top w:val="single" w:sz="4" w:space="0" w:color="auto"/>
              <w:left w:val="nil"/>
              <w:bottom w:val="single" w:sz="4" w:space="0" w:color="auto"/>
              <w:right w:val="single" w:sz="4" w:space="0" w:color="auto"/>
            </w:tcBorders>
            <w:vAlign w:val="center"/>
            <w:hideMark/>
          </w:tcPr>
          <w:p w14:paraId="1829C1FD" w14:textId="77777777" w:rsidR="004907C1" w:rsidRDefault="004907C1">
            <w:pPr>
              <w:jc w:val="right"/>
            </w:pPr>
            <w:r>
              <w:rPr>
                <w:rFonts w:ascii="宋体" w:hAnsi="宋体" w:hint="eastAsia"/>
                <w:szCs w:val="24"/>
                <w:lang w:eastAsia="zh-Hans"/>
              </w:rPr>
              <w:t>9.88</w:t>
            </w:r>
          </w:p>
        </w:tc>
      </w:tr>
      <w:tr w:rsidR="0046551E" w14:paraId="1AF6D952"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9393D1" w14:textId="77777777" w:rsidR="004907C1" w:rsidRDefault="004907C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79A98AE" w14:textId="77777777" w:rsidR="004907C1" w:rsidRDefault="004907C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E050AA" w14:textId="77777777" w:rsidR="004907C1" w:rsidRDefault="004907C1">
            <w:pPr>
              <w:jc w:val="right"/>
            </w:pPr>
            <w:r>
              <w:rPr>
                <w:rFonts w:ascii="宋体" w:hAnsi="宋体" w:hint="eastAsia"/>
                <w:szCs w:val="24"/>
                <w:lang w:eastAsia="zh-Hans"/>
              </w:rPr>
              <w:t>1,852,733.85</w:t>
            </w:r>
          </w:p>
        </w:tc>
        <w:tc>
          <w:tcPr>
            <w:tcW w:w="1333" w:type="pct"/>
            <w:tcBorders>
              <w:top w:val="single" w:sz="4" w:space="0" w:color="auto"/>
              <w:left w:val="nil"/>
              <w:bottom w:val="single" w:sz="4" w:space="0" w:color="auto"/>
              <w:right w:val="single" w:sz="4" w:space="0" w:color="auto"/>
            </w:tcBorders>
            <w:vAlign w:val="center"/>
            <w:hideMark/>
          </w:tcPr>
          <w:p w14:paraId="38832A34" w14:textId="77777777" w:rsidR="004907C1" w:rsidRDefault="004907C1">
            <w:pPr>
              <w:jc w:val="right"/>
            </w:pPr>
            <w:r>
              <w:rPr>
                <w:rFonts w:ascii="宋体" w:hAnsi="宋体" w:hint="eastAsia"/>
                <w:szCs w:val="24"/>
                <w:lang w:eastAsia="zh-Hans"/>
              </w:rPr>
              <w:t>0.59</w:t>
            </w:r>
          </w:p>
        </w:tc>
      </w:tr>
      <w:tr w:rsidR="0046551E" w14:paraId="4A209312" w14:textId="77777777">
        <w:trPr>
          <w:divId w:val="1016095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BE839" w14:textId="77777777" w:rsidR="004907C1" w:rsidRDefault="004907C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D08867B" w14:textId="77777777" w:rsidR="004907C1" w:rsidRDefault="004907C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1C0A3A" w14:textId="77777777" w:rsidR="004907C1" w:rsidRDefault="004907C1">
            <w:pPr>
              <w:jc w:val="right"/>
            </w:pPr>
            <w:r>
              <w:rPr>
                <w:rFonts w:ascii="宋体" w:hAnsi="宋体" w:hint="eastAsia"/>
                <w:szCs w:val="24"/>
                <w:lang w:eastAsia="zh-Hans"/>
              </w:rPr>
              <w:t>316,466,610.67</w:t>
            </w:r>
          </w:p>
        </w:tc>
        <w:tc>
          <w:tcPr>
            <w:tcW w:w="1333" w:type="pct"/>
            <w:tcBorders>
              <w:top w:val="single" w:sz="4" w:space="0" w:color="auto"/>
              <w:left w:val="nil"/>
              <w:bottom w:val="single" w:sz="4" w:space="0" w:color="auto"/>
              <w:right w:val="single" w:sz="4" w:space="0" w:color="auto"/>
            </w:tcBorders>
            <w:vAlign w:val="center"/>
            <w:hideMark/>
          </w:tcPr>
          <w:p w14:paraId="0DC1427E" w14:textId="77777777" w:rsidR="004907C1" w:rsidRDefault="004907C1">
            <w:pPr>
              <w:jc w:val="right"/>
            </w:pPr>
            <w:r>
              <w:rPr>
                <w:rFonts w:ascii="宋体" w:hAnsi="宋体" w:hint="eastAsia"/>
                <w:szCs w:val="24"/>
                <w:lang w:eastAsia="zh-Hans"/>
              </w:rPr>
              <w:t>100.00</w:t>
            </w:r>
          </w:p>
        </w:tc>
      </w:tr>
    </w:tbl>
    <w:p w14:paraId="5EB6F553" w14:textId="77777777" w:rsidR="004907C1" w:rsidRDefault="004907C1">
      <w:pPr>
        <w:spacing w:line="360" w:lineRule="auto"/>
        <w:jc w:val="left"/>
        <w:divId w:val="43549032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机制投资的港股公允价值为人民币3,133,850.00元,占期末净值比例为1.50%。</w:t>
      </w:r>
    </w:p>
    <w:p w14:paraId="2BEE5E8D" w14:textId="77777777" w:rsidR="004907C1" w:rsidRDefault="004907C1">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72AE0230" w14:textId="77777777" w:rsidR="004907C1" w:rsidRDefault="004907C1">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6551E" w14:paraId="73C30382" w14:textId="77777777">
        <w:trPr>
          <w:divId w:val="86626185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96E9C5" w14:textId="77777777" w:rsidR="004907C1" w:rsidRDefault="004907C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092E7A1" w14:textId="77777777" w:rsidR="004907C1" w:rsidRDefault="004907C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ECD0D1D" w14:textId="77777777" w:rsidR="004907C1" w:rsidRDefault="004907C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B7CF4AB" w14:textId="77777777" w:rsidR="004907C1" w:rsidRDefault="004907C1">
            <w:pPr>
              <w:jc w:val="center"/>
            </w:pPr>
            <w:r>
              <w:rPr>
                <w:rFonts w:ascii="宋体" w:hAnsi="宋体" w:hint="eastAsia"/>
                <w:color w:val="000000"/>
              </w:rPr>
              <w:t xml:space="preserve">占基金资产净值比例（%） </w:t>
            </w:r>
          </w:p>
        </w:tc>
      </w:tr>
      <w:tr w:rsidR="0046551E" w14:paraId="547D67FA"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6A85B2" w14:textId="77777777" w:rsidR="004907C1" w:rsidRDefault="004907C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97ADB1" w14:textId="77777777" w:rsidR="004907C1" w:rsidRDefault="004907C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EF49B3" w14:textId="77777777" w:rsidR="004907C1" w:rsidRDefault="004907C1">
            <w:pPr>
              <w:jc w:val="right"/>
            </w:pPr>
            <w:r>
              <w:rPr>
                <w:rFonts w:ascii="宋体" w:hAnsi="宋体" w:hint="eastAsia"/>
                <w:szCs w:val="24"/>
                <w:lang w:eastAsia="zh-Hans"/>
              </w:rPr>
              <w:t>1,060,000.00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EB2F2B" w14:textId="77777777" w:rsidR="004907C1" w:rsidRDefault="004907C1">
            <w:pPr>
              <w:jc w:val="right"/>
            </w:pPr>
            <w:r>
              <w:rPr>
                <w:rFonts w:ascii="宋体" w:hAnsi="宋体" w:hint="eastAsia"/>
                <w:szCs w:val="24"/>
                <w:lang w:eastAsia="zh-Hans"/>
              </w:rPr>
              <w:t>0.51</w:t>
            </w:r>
          </w:p>
        </w:tc>
      </w:tr>
      <w:tr w:rsidR="0046551E" w14:paraId="3BBA4184"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0AB61D" w14:textId="77777777" w:rsidR="004907C1" w:rsidRDefault="004907C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F95DA3" w14:textId="77777777" w:rsidR="004907C1" w:rsidRDefault="004907C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8A0DA7"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3ABEE5" w14:textId="77777777" w:rsidR="004907C1" w:rsidRDefault="004907C1">
            <w:pPr>
              <w:jc w:val="right"/>
            </w:pPr>
            <w:r>
              <w:rPr>
                <w:rFonts w:ascii="宋体" w:hAnsi="宋体" w:hint="eastAsia"/>
                <w:szCs w:val="24"/>
                <w:lang w:eastAsia="zh-Hans"/>
              </w:rPr>
              <w:t>-</w:t>
            </w:r>
          </w:p>
        </w:tc>
      </w:tr>
      <w:tr w:rsidR="0046551E" w14:paraId="5B3C63FA"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703533" w14:textId="77777777" w:rsidR="004907C1" w:rsidRDefault="004907C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B5D3F9" w14:textId="77777777" w:rsidR="004907C1" w:rsidRDefault="004907C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91C769" w14:textId="77777777" w:rsidR="004907C1" w:rsidRDefault="004907C1">
            <w:pPr>
              <w:jc w:val="right"/>
            </w:pPr>
            <w:r>
              <w:rPr>
                <w:rFonts w:ascii="宋体" w:hAnsi="宋体" w:hint="eastAsia"/>
                <w:szCs w:val="24"/>
                <w:lang w:eastAsia="zh-Hans"/>
              </w:rPr>
              <w:t>8,325,630.00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9BB35A" w14:textId="77777777" w:rsidR="004907C1" w:rsidRDefault="004907C1">
            <w:pPr>
              <w:jc w:val="right"/>
            </w:pPr>
            <w:r>
              <w:rPr>
                <w:rFonts w:ascii="宋体" w:hAnsi="宋体" w:hint="eastAsia"/>
                <w:szCs w:val="24"/>
                <w:lang w:eastAsia="zh-Hans"/>
              </w:rPr>
              <w:t>3.99</w:t>
            </w:r>
          </w:p>
        </w:tc>
      </w:tr>
      <w:tr w:rsidR="0046551E" w14:paraId="5767A2CA"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D45752" w14:textId="77777777" w:rsidR="004907C1" w:rsidRDefault="004907C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26B50A" w14:textId="77777777" w:rsidR="004907C1" w:rsidRDefault="004907C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FC08B6" w14:textId="77777777" w:rsidR="004907C1" w:rsidRDefault="004907C1">
            <w:pPr>
              <w:jc w:val="right"/>
            </w:pPr>
            <w:r>
              <w:rPr>
                <w:rFonts w:ascii="宋体" w:hAnsi="宋体" w:hint="eastAsia"/>
                <w:szCs w:val="24"/>
                <w:lang w:eastAsia="zh-Hans"/>
              </w:rPr>
              <w:t>1,905,054.00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E72447" w14:textId="77777777" w:rsidR="004907C1" w:rsidRDefault="004907C1">
            <w:pPr>
              <w:jc w:val="right"/>
            </w:pPr>
            <w:r>
              <w:rPr>
                <w:rFonts w:ascii="宋体" w:hAnsi="宋体" w:hint="eastAsia"/>
                <w:szCs w:val="24"/>
                <w:lang w:eastAsia="zh-Hans"/>
              </w:rPr>
              <w:t>0.91</w:t>
            </w:r>
          </w:p>
        </w:tc>
      </w:tr>
      <w:tr w:rsidR="0046551E" w14:paraId="38C6998F"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DD07E9" w14:textId="77777777" w:rsidR="004907C1" w:rsidRDefault="004907C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853807" w14:textId="77777777" w:rsidR="004907C1" w:rsidRDefault="004907C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C36234"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9B0975" w14:textId="77777777" w:rsidR="004907C1" w:rsidRDefault="004907C1">
            <w:pPr>
              <w:jc w:val="right"/>
            </w:pPr>
            <w:r>
              <w:rPr>
                <w:rFonts w:ascii="宋体" w:hAnsi="宋体" w:hint="eastAsia"/>
                <w:szCs w:val="24"/>
                <w:lang w:eastAsia="zh-Hans"/>
              </w:rPr>
              <w:t>-</w:t>
            </w:r>
          </w:p>
        </w:tc>
      </w:tr>
      <w:tr w:rsidR="0046551E" w14:paraId="5C796AB0"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FDC470" w14:textId="77777777" w:rsidR="004907C1" w:rsidRDefault="004907C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65CD15" w14:textId="77777777" w:rsidR="004907C1" w:rsidRDefault="004907C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799B02"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3C89A5" w14:textId="77777777" w:rsidR="004907C1" w:rsidRDefault="004907C1">
            <w:pPr>
              <w:jc w:val="right"/>
            </w:pPr>
            <w:r>
              <w:rPr>
                <w:rFonts w:ascii="宋体" w:hAnsi="宋体" w:hint="eastAsia"/>
                <w:szCs w:val="24"/>
                <w:lang w:eastAsia="zh-Hans"/>
              </w:rPr>
              <w:t>-</w:t>
            </w:r>
          </w:p>
        </w:tc>
      </w:tr>
      <w:tr w:rsidR="0046551E" w14:paraId="5B902B89"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FEC392" w14:textId="77777777" w:rsidR="004907C1" w:rsidRDefault="004907C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A18584" w14:textId="77777777" w:rsidR="004907C1" w:rsidRDefault="004907C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8BEBBF"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DFF393" w14:textId="77777777" w:rsidR="004907C1" w:rsidRDefault="004907C1">
            <w:pPr>
              <w:jc w:val="right"/>
            </w:pPr>
            <w:r>
              <w:rPr>
                <w:rFonts w:ascii="宋体" w:hAnsi="宋体" w:hint="eastAsia"/>
                <w:szCs w:val="24"/>
                <w:lang w:eastAsia="zh-Hans"/>
              </w:rPr>
              <w:t>-</w:t>
            </w:r>
          </w:p>
        </w:tc>
      </w:tr>
      <w:tr w:rsidR="0046551E" w14:paraId="09163E4A"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E31E81" w14:textId="77777777" w:rsidR="004907C1" w:rsidRDefault="004907C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161EBE" w14:textId="77777777" w:rsidR="004907C1" w:rsidRDefault="004907C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A63DBB"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9B1F8C" w14:textId="77777777" w:rsidR="004907C1" w:rsidRDefault="004907C1">
            <w:pPr>
              <w:jc w:val="right"/>
            </w:pPr>
            <w:r>
              <w:rPr>
                <w:rFonts w:ascii="宋体" w:hAnsi="宋体" w:hint="eastAsia"/>
                <w:szCs w:val="24"/>
                <w:lang w:eastAsia="zh-Hans"/>
              </w:rPr>
              <w:t>-</w:t>
            </w:r>
          </w:p>
        </w:tc>
      </w:tr>
      <w:tr w:rsidR="0046551E" w14:paraId="41DBA146"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605D3F" w14:textId="77777777" w:rsidR="004907C1" w:rsidRDefault="004907C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E614D9" w14:textId="77777777" w:rsidR="004907C1" w:rsidRDefault="004907C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BAB64E" w14:textId="77777777" w:rsidR="004907C1" w:rsidRDefault="004907C1">
            <w:pPr>
              <w:jc w:val="right"/>
            </w:pPr>
            <w:r>
              <w:rPr>
                <w:rFonts w:ascii="宋体" w:hAnsi="宋体" w:hint="eastAsia"/>
                <w:szCs w:val="24"/>
                <w:lang w:eastAsia="zh-Hans"/>
              </w:rPr>
              <w:t>580,500.00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F09045" w14:textId="77777777" w:rsidR="004907C1" w:rsidRDefault="004907C1">
            <w:pPr>
              <w:jc w:val="right"/>
            </w:pPr>
            <w:r>
              <w:rPr>
                <w:rFonts w:ascii="宋体" w:hAnsi="宋体" w:hint="eastAsia"/>
                <w:szCs w:val="24"/>
                <w:lang w:eastAsia="zh-Hans"/>
              </w:rPr>
              <w:t>0.28</w:t>
            </w:r>
          </w:p>
        </w:tc>
      </w:tr>
      <w:tr w:rsidR="0046551E" w14:paraId="3A7D935E"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C6DE16" w14:textId="77777777" w:rsidR="004907C1" w:rsidRDefault="004907C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42BBCB" w14:textId="77777777" w:rsidR="004907C1" w:rsidRDefault="004907C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2B57BA"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D15383" w14:textId="77777777" w:rsidR="004907C1" w:rsidRDefault="004907C1">
            <w:pPr>
              <w:jc w:val="right"/>
            </w:pPr>
            <w:r>
              <w:rPr>
                <w:rFonts w:ascii="宋体" w:hAnsi="宋体" w:hint="eastAsia"/>
                <w:szCs w:val="24"/>
                <w:lang w:eastAsia="zh-Hans"/>
              </w:rPr>
              <w:t>-</w:t>
            </w:r>
          </w:p>
        </w:tc>
      </w:tr>
      <w:tr w:rsidR="0046551E" w14:paraId="436D94A5"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8B61A0" w14:textId="77777777" w:rsidR="004907C1" w:rsidRDefault="004907C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2D2738" w14:textId="77777777" w:rsidR="004907C1" w:rsidRDefault="004907C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465EFF"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B71356" w14:textId="77777777" w:rsidR="004907C1" w:rsidRDefault="004907C1">
            <w:pPr>
              <w:jc w:val="right"/>
            </w:pPr>
            <w:r>
              <w:rPr>
                <w:rFonts w:ascii="宋体" w:hAnsi="宋体" w:hint="eastAsia"/>
                <w:szCs w:val="24"/>
                <w:lang w:eastAsia="zh-Hans"/>
              </w:rPr>
              <w:t>-</w:t>
            </w:r>
          </w:p>
        </w:tc>
      </w:tr>
      <w:tr w:rsidR="0046551E" w14:paraId="675871B8"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C65F1" w14:textId="77777777" w:rsidR="004907C1" w:rsidRDefault="004907C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0FACE3" w14:textId="77777777" w:rsidR="004907C1" w:rsidRDefault="004907C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684E3D"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8E68D3" w14:textId="77777777" w:rsidR="004907C1" w:rsidRDefault="004907C1">
            <w:pPr>
              <w:jc w:val="right"/>
            </w:pPr>
            <w:r>
              <w:rPr>
                <w:rFonts w:ascii="宋体" w:hAnsi="宋体" w:hint="eastAsia"/>
                <w:szCs w:val="24"/>
                <w:lang w:eastAsia="zh-Hans"/>
              </w:rPr>
              <w:t>-</w:t>
            </w:r>
          </w:p>
        </w:tc>
      </w:tr>
      <w:tr w:rsidR="0046551E" w14:paraId="7B81E72E"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0F7E7A" w14:textId="77777777" w:rsidR="004907C1" w:rsidRDefault="004907C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73F7F8" w14:textId="77777777" w:rsidR="004907C1" w:rsidRDefault="004907C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FCC347"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DC60FF" w14:textId="77777777" w:rsidR="004907C1" w:rsidRDefault="004907C1">
            <w:pPr>
              <w:jc w:val="right"/>
            </w:pPr>
            <w:r>
              <w:rPr>
                <w:rFonts w:ascii="宋体" w:hAnsi="宋体" w:hint="eastAsia"/>
                <w:szCs w:val="24"/>
                <w:lang w:eastAsia="zh-Hans"/>
              </w:rPr>
              <w:t>-</w:t>
            </w:r>
          </w:p>
        </w:tc>
      </w:tr>
      <w:tr w:rsidR="0046551E" w14:paraId="033D65F6"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8EDA07" w14:textId="77777777" w:rsidR="004907C1" w:rsidRDefault="004907C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4F245F" w14:textId="77777777" w:rsidR="004907C1" w:rsidRDefault="004907C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332496"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0F3A54" w14:textId="77777777" w:rsidR="004907C1" w:rsidRDefault="004907C1">
            <w:pPr>
              <w:jc w:val="right"/>
            </w:pPr>
            <w:r>
              <w:rPr>
                <w:rFonts w:ascii="宋体" w:hAnsi="宋体" w:hint="eastAsia"/>
                <w:szCs w:val="24"/>
                <w:lang w:eastAsia="zh-Hans"/>
              </w:rPr>
              <w:t>-</w:t>
            </w:r>
          </w:p>
        </w:tc>
      </w:tr>
      <w:tr w:rsidR="0046551E" w14:paraId="4CEE6625"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7D3FBE" w14:textId="77777777" w:rsidR="004907C1" w:rsidRDefault="004907C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0350C4" w14:textId="77777777" w:rsidR="004907C1" w:rsidRDefault="004907C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3E3988"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31F770" w14:textId="77777777" w:rsidR="004907C1" w:rsidRDefault="004907C1">
            <w:pPr>
              <w:jc w:val="right"/>
            </w:pPr>
            <w:r>
              <w:rPr>
                <w:rFonts w:ascii="宋体" w:hAnsi="宋体" w:hint="eastAsia"/>
                <w:szCs w:val="24"/>
                <w:lang w:eastAsia="zh-Hans"/>
              </w:rPr>
              <w:t>-</w:t>
            </w:r>
          </w:p>
        </w:tc>
      </w:tr>
      <w:tr w:rsidR="0046551E" w14:paraId="0169BD61"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D166D7" w14:textId="77777777" w:rsidR="004907C1" w:rsidRDefault="004907C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63384C" w14:textId="77777777" w:rsidR="004907C1" w:rsidRDefault="004907C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738E8D"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30BA58" w14:textId="77777777" w:rsidR="004907C1" w:rsidRDefault="004907C1">
            <w:pPr>
              <w:jc w:val="right"/>
            </w:pPr>
            <w:r>
              <w:rPr>
                <w:rFonts w:ascii="宋体" w:hAnsi="宋体" w:hint="eastAsia"/>
                <w:szCs w:val="24"/>
                <w:lang w:eastAsia="zh-Hans"/>
              </w:rPr>
              <w:t>-</w:t>
            </w:r>
          </w:p>
        </w:tc>
      </w:tr>
      <w:tr w:rsidR="0046551E" w14:paraId="51EA6E5E"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92EC02" w14:textId="77777777" w:rsidR="004907C1" w:rsidRDefault="004907C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74E44B" w14:textId="77777777" w:rsidR="004907C1" w:rsidRDefault="004907C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66CED7"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19CD6C" w14:textId="77777777" w:rsidR="004907C1" w:rsidRDefault="004907C1">
            <w:pPr>
              <w:jc w:val="right"/>
            </w:pPr>
            <w:r>
              <w:rPr>
                <w:rFonts w:ascii="宋体" w:hAnsi="宋体" w:hint="eastAsia"/>
                <w:szCs w:val="24"/>
                <w:lang w:eastAsia="zh-Hans"/>
              </w:rPr>
              <w:t>-</w:t>
            </w:r>
          </w:p>
        </w:tc>
      </w:tr>
      <w:tr w:rsidR="0046551E" w14:paraId="45D79833"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8E697" w14:textId="77777777" w:rsidR="004907C1" w:rsidRDefault="004907C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D2EB8C" w14:textId="77777777" w:rsidR="004907C1" w:rsidRDefault="004907C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A338A4"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C0E32A" w14:textId="77777777" w:rsidR="004907C1" w:rsidRDefault="004907C1">
            <w:pPr>
              <w:jc w:val="right"/>
            </w:pPr>
            <w:r>
              <w:rPr>
                <w:rFonts w:ascii="宋体" w:hAnsi="宋体" w:hint="eastAsia"/>
                <w:szCs w:val="24"/>
                <w:lang w:eastAsia="zh-Hans"/>
              </w:rPr>
              <w:t>-</w:t>
            </w:r>
          </w:p>
        </w:tc>
      </w:tr>
      <w:tr w:rsidR="0046551E" w14:paraId="0818A6E9"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F6C37A" w14:textId="77777777" w:rsidR="004907C1" w:rsidRDefault="004907C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B60F30" w14:textId="77777777" w:rsidR="004907C1" w:rsidRDefault="004907C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71859E" w14:textId="77777777" w:rsidR="004907C1" w:rsidRDefault="004907C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1FEECA" w14:textId="77777777" w:rsidR="004907C1" w:rsidRDefault="004907C1">
            <w:pPr>
              <w:jc w:val="right"/>
            </w:pPr>
            <w:r>
              <w:rPr>
                <w:rFonts w:ascii="宋体" w:hAnsi="宋体" w:hint="eastAsia"/>
                <w:szCs w:val="24"/>
                <w:lang w:eastAsia="zh-Hans"/>
              </w:rPr>
              <w:t>-</w:t>
            </w:r>
          </w:p>
        </w:tc>
      </w:tr>
      <w:tr w:rsidR="0046551E" w14:paraId="145B5BF0" w14:textId="77777777">
        <w:trPr>
          <w:divId w:val="8662618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C7DEEF" w14:textId="77777777" w:rsidR="004907C1" w:rsidRDefault="004907C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C049B1" w14:textId="77777777" w:rsidR="004907C1" w:rsidRDefault="004907C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80775" w14:textId="77777777" w:rsidR="004907C1" w:rsidRDefault="004907C1">
            <w:pPr>
              <w:jc w:val="right"/>
            </w:pPr>
            <w:r>
              <w:rPr>
                <w:rFonts w:ascii="宋体" w:hAnsi="宋体" w:hint="eastAsia"/>
                <w:szCs w:val="24"/>
                <w:lang w:eastAsia="zh-Hans"/>
              </w:rPr>
              <w:t>11,871,184.00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A2EC98" w14:textId="77777777" w:rsidR="004907C1" w:rsidRDefault="004907C1">
            <w:pPr>
              <w:jc w:val="right"/>
            </w:pPr>
            <w:r>
              <w:rPr>
                <w:rFonts w:ascii="宋体" w:hAnsi="宋体" w:hint="eastAsia"/>
                <w:szCs w:val="24"/>
                <w:lang w:eastAsia="zh-Hans"/>
              </w:rPr>
              <w:t>5.69</w:t>
            </w:r>
          </w:p>
        </w:tc>
      </w:tr>
    </w:tbl>
    <w:p w14:paraId="0FE2BC10" w14:textId="77777777" w:rsidR="004907C1" w:rsidRDefault="004907C1">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46551E" w14:paraId="1F7C344C"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557C4C" w14:textId="77777777" w:rsidR="004907C1" w:rsidRDefault="004907C1">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8E11DA" w14:textId="77777777" w:rsidR="004907C1" w:rsidRDefault="004907C1">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4FB269" w14:textId="77777777" w:rsidR="004907C1" w:rsidRDefault="004907C1">
            <w:pPr>
              <w:jc w:val="center"/>
            </w:pPr>
            <w:r>
              <w:rPr>
                <w:rFonts w:ascii="宋体" w:hAnsi="宋体" w:hint="eastAsia"/>
                <w:color w:val="000000"/>
              </w:rPr>
              <w:t xml:space="preserve">占基金资产净值比例（%） </w:t>
            </w:r>
          </w:p>
        </w:tc>
      </w:tr>
      <w:tr w:rsidR="0046551E" w14:paraId="660291BD"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EF0C64" w14:textId="77777777" w:rsidR="004907C1" w:rsidRDefault="004907C1">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BB4ECA"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CA7BF8" w14:textId="77777777" w:rsidR="004907C1" w:rsidRDefault="004907C1">
            <w:pPr>
              <w:jc w:val="right"/>
            </w:pPr>
            <w:r>
              <w:rPr>
                <w:rFonts w:ascii="宋体" w:hAnsi="宋体" w:hint="eastAsia"/>
                <w:szCs w:val="24"/>
                <w:lang w:eastAsia="zh-Hans"/>
              </w:rPr>
              <w:t>-</w:t>
            </w:r>
          </w:p>
        </w:tc>
      </w:tr>
      <w:tr w:rsidR="0046551E" w14:paraId="4391DC5B"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9DE5CA" w14:textId="77777777" w:rsidR="004907C1" w:rsidRDefault="004907C1">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853FF6" w14:textId="77777777" w:rsidR="004907C1" w:rsidRDefault="004907C1">
            <w:pPr>
              <w:jc w:val="right"/>
            </w:pPr>
            <w:r>
              <w:rPr>
                <w:rFonts w:ascii="宋体" w:hAnsi="宋体" w:hint="eastAsia"/>
                <w:szCs w:val="24"/>
                <w:lang w:eastAsia="zh-Hans"/>
              </w:rPr>
              <w:t>1,179,600.00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F3A871" w14:textId="77777777" w:rsidR="004907C1" w:rsidRDefault="004907C1">
            <w:pPr>
              <w:jc w:val="right"/>
            </w:pPr>
            <w:r>
              <w:rPr>
                <w:rFonts w:ascii="宋体" w:hAnsi="宋体" w:hint="eastAsia"/>
                <w:szCs w:val="24"/>
                <w:lang w:eastAsia="zh-Hans"/>
              </w:rPr>
              <w:t>0.57</w:t>
            </w:r>
          </w:p>
        </w:tc>
      </w:tr>
      <w:tr w:rsidR="0046551E" w14:paraId="5A0C4C4B"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DBF58B6" w14:textId="77777777" w:rsidR="004907C1" w:rsidRDefault="004907C1">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BB2D29" w14:textId="77777777" w:rsidR="004907C1" w:rsidRDefault="004907C1">
            <w:pPr>
              <w:jc w:val="right"/>
            </w:pPr>
            <w:r>
              <w:rPr>
                <w:rFonts w:ascii="宋体" w:hAnsi="宋体" w:hint="eastAsia"/>
                <w:szCs w:val="24"/>
                <w:lang w:eastAsia="zh-Hans"/>
              </w:rPr>
              <w:t>210,700.00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C05F13" w14:textId="77777777" w:rsidR="004907C1" w:rsidRDefault="004907C1">
            <w:pPr>
              <w:jc w:val="right"/>
            </w:pPr>
            <w:r>
              <w:rPr>
                <w:rFonts w:ascii="宋体" w:hAnsi="宋体" w:hint="eastAsia"/>
                <w:szCs w:val="24"/>
                <w:lang w:eastAsia="zh-Hans"/>
              </w:rPr>
              <w:t>0.10</w:t>
            </w:r>
          </w:p>
        </w:tc>
      </w:tr>
      <w:tr w:rsidR="0046551E" w14:paraId="3FC8DAE2"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4D7C4C5" w14:textId="77777777" w:rsidR="004907C1" w:rsidRDefault="004907C1">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A48626"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BB0558" w14:textId="77777777" w:rsidR="004907C1" w:rsidRDefault="004907C1">
            <w:pPr>
              <w:jc w:val="right"/>
            </w:pPr>
            <w:r>
              <w:rPr>
                <w:rFonts w:ascii="宋体" w:hAnsi="宋体" w:hint="eastAsia"/>
                <w:szCs w:val="24"/>
                <w:lang w:eastAsia="zh-Hans"/>
              </w:rPr>
              <w:t>-</w:t>
            </w:r>
          </w:p>
        </w:tc>
      </w:tr>
      <w:tr w:rsidR="0046551E" w14:paraId="33591224"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81E8BF" w14:textId="77777777" w:rsidR="004907C1" w:rsidRDefault="004907C1">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DCA964A" w14:textId="77777777" w:rsidR="004907C1" w:rsidRDefault="004907C1">
            <w:pPr>
              <w:jc w:val="right"/>
            </w:pPr>
            <w:r>
              <w:rPr>
                <w:rFonts w:ascii="宋体" w:hAnsi="宋体" w:hint="eastAsia"/>
                <w:szCs w:val="24"/>
                <w:lang w:eastAsia="zh-Hans"/>
              </w:rPr>
              <w:t>1,089,880.00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F489D9" w14:textId="77777777" w:rsidR="004907C1" w:rsidRDefault="004907C1">
            <w:pPr>
              <w:jc w:val="right"/>
            </w:pPr>
            <w:r>
              <w:rPr>
                <w:rFonts w:ascii="宋体" w:hAnsi="宋体" w:hint="eastAsia"/>
                <w:szCs w:val="24"/>
                <w:lang w:eastAsia="zh-Hans"/>
              </w:rPr>
              <w:t>0.52</w:t>
            </w:r>
          </w:p>
        </w:tc>
      </w:tr>
      <w:tr w:rsidR="0046551E" w14:paraId="45F2A5A5"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19AD6A" w14:textId="77777777" w:rsidR="004907C1" w:rsidRDefault="004907C1">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1EC082"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DCBFE96" w14:textId="77777777" w:rsidR="004907C1" w:rsidRDefault="004907C1">
            <w:pPr>
              <w:jc w:val="right"/>
            </w:pPr>
            <w:r>
              <w:rPr>
                <w:rFonts w:ascii="宋体" w:hAnsi="宋体" w:hint="eastAsia"/>
                <w:szCs w:val="24"/>
                <w:lang w:eastAsia="zh-Hans"/>
              </w:rPr>
              <w:t>-</w:t>
            </w:r>
          </w:p>
        </w:tc>
      </w:tr>
      <w:tr w:rsidR="0046551E" w14:paraId="34142A38"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8C98D2D" w14:textId="77777777" w:rsidR="004907C1" w:rsidRDefault="004907C1">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39AFD8"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1BC9A9" w14:textId="77777777" w:rsidR="004907C1" w:rsidRDefault="004907C1">
            <w:pPr>
              <w:jc w:val="right"/>
            </w:pPr>
            <w:r>
              <w:rPr>
                <w:rFonts w:ascii="宋体" w:hAnsi="宋体" w:hint="eastAsia"/>
                <w:szCs w:val="24"/>
                <w:lang w:eastAsia="zh-Hans"/>
              </w:rPr>
              <w:t>-</w:t>
            </w:r>
          </w:p>
        </w:tc>
      </w:tr>
      <w:tr w:rsidR="0046551E" w14:paraId="054D7134"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4A4674F" w14:textId="77777777" w:rsidR="004907C1" w:rsidRDefault="004907C1">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1C07AF" w14:textId="77777777" w:rsidR="004907C1" w:rsidRDefault="004907C1">
            <w:pPr>
              <w:jc w:val="right"/>
            </w:pPr>
            <w:r>
              <w:rPr>
                <w:rFonts w:ascii="宋体" w:hAnsi="宋体" w:hint="eastAsia"/>
                <w:szCs w:val="24"/>
                <w:lang w:eastAsia="zh-Hans"/>
              </w:rPr>
              <w:t>653,670.00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5F9113" w14:textId="77777777" w:rsidR="004907C1" w:rsidRDefault="004907C1">
            <w:pPr>
              <w:jc w:val="right"/>
            </w:pPr>
            <w:r>
              <w:rPr>
                <w:rFonts w:ascii="宋体" w:hAnsi="宋体" w:hint="eastAsia"/>
                <w:szCs w:val="24"/>
                <w:lang w:eastAsia="zh-Hans"/>
              </w:rPr>
              <w:t>0.31</w:t>
            </w:r>
          </w:p>
        </w:tc>
      </w:tr>
      <w:tr w:rsidR="0046551E" w14:paraId="4528EFCA"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FC8F91" w14:textId="77777777" w:rsidR="004907C1" w:rsidRDefault="004907C1">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1C5F95"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58B898E" w14:textId="77777777" w:rsidR="004907C1" w:rsidRDefault="004907C1">
            <w:pPr>
              <w:jc w:val="right"/>
            </w:pPr>
            <w:r>
              <w:rPr>
                <w:rFonts w:ascii="宋体" w:hAnsi="宋体" w:hint="eastAsia"/>
                <w:szCs w:val="24"/>
                <w:lang w:eastAsia="zh-Hans"/>
              </w:rPr>
              <w:t>-</w:t>
            </w:r>
          </w:p>
        </w:tc>
      </w:tr>
      <w:tr w:rsidR="0046551E" w14:paraId="041771D1"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84051A" w14:textId="77777777" w:rsidR="004907C1" w:rsidRDefault="004907C1">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9C4A5CA"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190D13" w14:textId="77777777" w:rsidR="004907C1" w:rsidRDefault="004907C1">
            <w:pPr>
              <w:jc w:val="right"/>
            </w:pPr>
            <w:r>
              <w:rPr>
                <w:rFonts w:ascii="宋体" w:hAnsi="宋体" w:hint="eastAsia"/>
                <w:szCs w:val="24"/>
                <w:lang w:eastAsia="zh-Hans"/>
              </w:rPr>
              <w:t>-</w:t>
            </w:r>
          </w:p>
        </w:tc>
      </w:tr>
      <w:tr w:rsidR="0046551E" w14:paraId="2370DBB5"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275FF39" w14:textId="77777777" w:rsidR="004907C1" w:rsidRDefault="004907C1">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CCEC32" w14:textId="77777777" w:rsidR="004907C1" w:rsidRDefault="004907C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8E26BB" w14:textId="77777777" w:rsidR="004907C1" w:rsidRDefault="004907C1">
            <w:pPr>
              <w:jc w:val="right"/>
            </w:pPr>
            <w:r>
              <w:rPr>
                <w:rFonts w:ascii="宋体" w:hAnsi="宋体" w:hint="eastAsia"/>
                <w:szCs w:val="24"/>
                <w:lang w:eastAsia="zh-Hans"/>
              </w:rPr>
              <w:t>-</w:t>
            </w:r>
          </w:p>
        </w:tc>
      </w:tr>
      <w:tr w:rsidR="0046551E" w14:paraId="70208C9D" w14:textId="77777777">
        <w:trPr>
          <w:divId w:val="17349283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BA96753" w14:textId="77777777" w:rsidR="004907C1" w:rsidRDefault="004907C1">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EDBA4F" w14:textId="77777777" w:rsidR="004907C1" w:rsidRDefault="004907C1">
            <w:pPr>
              <w:jc w:val="right"/>
            </w:pPr>
            <w:r>
              <w:rPr>
                <w:rFonts w:ascii="宋体" w:hAnsi="宋体" w:hint="eastAsia"/>
                <w:szCs w:val="24"/>
                <w:lang w:eastAsia="zh-Hans"/>
              </w:rPr>
              <w:t>3,133,850.00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115CC3" w14:textId="77777777" w:rsidR="004907C1" w:rsidRDefault="004907C1">
            <w:pPr>
              <w:jc w:val="right"/>
            </w:pPr>
            <w:r>
              <w:rPr>
                <w:rFonts w:ascii="宋体" w:hAnsi="宋体" w:hint="eastAsia"/>
                <w:szCs w:val="24"/>
                <w:lang w:eastAsia="zh-Hans"/>
              </w:rPr>
              <w:t>1.50</w:t>
            </w:r>
          </w:p>
        </w:tc>
      </w:tr>
    </w:tbl>
    <w:p w14:paraId="2BBF52E8" w14:textId="77777777" w:rsidR="004907C1" w:rsidRDefault="004907C1">
      <w:pPr>
        <w:spacing w:line="360" w:lineRule="auto"/>
        <w:divId w:val="1536772159"/>
      </w:pPr>
      <w:r>
        <w:rPr>
          <w:rFonts w:ascii="宋体" w:hAnsi="宋体" w:hint="eastAsia"/>
          <w:szCs w:val="21"/>
        </w:rPr>
        <w:t>注：</w:t>
      </w:r>
      <w:r>
        <w:rPr>
          <w:rFonts w:ascii="宋体" w:hAnsi="宋体" w:hint="eastAsia"/>
          <w:szCs w:val="21"/>
          <w:lang w:eastAsia="zh-Hans"/>
        </w:rPr>
        <w:t>以上分类采用全球行业分类标准（GICS）。</w:t>
      </w:r>
    </w:p>
    <w:p w14:paraId="65DC4919" w14:textId="77777777" w:rsidR="004907C1" w:rsidRDefault="004907C1">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4EED3479" w14:textId="77777777" w:rsidR="004907C1" w:rsidRDefault="004907C1">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6551E" w14:paraId="139BC690" w14:textId="77777777">
        <w:trPr>
          <w:divId w:val="5074102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02F17A" w14:textId="77777777" w:rsidR="004907C1" w:rsidRDefault="004907C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F6C842" w14:textId="77777777" w:rsidR="004907C1" w:rsidRDefault="004907C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6D7E65" w14:textId="77777777" w:rsidR="004907C1" w:rsidRDefault="004907C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96AA42" w14:textId="77777777" w:rsidR="004907C1" w:rsidRDefault="004907C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0E56FB" w14:textId="77777777" w:rsidR="004907C1" w:rsidRDefault="004907C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2BAD14" w14:textId="77777777" w:rsidR="004907C1" w:rsidRDefault="004907C1">
            <w:pPr>
              <w:jc w:val="center"/>
            </w:pPr>
            <w:r>
              <w:rPr>
                <w:rFonts w:ascii="宋体" w:hAnsi="宋体" w:hint="eastAsia"/>
                <w:color w:val="000000"/>
              </w:rPr>
              <w:t xml:space="preserve">占基金资产净值比例（%） </w:t>
            </w:r>
          </w:p>
        </w:tc>
      </w:tr>
      <w:tr w:rsidR="0046551E" w14:paraId="6DE386C6"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D442C" w14:textId="77777777" w:rsidR="004907C1" w:rsidRDefault="004907C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D3F3A" w14:textId="77777777" w:rsidR="004907C1" w:rsidRDefault="004907C1">
            <w:pPr>
              <w:jc w:val="center"/>
            </w:pPr>
            <w:r>
              <w:rPr>
                <w:rFonts w:ascii="宋体" w:hAnsi="宋体" w:hint="eastAsia"/>
                <w:szCs w:val="24"/>
                <w:lang w:eastAsia="zh-Hans"/>
              </w:rPr>
              <w:t>600483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F557B" w14:textId="77777777" w:rsidR="004907C1" w:rsidRDefault="004907C1">
            <w:pPr>
              <w:jc w:val="center"/>
            </w:pPr>
            <w:r>
              <w:rPr>
                <w:rFonts w:ascii="宋体" w:hAnsi="宋体" w:hint="eastAsia"/>
                <w:szCs w:val="24"/>
                <w:lang w:eastAsia="zh-Hans"/>
              </w:rPr>
              <w:t>福能股份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F3F7A" w14:textId="77777777" w:rsidR="004907C1" w:rsidRDefault="004907C1">
            <w:pPr>
              <w:jc w:val="right"/>
            </w:pPr>
            <w:r>
              <w:rPr>
                <w:rFonts w:ascii="宋体" w:hAnsi="宋体" w:hint="eastAsia"/>
                <w:szCs w:val="24"/>
                <w:lang w:eastAsia="zh-Hans"/>
              </w:rPr>
              <w:t>193,800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30575" w14:textId="77777777" w:rsidR="004907C1" w:rsidRDefault="004907C1">
            <w:pPr>
              <w:jc w:val="right"/>
            </w:pPr>
            <w:r>
              <w:rPr>
                <w:rFonts w:ascii="宋体" w:hAnsi="宋体" w:hint="eastAsia"/>
                <w:szCs w:val="24"/>
                <w:lang w:eastAsia="zh-Hans"/>
              </w:rPr>
              <w:t>1,905,054.00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5470C" w14:textId="77777777" w:rsidR="004907C1" w:rsidRDefault="004907C1">
            <w:pPr>
              <w:jc w:val="right"/>
            </w:pPr>
            <w:r>
              <w:rPr>
                <w:rFonts w:ascii="宋体" w:hAnsi="宋体" w:hint="eastAsia"/>
                <w:szCs w:val="24"/>
                <w:lang w:eastAsia="zh-Hans"/>
              </w:rPr>
              <w:t>0.91</w:t>
            </w:r>
          </w:p>
        </w:tc>
      </w:tr>
      <w:tr w:rsidR="0046551E" w14:paraId="54764354"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65DF4" w14:textId="77777777" w:rsidR="004907C1" w:rsidRDefault="004907C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F3595" w14:textId="77777777" w:rsidR="004907C1" w:rsidRDefault="004907C1">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743BD" w14:textId="77777777" w:rsidR="004907C1" w:rsidRDefault="004907C1">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E5C63" w14:textId="77777777" w:rsidR="004907C1" w:rsidRDefault="004907C1">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B1AAD" w14:textId="77777777" w:rsidR="004907C1" w:rsidRDefault="004907C1">
            <w:pPr>
              <w:jc w:val="right"/>
            </w:pPr>
            <w:r>
              <w:rPr>
                <w:rFonts w:ascii="宋体" w:hAnsi="宋体" w:hint="eastAsia"/>
                <w:szCs w:val="24"/>
                <w:lang w:eastAsia="zh-Hans"/>
              </w:rPr>
              <w:t>1,820,000.00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B6173" w14:textId="77777777" w:rsidR="004907C1" w:rsidRDefault="004907C1">
            <w:pPr>
              <w:jc w:val="right"/>
            </w:pPr>
            <w:r>
              <w:rPr>
                <w:rFonts w:ascii="宋体" w:hAnsi="宋体" w:hint="eastAsia"/>
                <w:szCs w:val="24"/>
                <w:lang w:eastAsia="zh-Hans"/>
              </w:rPr>
              <w:t>0.87</w:t>
            </w:r>
          </w:p>
        </w:tc>
      </w:tr>
      <w:tr w:rsidR="0046551E" w14:paraId="17A5EA0E"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1E374" w14:textId="77777777" w:rsidR="004907C1" w:rsidRDefault="004907C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FAF3B" w14:textId="77777777" w:rsidR="004907C1" w:rsidRDefault="004907C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25F52" w14:textId="77777777" w:rsidR="004907C1" w:rsidRDefault="004907C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FB46A" w14:textId="77777777" w:rsidR="004907C1" w:rsidRDefault="004907C1">
            <w:pPr>
              <w:jc w:val="right"/>
            </w:pPr>
            <w:r>
              <w:rPr>
                <w:rFonts w:ascii="宋体" w:hAnsi="宋体" w:hint="eastAsia"/>
                <w:szCs w:val="24"/>
                <w:lang w:eastAsia="zh-Hans"/>
              </w:rPr>
              <w:t>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9285E" w14:textId="77777777" w:rsidR="004907C1" w:rsidRDefault="004907C1">
            <w:pPr>
              <w:jc w:val="right"/>
            </w:pPr>
            <w:r>
              <w:rPr>
                <w:rFonts w:ascii="宋体" w:hAnsi="宋体" w:hint="eastAsia"/>
                <w:szCs w:val="24"/>
                <w:lang w:eastAsia="zh-Hans"/>
              </w:rPr>
              <w:t>1,608,000.00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E5A2A" w14:textId="77777777" w:rsidR="004907C1" w:rsidRDefault="004907C1">
            <w:pPr>
              <w:jc w:val="right"/>
            </w:pPr>
            <w:r>
              <w:rPr>
                <w:rFonts w:ascii="宋体" w:hAnsi="宋体" w:hint="eastAsia"/>
                <w:szCs w:val="24"/>
                <w:lang w:eastAsia="zh-Hans"/>
              </w:rPr>
              <w:t>0.77</w:t>
            </w:r>
          </w:p>
        </w:tc>
      </w:tr>
      <w:tr w:rsidR="0046551E" w14:paraId="33EC4EE0"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0EB09" w14:textId="77777777" w:rsidR="004907C1" w:rsidRDefault="004907C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58AD7" w14:textId="77777777" w:rsidR="004907C1" w:rsidRDefault="004907C1">
            <w:pPr>
              <w:jc w:val="center"/>
            </w:pPr>
            <w:r>
              <w:rPr>
                <w:rFonts w:ascii="宋体" w:hAnsi="宋体" w:hint="eastAsia"/>
                <w:szCs w:val="24"/>
                <w:lang w:eastAsia="zh-Hans"/>
              </w:rPr>
              <w:t>688388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C3A64" w14:textId="77777777" w:rsidR="004907C1" w:rsidRDefault="004907C1">
            <w:pPr>
              <w:jc w:val="center"/>
            </w:pPr>
            <w:r>
              <w:rPr>
                <w:rFonts w:ascii="宋体" w:hAnsi="宋体" w:hint="eastAsia"/>
                <w:szCs w:val="24"/>
                <w:lang w:eastAsia="zh-Hans"/>
              </w:rPr>
              <w:t>嘉元科技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8D176" w14:textId="77777777" w:rsidR="004907C1" w:rsidRDefault="004907C1">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8927B" w14:textId="77777777" w:rsidR="004907C1" w:rsidRDefault="004907C1">
            <w:pPr>
              <w:jc w:val="right"/>
            </w:pPr>
            <w:r>
              <w:rPr>
                <w:rFonts w:ascii="宋体" w:hAnsi="宋体" w:hint="eastAsia"/>
                <w:szCs w:val="24"/>
                <w:lang w:eastAsia="zh-Hans"/>
              </w:rPr>
              <w:t>1,500,800.00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840D8" w14:textId="77777777" w:rsidR="004907C1" w:rsidRDefault="004907C1">
            <w:pPr>
              <w:jc w:val="right"/>
            </w:pPr>
            <w:r>
              <w:rPr>
                <w:rFonts w:ascii="宋体" w:hAnsi="宋体" w:hint="eastAsia"/>
                <w:szCs w:val="24"/>
                <w:lang w:eastAsia="zh-Hans"/>
              </w:rPr>
              <w:t>0.72</w:t>
            </w:r>
          </w:p>
        </w:tc>
      </w:tr>
      <w:tr w:rsidR="0046551E" w14:paraId="3F1CC248"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A7E4" w14:textId="77777777" w:rsidR="004907C1" w:rsidRDefault="004907C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7985D" w14:textId="77777777" w:rsidR="004907C1" w:rsidRDefault="004907C1">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D0D03" w14:textId="77777777" w:rsidR="004907C1" w:rsidRDefault="004907C1">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91523" w14:textId="77777777" w:rsidR="004907C1" w:rsidRDefault="004907C1">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CD2E2" w14:textId="77777777" w:rsidR="004907C1" w:rsidRDefault="004907C1">
            <w:pPr>
              <w:jc w:val="right"/>
            </w:pPr>
            <w:r>
              <w:rPr>
                <w:rFonts w:ascii="宋体" w:hAnsi="宋体" w:hint="eastAsia"/>
                <w:szCs w:val="24"/>
                <w:lang w:eastAsia="zh-Hans"/>
              </w:rPr>
              <w:t>1,060,000.00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2E29E" w14:textId="77777777" w:rsidR="004907C1" w:rsidRDefault="004907C1">
            <w:pPr>
              <w:jc w:val="right"/>
            </w:pPr>
            <w:r>
              <w:rPr>
                <w:rFonts w:ascii="宋体" w:hAnsi="宋体" w:hint="eastAsia"/>
                <w:szCs w:val="24"/>
                <w:lang w:eastAsia="zh-Hans"/>
              </w:rPr>
              <w:t>0.51</w:t>
            </w:r>
          </w:p>
        </w:tc>
      </w:tr>
      <w:tr w:rsidR="0046551E" w14:paraId="11D86DB4"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619CC" w14:textId="77777777" w:rsidR="004907C1" w:rsidRDefault="004907C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8988C" w14:textId="77777777" w:rsidR="004907C1" w:rsidRDefault="004907C1">
            <w:pPr>
              <w:jc w:val="center"/>
            </w:pPr>
            <w:r>
              <w:rPr>
                <w:rFonts w:ascii="宋体" w:hAnsi="宋体" w:hint="eastAsia"/>
                <w:szCs w:val="24"/>
                <w:lang w:eastAsia="zh-Hans"/>
              </w:rPr>
              <w:t>000063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13336" w14:textId="77777777" w:rsidR="004907C1" w:rsidRDefault="004907C1">
            <w:pPr>
              <w:jc w:val="center"/>
            </w:pPr>
            <w:r>
              <w:rPr>
                <w:rFonts w:ascii="宋体" w:hAnsi="宋体" w:hint="eastAsia"/>
                <w:szCs w:val="24"/>
                <w:lang w:eastAsia="zh-Hans"/>
              </w:rPr>
              <w:t>中兴通讯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67E4E" w14:textId="77777777" w:rsidR="004907C1" w:rsidRDefault="004907C1">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82817" w14:textId="77777777" w:rsidR="004907C1" w:rsidRDefault="004907C1">
            <w:pPr>
              <w:jc w:val="right"/>
            </w:pPr>
            <w:r>
              <w:rPr>
                <w:rFonts w:ascii="宋体" w:hAnsi="宋体" w:hint="eastAsia"/>
                <w:szCs w:val="24"/>
                <w:lang w:eastAsia="zh-Hans"/>
              </w:rPr>
              <w:t>912,800.00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6C535" w14:textId="77777777" w:rsidR="004907C1" w:rsidRDefault="004907C1">
            <w:pPr>
              <w:jc w:val="right"/>
            </w:pPr>
            <w:r>
              <w:rPr>
                <w:rFonts w:ascii="宋体" w:hAnsi="宋体" w:hint="eastAsia"/>
                <w:szCs w:val="24"/>
                <w:lang w:eastAsia="zh-Hans"/>
              </w:rPr>
              <w:t>0.44</w:t>
            </w:r>
          </w:p>
        </w:tc>
      </w:tr>
      <w:tr w:rsidR="0046551E" w14:paraId="59F4B0E4"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55826" w14:textId="77777777" w:rsidR="004907C1" w:rsidRDefault="004907C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387C3" w14:textId="77777777" w:rsidR="004907C1" w:rsidRDefault="004907C1">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C3B81" w14:textId="77777777" w:rsidR="004907C1" w:rsidRDefault="004907C1">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37A7D" w14:textId="77777777" w:rsidR="004907C1" w:rsidRDefault="004907C1">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ED0D8" w14:textId="77777777" w:rsidR="004907C1" w:rsidRDefault="004907C1">
            <w:pPr>
              <w:jc w:val="right"/>
            </w:pPr>
            <w:r>
              <w:rPr>
                <w:rFonts w:ascii="宋体" w:hAnsi="宋体" w:hint="eastAsia"/>
                <w:szCs w:val="24"/>
                <w:lang w:eastAsia="zh-Hans"/>
              </w:rPr>
              <w:t>808,000.00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EDA98" w14:textId="77777777" w:rsidR="004907C1" w:rsidRDefault="004907C1">
            <w:pPr>
              <w:jc w:val="right"/>
            </w:pPr>
            <w:r>
              <w:rPr>
                <w:rFonts w:ascii="宋体" w:hAnsi="宋体" w:hint="eastAsia"/>
                <w:szCs w:val="24"/>
                <w:lang w:eastAsia="zh-Hans"/>
              </w:rPr>
              <w:t>0.39</w:t>
            </w:r>
          </w:p>
        </w:tc>
      </w:tr>
      <w:tr w:rsidR="0046551E" w14:paraId="02BB19B5"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2F319" w14:textId="77777777" w:rsidR="004907C1" w:rsidRDefault="004907C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4B883" w14:textId="77777777" w:rsidR="004907C1" w:rsidRDefault="004907C1">
            <w:pPr>
              <w:jc w:val="center"/>
            </w:pPr>
            <w:r>
              <w:rPr>
                <w:rFonts w:ascii="宋体" w:hAnsi="宋体" w:hint="eastAsia"/>
                <w:szCs w:val="24"/>
                <w:lang w:eastAsia="zh-Hans"/>
              </w:rPr>
              <w:t>00388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7366F" w14:textId="77777777" w:rsidR="004907C1" w:rsidRDefault="004907C1">
            <w:pPr>
              <w:jc w:val="center"/>
            </w:pPr>
            <w:r>
              <w:rPr>
                <w:rFonts w:ascii="宋体" w:hAnsi="宋体" w:hint="eastAsia"/>
                <w:szCs w:val="24"/>
                <w:lang w:eastAsia="zh-Hans"/>
              </w:rPr>
              <w:t>香港交易所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006AF" w14:textId="77777777" w:rsidR="004907C1" w:rsidRDefault="004907C1">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D308E" w14:textId="77777777" w:rsidR="004907C1" w:rsidRDefault="004907C1">
            <w:pPr>
              <w:jc w:val="right"/>
            </w:pPr>
            <w:r>
              <w:rPr>
                <w:rFonts w:ascii="宋体" w:hAnsi="宋体" w:hint="eastAsia"/>
                <w:szCs w:val="24"/>
                <w:lang w:eastAsia="zh-Hans"/>
              </w:rPr>
              <w:t>807,080.00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C8E47" w14:textId="77777777" w:rsidR="004907C1" w:rsidRDefault="004907C1">
            <w:pPr>
              <w:jc w:val="right"/>
            </w:pPr>
            <w:r>
              <w:rPr>
                <w:rFonts w:ascii="宋体" w:hAnsi="宋体" w:hint="eastAsia"/>
                <w:szCs w:val="24"/>
                <w:lang w:eastAsia="zh-Hans"/>
              </w:rPr>
              <w:t>0.39</w:t>
            </w:r>
          </w:p>
        </w:tc>
      </w:tr>
      <w:tr w:rsidR="0046551E" w14:paraId="442FC4BF"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5D50C" w14:textId="77777777" w:rsidR="004907C1" w:rsidRDefault="004907C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B1237" w14:textId="77777777" w:rsidR="004907C1" w:rsidRDefault="004907C1">
            <w:pPr>
              <w:jc w:val="center"/>
            </w:pPr>
            <w:r>
              <w:rPr>
                <w:rFonts w:ascii="宋体" w:hAnsi="宋体" w:hint="eastAsia"/>
                <w:szCs w:val="24"/>
                <w:lang w:eastAsia="zh-Hans"/>
              </w:rPr>
              <w:t>002371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6A531" w14:textId="77777777" w:rsidR="004907C1" w:rsidRDefault="004907C1">
            <w:pPr>
              <w:jc w:val="center"/>
            </w:pPr>
            <w:r>
              <w:rPr>
                <w:rFonts w:ascii="宋体" w:hAnsi="宋体" w:hint="eastAsia"/>
                <w:szCs w:val="24"/>
                <w:lang w:eastAsia="zh-Hans"/>
              </w:rPr>
              <w:t>北方华创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C2124" w14:textId="77777777" w:rsidR="004907C1" w:rsidRDefault="004907C1">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041D6" w14:textId="77777777" w:rsidR="004907C1" w:rsidRDefault="004907C1">
            <w:pPr>
              <w:jc w:val="right"/>
            </w:pPr>
            <w:r>
              <w:rPr>
                <w:rFonts w:ascii="宋体" w:hAnsi="宋体" w:hint="eastAsia"/>
                <w:szCs w:val="24"/>
                <w:lang w:eastAsia="zh-Hans"/>
              </w:rPr>
              <w:t>678,540.00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A8DD4" w14:textId="77777777" w:rsidR="004907C1" w:rsidRDefault="004907C1">
            <w:pPr>
              <w:jc w:val="right"/>
            </w:pPr>
            <w:r>
              <w:rPr>
                <w:rFonts w:ascii="宋体" w:hAnsi="宋体" w:hint="eastAsia"/>
                <w:szCs w:val="24"/>
                <w:lang w:eastAsia="zh-Hans"/>
              </w:rPr>
              <w:t>0.33</w:t>
            </w:r>
          </w:p>
        </w:tc>
      </w:tr>
      <w:tr w:rsidR="0046551E" w14:paraId="5B2ABA7F" w14:textId="77777777">
        <w:trPr>
          <w:divId w:val="507410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BBF35" w14:textId="77777777" w:rsidR="004907C1" w:rsidRDefault="004907C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33CB5" w14:textId="77777777" w:rsidR="004907C1" w:rsidRDefault="004907C1">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CA752" w14:textId="77777777" w:rsidR="004907C1" w:rsidRDefault="004907C1">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BDE23" w14:textId="77777777" w:rsidR="004907C1" w:rsidRDefault="004907C1">
            <w:pPr>
              <w:jc w:val="right"/>
            </w:pPr>
            <w:r>
              <w:rPr>
                <w:rFonts w:ascii="宋体" w:hAnsi="宋体" w:hint="eastAsia"/>
                <w:szCs w:val="24"/>
                <w:lang w:eastAsia="zh-Hans"/>
              </w:rPr>
              <w:t>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5CD8A" w14:textId="77777777" w:rsidR="004907C1" w:rsidRDefault="004907C1">
            <w:pPr>
              <w:jc w:val="right"/>
            </w:pPr>
            <w:r>
              <w:rPr>
                <w:rFonts w:ascii="宋体" w:hAnsi="宋体" w:hint="eastAsia"/>
                <w:szCs w:val="24"/>
                <w:lang w:eastAsia="zh-Hans"/>
              </w:rPr>
              <w:t>653,670.00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B0564" w14:textId="77777777" w:rsidR="004907C1" w:rsidRDefault="004907C1">
            <w:pPr>
              <w:jc w:val="right"/>
            </w:pPr>
            <w:r>
              <w:rPr>
                <w:rFonts w:ascii="宋体" w:hAnsi="宋体" w:hint="eastAsia"/>
                <w:szCs w:val="24"/>
                <w:lang w:eastAsia="zh-Hans"/>
              </w:rPr>
              <w:t>0.31</w:t>
            </w:r>
          </w:p>
        </w:tc>
      </w:tr>
    </w:tbl>
    <w:p w14:paraId="11418CEE" w14:textId="77777777" w:rsidR="004907C1" w:rsidRDefault="004907C1">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6551E" w14:paraId="6310F34B"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C8446E" w14:textId="77777777" w:rsidR="004907C1" w:rsidRDefault="004907C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F5EBC2" w14:textId="77777777" w:rsidR="004907C1" w:rsidRDefault="004907C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22301" w14:textId="77777777" w:rsidR="004907C1" w:rsidRDefault="004907C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5B9AD" w14:textId="77777777" w:rsidR="004907C1" w:rsidRDefault="004907C1">
            <w:pPr>
              <w:jc w:val="center"/>
            </w:pPr>
            <w:r>
              <w:rPr>
                <w:rFonts w:ascii="宋体" w:hAnsi="宋体" w:hint="eastAsia"/>
                <w:color w:val="000000"/>
              </w:rPr>
              <w:t xml:space="preserve">占基金资产净值比例（%） </w:t>
            </w:r>
          </w:p>
        </w:tc>
      </w:tr>
      <w:tr w:rsidR="0046551E" w14:paraId="21CCF16C"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526F19" w14:textId="77777777" w:rsidR="004907C1" w:rsidRDefault="004907C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7CC64F" w14:textId="77777777" w:rsidR="004907C1" w:rsidRDefault="004907C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D08F54" w14:textId="77777777" w:rsidR="004907C1" w:rsidRDefault="004907C1">
            <w:pPr>
              <w:jc w:val="right"/>
            </w:pPr>
            <w:r>
              <w:rPr>
                <w:rFonts w:ascii="宋体" w:hAnsi="宋体" w:hint="eastAsia"/>
                <w:szCs w:val="24"/>
                <w:lang w:eastAsia="zh-Hans"/>
              </w:rPr>
              <w:t>1,106,977.62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17600F" w14:textId="77777777" w:rsidR="004907C1" w:rsidRDefault="004907C1">
            <w:pPr>
              <w:jc w:val="right"/>
            </w:pPr>
            <w:r>
              <w:rPr>
                <w:rFonts w:ascii="宋体" w:hAnsi="宋体" w:hint="eastAsia"/>
                <w:szCs w:val="24"/>
                <w:lang w:eastAsia="zh-Hans"/>
              </w:rPr>
              <w:t>0.53</w:t>
            </w:r>
          </w:p>
        </w:tc>
      </w:tr>
      <w:tr w:rsidR="0046551E" w14:paraId="378BA556"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568B22" w14:textId="77777777" w:rsidR="004907C1" w:rsidRDefault="004907C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247B74" w14:textId="77777777" w:rsidR="004907C1" w:rsidRDefault="004907C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A104C1" w14:textId="77777777" w:rsidR="004907C1" w:rsidRDefault="004907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40445E" w14:textId="77777777" w:rsidR="004907C1" w:rsidRDefault="004907C1">
            <w:pPr>
              <w:jc w:val="right"/>
            </w:pPr>
            <w:r>
              <w:rPr>
                <w:rFonts w:ascii="宋体" w:hAnsi="宋体" w:hint="eastAsia"/>
                <w:szCs w:val="24"/>
                <w:lang w:eastAsia="zh-Hans"/>
              </w:rPr>
              <w:t>-</w:t>
            </w:r>
          </w:p>
        </w:tc>
      </w:tr>
      <w:tr w:rsidR="0046551E" w14:paraId="23A9BED8"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52B042" w14:textId="77777777" w:rsidR="004907C1" w:rsidRDefault="004907C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40898E" w14:textId="77777777" w:rsidR="004907C1" w:rsidRDefault="004907C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E9BB32" w14:textId="77777777" w:rsidR="004907C1" w:rsidRDefault="004907C1">
            <w:pPr>
              <w:jc w:val="right"/>
            </w:pPr>
            <w:r>
              <w:rPr>
                <w:rFonts w:ascii="宋体" w:hAnsi="宋体" w:hint="eastAsia"/>
                <w:szCs w:val="24"/>
                <w:lang w:eastAsia="zh-Hans"/>
              </w:rPr>
              <w:t>62,444,191.24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BF36E4" w14:textId="77777777" w:rsidR="004907C1" w:rsidRDefault="004907C1">
            <w:pPr>
              <w:jc w:val="right"/>
            </w:pPr>
            <w:r>
              <w:rPr>
                <w:rFonts w:ascii="宋体" w:hAnsi="宋体" w:hint="eastAsia"/>
                <w:szCs w:val="24"/>
                <w:lang w:eastAsia="zh-Hans"/>
              </w:rPr>
              <w:t>29.93</w:t>
            </w:r>
          </w:p>
        </w:tc>
      </w:tr>
      <w:tr w:rsidR="0046551E" w14:paraId="46496636"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0B1B2B" w14:textId="77777777" w:rsidR="004907C1" w:rsidRDefault="004907C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1E0B06" w14:textId="77777777" w:rsidR="004907C1" w:rsidRDefault="004907C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99CD2D" w14:textId="77777777" w:rsidR="004907C1" w:rsidRDefault="004907C1">
            <w:pPr>
              <w:jc w:val="right"/>
            </w:pPr>
            <w:r>
              <w:rPr>
                <w:rFonts w:ascii="宋体" w:hAnsi="宋体" w:hint="eastAsia"/>
                <w:szCs w:val="24"/>
                <w:lang w:eastAsia="zh-Hans"/>
              </w:rPr>
              <w:t>10,091,898.63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613C0B" w14:textId="77777777" w:rsidR="004907C1" w:rsidRDefault="004907C1">
            <w:pPr>
              <w:jc w:val="right"/>
            </w:pPr>
            <w:r>
              <w:rPr>
                <w:rFonts w:ascii="宋体" w:hAnsi="宋体" w:hint="eastAsia"/>
                <w:szCs w:val="24"/>
                <w:lang w:eastAsia="zh-Hans"/>
              </w:rPr>
              <w:t>4.84</w:t>
            </w:r>
          </w:p>
        </w:tc>
      </w:tr>
      <w:tr w:rsidR="0046551E" w14:paraId="3799288F"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E2F4F8" w14:textId="77777777" w:rsidR="004907C1" w:rsidRDefault="004907C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DC8F49" w14:textId="77777777" w:rsidR="004907C1" w:rsidRDefault="004907C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71980B" w14:textId="77777777" w:rsidR="004907C1" w:rsidRDefault="004907C1">
            <w:pPr>
              <w:jc w:val="right"/>
            </w:pPr>
            <w:r>
              <w:rPr>
                <w:rFonts w:ascii="宋体" w:hAnsi="宋体" w:hint="eastAsia"/>
                <w:szCs w:val="24"/>
                <w:lang w:eastAsia="zh-Hans"/>
              </w:rPr>
              <w:t>193,342,179.97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E2C480" w14:textId="77777777" w:rsidR="004907C1" w:rsidRDefault="004907C1">
            <w:pPr>
              <w:jc w:val="right"/>
            </w:pPr>
            <w:r>
              <w:rPr>
                <w:rFonts w:ascii="宋体" w:hAnsi="宋体" w:hint="eastAsia"/>
                <w:szCs w:val="24"/>
                <w:lang w:eastAsia="zh-Hans"/>
              </w:rPr>
              <w:t>92.67</w:t>
            </w:r>
          </w:p>
        </w:tc>
      </w:tr>
      <w:tr w:rsidR="0046551E" w14:paraId="4F35B63F"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B5C96C" w14:textId="77777777" w:rsidR="004907C1" w:rsidRDefault="004907C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FCF50D" w14:textId="77777777" w:rsidR="004907C1" w:rsidRDefault="004907C1">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51ABC6" w14:textId="77777777" w:rsidR="004907C1" w:rsidRDefault="004907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377950" w14:textId="77777777" w:rsidR="004907C1" w:rsidRDefault="004907C1">
            <w:pPr>
              <w:jc w:val="right"/>
            </w:pPr>
            <w:r>
              <w:rPr>
                <w:rFonts w:ascii="宋体" w:hAnsi="宋体" w:hint="eastAsia"/>
                <w:szCs w:val="24"/>
                <w:lang w:eastAsia="zh-Hans"/>
              </w:rPr>
              <w:t>-</w:t>
            </w:r>
          </w:p>
        </w:tc>
      </w:tr>
      <w:tr w:rsidR="0046551E" w14:paraId="3677D5E6"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9D73F7" w14:textId="77777777" w:rsidR="004907C1" w:rsidRDefault="004907C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76A5D7" w14:textId="77777777" w:rsidR="004907C1" w:rsidRDefault="004907C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C52484" w14:textId="77777777" w:rsidR="004907C1" w:rsidRDefault="004907C1">
            <w:pPr>
              <w:jc w:val="right"/>
            </w:pPr>
            <w:r>
              <w:rPr>
                <w:rFonts w:ascii="宋体" w:hAnsi="宋体" w:hint="eastAsia"/>
                <w:szCs w:val="24"/>
                <w:lang w:eastAsia="zh-Hans"/>
              </w:rPr>
              <w:t>10,164,013.70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1695A7" w14:textId="77777777" w:rsidR="004907C1" w:rsidRDefault="004907C1">
            <w:pPr>
              <w:jc w:val="right"/>
            </w:pPr>
            <w:r>
              <w:rPr>
                <w:rFonts w:ascii="宋体" w:hAnsi="宋体" w:hint="eastAsia"/>
                <w:szCs w:val="24"/>
                <w:lang w:eastAsia="zh-Hans"/>
              </w:rPr>
              <w:t>4.87</w:t>
            </w:r>
          </w:p>
        </w:tc>
      </w:tr>
      <w:tr w:rsidR="0046551E" w14:paraId="5B70B6E2"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55B52B" w14:textId="77777777" w:rsidR="004907C1" w:rsidRDefault="004907C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13F994" w14:textId="77777777" w:rsidR="004907C1" w:rsidRDefault="004907C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5A7D20" w14:textId="77777777" w:rsidR="004907C1" w:rsidRDefault="004907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7F3713" w14:textId="77777777" w:rsidR="004907C1" w:rsidRDefault="004907C1">
            <w:pPr>
              <w:jc w:val="right"/>
            </w:pPr>
            <w:r>
              <w:rPr>
                <w:rFonts w:ascii="宋体" w:hAnsi="宋体" w:hint="eastAsia"/>
                <w:szCs w:val="24"/>
                <w:lang w:eastAsia="zh-Hans"/>
              </w:rPr>
              <w:t>-</w:t>
            </w:r>
          </w:p>
        </w:tc>
      </w:tr>
      <w:tr w:rsidR="0046551E" w14:paraId="20C50FDC"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24D3FF" w14:textId="77777777" w:rsidR="004907C1" w:rsidRDefault="004907C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E59396" w14:textId="77777777" w:rsidR="004907C1" w:rsidRDefault="004907C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5BB2F0" w14:textId="77777777" w:rsidR="004907C1" w:rsidRDefault="004907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EC8C09" w14:textId="77777777" w:rsidR="004907C1" w:rsidRDefault="004907C1">
            <w:pPr>
              <w:jc w:val="right"/>
            </w:pPr>
            <w:r>
              <w:rPr>
                <w:rFonts w:ascii="宋体" w:hAnsi="宋体" w:hint="eastAsia"/>
                <w:szCs w:val="24"/>
                <w:lang w:eastAsia="zh-Hans"/>
              </w:rPr>
              <w:t>-</w:t>
            </w:r>
          </w:p>
        </w:tc>
      </w:tr>
      <w:tr w:rsidR="0046551E" w14:paraId="1FEA1EFE"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FE358D" w14:textId="77777777" w:rsidR="004907C1" w:rsidRDefault="004907C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5938C4" w14:textId="77777777" w:rsidR="004907C1" w:rsidRDefault="004907C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E3892D" w14:textId="77777777" w:rsidR="004907C1" w:rsidRDefault="004907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12523E" w14:textId="77777777" w:rsidR="004907C1" w:rsidRDefault="004907C1">
            <w:pPr>
              <w:jc w:val="right"/>
            </w:pPr>
            <w:r>
              <w:rPr>
                <w:rFonts w:ascii="宋体" w:hAnsi="宋体" w:hint="eastAsia"/>
                <w:szCs w:val="24"/>
                <w:lang w:eastAsia="zh-Hans"/>
              </w:rPr>
              <w:t>-</w:t>
            </w:r>
          </w:p>
        </w:tc>
      </w:tr>
      <w:tr w:rsidR="0046551E" w14:paraId="3BFC5F2A" w14:textId="77777777">
        <w:trPr>
          <w:divId w:val="455489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B3C386" w14:textId="77777777" w:rsidR="004907C1" w:rsidRDefault="004907C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60CFEF" w14:textId="77777777" w:rsidR="004907C1" w:rsidRDefault="004907C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15DF29" w14:textId="77777777" w:rsidR="004907C1" w:rsidRDefault="004907C1">
            <w:pPr>
              <w:jc w:val="right"/>
            </w:pPr>
            <w:r>
              <w:rPr>
                <w:rFonts w:ascii="宋体" w:hAnsi="宋体" w:hint="eastAsia"/>
                <w:szCs w:val="24"/>
                <w:lang w:eastAsia="zh-Hans"/>
              </w:rPr>
              <w:t>267,057,362.53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1F11D8" w14:textId="77777777" w:rsidR="004907C1" w:rsidRDefault="004907C1">
            <w:pPr>
              <w:jc w:val="right"/>
            </w:pPr>
            <w:r>
              <w:rPr>
                <w:rFonts w:ascii="宋体" w:hAnsi="宋体" w:hint="eastAsia"/>
                <w:szCs w:val="24"/>
                <w:lang w:eastAsia="zh-Hans"/>
              </w:rPr>
              <w:t>128.00</w:t>
            </w:r>
          </w:p>
        </w:tc>
      </w:tr>
    </w:tbl>
    <w:p w14:paraId="5BDBA3F9" w14:textId="77777777" w:rsidR="004907C1" w:rsidRDefault="004907C1">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6551E" w14:paraId="18F9678F" w14:textId="77777777">
        <w:trPr>
          <w:divId w:val="841144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2E7FDF" w14:textId="77777777" w:rsidR="004907C1" w:rsidRDefault="004907C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EC3D84" w14:textId="77777777" w:rsidR="004907C1" w:rsidRDefault="004907C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00D0F0" w14:textId="77777777" w:rsidR="004907C1" w:rsidRDefault="004907C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5C54CF" w14:textId="77777777" w:rsidR="004907C1" w:rsidRDefault="004907C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2E904C" w14:textId="77777777" w:rsidR="004907C1" w:rsidRDefault="004907C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627A44" w14:textId="77777777" w:rsidR="004907C1" w:rsidRDefault="004907C1">
            <w:pPr>
              <w:jc w:val="center"/>
            </w:pPr>
            <w:r>
              <w:rPr>
                <w:rFonts w:ascii="宋体" w:hAnsi="宋体" w:hint="eastAsia"/>
                <w:color w:val="000000"/>
              </w:rPr>
              <w:t xml:space="preserve">占基金资产净值比例（%） </w:t>
            </w:r>
          </w:p>
        </w:tc>
      </w:tr>
      <w:tr w:rsidR="0046551E" w14:paraId="729D75F6" w14:textId="77777777">
        <w:trPr>
          <w:divId w:val="84114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69F4F" w14:textId="77777777" w:rsidR="004907C1" w:rsidRDefault="004907C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A62AF" w14:textId="77777777" w:rsidR="004907C1" w:rsidRDefault="004907C1">
            <w:pPr>
              <w:jc w:val="center"/>
            </w:pPr>
            <w:r>
              <w:rPr>
                <w:rFonts w:ascii="宋体" w:hAnsi="宋体" w:hint="eastAsia"/>
                <w:szCs w:val="24"/>
                <w:lang w:eastAsia="zh-Hans"/>
              </w:rPr>
              <w:t>175280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883E8" w14:textId="77777777" w:rsidR="004907C1" w:rsidRDefault="004907C1">
            <w:pPr>
              <w:jc w:val="center"/>
            </w:pPr>
            <w:r>
              <w:rPr>
                <w:rFonts w:ascii="宋体" w:hAnsi="宋体" w:hint="eastAsia"/>
                <w:szCs w:val="24"/>
                <w:lang w:eastAsia="zh-Hans"/>
              </w:rPr>
              <w:t>20中财G3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914D4" w14:textId="77777777" w:rsidR="004907C1" w:rsidRDefault="004907C1">
            <w:pPr>
              <w:jc w:val="right"/>
            </w:pPr>
            <w:r>
              <w:rPr>
                <w:rFonts w:ascii="宋体" w:hAnsi="宋体" w:hint="eastAsia"/>
                <w:szCs w:val="24"/>
                <w:lang w:eastAsia="zh-Hans"/>
              </w:rPr>
              <w:t>150,000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0CFAC" w14:textId="77777777" w:rsidR="004907C1" w:rsidRDefault="004907C1">
            <w:pPr>
              <w:jc w:val="right"/>
            </w:pPr>
            <w:r>
              <w:rPr>
                <w:rFonts w:ascii="宋体" w:hAnsi="宋体" w:hint="eastAsia"/>
                <w:szCs w:val="24"/>
                <w:lang w:eastAsia="zh-Hans"/>
              </w:rPr>
              <w:t>15,495,883.56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BDE56" w14:textId="77777777" w:rsidR="004907C1" w:rsidRDefault="004907C1">
            <w:pPr>
              <w:jc w:val="right"/>
            </w:pPr>
            <w:r>
              <w:rPr>
                <w:rFonts w:ascii="宋体" w:hAnsi="宋体" w:hint="eastAsia"/>
                <w:szCs w:val="24"/>
                <w:lang w:eastAsia="zh-Hans"/>
              </w:rPr>
              <w:t>7.43</w:t>
            </w:r>
          </w:p>
        </w:tc>
      </w:tr>
      <w:tr w:rsidR="0046551E" w14:paraId="1C6DF175" w14:textId="77777777">
        <w:trPr>
          <w:divId w:val="84114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34DB7" w14:textId="77777777" w:rsidR="004907C1" w:rsidRDefault="004907C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915F5" w14:textId="77777777" w:rsidR="004907C1" w:rsidRDefault="004907C1">
            <w:pPr>
              <w:jc w:val="center"/>
            </w:pPr>
            <w:r>
              <w:rPr>
                <w:rFonts w:ascii="宋体" w:hAnsi="宋体" w:hint="eastAsia"/>
                <w:szCs w:val="24"/>
                <w:lang w:eastAsia="zh-Hans"/>
              </w:rPr>
              <w:t>148088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C45D9" w14:textId="77777777" w:rsidR="004907C1" w:rsidRDefault="004907C1">
            <w:pPr>
              <w:jc w:val="center"/>
            </w:pPr>
            <w:r>
              <w:rPr>
                <w:rFonts w:ascii="宋体" w:hAnsi="宋体" w:hint="eastAsia"/>
                <w:szCs w:val="24"/>
                <w:lang w:eastAsia="zh-Hans"/>
              </w:rPr>
              <w:t>22华股03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07A9C" w14:textId="77777777" w:rsidR="004907C1" w:rsidRDefault="004907C1">
            <w:pPr>
              <w:jc w:val="right"/>
            </w:pPr>
            <w:r>
              <w:rPr>
                <w:rFonts w:ascii="宋体" w:hAnsi="宋体" w:hint="eastAsia"/>
                <w:szCs w:val="24"/>
                <w:lang w:eastAsia="zh-Hans"/>
              </w:rPr>
              <w:t>120,000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C985A" w14:textId="77777777" w:rsidR="004907C1" w:rsidRDefault="004907C1">
            <w:pPr>
              <w:jc w:val="right"/>
            </w:pPr>
            <w:r>
              <w:rPr>
                <w:rFonts w:ascii="宋体" w:hAnsi="宋体" w:hint="eastAsia"/>
                <w:szCs w:val="24"/>
                <w:lang w:eastAsia="zh-Hans"/>
              </w:rPr>
              <w:t>12,250,507.40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D7AD4" w14:textId="77777777" w:rsidR="004907C1" w:rsidRDefault="004907C1">
            <w:pPr>
              <w:jc w:val="right"/>
            </w:pPr>
            <w:r>
              <w:rPr>
                <w:rFonts w:ascii="宋体" w:hAnsi="宋体" w:hint="eastAsia"/>
                <w:szCs w:val="24"/>
                <w:lang w:eastAsia="zh-Hans"/>
              </w:rPr>
              <w:t>5.87</w:t>
            </w:r>
          </w:p>
        </w:tc>
      </w:tr>
      <w:tr w:rsidR="0046551E" w14:paraId="7545EBD4" w14:textId="77777777">
        <w:trPr>
          <w:divId w:val="84114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4D232" w14:textId="77777777" w:rsidR="004907C1" w:rsidRDefault="004907C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0A6F3" w14:textId="77777777" w:rsidR="004907C1" w:rsidRDefault="004907C1">
            <w:pPr>
              <w:jc w:val="center"/>
            </w:pPr>
            <w:r>
              <w:rPr>
                <w:rFonts w:ascii="宋体" w:hAnsi="宋体" w:hint="eastAsia"/>
                <w:szCs w:val="24"/>
                <w:lang w:eastAsia="zh-Hans"/>
              </w:rPr>
              <w:t>2123016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18980" w14:textId="77777777" w:rsidR="004907C1" w:rsidRDefault="004907C1">
            <w:pPr>
              <w:jc w:val="center"/>
            </w:pPr>
            <w:r>
              <w:rPr>
                <w:rFonts w:ascii="宋体" w:hAnsi="宋体" w:hint="eastAsia"/>
                <w:szCs w:val="24"/>
                <w:lang w:eastAsia="zh-Hans"/>
              </w:rPr>
              <w:t>21阳光财险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4C971" w14:textId="77777777" w:rsidR="004907C1" w:rsidRDefault="004907C1">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0DB00" w14:textId="77777777" w:rsidR="004907C1" w:rsidRDefault="004907C1">
            <w:pPr>
              <w:jc w:val="right"/>
            </w:pPr>
            <w:r>
              <w:rPr>
                <w:rFonts w:ascii="宋体" w:hAnsi="宋体" w:hint="eastAsia"/>
                <w:szCs w:val="24"/>
                <w:lang w:eastAsia="zh-Hans"/>
              </w:rPr>
              <w:t>10,617,917.81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E7EDE" w14:textId="77777777" w:rsidR="004907C1" w:rsidRDefault="004907C1">
            <w:pPr>
              <w:jc w:val="right"/>
            </w:pPr>
            <w:r>
              <w:rPr>
                <w:rFonts w:ascii="宋体" w:hAnsi="宋体" w:hint="eastAsia"/>
                <w:szCs w:val="24"/>
                <w:lang w:eastAsia="zh-Hans"/>
              </w:rPr>
              <w:t>5.09</w:t>
            </w:r>
          </w:p>
        </w:tc>
      </w:tr>
      <w:tr w:rsidR="0046551E" w14:paraId="09AEB121" w14:textId="77777777">
        <w:trPr>
          <w:divId w:val="84114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51469" w14:textId="77777777" w:rsidR="004907C1" w:rsidRDefault="004907C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CC54E" w14:textId="77777777" w:rsidR="004907C1" w:rsidRDefault="004907C1">
            <w:pPr>
              <w:jc w:val="center"/>
            </w:pPr>
            <w:r>
              <w:rPr>
                <w:rFonts w:ascii="宋体" w:hAnsi="宋体" w:hint="eastAsia"/>
                <w:szCs w:val="24"/>
                <w:lang w:eastAsia="zh-Hans"/>
              </w:rPr>
              <w:t>272380016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A0DEA" w14:textId="77777777" w:rsidR="004907C1" w:rsidRDefault="004907C1">
            <w:pPr>
              <w:jc w:val="center"/>
            </w:pPr>
            <w:r>
              <w:rPr>
                <w:rFonts w:ascii="宋体" w:hAnsi="宋体" w:hint="eastAsia"/>
                <w:szCs w:val="24"/>
                <w:lang w:eastAsia="zh-Hans"/>
              </w:rPr>
              <w:t>23紫金财险资本补充债01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495EA" w14:textId="77777777" w:rsidR="004907C1" w:rsidRDefault="004907C1">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7E590" w14:textId="77777777" w:rsidR="004907C1" w:rsidRDefault="004907C1">
            <w:pPr>
              <w:jc w:val="right"/>
            </w:pPr>
            <w:r>
              <w:rPr>
                <w:rFonts w:ascii="宋体" w:hAnsi="宋体" w:hint="eastAsia"/>
                <w:szCs w:val="24"/>
                <w:lang w:eastAsia="zh-Hans"/>
              </w:rPr>
              <w:t>10,567,767.12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E7797" w14:textId="77777777" w:rsidR="004907C1" w:rsidRDefault="004907C1">
            <w:pPr>
              <w:jc w:val="right"/>
            </w:pPr>
            <w:r>
              <w:rPr>
                <w:rFonts w:ascii="宋体" w:hAnsi="宋体" w:hint="eastAsia"/>
                <w:szCs w:val="24"/>
                <w:lang w:eastAsia="zh-Hans"/>
              </w:rPr>
              <w:t>5.06</w:t>
            </w:r>
          </w:p>
        </w:tc>
      </w:tr>
      <w:tr w:rsidR="0046551E" w14:paraId="079DAE93" w14:textId="77777777">
        <w:trPr>
          <w:divId w:val="84114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DE73A" w14:textId="77777777" w:rsidR="004907C1" w:rsidRDefault="004907C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C644D" w14:textId="77777777" w:rsidR="004907C1" w:rsidRDefault="004907C1">
            <w:pPr>
              <w:jc w:val="center"/>
            </w:pPr>
            <w:r>
              <w:rPr>
                <w:rFonts w:ascii="宋体" w:hAnsi="宋体" w:hint="eastAsia"/>
                <w:szCs w:val="24"/>
                <w:lang w:eastAsia="zh-Hans"/>
              </w:rPr>
              <w:t>185697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0BBB5" w14:textId="77777777" w:rsidR="004907C1" w:rsidRDefault="004907C1">
            <w:pPr>
              <w:jc w:val="center"/>
            </w:pPr>
            <w:r>
              <w:rPr>
                <w:rFonts w:ascii="宋体" w:hAnsi="宋体" w:hint="eastAsia"/>
                <w:szCs w:val="24"/>
                <w:lang w:eastAsia="zh-Hans"/>
              </w:rPr>
              <w:t>22招证Y2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DF182" w14:textId="77777777" w:rsidR="004907C1" w:rsidRDefault="004907C1">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6F181" w14:textId="77777777" w:rsidR="004907C1" w:rsidRDefault="004907C1">
            <w:pPr>
              <w:jc w:val="right"/>
            </w:pPr>
            <w:r>
              <w:rPr>
                <w:rFonts w:ascii="宋体" w:hAnsi="宋体" w:hint="eastAsia"/>
                <w:szCs w:val="24"/>
                <w:lang w:eastAsia="zh-Hans"/>
              </w:rPr>
              <w:t>10,402,339.73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B9D47" w14:textId="77777777" w:rsidR="004907C1" w:rsidRDefault="004907C1">
            <w:pPr>
              <w:jc w:val="right"/>
            </w:pPr>
            <w:r>
              <w:rPr>
                <w:rFonts w:ascii="宋体" w:hAnsi="宋体" w:hint="eastAsia"/>
                <w:szCs w:val="24"/>
                <w:lang w:eastAsia="zh-Hans"/>
              </w:rPr>
              <w:t>4.99</w:t>
            </w:r>
          </w:p>
        </w:tc>
      </w:tr>
    </w:tbl>
    <w:p w14:paraId="473EE198" w14:textId="77777777" w:rsidR="004907C1" w:rsidRDefault="004907C1">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526153CB" w14:textId="77777777" w:rsidR="004907C1" w:rsidRDefault="004907C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AD868D6" w14:textId="77777777" w:rsidR="004907C1" w:rsidRDefault="004907C1">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5B3ACEA1" w14:textId="77777777" w:rsidR="004907C1" w:rsidRDefault="004907C1">
      <w:pPr>
        <w:spacing w:line="360" w:lineRule="auto"/>
        <w:ind w:firstLineChars="200" w:firstLine="420"/>
        <w:divId w:val="169023874"/>
      </w:pPr>
      <w:r>
        <w:rPr>
          <w:rFonts w:ascii="宋体" w:hAnsi="宋体" w:hint="eastAsia"/>
          <w:szCs w:val="21"/>
          <w:lang w:eastAsia="zh-Hans"/>
        </w:rPr>
        <w:t>本基金本报告期末未持有贵金属。</w:t>
      </w:r>
    </w:p>
    <w:p w14:paraId="7A15DE1C" w14:textId="77777777" w:rsidR="004907C1" w:rsidRDefault="004907C1">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33F6E065" w14:textId="77777777" w:rsidR="004907C1" w:rsidRDefault="004907C1">
      <w:pPr>
        <w:spacing w:line="360" w:lineRule="auto"/>
        <w:ind w:firstLineChars="200" w:firstLine="420"/>
        <w:divId w:val="238564024"/>
      </w:pPr>
      <w:r>
        <w:rPr>
          <w:rFonts w:ascii="宋体" w:hAnsi="宋体" w:hint="eastAsia"/>
          <w:szCs w:val="21"/>
          <w:lang w:eastAsia="zh-Hans"/>
        </w:rPr>
        <w:t>本基金本报告期末未持有权证。</w:t>
      </w:r>
    </w:p>
    <w:p w14:paraId="210B3EDC" w14:textId="77777777" w:rsidR="004907C1" w:rsidRDefault="004907C1">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4777524A" w14:textId="77777777" w:rsidR="004907C1" w:rsidRDefault="004907C1">
      <w:pPr>
        <w:spacing w:line="360" w:lineRule="auto"/>
        <w:ind w:firstLineChars="200" w:firstLine="420"/>
        <w:divId w:val="1537431159"/>
      </w:pPr>
      <w:r>
        <w:rPr>
          <w:rFonts w:ascii="宋体" w:hAnsi="宋体" w:hint="eastAsia"/>
          <w:szCs w:val="21"/>
          <w:lang w:eastAsia="zh-Hans"/>
        </w:rPr>
        <w:t>本基金本报告期末未持有股指期货。</w:t>
      </w:r>
    </w:p>
    <w:p w14:paraId="479CCEF4" w14:textId="77777777" w:rsidR="004907C1" w:rsidRDefault="004907C1">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p>
    <w:p w14:paraId="65BC39F5" w14:textId="77777777" w:rsidR="004907C1" w:rsidRDefault="004907C1">
      <w:pPr>
        <w:pStyle w:val="XBRLTitle3"/>
        <w:spacing w:before="156"/>
        <w:ind w:left="0"/>
      </w:pPr>
      <w:bookmarkStart w:id="229" w:name="_Toc17899984"/>
      <w:bookmarkStart w:id="230" w:name="_Toc512519511"/>
      <w:bookmarkStart w:id="231" w:name="_Toc481075079"/>
      <w:bookmarkStart w:id="232" w:name="_Toc490050032"/>
      <w:bookmarkStart w:id="233" w:name="_Toc513295923"/>
      <w:bookmarkStart w:id="234" w:name="m510_01_1597"/>
      <w:proofErr w:type="spellStart"/>
      <w:r>
        <w:rPr>
          <w:rFonts w:hint="eastAsia"/>
        </w:rPr>
        <w:t>本期国债期货投资政策</w:t>
      </w:r>
      <w:bookmarkEnd w:id="229"/>
      <w:bookmarkEnd w:id="230"/>
      <w:bookmarkEnd w:id="231"/>
      <w:bookmarkEnd w:id="232"/>
      <w:bookmarkEnd w:id="233"/>
      <w:proofErr w:type="spellEnd"/>
    </w:p>
    <w:p w14:paraId="01086B9C" w14:textId="77777777" w:rsidR="004907C1" w:rsidRDefault="004907C1">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28"/>
      <w:r>
        <w:rPr>
          <w:rFonts w:ascii="宋体" w:hAnsi="宋体" w:hint="eastAsia"/>
        </w:rPr>
        <w:t xml:space="preserve"> </w:t>
      </w:r>
    </w:p>
    <w:p w14:paraId="3B14FFF6" w14:textId="77777777" w:rsidR="004907C1" w:rsidRDefault="004907C1">
      <w:pPr>
        <w:pStyle w:val="XBRLTitle3"/>
        <w:spacing w:before="156"/>
        <w:ind w:left="0"/>
      </w:pPr>
      <w:bookmarkStart w:id="235" w:name="_Toc17899985"/>
      <w:bookmarkStart w:id="236" w:name="_Toc481075080"/>
      <w:bookmarkStart w:id="237" w:name="_Toc490050033"/>
      <w:bookmarkStart w:id="238" w:name="_Toc512519512"/>
      <w:bookmarkStart w:id="239" w:name="_Toc513295924"/>
      <w:bookmarkStart w:id="240" w:name="m510_01_1598"/>
      <w:bookmarkEnd w:id="234"/>
      <w:proofErr w:type="spellStart"/>
      <w:r>
        <w:rPr>
          <w:rFonts w:hint="eastAsia"/>
        </w:rPr>
        <w:t>报告期末本基金投资的国债期货持仓和损益明细</w:t>
      </w:r>
      <w:bookmarkEnd w:id="235"/>
      <w:bookmarkEnd w:id="236"/>
      <w:bookmarkEnd w:id="237"/>
      <w:bookmarkEnd w:id="238"/>
      <w:bookmarkEnd w:id="239"/>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46551E" w14:paraId="235CA155" w14:textId="77777777">
        <w:trPr>
          <w:divId w:val="1473864229"/>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FAC545D" w14:textId="77777777" w:rsidR="004907C1" w:rsidRDefault="004907C1">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12D4A7B" w14:textId="77777777" w:rsidR="004907C1" w:rsidRDefault="004907C1">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18F0A3B" w14:textId="77777777" w:rsidR="004907C1" w:rsidRDefault="004907C1">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7884018" w14:textId="77777777" w:rsidR="004907C1" w:rsidRDefault="004907C1">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10FA2AD" w14:textId="77777777" w:rsidR="004907C1" w:rsidRDefault="004907C1">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FE0850A" w14:textId="77777777" w:rsidR="004907C1" w:rsidRDefault="004907C1">
            <w:pPr>
              <w:jc w:val="center"/>
            </w:pPr>
            <w:r>
              <w:rPr>
                <w:rFonts w:ascii="宋体" w:hAnsi="宋体" w:hint="eastAsia"/>
              </w:rPr>
              <w:t xml:space="preserve">风险指标说明 </w:t>
            </w:r>
          </w:p>
        </w:tc>
      </w:tr>
      <w:tr w:rsidR="0046551E" w14:paraId="61D55DEC" w14:textId="77777777">
        <w:trPr>
          <w:divId w:val="1473864229"/>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A60568" w14:textId="77777777" w:rsidR="004907C1" w:rsidRDefault="004907C1">
            <w:pPr>
              <w:jc w:val="center"/>
            </w:pPr>
            <w:r>
              <w:rPr>
                <w:rFonts w:ascii="宋体" w:hAnsi="宋体" w:hint="eastAsia"/>
              </w:rPr>
              <w:t>TL2512</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32A4439" w14:textId="77777777" w:rsidR="004907C1" w:rsidRDefault="004907C1">
            <w:pPr>
              <w:jc w:val="center"/>
            </w:pPr>
            <w:r>
              <w:rPr>
                <w:rFonts w:ascii="宋体" w:hAnsi="宋体" w:hint="eastAsia"/>
              </w:rPr>
              <w:t>30年期国债2512</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787DF3B" w14:textId="77777777" w:rsidR="004907C1" w:rsidRDefault="004907C1">
            <w:pPr>
              <w:jc w:val="right"/>
            </w:pPr>
            <w:r>
              <w:rPr>
                <w:rFonts w:ascii="宋体" w:hAnsi="宋体" w:hint="eastAsia"/>
              </w:rPr>
              <w:t>-6</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28B8779" w14:textId="77777777" w:rsidR="004907C1" w:rsidRDefault="004907C1">
            <w:pPr>
              <w:jc w:val="right"/>
            </w:pPr>
            <w:r>
              <w:rPr>
                <w:rFonts w:ascii="宋体" w:hAnsi="宋体" w:hint="eastAsia"/>
              </w:rPr>
              <w:t>-6,840,000.00</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DD8D76F" w14:textId="77777777" w:rsidR="004907C1" w:rsidRDefault="004907C1">
            <w:pPr>
              <w:jc w:val="right"/>
            </w:pPr>
            <w:r>
              <w:rPr>
                <w:rFonts w:ascii="宋体" w:hAnsi="宋体" w:hint="eastAsia"/>
              </w:rPr>
              <w:t>101,400.00</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2CD8789" w14:textId="77777777" w:rsidR="004907C1" w:rsidRDefault="004907C1">
            <w:pPr>
              <w:jc w:val="center"/>
            </w:pPr>
            <w:r>
              <w:rPr>
                <w:rFonts w:ascii="宋体" w:hAnsi="宋体" w:hint="eastAsia"/>
              </w:rPr>
              <w:t>-</w:t>
            </w:r>
          </w:p>
        </w:tc>
      </w:tr>
      <w:tr w:rsidR="0046551E" w14:paraId="4A58D2E8" w14:textId="77777777">
        <w:trPr>
          <w:divId w:val="147386422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8107B1" w14:textId="77777777" w:rsidR="004907C1" w:rsidRDefault="004907C1">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E10ECC9" w14:textId="77777777" w:rsidR="004907C1" w:rsidRDefault="004907C1">
            <w:pPr>
              <w:jc w:val="right"/>
            </w:pPr>
            <w:r>
              <w:rPr>
                <w:rFonts w:ascii="宋体" w:hAnsi="宋体" w:hint="eastAsia"/>
              </w:rPr>
              <w:t>101,400.00</w:t>
            </w:r>
          </w:p>
        </w:tc>
      </w:tr>
      <w:tr w:rsidR="0046551E" w14:paraId="23124535" w14:textId="77777777">
        <w:trPr>
          <w:divId w:val="147386422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9FD9BC" w14:textId="77777777" w:rsidR="004907C1" w:rsidRDefault="004907C1">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B70D7C4" w14:textId="77777777" w:rsidR="004907C1" w:rsidRDefault="004907C1">
            <w:pPr>
              <w:jc w:val="right"/>
            </w:pPr>
            <w:r>
              <w:rPr>
                <w:rFonts w:ascii="宋体" w:hAnsi="宋体" w:hint="eastAsia"/>
              </w:rPr>
              <w:t>36,362.69</w:t>
            </w:r>
          </w:p>
        </w:tc>
      </w:tr>
      <w:tr w:rsidR="0046551E" w14:paraId="133C6FAC" w14:textId="77777777">
        <w:trPr>
          <w:divId w:val="147386422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F5D547" w14:textId="77777777" w:rsidR="004907C1" w:rsidRDefault="004907C1">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803C22A" w14:textId="77777777" w:rsidR="004907C1" w:rsidRDefault="004907C1">
            <w:pPr>
              <w:jc w:val="right"/>
            </w:pPr>
            <w:r>
              <w:rPr>
                <w:rFonts w:ascii="宋体" w:hAnsi="宋体" w:hint="eastAsia"/>
              </w:rPr>
              <w:t>101,400.00</w:t>
            </w:r>
          </w:p>
        </w:tc>
      </w:tr>
    </w:tbl>
    <w:p w14:paraId="1094C59F" w14:textId="77777777" w:rsidR="004907C1" w:rsidRDefault="004907C1">
      <w:pPr>
        <w:pStyle w:val="XBRLTitle3"/>
        <w:spacing w:before="156"/>
        <w:ind w:left="0"/>
      </w:pPr>
      <w:bookmarkStart w:id="241" w:name="_Toc17899986"/>
      <w:bookmarkStart w:id="242" w:name="_Toc512519513"/>
      <w:bookmarkStart w:id="243" w:name="_Toc481075081"/>
      <w:bookmarkStart w:id="244" w:name="_Toc490050034"/>
      <w:bookmarkStart w:id="245" w:name="_Toc513295925"/>
      <w:proofErr w:type="spellStart"/>
      <w:r>
        <w:rPr>
          <w:rFonts w:hint="eastAsia"/>
        </w:rPr>
        <w:t>本期国债期货投资评价</w:t>
      </w:r>
      <w:bookmarkEnd w:id="241"/>
      <w:bookmarkEnd w:id="242"/>
      <w:bookmarkEnd w:id="243"/>
      <w:bookmarkEnd w:id="244"/>
      <w:bookmarkEnd w:id="245"/>
      <w:proofErr w:type="spellEnd"/>
    </w:p>
    <w:p w14:paraId="366E17B7" w14:textId="77777777" w:rsidR="004907C1" w:rsidRDefault="004907C1">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38908EBD" w14:textId="77777777" w:rsidR="004907C1" w:rsidRDefault="004907C1">
      <w:pPr>
        <w:pStyle w:val="XBRLTitle2"/>
        <w:spacing w:before="156" w:line="360" w:lineRule="auto"/>
        <w:ind w:left="454"/>
      </w:pPr>
      <w:bookmarkStart w:id="246" w:name="_Toc17899987"/>
      <w:bookmarkStart w:id="247" w:name="_Toc512519514"/>
      <w:bookmarkStart w:id="248" w:name="_Toc481075082"/>
      <w:bookmarkStart w:id="249" w:name="_Toc490050035"/>
      <w:bookmarkStart w:id="250" w:name="_Toc513295869"/>
      <w:bookmarkStart w:id="251" w:name="_Toc513295926"/>
      <w:proofErr w:type="spellStart"/>
      <w:r>
        <w:rPr>
          <w:rFonts w:hAnsi="宋体" w:hint="eastAsia"/>
        </w:rPr>
        <w:t>投资组合报告附注</w:t>
      </w:r>
      <w:bookmarkEnd w:id="246"/>
      <w:bookmarkEnd w:id="247"/>
      <w:bookmarkEnd w:id="248"/>
      <w:bookmarkEnd w:id="249"/>
      <w:bookmarkEnd w:id="250"/>
      <w:bookmarkEnd w:id="251"/>
      <w:proofErr w:type="spellEnd"/>
      <w:r>
        <w:rPr>
          <w:rFonts w:hAnsi="宋体" w:hint="eastAsia"/>
        </w:rPr>
        <w:t xml:space="preserve"> </w:t>
      </w:r>
    </w:p>
    <w:p w14:paraId="1CC0B889" w14:textId="77777777" w:rsidR="004907C1" w:rsidRDefault="004907C1">
      <w:pPr>
        <w:pStyle w:val="XBRLTitle3"/>
        <w:spacing w:before="156"/>
        <w:ind w:left="0"/>
      </w:pPr>
      <w:bookmarkStart w:id="252" w:name="_Toc513295927"/>
      <w:bookmarkStart w:id="253" w:name="_Toc490050036"/>
      <w:bookmarkStart w:id="254" w:name="_Toc481075083"/>
      <w:bookmarkStart w:id="255" w:name="_Toc512519515"/>
      <w:bookmarkStart w:id="256" w:name="_Toc17899988"/>
      <w:bookmarkEnd w:id="252"/>
      <w:bookmarkEnd w:id="253"/>
      <w:bookmarkEnd w:id="254"/>
      <w:bookmarkEnd w:id="255"/>
      <w:r>
        <w:rPr>
          <w:rFonts w:hint="eastAsia"/>
          <w:lang w:eastAsia="zh-CN"/>
        </w:rPr>
        <w:t xml:space="preserve"> </w:t>
      </w:r>
      <w:bookmarkEnd w:id="256"/>
    </w:p>
    <w:p w14:paraId="28742B60" w14:textId="77777777" w:rsidR="004907C1" w:rsidRDefault="004907C1">
      <w:pPr>
        <w:spacing w:line="360" w:lineRule="auto"/>
        <w:ind w:firstLineChars="200" w:firstLine="420"/>
      </w:pPr>
      <w:r>
        <w:rPr>
          <w:rFonts w:ascii="宋体" w:hAnsi="宋体" w:hint="eastAsia"/>
        </w:rPr>
        <w:t>本基金投资的前十名证券的发行主体中，阳光财产保险股份有限公司报告编制日前一年内曾受到国家金融监督管理总局山东监管局、国家金融监督管理总局湖北监管局的处罚，紫金财产保险股份有限公司报告编制日前一年内曾受到国家金融监督管理总局江苏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BB0BFEB" w14:textId="77777777" w:rsidR="004907C1" w:rsidRDefault="004907C1">
      <w:pPr>
        <w:pStyle w:val="XBRLTitle3"/>
        <w:spacing w:before="156"/>
        <w:ind w:left="0"/>
      </w:pPr>
      <w:bookmarkStart w:id="257" w:name="_Toc490050037"/>
      <w:bookmarkStart w:id="258" w:name="_Toc481075084"/>
      <w:bookmarkStart w:id="259" w:name="_Toc512519516"/>
      <w:bookmarkStart w:id="260" w:name="_Toc513295928"/>
      <w:bookmarkStart w:id="261" w:name="_Toc17899989"/>
      <w:bookmarkEnd w:id="257"/>
      <w:bookmarkEnd w:id="258"/>
      <w:bookmarkEnd w:id="259"/>
      <w:bookmarkEnd w:id="260"/>
      <w:r>
        <w:rPr>
          <w:rFonts w:hint="eastAsia"/>
          <w:lang w:eastAsia="zh-CN"/>
        </w:rPr>
        <w:t xml:space="preserve"> </w:t>
      </w:r>
      <w:bookmarkEnd w:id="261"/>
    </w:p>
    <w:p w14:paraId="16BF5D23" w14:textId="77777777" w:rsidR="004907C1" w:rsidRDefault="004907C1">
      <w:pPr>
        <w:spacing w:line="360" w:lineRule="auto"/>
        <w:ind w:firstLineChars="200" w:firstLine="420"/>
      </w:pPr>
      <w:r>
        <w:rPr>
          <w:rFonts w:ascii="宋体" w:hAnsi="宋体" w:hint="eastAsia"/>
        </w:rPr>
        <w:t>报告期内本基金投资的前十名股票中没有在基金合同规定备选股票库之外的股票。</w:t>
      </w:r>
    </w:p>
    <w:p w14:paraId="4664B51F" w14:textId="77777777" w:rsidR="004907C1" w:rsidRDefault="004907C1">
      <w:pPr>
        <w:pStyle w:val="XBRLTitle3"/>
        <w:spacing w:before="156"/>
        <w:ind w:left="0"/>
      </w:pPr>
      <w:bookmarkStart w:id="262" w:name="_Toc17899990"/>
      <w:bookmarkStart w:id="263" w:name="_Toc481075085"/>
      <w:bookmarkStart w:id="264" w:name="_Toc490050038"/>
      <w:bookmarkStart w:id="265" w:name="_Toc512519517"/>
      <w:bookmarkStart w:id="266" w:name="_Toc513295929"/>
      <w:bookmarkStart w:id="267" w:name="m510_02"/>
      <w:bookmarkEnd w:id="240"/>
      <w:proofErr w:type="spellStart"/>
      <w:r>
        <w:rPr>
          <w:rFonts w:hint="eastAsia"/>
        </w:rPr>
        <w:t>其他资产构成</w:t>
      </w:r>
      <w:bookmarkEnd w:id="262"/>
      <w:bookmarkEnd w:id="263"/>
      <w:bookmarkEnd w:id="264"/>
      <w:bookmarkEnd w:id="265"/>
      <w:bookmarkEnd w:id="26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6551E" w14:paraId="1D9DB3D1" w14:textId="77777777">
        <w:trPr>
          <w:divId w:val="164203592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542F3" w14:textId="77777777" w:rsidR="004907C1" w:rsidRDefault="004907C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63234" w14:textId="77777777" w:rsidR="004907C1" w:rsidRDefault="004907C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0CB21" w14:textId="77777777" w:rsidR="004907C1" w:rsidRDefault="004907C1">
            <w:pPr>
              <w:jc w:val="center"/>
            </w:pPr>
            <w:r>
              <w:rPr>
                <w:rFonts w:ascii="宋体" w:hAnsi="宋体" w:hint="eastAsia"/>
              </w:rPr>
              <w:t>金额（元）</w:t>
            </w:r>
            <w:r>
              <w:t xml:space="preserve"> </w:t>
            </w:r>
          </w:p>
        </w:tc>
      </w:tr>
      <w:tr w:rsidR="0046551E" w14:paraId="0592C107"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81219" w14:textId="77777777" w:rsidR="004907C1" w:rsidRDefault="004907C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B1343" w14:textId="77777777" w:rsidR="004907C1" w:rsidRDefault="004907C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EC46F" w14:textId="77777777" w:rsidR="004907C1" w:rsidRDefault="004907C1">
            <w:pPr>
              <w:jc w:val="right"/>
            </w:pPr>
            <w:r>
              <w:rPr>
                <w:rFonts w:ascii="宋体" w:hAnsi="宋体" w:hint="eastAsia"/>
              </w:rPr>
              <w:t>288,357.71</w:t>
            </w:r>
          </w:p>
        </w:tc>
      </w:tr>
      <w:tr w:rsidR="0046551E" w14:paraId="0F945104"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3CFD4" w14:textId="77777777" w:rsidR="004907C1" w:rsidRDefault="004907C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8F140" w14:textId="77777777" w:rsidR="004907C1" w:rsidRDefault="004907C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BFA0C" w14:textId="77777777" w:rsidR="004907C1" w:rsidRDefault="004907C1">
            <w:pPr>
              <w:jc w:val="right"/>
            </w:pPr>
            <w:r>
              <w:rPr>
                <w:rFonts w:ascii="宋体" w:hAnsi="宋体" w:hint="eastAsia"/>
              </w:rPr>
              <w:t>1,506,935.14</w:t>
            </w:r>
          </w:p>
        </w:tc>
      </w:tr>
      <w:tr w:rsidR="0046551E" w14:paraId="722EF759"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4B1D6" w14:textId="77777777" w:rsidR="004907C1" w:rsidRDefault="004907C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73F1A" w14:textId="77777777" w:rsidR="004907C1" w:rsidRDefault="004907C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C928C" w14:textId="77777777" w:rsidR="004907C1" w:rsidRDefault="004907C1">
            <w:pPr>
              <w:jc w:val="right"/>
            </w:pPr>
            <w:r>
              <w:rPr>
                <w:rFonts w:ascii="宋体" w:hAnsi="宋体" w:hint="eastAsia"/>
              </w:rPr>
              <w:t>7,040.00</w:t>
            </w:r>
          </w:p>
        </w:tc>
      </w:tr>
      <w:tr w:rsidR="0046551E" w14:paraId="1F0D5647"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40028" w14:textId="77777777" w:rsidR="004907C1" w:rsidRDefault="004907C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6A484" w14:textId="77777777" w:rsidR="004907C1" w:rsidRDefault="004907C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25FAD" w14:textId="77777777" w:rsidR="004907C1" w:rsidRDefault="004907C1">
            <w:pPr>
              <w:jc w:val="right"/>
            </w:pPr>
            <w:r>
              <w:rPr>
                <w:rFonts w:ascii="宋体" w:hAnsi="宋体" w:hint="eastAsia"/>
              </w:rPr>
              <w:t>-</w:t>
            </w:r>
          </w:p>
        </w:tc>
      </w:tr>
      <w:tr w:rsidR="0046551E" w14:paraId="3A609D61"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3A0E2" w14:textId="77777777" w:rsidR="004907C1" w:rsidRDefault="004907C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FD5B1" w14:textId="77777777" w:rsidR="004907C1" w:rsidRDefault="004907C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5CE19" w14:textId="77777777" w:rsidR="004907C1" w:rsidRDefault="004907C1">
            <w:pPr>
              <w:jc w:val="right"/>
            </w:pPr>
            <w:r>
              <w:rPr>
                <w:rFonts w:ascii="宋体" w:hAnsi="宋体" w:hint="eastAsia"/>
              </w:rPr>
              <w:t>50,401.00</w:t>
            </w:r>
          </w:p>
        </w:tc>
      </w:tr>
      <w:tr w:rsidR="0046551E" w14:paraId="1A05BA5A"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2554D" w14:textId="77777777" w:rsidR="004907C1" w:rsidRDefault="004907C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F3441" w14:textId="77777777" w:rsidR="004907C1" w:rsidRDefault="004907C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46DD1" w14:textId="77777777" w:rsidR="004907C1" w:rsidRDefault="004907C1">
            <w:pPr>
              <w:jc w:val="right"/>
            </w:pPr>
            <w:r>
              <w:rPr>
                <w:rFonts w:ascii="宋体" w:hAnsi="宋体" w:hint="eastAsia"/>
              </w:rPr>
              <w:t>-</w:t>
            </w:r>
          </w:p>
        </w:tc>
      </w:tr>
      <w:tr w:rsidR="0046551E" w14:paraId="725FDE6C"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AD6D9" w14:textId="77777777" w:rsidR="004907C1" w:rsidRDefault="004907C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13FF6" w14:textId="77777777" w:rsidR="004907C1" w:rsidRDefault="004907C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FA73E" w14:textId="77777777" w:rsidR="004907C1" w:rsidRDefault="004907C1">
            <w:pPr>
              <w:jc w:val="right"/>
            </w:pPr>
            <w:r>
              <w:rPr>
                <w:rFonts w:ascii="宋体" w:hAnsi="宋体" w:hint="eastAsia"/>
              </w:rPr>
              <w:t>-</w:t>
            </w:r>
          </w:p>
        </w:tc>
      </w:tr>
      <w:tr w:rsidR="0046551E" w14:paraId="01AA87D6" w14:textId="77777777">
        <w:trPr>
          <w:divId w:val="16420359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4BA76" w14:textId="77777777" w:rsidR="004907C1" w:rsidRDefault="004907C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229FD" w14:textId="77777777" w:rsidR="004907C1" w:rsidRDefault="004907C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1C90B" w14:textId="77777777" w:rsidR="004907C1" w:rsidRDefault="004907C1">
            <w:pPr>
              <w:jc w:val="right"/>
            </w:pPr>
            <w:r>
              <w:rPr>
                <w:rFonts w:ascii="宋体" w:hAnsi="宋体" w:hint="eastAsia"/>
              </w:rPr>
              <w:t>1,852,733.85</w:t>
            </w:r>
          </w:p>
        </w:tc>
      </w:tr>
    </w:tbl>
    <w:p w14:paraId="0629D23F" w14:textId="77777777" w:rsidR="004907C1" w:rsidRDefault="004907C1">
      <w:pPr>
        <w:pStyle w:val="XBRLTitle3"/>
        <w:spacing w:before="156"/>
        <w:ind w:left="0"/>
      </w:pPr>
      <w:bookmarkStart w:id="268" w:name="_Toc17899991"/>
      <w:bookmarkStart w:id="269" w:name="_Toc481075086"/>
      <w:bookmarkStart w:id="270" w:name="_Toc490050039"/>
      <w:bookmarkStart w:id="271" w:name="_Toc512519518"/>
      <w:bookmarkStart w:id="272" w:name="_Toc513295930"/>
      <w:bookmarkStart w:id="273" w:name="m510_03"/>
      <w:bookmarkEnd w:id="267"/>
      <w:proofErr w:type="spellStart"/>
      <w:r>
        <w:rPr>
          <w:rFonts w:hint="eastAsia"/>
        </w:rPr>
        <w:t>报告期末持有的处于转股期的可转换债券明细</w:t>
      </w:r>
      <w:bookmarkEnd w:id="268"/>
      <w:bookmarkEnd w:id="269"/>
      <w:bookmarkEnd w:id="270"/>
      <w:bookmarkEnd w:id="271"/>
      <w:bookmarkEnd w:id="272"/>
      <w:proofErr w:type="spellEnd"/>
    </w:p>
    <w:p w14:paraId="0D736288" w14:textId="77777777" w:rsidR="004907C1" w:rsidRDefault="004907C1">
      <w:pPr>
        <w:spacing w:line="360" w:lineRule="auto"/>
        <w:ind w:firstLineChars="200" w:firstLine="420"/>
        <w:jc w:val="left"/>
      </w:pPr>
      <w:r>
        <w:rPr>
          <w:rFonts w:ascii="宋体" w:hAnsi="宋体" w:hint="eastAsia"/>
        </w:rPr>
        <w:t xml:space="preserve">本基金本报告期末未持有处于转股期的可转换债券。 </w:t>
      </w:r>
    </w:p>
    <w:p w14:paraId="1E97A2E3" w14:textId="77777777" w:rsidR="004907C1" w:rsidRDefault="004907C1">
      <w:pPr>
        <w:pStyle w:val="XBRLTitle3"/>
        <w:spacing w:before="156"/>
        <w:ind w:left="0"/>
      </w:pPr>
      <w:bookmarkStart w:id="274" w:name="_Toc17899992"/>
      <w:bookmarkStart w:id="275" w:name="_Toc481075087"/>
      <w:bookmarkStart w:id="276" w:name="_Toc490050040"/>
      <w:bookmarkStart w:id="277" w:name="_Toc512519519"/>
      <w:bookmarkStart w:id="278" w:name="_Toc513295931"/>
      <w:bookmarkStart w:id="279" w:name="m510_04"/>
      <w:bookmarkEnd w:id="273"/>
      <w:proofErr w:type="spellStart"/>
      <w:r>
        <w:rPr>
          <w:rFonts w:hint="eastAsia"/>
        </w:rPr>
        <w:t>报告期末前十名股票中存在流通受限情况的说明</w:t>
      </w:r>
      <w:bookmarkEnd w:id="274"/>
      <w:bookmarkEnd w:id="275"/>
      <w:bookmarkEnd w:id="276"/>
      <w:bookmarkEnd w:id="277"/>
      <w:bookmarkEnd w:id="278"/>
      <w:proofErr w:type="spellEnd"/>
    </w:p>
    <w:p w14:paraId="3A509E7E" w14:textId="77777777" w:rsidR="004907C1" w:rsidRDefault="004907C1">
      <w:pPr>
        <w:spacing w:line="360" w:lineRule="auto"/>
        <w:ind w:firstLineChars="200" w:firstLine="420"/>
        <w:jc w:val="left"/>
        <w:divId w:val="207469915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41DD1690" w14:textId="77777777" w:rsidR="004907C1" w:rsidRDefault="004907C1">
      <w:pPr>
        <w:pStyle w:val="XBRLTitle3"/>
        <w:spacing w:before="156"/>
        <w:ind w:left="0"/>
      </w:pPr>
      <w:bookmarkStart w:id="280" w:name="_Toc17899993"/>
      <w:bookmarkStart w:id="281" w:name="_Toc512519520"/>
      <w:bookmarkStart w:id="282" w:name="_Toc481075088"/>
      <w:bookmarkStart w:id="283" w:name="_Toc490050041"/>
      <w:bookmarkStart w:id="284" w:name="_Toc513295932"/>
      <w:bookmarkStart w:id="285" w:name="m510_05_1678"/>
      <w:bookmarkEnd w:id="279"/>
      <w:proofErr w:type="spellStart"/>
      <w:r>
        <w:rPr>
          <w:rFonts w:hint="eastAsia"/>
        </w:rPr>
        <w:t>投资组合报告附注的其他文字描述部分</w:t>
      </w:r>
      <w:bookmarkEnd w:id="280"/>
      <w:bookmarkEnd w:id="281"/>
      <w:bookmarkEnd w:id="282"/>
      <w:bookmarkEnd w:id="283"/>
      <w:bookmarkEnd w:id="284"/>
      <w:proofErr w:type="spellEnd"/>
      <w:r>
        <w:rPr>
          <w:rFonts w:hint="eastAsia"/>
          <w:sz w:val="21"/>
        </w:rPr>
        <w:t xml:space="preserve"> </w:t>
      </w:r>
    </w:p>
    <w:p w14:paraId="59B758BE" w14:textId="77777777" w:rsidR="004907C1" w:rsidRDefault="004907C1">
      <w:pPr>
        <w:spacing w:line="360" w:lineRule="auto"/>
        <w:ind w:firstLineChars="200" w:firstLine="420"/>
        <w:jc w:val="left"/>
      </w:pPr>
      <w:r>
        <w:rPr>
          <w:rFonts w:ascii="宋体" w:hAnsi="宋体" w:hint="eastAsia"/>
        </w:rPr>
        <w:t>因四舍五入原因，投资组合报告中分项之和与合计可能存在尾差。</w:t>
      </w:r>
    </w:p>
    <w:p w14:paraId="69D46755" w14:textId="77777777" w:rsidR="004907C1" w:rsidRDefault="004907C1">
      <w:pPr>
        <w:pStyle w:val="XBRLTitle1"/>
        <w:spacing w:before="156" w:line="360" w:lineRule="auto"/>
        <w:ind w:left="425"/>
      </w:pPr>
      <w:bookmarkStart w:id="286" w:name="_Toc17899994"/>
      <w:proofErr w:type="spellStart"/>
      <w:r>
        <w:rPr>
          <w:rFonts w:hint="eastAsia"/>
        </w:rPr>
        <w:t>基金中基金</w:t>
      </w:r>
      <w:bookmarkEnd w:id="286"/>
      <w:proofErr w:type="spellEnd"/>
      <w:r>
        <w:rPr>
          <w:rFonts w:hint="eastAsia"/>
          <w:lang w:eastAsia="zh-CN"/>
        </w:rPr>
        <w:t xml:space="preserve"> </w:t>
      </w:r>
    </w:p>
    <w:p w14:paraId="148D20D1" w14:textId="77777777" w:rsidR="004907C1" w:rsidRDefault="004907C1">
      <w:pPr>
        <w:pStyle w:val="XBRLTitle2"/>
        <w:spacing w:before="156"/>
        <w:ind w:left="454"/>
      </w:pPr>
      <w:bookmarkStart w:id="287" w:name="_Toc502858550"/>
      <w:bookmarkStart w:id="288" w:name="_Toc17899995"/>
      <w:bookmarkStart w:id="289" w:name="_Toc514255300"/>
      <w:proofErr w:type="spellStart"/>
      <w:r>
        <w:rPr>
          <w:rFonts w:hint="eastAsia"/>
        </w:rPr>
        <w:t>报告期末按公允价值占基金资产净值比例大小排序的前十名基金投资明细</w:t>
      </w:r>
      <w:bookmarkEnd w:id="287"/>
      <w:bookmarkEnd w:id="288"/>
      <w:bookmarkEnd w:id="289"/>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1092"/>
        <w:gridCol w:w="1013"/>
        <w:gridCol w:w="1141"/>
        <w:gridCol w:w="1357"/>
        <w:gridCol w:w="1357"/>
        <w:gridCol w:w="952"/>
        <w:gridCol w:w="891"/>
      </w:tblGrid>
      <w:tr w:rsidR="0046551E" w14:paraId="6635E4D0" w14:textId="77777777">
        <w:trPr>
          <w:divId w:val="92026255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530ABD9" w14:textId="77777777" w:rsidR="004907C1" w:rsidRDefault="004907C1">
            <w:pPr>
              <w:pStyle w:val="a5"/>
              <w:spacing w:before="0" w:beforeAutospacing="0" w:after="0" w:afterAutospacing="0"/>
              <w:ind w:firstLineChars="50" w:firstLine="105"/>
              <w:jc w:val="center"/>
              <w:rPr>
                <w:rFonts w:hint="eastAsia"/>
              </w:rPr>
            </w:pPr>
            <w:bookmarkStart w:id="290" w:name="OLE_LINK46"/>
            <w:bookmarkStart w:id="291" w:name="OLE_LINK45"/>
            <w:bookmarkStart w:id="292" w:name="OLE_LINK42"/>
            <w:bookmarkStart w:id="293"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73D66F8" w14:textId="77777777" w:rsidR="004907C1" w:rsidRDefault="004907C1">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9A40857" w14:textId="77777777" w:rsidR="004907C1" w:rsidRDefault="004907C1">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4E0E00D" w14:textId="77777777" w:rsidR="004907C1" w:rsidRDefault="004907C1">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2002286" w14:textId="77777777" w:rsidR="004907C1" w:rsidRDefault="004907C1">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A393350" w14:textId="77777777" w:rsidR="004907C1" w:rsidRDefault="004907C1">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F726C97" w14:textId="77777777" w:rsidR="004907C1" w:rsidRDefault="004907C1">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3BC9F3E" w14:textId="77777777" w:rsidR="004907C1" w:rsidRDefault="004907C1">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46551E" w14:paraId="005D5D00" w14:textId="77777777">
        <w:trPr>
          <w:divId w:val="92026255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97F0DB" w14:textId="77777777" w:rsidR="004907C1" w:rsidRDefault="004907C1">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FFCD9D" w14:textId="77777777" w:rsidR="004907C1" w:rsidRDefault="004907C1">
            <w:pPr>
              <w:pStyle w:val="a5"/>
              <w:spacing w:before="0" w:beforeAutospacing="0" w:after="0" w:afterAutospacing="0"/>
              <w:jc w:val="center"/>
              <w:rPr>
                <w:rFonts w:hint="eastAsia"/>
              </w:rPr>
            </w:pPr>
            <w:r>
              <w:rPr>
                <w:rFonts w:hint="eastAsia"/>
                <w:kern w:val="2"/>
                <w:sz w:val="21"/>
                <w:lang w:eastAsia="zh-Hans"/>
              </w:rPr>
              <w:t>159792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7FC187" w14:textId="77777777" w:rsidR="004907C1" w:rsidRDefault="004907C1">
            <w:pPr>
              <w:pStyle w:val="a5"/>
              <w:spacing w:before="0" w:beforeAutospacing="0" w:after="0" w:afterAutospacing="0"/>
              <w:jc w:val="center"/>
              <w:rPr>
                <w:rFonts w:hint="eastAsia"/>
              </w:rPr>
            </w:pPr>
            <w:r>
              <w:rPr>
                <w:rFonts w:hint="eastAsia"/>
                <w:kern w:val="2"/>
                <w:sz w:val="21"/>
                <w:lang w:eastAsia="zh-Hans"/>
              </w:rPr>
              <w:t>互联网</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300214" w14:textId="77777777" w:rsidR="004907C1" w:rsidRDefault="004907C1">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CC8F48" w14:textId="77777777" w:rsidR="004907C1" w:rsidRDefault="004907C1">
            <w:pPr>
              <w:pStyle w:val="a5"/>
              <w:spacing w:before="0" w:beforeAutospacing="0" w:after="0" w:afterAutospacing="0"/>
              <w:jc w:val="right"/>
              <w:rPr>
                <w:rFonts w:hint="eastAsia"/>
              </w:rPr>
            </w:pPr>
            <w:r>
              <w:rPr>
                <w:rFonts w:hint="eastAsia"/>
                <w:kern w:val="2"/>
                <w:sz w:val="21"/>
                <w:lang w:eastAsia="zh-Hans"/>
              </w:rPr>
              <w:t>1,200,000.00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A1AB13" w14:textId="77777777" w:rsidR="004907C1" w:rsidRDefault="004907C1">
            <w:pPr>
              <w:pStyle w:val="a5"/>
              <w:spacing w:before="0" w:beforeAutospacing="0" w:after="0" w:afterAutospacing="0"/>
              <w:jc w:val="right"/>
              <w:rPr>
                <w:rFonts w:hint="eastAsia"/>
              </w:rPr>
            </w:pPr>
            <w:r>
              <w:rPr>
                <w:rFonts w:hint="eastAsia"/>
                <w:kern w:val="2"/>
                <w:sz w:val="21"/>
                <w:lang w:eastAsia="zh-Hans"/>
              </w:rPr>
              <w:t>1,284,000.00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2CE3A5" w14:textId="77777777" w:rsidR="004907C1" w:rsidRDefault="004907C1">
            <w:pPr>
              <w:pStyle w:val="a5"/>
              <w:spacing w:before="0" w:beforeAutospacing="0" w:after="0" w:afterAutospacing="0"/>
              <w:jc w:val="right"/>
              <w:rPr>
                <w:rFonts w:hint="eastAsia"/>
              </w:rPr>
            </w:pPr>
            <w:r>
              <w:rPr>
                <w:rFonts w:hint="eastAsia"/>
                <w:kern w:val="2"/>
                <w:sz w:val="21"/>
                <w:lang w:eastAsia="zh-Hans"/>
              </w:rPr>
              <w:t>0.62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2638CA" w14:textId="77777777" w:rsidR="004907C1" w:rsidRDefault="004907C1">
            <w:pPr>
              <w:pStyle w:val="a5"/>
              <w:spacing w:before="0" w:beforeAutospacing="0" w:after="0" w:afterAutospacing="0"/>
              <w:jc w:val="right"/>
              <w:rPr>
                <w:rFonts w:hint="eastAsia"/>
              </w:rPr>
            </w:pPr>
            <w:r>
              <w:rPr>
                <w:rFonts w:hint="eastAsia"/>
                <w:kern w:val="2"/>
                <w:sz w:val="21"/>
                <w:lang w:eastAsia="zh-Hans"/>
              </w:rPr>
              <w:t>否</w:t>
            </w:r>
            <w:bookmarkEnd w:id="290"/>
            <w:bookmarkEnd w:id="291"/>
            <w:bookmarkEnd w:id="175"/>
          </w:p>
        </w:tc>
      </w:tr>
    </w:tbl>
    <w:p w14:paraId="18C584A5" w14:textId="77777777" w:rsidR="004907C1" w:rsidRDefault="004907C1">
      <w:pPr>
        <w:pStyle w:val="XBRLTitle3"/>
        <w:spacing w:before="156"/>
        <w:ind w:left="0"/>
      </w:pPr>
      <w:bookmarkStart w:id="294" w:name="_Toc178112372"/>
      <w:proofErr w:type="spellStart"/>
      <w:r>
        <w:rPr>
          <w:rFonts w:hint="eastAsia"/>
        </w:rPr>
        <w:t>报告期末按公允价值占基金资产净值比例大小排序的前十名公开募集基础设施证券投资基金投资明细</w:t>
      </w:r>
      <w:bookmarkEnd w:id="294"/>
      <w:bookmarkEnd w:id="157"/>
      <w:bookmarkEnd w:id="158"/>
      <w:bookmarkEnd w:id="159"/>
      <w:bookmarkEnd w:id="160"/>
      <w:proofErr w:type="spellEnd"/>
      <w:r>
        <w:rPr>
          <w:rFonts w:hint="eastAsia"/>
          <w:lang w:eastAsia="zh-CN"/>
        </w:rPr>
        <w:t xml:space="preserve"> </w:t>
      </w:r>
    </w:p>
    <w:p w14:paraId="6C7E77E5" w14:textId="77777777" w:rsidR="004907C1" w:rsidRDefault="004907C1">
      <w:pPr>
        <w:spacing w:line="360" w:lineRule="auto"/>
        <w:ind w:firstLineChars="200" w:firstLine="420"/>
        <w:divId w:val="281965444"/>
        <w:rPr>
          <w:rFonts w:ascii="宋体" w:hAnsi="宋体" w:hint="eastAsia"/>
          <w:szCs w:val="21"/>
          <w:lang w:eastAsia="zh-Hans"/>
        </w:rPr>
      </w:pPr>
      <w:r>
        <w:rPr>
          <w:rFonts w:ascii="宋体" w:hAnsi="宋体" w:hint="eastAsia"/>
          <w:szCs w:val="21"/>
          <w:lang w:eastAsia="zh-Hans"/>
        </w:rPr>
        <w:t>无。</w:t>
      </w:r>
    </w:p>
    <w:p w14:paraId="4ACA7F1D" w14:textId="77777777" w:rsidR="004907C1" w:rsidRDefault="004907C1">
      <w:pPr>
        <w:pStyle w:val="XBRLTitle3"/>
        <w:spacing w:before="156"/>
        <w:ind w:left="0"/>
      </w:pPr>
      <w:bookmarkStart w:id="295" w:name="_Toc178112373"/>
      <w:bookmarkEnd w:id="162"/>
      <w:proofErr w:type="spellStart"/>
      <w:r>
        <w:rPr>
          <w:rFonts w:hint="eastAsia"/>
        </w:rPr>
        <w:t>报告期末基金持有的全部公开募集基础设施证券投资基金情况</w:t>
      </w:r>
      <w:bookmarkEnd w:id="295"/>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557B4F61" w14:textId="77777777" w:rsidR="004907C1" w:rsidRDefault="004907C1">
      <w:pPr>
        <w:spacing w:line="360" w:lineRule="auto"/>
        <w:ind w:firstLineChars="200" w:firstLine="420"/>
        <w:divId w:val="1089884485"/>
        <w:rPr>
          <w:rFonts w:ascii="宋体" w:hAnsi="宋体" w:hint="eastAsia"/>
          <w:szCs w:val="21"/>
          <w:lang w:eastAsia="zh-Hans"/>
        </w:rPr>
      </w:pPr>
      <w:r>
        <w:rPr>
          <w:rFonts w:ascii="宋体" w:hAnsi="宋体" w:hint="eastAsia"/>
          <w:szCs w:val="21"/>
          <w:lang w:eastAsia="zh-Hans"/>
        </w:rPr>
        <w:t>无。</w:t>
      </w:r>
    </w:p>
    <w:p w14:paraId="76A11FE4" w14:textId="77777777" w:rsidR="004907C1" w:rsidRDefault="004907C1">
      <w:pPr>
        <w:pStyle w:val="XBRLTitle2"/>
        <w:spacing w:before="156"/>
        <w:ind w:left="454"/>
      </w:pPr>
      <w:bookmarkStart w:id="296" w:name="_Toc502822090"/>
      <w:bookmarkStart w:id="297" w:name="_Toc17899996"/>
      <w:bookmarkStart w:id="298" w:name="_Toc514255301"/>
      <w:proofErr w:type="spellStart"/>
      <w:r>
        <w:rPr>
          <w:rFonts w:hint="eastAsia"/>
        </w:rPr>
        <w:t>当期交易及持有基金产生的费用</w:t>
      </w:r>
      <w:bookmarkEnd w:id="296"/>
      <w:bookmarkEnd w:id="297"/>
      <w:bookmarkEnd w:id="298"/>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46551E" w14:paraId="48CE0041"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E515E00" w14:textId="77777777" w:rsidR="004907C1" w:rsidRDefault="004907C1">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28FD654" w14:textId="77777777" w:rsidR="004907C1" w:rsidRDefault="004907C1">
            <w:pPr>
              <w:jc w:val="center"/>
            </w:pPr>
            <w:r>
              <w:rPr>
                <w:rFonts w:ascii="宋体" w:hAnsi="宋体" w:hint="eastAsia"/>
                <w:color w:val="000000"/>
              </w:rPr>
              <w:t>本期费用2025年7月1日至2025年9月30日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31E346C" w14:textId="77777777" w:rsidR="004907C1" w:rsidRDefault="004907C1">
            <w:pPr>
              <w:jc w:val="center"/>
            </w:pPr>
            <w:r>
              <w:rPr>
                <w:rFonts w:ascii="宋体" w:hAnsi="宋体" w:hint="eastAsia"/>
                <w:color w:val="000000"/>
              </w:rPr>
              <w:t xml:space="preserve">其中：交易及持有基金管理人以及管理人关联方所管理基金产生的费用 </w:t>
            </w:r>
          </w:p>
        </w:tc>
      </w:tr>
      <w:tr w:rsidR="0046551E" w14:paraId="7F8CDEAB"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ECA278" w14:textId="77777777" w:rsidR="004907C1" w:rsidRDefault="004907C1">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219BCE" w14:textId="77777777" w:rsidR="004907C1" w:rsidRDefault="004907C1">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62E8E1" w14:textId="77777777" w:rsidR="004907C1" w:rsidRDefault="004907C1">
            <w:pPr>
              <w:jc w:val="right"/>
            </w:pPr>
            <w:r>
              <w:rPr>
                <w:rFonts w:ascii="宋体" w:hAnsi="宋体" w:hint="eastAsia"/>
                <w:szCs w:val="24"/>
                <w:lang w:eastAsia="zh-Hans"/>
              </w:rPr>
              <w:t>-</w:t>
            </w:r>
          </w:p>
        </w:tc>
      </w:tr>
      <w:tr w:rsidR="0046551E" w14:paraId="69A2858C"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474BA4" w14:textId="77777777" w:rsidR="004907C1" w:rsidRDefault="004907C1">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2DC6CA" w14:textId="77777777" w:rsidR="004907C1" w:rsidRDefault="004907C1">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302906" w14:textId="77777777" w:rsidR="004907C1" w:rsidRDefault="004907C1">
            <w:pPr>
              <w:jc w:val="right"/>
            </w:pPr>
            <w:r>
              <w:rPr>
                <w:rFonts w:ascii="宋体" w:hAnsi="宋体" w:hint="eastAsia"/>
                <w:szCs w:val="24"/>
                <w:lang w:eastAsia="zh-Hans"/>
              </w:rPr>
              <w:t>-</w:t>
            </w:r>
          </w:p>
        </w:tc>
      </w:tr>
      <w:tr w:rsidR="0046551E" w14:paraId="4831B03C"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EA38CF" w14:textId="77777777" w:rsidR="004907C1" w:rsidRDefault="004907C1">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922BBA" w14:textId="77777777" w:rsidR="004907C1" w:rsidRDefault="004907C1">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A43FD5" w14:textId="77777777" w:rsidR="004907C1" w:rsidRDefault="004907C1">
            <w:pPr>
              <w:jc w:val="right"/>
            </w:pPr>
            <w:r>
              <w:rPr>
                <w:rFonts w:ascii="宋体" w:hAnsi="宋体" w:hint="eastAsia"/>
                <w:szCs w:val="24"/>
                <w:lang w:eastAsia="zh-Hans"/>
              </w:rPr>
              <w:t>-</w:t>
            </w:r>
          </w:p>
        </w:tc>
      </w:tr>
      <w:tr w:rsidR="0046551E" w14:paraId="33C730E6"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42D02E" w14:textId="77777777" w:rsidR="004907C1" w:rsidRDefault="004907C1">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393B24" w14:textId="77777777" w:rsidR="004907C1" w:rsidRDefault="004907C1">
            <w:pPr>
              <w:jc w:val="right"/>
            </w:pPr>
            <w:r>
              <w:rPr>
                <w:rFonts w:ascii="宋体" w:hAnsi="宋体" w:hint="eastAsia"/>
                <w:szCs w:val="24"/>
                <w:lang w:eastAsia="zh-Hans"/>
              </w:rPr>
              <w:t>5,909.47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9ECA64" w14:textId="77777777" w:rsidR="004907C1" w:rsidRDefault="004907C1">
            <w:pPr>
              <w:jc w:val="right"/>
            </w:pPr>
            <w:r>
              <w:rPr>
                <w:rFonts w:ascii="宋体" w:hAnsi="宋体" w:hint="eastAsia"/>
                <w:szCs w:val="24"/>
                <w:lang w:eastAsia="zh-Hans"/>
              </w:rPr>
              <w:t>2,173.61</w:t>
            </w:r>
          </w:p>
        </w:tc>
      </w:tr>
      <w:tr w:rsidR="0046551E" w14:paraId="2D80DC03"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ABC7D6" w14:textId="77777777" w:rsidR="004907C1" w:rsidRDefault="004907C1">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1E463F" w14:textId="77777777" w:rsidR="004907C1" w:rsidRDefault="004907C1">
            <w:pPr>
              <w:jc w:val="right"/>
            </w:pPr>
            <w:r>
              <w:rPr>
                <w:rFonts w:ascii="宋体" w:hAnsi="宋体" w:hint="eastAsia"/>
                <w:szCs w:val="24"/>
                <w:lang w:eastAsia="zh-Hans"/>
              </w:rPr>
              <w:t>1,189.46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7988C6" w14:textId="77777777" w:rsidR="004907C1" w:rsidRDefault="004907C1">
            <w:pPr>
              <w:jc w:val="right"/>
            </w:pPr>
            <w:r>
              <w:rPr>
                <w:rFonts w:ascii="宋体" w:hAnsi="宋体" w:hint="eastAsia"/>
                <w:szCs w:val="24"/>
                <w:lang w:eastAsia="zh-Hans"/>
              </w:rPr>
              <w:t>434.70</w:t>
            </w:r>
          </w:p>
        </w:tc>
      </w:tr>
      <w:tr w:rsidR="0046551E" w14:paraId="16794D15" w14:textId="77777777">
        <w:trPr>
          <w:divId w:val="4693298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852EE3" w14:textId="77777777" w:rsidR="004907C1" w:rsidRDefault="004907C1">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64A576" w14:textId="77777777" w:rsidR="004907C1" w:rsidRDefault="004907C1">
            <w:pPr>
              <w:jc w:val="right"/>
            </w:pPr>
            <w:r>
              <w:rPr>
                <w:rFonts w:ascii="宋体" w:hAnsi="宋体" w:hint="eastAsia"/>
                <w:szCs w:val="24"/>
                <w:lang w:eastAsia="zh-Hans"/>
              </w:rPr>
              <w:t>467.31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2C8865" w14:textId="77777777" w:rsidR="004907C1" w:rsidRDefault="004907C1">
            <w:pPr>
              <w:jc w:val="right"/>
            </w:pPr>
            <w:r>
              <w:rPr>
                <w:rFonts w:ascii="宋体" w:hAnsi="宋体" w:hint="eastAsia"/>
                <w:szCs w:val="24"/>
                <w:lang w:eastAsia="zh-Hans"/>
              </w:rPr>
              <w:t>123.30</w:t>
            </w:r>
          </w:p>
        </w:tc>
      </w:tr>
    </w:tbl>
    <w:p w14:paraId="468ECF8F" w14:textId="77777777" w:rsidR="004907C1" w:rsidRDefault="004907C1">
      <w:pPr>
        <w:pStyle w:val="XBRLTitle2"/>
        <w:spacing w:before="156"/>
        <w:ind w:left="454"/>
      </w:pPr>
      <w:bookmarkStart w:id="299" w:name="_Toc502858552"/>
      <w:bookmarkStart w:id="300" w:name="_Toc17899997"/>
      <w:bookmarkStart w:id="301" w:name="_Toc514255302"/>
      <w:proofErr w:type="spellStart"/>
      <w:r>
        <w:rPr>
          <w:rFonts w:hint="eastAsia"/>
        </w:rPr>
        <w:t>本报告期持有的基金发生的重大影响事件</w:t>
      </w:r>
      <w:bookmarkEnd w:id="299"/>
      <w:bookmarkEnd w:id="300"/>
      <w:bookmarkEnd w:id="301"/>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46551E" w14:paraId="50E062CA" w14:textId="77777777">
        <w:trPr>
          <w:divId w:val="34402091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6FBD6BE0" w14:textId="77777777" w:rsidR="004907C1" w:rsidRDefault="004907C1">
            <w:pPr>
              <w:spacing w:line="360" w:lineRule="auto"/>
              <w:jc w:val="left"/>
            </w:pPr>
            <w:r>
              <w:rPr>
                <w:rFonts w:ascii="宋体" w:hAnsi="宋体" w:cs="宋体" w:hint="eastAsia"/>
                <w:color w:val="000000"/>
                <w:kern w:val="0"/>
              </w:rPr>
              <w:t>无。</w:t>
            </w:r>
          </w:p>
        </w:tc>
      </w:tr>
    </w:tbl>
    <w:p w14:paraId="4B3AC74F" w14:textId="77777777" w:rsidR="004907C1" w:rsidRDefault="004907C1">
      <w:pPr>
        <w:pStyle w:val="XBRLTitle1"/>
        <w:spacing w:before="156" w:line="360" w:lineRule="auto"/>
        <w:ind w:left="425"/>
      </w:pPr>
      <w:bookmarkStart w:id="302" w:name="_Toc17899998"/>
      <w:bookmarkStart w:id="303" w:name="_Toc512519521"/>
      <w:bookmarkStart w:id="304" w:name="_Toc481075089"/>
      <w:bookmarkStart w:id="305" w:name="_Toc438646477"/>
      <w:bookmarkStart w:id="306" w:name="_Toc490050042"/>
      <w:bookmarkStart w:id="307" w:name="_Toc513295870"/>
      <w:bookmarkStart w:id="308" w:name="_Toc513295933"/>
      <w:bookmarkStart w:id="309" w:name="m601"/>
      <w:bookmarkEnd w:id="285"/>
      <w:proofErr w:type="spellStart"/>
      <w:r>
        <w:rPr>
          <w:rFonts w:hAnsi="宋体" w:hint="eastAsia"/>
        </w:rPr>
        <w:t>开放式基金份额变动</w:t>
      </w:r>
      <w:bookmarkStart w:id="310" w:name="m601_tab"/>
      <w:bookmarkEnd w:id="302"/>
      <w:bookmarkEnd w:id="303"/>
      <w:bookmarkEnd w:id="304"/>
      <w:bookmarkEnd w:id="305"/>
      <w:bookmarkEnd w:id="306"/>
      <w:bookmarkEnd w:id="307"/>
      <w:bookmarkEnd w:id="308"/>
      <w:proofErr w:type="spellEnd"/>
      <w:r>
        <w:rPr>
          <w:rFonts w:hAnsi="宋体" w:hint="eastAsia"/>
        </w:rPr>
        <w:t xml:space="preserve"> </w:t>
      </w:r>
    </w:p>
    <w:p w14:paraId="28FCF911" w14:textId="77777777" w:rsidR="004907C1" w:rsidRDefault="004907C1">
      <w:pPr>
        <w:wordWrap w:val="0"/>
        <w:spacing w:line="360" w:lineRule="auto"/>
        <w:jc w:val="right"/>
        <w:divId w:val="337922720"/>
      </w:pPr>
      <w:bookmarkStart w:id="31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46551E" w14:paraId="2B966D43" w14:textId="77777777">
        <w:trPr>
          <w:divId w:val="33792272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BEBD313"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bookmarkStart w:id="312" w:name="m10_01" w:colFirst="1" w:colLast="2"/>
            <w:bookmarkEnd w:id="311"/>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D47D5" w14:textId="77777777" w:rsidR="004907C1" w:rsidRDefault="004907C1">
            <w:pPr>
              <w:ind w:right="3"/>
              <w:jc w:val="center"/>
            </w:pPr>
            <w:r>
              <w:rPr>
                <w:rFonts w:ascii="宋体" w:hAnsi="宋体" w:hint="eastAsia"/>
                <w:lang w:eastAsia="zh-Hans"/>
              </w:rPr>
              <w:t>摩根恒鑫债券A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899E9B" w14:textId="77777777" w:rsidR="004907C1" w:rsidRDefault="004907C1">
            <w:pPr>
              <w:ind w:right="3"/>
              <w:jc w:val="center"/>
            </w:pPr>
            <w:r>
              <w:rPr>
                <w:rFonts w:ascii="宋体" w:hAnsi="宋体" w:hint="eastAsia"/>
                <w:lang w:eastAsia="zh-Hans"/>
              </w:rPr>
              <w:t>摩根恒鑫债券C</w:t>
            </w:r>
            <w:r>
              <w:rPr>
                <w:rFonts w:ascii="宋体" w:hAnsi="宋体" w:hint="eastAsia"/>
                <w:kern w:val="0"/>
                <w:szCs w:val="24"/>
                <w:lang w:eastAsia="zh-Hans"/>
              </w:rPr>
              <w:t xml:space="preserve"> </w:t>
            </w:r>
          </w:p>
        </w:tc>
      </w:tr>
      <w:tr w:rsidR="0046551E" w14:paraId="35029E41" w14:textId="77777777">
        <w:trPr>
          <w:divId w:val="3379227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A6BB8"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335D83" w14:textId="77777777" w:rsidR="004907C1" w:rsidRDefault="004907C1">
            <w:pPr>
              <w:jc w:val="right"/>
            </w:pPr>
            <w:r>
              <w:rPr>
                <w:rFonts w:ascii="宋体" w:hAnsi="宋体" w:hint="eastAsia"/>
              </w:rPr>
              <w:t>165,340,419.44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76B77" w14:textId="77777777" w:rsidR="004907C1" w:rsidRDefault="004907C1">
            <w:pPr>
              <w:jc w:val="right"/>
            </w:pPr>
            <w:r>
              <w:rPr>
                <w:rFonts w:ascii="宋体" w:hAnsi="宋体" w:hint="eastAsia"/>
              </w:rPr>
              <w:t>333,738,860.05</w:t>
            </w:r>
          </w:p>
        </w:tc>
      </w:tr>
      <w:tr w:rsidR="0046551E" w14:paraId="04D5914E" w14:textId="77777777">
        <w:trPr>
          <w:divId w:val="3379227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DFE5A"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39B43" w14:textId="77777777" w:rsidR="004907C1" w:rsidRDefault="004907C1">
            <w:pPr>
              <w:jc w:val="right"/>
            </w:pPr>
            <w:r>
              <w:rPr>
                <w:rFonts w:ascii="宋体" w:hAnsi="宋体" w:hint="eastAsia"/>
              </w:rPr>
              <w:t>444,337.25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827A5" w14:textId="77777777" w:rsidR="004907C1" w:rsidRDefault="004907C1">
            <w:pPr>
              <w:jc w:val="right"/>
            </w:pPr>
            <w:r>
              <w:rPr>
                <w:rFonts w:ascii="宋体" w:hAnsi="宋体" w:hint="eastAsia"/>
              </w:rPr>
              <w:t>1,785,606.08</w:t>
            </w:r>
          </w:p>
        </w:tc>
      </w:tr>
      <w:tr w:rsidR="0046551E" w14:paraId="5838DEFF" w14:textId="77777777">
        <w:trPr>
          <w:divId w:val="3379227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3FED5"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C3EC46" w14:textId="77777777" w:rsidR="004907C1" w:rsidRDefault="004907C1">
            <w:pPr>
              <w:jc w:val="right"/>
            </w:pPr>
            <w:r>
              <w:rPr>
                <w:rFonts w:ascii="宋体" w:hAnsi="宋体" w:hint="eastAsia"/>
              </w:rPr>
              <w:t>95,241,730.13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C0A6E" w14:textId="77777777" w:rsidR="004907C1" w:rsidRDefault="004907C1">
            <w:pPr>
              <w:jc w:val="right"/>
            </w:pPr>
            <w:r>
              <w:rPr>
                <w:rFonts w:ascii="宋体" w:hAnsi="宋体" w:hint="eastAsia"/>
              </w:rPr>
              <w:t>201,363,797.72</w:t>
            </w:r>
          </w:p>
        </w:tc>
      </w:tr>
      <w:tr w:rsidR="0046551E" w14:paraId="18B3A100" w14:textId="77777777">
        <w:trPr>
          <w:divId w:val="3379227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FCFF4"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698C05" w14:textId="77777777" w:rsidR="004907C1" w:rsidRDefault="004907C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D877D" w14:textId="77777777" w:rsidR="004907C1" w:rsidRDefault="004907C1">
            <w:pPr>
              <w:jc w:val="right"/>
            </w:pPr>
            <w:r>
              <w:rPr>
                <w:rFonts w:ascii="宋体" w:hAnsi="宋体" w:hint="eastAsia"/>
              </w:rPr>
              <w:t>-</w:t>
            </w:r>
          </w:p>
        </w:tc>
      </w:tr>
      <w:tr w:rsidR="0046551E" w14:paraId="7ABC4CC9" w14:textId="77777777">
        <w:trPr>
          <w:divId w:val="33792272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447A1" w14:textId="77777777" w:rsidR="004907C1" w:rsidRDefault="004907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CC207" w14:textId="77777777" w:rsidR="004907C1" w:rsidRDefault="004907C1">
            <w:pPr>
              <w:jc w:val="right"/>
            </w:pPr>
            <w:r>
              <w:rPr>
                <w:rFonts w:ascii="宋体" w:hAnsi="宋体" w:hint="eastAsia"/>
              </w:rPr>
              <w:t>70,543,026.56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C7EE0" w14:textId="77777777" w:rsidR="004907C1" w:rsidRDefault="004907C1">
            <w:pPr>
              <w:jc w:val="right"/>
            </w:pPr>
            <w:r>
              <w:rPr>
                <w:rFonts w:ascii="宋体" w:hAnsi="宋体" w:hint="eastAsia"/>
              </w:rPr>
              <w:t>134,160,668.41</w:t>
            </w:r>
          </w:p>
        </w:tc>
      </w:tr>
    </w:tbl>
    <w:p w14:paraId="24DAAD10" w14:textId="77777777" w:rsidR="004907C1" w:rsidRDefault="004907C1">
      <w:pPr>
        <w:spacing w:line="360" w:lineRule="auto"/>
        <w:jc w:val="left"/>
        <w:divId w:val="33792272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2"/>
      <w:r>
        <w:rPr>
          <w:rFonts w:ascii="宋体" w:hAnsi="宋体" w:hint="eastAsia"/>
        </w:rPr>
        <w:t xml:space="preserve"> </w:t>
      </w:r>
    </w:p>
    <w:p w14:paraId="742E03F8" w14:textId="77777777" w:rsidR="004907C1" w:rsidRDefault="004907C1">
      <w:pPr>
        <w:pStyle w:val="XBRLTitle1"/>
        <w:spacing w:before="156" w:line="360" w:lineRule="auto"/>
        <w:ind w:left="425"/>
      </w:pPr>
      <w:bookmarkStart w:id="313" w:name="_Toc17899999"/>
      <w:bookmarkStart w:id="314" w:name="m7manage01"/>
      <w:bookmarkStart w:id="315" w:name="_Toc512519522"/>
      <w:bookmarkStart w:id="316" w:name="_Toc481075090"/>
      <w:bookmarkStart w:id="317" w:name="_Toc438646478"/>
      <w:bookmarkStart w:id="318" w:name="_Toc490050043"/>
      <w:bookmarkStart w:id="319" w:name="_Toc513295871"/>
      <w:bookmarkStart w:id="320" w:name="_Toc513295934"/>
      <w:bookmarkEnd w:id="309"/>
      <w:bookmarkEnd w:id="310"/>
      <w:proofErr w:type="spellStart"/>
      <w:r>
        <w:rPr>
          <w:rFonts w:hAnsi="宋体" w:hint="eastAsia"/>
        </w:rPr>
        <w:t>基金管理人运用固有资金投资本基金情况</w:t>
      </w:r>
      <w:bookmarkEnd w:id="313"/>
      <w:bookmarkEnd w:id="314"/>
      <w:bookmarkEnd w:id="315"/>
      <w:bookmarkEnd w:id="316"/>
      <w:bookmarkEnd w:id="317"/>
      <w:bookmarkEnd w:id="318"/>
      <w:bookmarkEnd w:id="319"/>
      <w:bookmarkEnd w:id="320"/>
      <w:proofErr w:type="spellEnd"/>
      <w:r>
        <w:rPr>
          <w:rFonts w:hAnsi="宋体" w:hint="eastAsia"/>
        </w:rPr>
        <w:t xml:space="preserve"> </w:t>
      </w:r>
    </w:p>
    <w:p w14:paraId="245B3409" w14:textId="77777777" w:rsidR="004907C1" w:rsidRDefault="004907C1">
      <w:pPr>
        <w:pStyle w:val="XBRLTitle2"/>
        <w:spacing w:before="156" w:line="360" w:lineRule="auto"/>
        <w:ind w:left="454"/>
      </w:pPr>
      <w:bookmarkStart w:id="321" w:name="_Toc17900000"/>
      <w:bookmarkStart w:id="322" w:name="_Toc512519523"/>
      <w:bookmarkStart w:id="323" w:name="_Toc481075091"/>
      <w:bookmarkStart w:id="324" w:name="_Toc458599606"/>
      <w:bookmarkStart w:id="325" w:name="_Toc490050044"/>
      <w:bookmarkStart w:id="326" w:name="_Toc513295872"/>
      <w:bookmarkStart w:id="327" w:name="_Toc513295935"/>
      <w:proofErr w:type="spellStart"/>
      <w:r>
        <w:rPr>
          <w:rFonts w:hAnsi="宋体" w:hint="eastAsia"/>
        </w:rPr>
        <w:t>基金管理人持有本基金份额变动情况</w:t>
      </w:r>
      <w:bookmarkEnd w:id="321"/>
      <w:bookmarkEnd w:id="322"/>
      <w:bookmarkEnd w:id="323"/>
      <w:bookmarkEnd w:id="324"/>
      <w:bookmarkEnd w:id="325"/>
      <w:bookmarkEnd w:id="326"/>
      <w:bookmarkEnd w:id="327"/>
      <w:proofErr w:type="spellEnd"/>
      <w:r>
        <w:rPr>
          <w:rFonts w:hAnsi="宋体" w:hint="eastAsia"/>
          <w:lang w:eastAsia="zh-CN"/>
        </w:rPr>
        <w:t xml:space="preserve"> </w:t>
      </w:r>
    </w:p>
    <w:p w14:paraId="59E80952" w14:textId="77777777" w:rsidR="004907C1" w:rsidRDefault="004907C1">
      <w:pPr>
        <w:spacing w:line="360" w:lineRule="auto"/>
        <w:ind w:firstLineChars="200" w:firstLine="420"/>
        <w:jc w:val="left"/>
        <w:divId w:val="1987195531"/>
      </w:pPr>
      <w:r>
        <w:rPr>
          <w:rFonts w:ascii="宋体" w:hAnsi="宋体" w:hint="eastAsia"/>
          <w:szCs w:val="21"/>
          <w:lang w:eastAsia="zh-Hans"/>
        </w:rPr>
        <w:t>无。</w:t>
      </w:r>
      <w:r>
        <w:rPr>
          <w:rFonts w:ascii="宋体" w:hAnsi="宋体" w:hint="eastAsia"/>
          <w:szCs w:val="21"/>
        </w:rPr>
        <w:t xml:space="preserve"> </w:t>
      </w:r>
    </w:p>
    <w:p w14:paraId="35BA76A4" w14:textId="77777777" w:rsidR="004907C1" w:rsidRDefault="004907C1">
      <w:pPr>
        <w:pStyle w:val="XBRLTitle2"/>
        <w:spacing w:before="156" w:line="360" w:lineRule="auto"/>
        <w:ind w:left="454"/>
      </w:pPr>
      <w:bookmarkStart w:id="328" w:name="_Toc17900001"/>
      <w:bookmarkStart w:id="329" w:name="_Toc512519524"/>
      <w:bookmarkStart w:id="330" w:name="_Toc481075092"/>
      <w:bookmarkStart w:id="331" w:name="_Toc458599607"/>
      <w:bookmarkStart w:id="332" w:name="_Toc490050045"/>
      <w:bookmarkStart w:id="333" w:name="_Toc513295873"/>
      <w:bookmarkStart w:id="334" w:name="_Toc513295936"/>
      <w:proofErr w:type="spellStart"/>
      <w:r>
        <w:rPr>
          <w:rFonts w:hAnsi="宋体" w:hint="eastAsia"/>
        </w:rPr>
        <w:t>基金管理人运用固有资金投资本基金交易明细</w:t>
      </w:r>
      <w:bookmarkEnd w:id="328"/>
      <w:bookmarkEnd w:id="329"/>
      <w:bookmarkEnd w:id="330"/>
      <w:bookmarkEnd w:id="331"/>
      <w:bookmarkEnd w:id="332"/>
      <w:bookmarkEnd w:id="333"/>
      <w:bookmarkEnd w:id="334"/>
      <w:proofErr w:type="spellEnd"/>
      <w:r>
        <w:rPr>
          <w:rFonts w:hAnsi="宋体" w:hint="eastAsia"/>
          <w:lang w:eastAsia="zh-CN"/>
        </w:rPr>
        <w:t xml:space="preserve"> </w:t>
      </w:r>
    </w:p>
    <w:p w14:paraId="4D6641FA" w14:textId="77777777" w:rsidR="004907C1" w:rsidRDefault="004907C1">
      <w:pPr>
        <w:spacing w:line="360" w:lineRule="auto"/>
        <w:ind w:firstLineChars="200" w:firstLine="420"/>
        <w:jc w:val="left"/>
        <w:divId w:val="107358069"/>
      </w:pPr>
      <w:r>
        <w:rPr>
          <w:rFonts w:ascii="宋体" w:hAnsi="宋体" w:hint="eastAsia"/>
          <w:lang w:eastAsia="zh-Hans"/>
        </w:rPr>
        <w:t>无。</w:t>
      </w:r>
      <w:r>
        <w:rPr>
          <w:rFonts w:ascii="宋体" w:hAnsi="宋体" w:hint="eastAsia"/>
        </w:rPr>
        <w:t xml:space="preserve"> </w:t>
      </w:r>
    </w:p>
    <w:p w14:paraId="66FDE9D6" w14:textId="77777777" w:rsidR="004907C1" w:rsidRDefault="004907C1">
      <w:pPr>
        <w:pStyle w:val="XBRLTitle1"/>
        <w:spacing w:before="156" w:line="360" w:lineRule="auto"/>
        <w:ind w:left="425"/>
      </w:pPr>
      <w:bookmarkStart w:id="335" w:name="_Toc17900003"/>
      <w:bookmarkStart w:id="336" w:name="_Toc512519526"/>
      <w:bookmarkStart w:id="337" w:name="_Toc490050046"/>
      <w:bookmarkStart w:id="338" w:name="_Toc481075094"/>
      <w:bookmarkStart w:id="339" w:name="_Toc479856294"/>
      <w:bookmarkStart w:id="340" w:name="_Toc513295875"/>
      <w:bookmarkStart w:id="341" w:name="_Toc513295938"/>
      <w:bookmarkStart w:id="342" w:name="m701"/>
      <w:proofErr w:type="spellStart"/>
      <w:r>
        <w:rPr>
          <w:rFonts w:hAnsi="宋体" w:hint="eastAsia"/>
        </w:rPr>
        <w:t>影响投资者决策的其他重要信息</w:t>
      </w:r>
      <w:bookmarkEnd w:id="335"/>
      <w:bookmarkEnd w:id="336"/>
      <w:bookmarkEnd w:id="337"/>
      <w:bookmarkEnd w:id="338"/>
      <w:bookmarkEnd w:id="339"/>
      <w:bookmarkEnd w:id="340"/>
      <w:bookmarkEnd w:id="341"/>
      <w:proofErr w:type="spellEnd"/>
      <w:r>
        <w:rPr>
          <w:rFonts w:hAnsi="宋体" w:hint="eastAsia"/>
          <w:lang w:eastAsia="zh-CN"/>
        </w:rPr>
        <w:t xml:space="preserve"> </w:t>
      </w:r>
    </w:p>
    <w:p w14:paraId="3600A4AA" w14:textId="77777777" w:rsidR="004907C1" w:rsidRDefault="004907C1">
      <w:pPr>
        <w:pStyle w:val="XBRLTitle2"/>
        <w:spacing w:before="156" w:line="360" w:lineRule="auto"/>
        <w:ind w:left="454"/>
      </w:pPr>
      <w:bookmarkStart w:id="343" w:name="_Toc17900004"/>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51"/>
        <w:gridCol w:w="1005"/>
        <w:gridCol w:w="1395"/>
        <w:gridCol w:w="1136"/>
        <w:gridCol w:w="1395"/>
        <w:gridCol w:w="1395"/>
        <w:gridCol w:w="1318"/>
      </w:tblGrid>
      <w:tr w:rsidR="0046551E" w14:paraId="3677C23C" w14:textId="77777777">
        <w:trPr>
          <w:divId w:val="156155122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9D324" w14:textId="77777777" w:rsidR="004907C1" w:rsidRDefault="004907C1">
            <w:pPr>
              <w:jc w:val="center"/>
            </w:pPr>
            <w:bookmarkStart w:id="349" w:name="m13_01"/>
            <w:bookmarkStart w:id="350" w:name="m13_01_01"/>
            <w:bookmarkStart w:id="351" w:name="_Toc433036733"/>
            <w:bookmarkStart w:id="352" w:name="m12_01"/>
            <w:bookmarkEnd w:id="39"/>
            <w:bookmarkEnd w:id="40"/>
            <w:bookmarkEnd w:id="292"/>
            <w:bookmarkEnd w:id="293"/>
            <w:bookmarkEnd w:id="349"/>
            <w:bookmarkEnd w:id="350"/>
            <w:bookmarkEnd w:id="351"/>
            <w:bookmarkEnd w:id="352"/>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5ED8F" w14:textId="77777777" w:rsidR="004907C1" w:rsidRDefault="004907C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76CD9" w14:textId="77777777" w:rsidR="004907C1" w:rsidRDefault="004907C1">
            <w:pPr>
              <w:widowControl/>
              <w:jc w:val="center"/>
            </w:pPr>
            <w:r>
              <w:rPr>
                <w:rFonts w:ascii="宋体" w:hAnsi="宋体" w:hint="eastAsia"/>
                <w:color w:val="000000"/>
                <w:kern w:val="0"/>
              </w:rPr>
              <w:t xml:space="preserve">报告期末持有基金情况 </w:t>
            </w:r>
          </w:p>
        </w:tc>
      </w:tr>
      <w:tr w:rsidR="0046551E" w14:paraId="0D1BFB6B" w14:textId="77777777">
        <w:trPr>
          <w:divId w:val="15615512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345F3" w14:textId="77777777" w:rsidR="004907C1" w:rsidRDefault="004907C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F4010" w14:textId="77777777" w:rsidR="004907C1" w:rsidRDefault="004907C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975EA" w14:textId="77777777" w:rsidR="004907C1" w:rsidRDefault="004907C1">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D4C27" w14:textId="77777777" w:rsidR="004907C1" w:rsidRDefault="004907C1">
            <w:pPr>
              <w:widowControl/>
              <w:jc w:val="center"/>
            </w:pPr>
            <w:r>
              <w:rPr>
                <w:rFonts w:ascii="宋体" w:hAnsi="宋体" w:hint="eastAsia"/>
                <w:color w:val="000000"/>
                <w:kern w:val="0"/>
              </w:rPr>
              <w:t xml:space="preserve">期初 </w:t>
            </w:r>
          </w:p>
          <w:p w14:paraId="461F4C35" w14:textId="77777777" w:rsidR="004907C1" w:rsidRDefault="004907C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B7781" w14:textId="77777777" w:rsidR="004907C1" w:rsidRDefault="004907C1">
            <w:pPr>
              <w:widowControl/>
              <w:jc w:val="center"/>
            </w:pPr>
            <w:r>
              <w:rPr>
                <w:rFonts w:ascii="宋体" w:hAnsi="宋体" w:hint="eastAsia"/>
                <w:color w:val="000000"/>
                <w:kern w:val="0"/>
              </w:rPr>
              <w:t xml:space="preserve">申购 </w:t>
            </w:r>
          </w:p>
          <w:p w14:paraId="67E45911" w14:textId="77777777" w:rsidR="004907C1" w:rsidRDefault="004907C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9CCC6" w14:textId="77777777" w:rsidR="004907C1" w:rsidRDefault="004907C1">
            <w:pPr>
              <w:widowControl/>
              <w:jc w:val="center"/>
            </w:pPr>
            <w:r>
              <w:rPr>
                <w:rFonts w:ascii="宋体" w:hAnsi="宋体" w:hint="eastAsia"/>
                <w:color w:val="000000"/>
                <w:kern w:val="0"/>
              </w:rPr>
              <w:t xml:space="preserve">赎回 </w:t>
            </w:r>
          </w:p>
          <w:p w14:paraId="4A719B79" w14:textId="77777777" w:rsidR="004907C1" w:rsidRDefault="004907C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65F1B" w14:textId="77777777" w:rsidR="004907C1" w:rsidRDefault="004907C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B42BD" w14:textId="77777777" w:rsidR="004907C1" w:rsidRDefault="004907C1">
            <w:pPr>
              <w:widowControl/>
              <w:jc w:val="center"/>
            </w:pPr>
            <w:r>
              <w:rPr>
                <w:rFonts w:ascii="宋体" w:hAnsi="宋体" w:hint="eastAsia"/>
                <w:color w:val="000000"/>
                <w:kern w:val="0"/>
              </w:rPr>
              <w:t xml:space="preserve">份额占比 </w:t>
            </w:r>
          </w:p>
        </w:tc>
      </w:tr>
      <w:tr w:rsidR="0046551E" w14:paraId="10EF1EB9" w14:textId="77777777">
        <w:trPr>
          <w:divId w:val="1561551223"/>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8F88A" w14:textId="77777777" w:rsidR="004907C1" w:rsidRDefault="004907C1">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3703D" w14:textId="77777777" w:rsidR="004907C1" w:rsidRDefault="004907C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5D782" w14:textId="77777777" w:rsidR="004907C1" w:rsidRDefault="004907C1">
            <w:pPr>
              <w:widowControl/>
              <w:jc w:val="center"/>
            </w:pPr>
            <w:r>
              <w:rPr>
                <w:rFonts w:ascii="宋体" w:hAnsi="宋体" w:hint="eastAsia"/>
                <w:color w:val="000000"/>
                <w:szCs w:val="21"/>
              </w:rPr>
              <w:t>20250716-20250723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98019" w14:textId="77777777" w:rsidR="004907C1" w:rsidRDefault="004907C1">
            <w:pPr>
              <w:widowControl/>
              <w:jc w:val="right"/>
            </w:pPr>
            <w:r>
              <w:rPr>
                <w:rFonts w:ascii="宋体" w:hAnsi="宋体" w:hint="eastAsia"/>
                <w:color w:val="000000"/>
                <w:szCs w:val="21"/>
              </w:rPr>
              <w:t>86,102,491.90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4322C" w14:textId="77777777" w:rsidR="004907C1" w:rsidRDefault="004907C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59BD3" w14:textId="77777777" w:rsidR="004907C1" w:rsidRDefault="004907C1">
            <w:pPr>
              <w:widowControl/>
              <w:jc w:val="right"/>
            </w:pPr>
            <w:r>
              <w:rPr>
                <w:rFonts w:ascii="宋体" w:hAnsi="宋体" w:hint="eastAsia"/>
                <w:color w:val="000000"/>
                <w:szCs w:val="21"/>
              </w:rPr>
              <w:t>44,605,000.00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7BF53" w14:textId="77777777" w:rsidR="004907C1" w:rsidRDefault="004907C1">
            <w:pPr>
              <w:widowControl/>
              <w:jc w:val="right"/>
            </w:pPr>
            <w:r>
              <w:rPr>
                <w:rFonts w:ascii="宋体" w:hAnsi="宋体" w:hint="eastAsia"/>
                <w:color w:val="000000"/>
                <w:szCs w:val="21"/>
              </w:rPr>
              <w:t>41,497,491.90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3AC8B" w14:textId="77777777" w:rsidR="004907C1" w:rsidRDefault="004907C1">
            <w:pPr>
              <w:widowControl/>
              <w:jc w:val="right"/>
            </w:pPr>
            <w:r>
              <w:rPr>
                <w:rFonts w:ascii="宋体" w:hAnsi="宋体" w:hint="eastAsia"/>
                <w:color w:val="000000"/>
                <w:szCs w:val="21"/>
              </w:rPr>
              <w:t>20.27</w:t>
            </w:r>
            <w:r>
              <w:rPr>
                <w:szCs w:val="21"/>
              </w:rPr>
              <w:t>%</w:t>
            </w:r>
            <w:r>
              <w:t xml:space="preserve"> </w:t>
            </w:r>
          </w:p>
        </w:tc>
      </w:tr>
      <w:tr w:rsidR="0046551E" w14:paraId="52B316C3" w14:textId="77777777">
        <w:trPr>
          <w:divId w:val="15615512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A6AF6" w14:textId="77777777" w:rsidR="004907C1" w:rsidRDefault="004907C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62B58" w14:textId="77777777" w:rsidR="004907C1" w:rsidRDefault="004907C1">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9AFD9" w14:textId="77777777" w:rsidR="004907C1" w:rsidRDefault="004907C1">
            <w:pPr>
              <w:widowControl/>
              <w:jc w:val="center"/>
            </w:pPr>
            <w:r>
              <w:rPr>
                <w:rFonts w:ascii="宋体" w:hAnsi="宋体" w:hint="eastAsia"/>
                <w:color w:val="000000"/>
                <w:szCs w:val="21"/>
              </w:rPr>
              <w:t>20250930-20250930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C12B7" w14:textId="77777777" w:rsidR="004907C1" w:rsidRDefault="004907C1">
            <w:pPr>
              <w:widowControl/>
              <w:jc w:val="right"/>
            </w:pPr>
            <w:r>
              <w:rPr>
                <w:rFonts w:ascii="宋体" w:hAnsi="宋体" w:hint="eastAsia"/>
                <w:color w:val="000000"/>
                <w:szCs w:val="21"/>
              </w:rPr>
              <w:t>86,102,491.90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6CC1F" w14:textId="77777777" w:rsidR="004907C1" w:rsidRDefault="004907C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1B2B4" w14:textId="77777777" w:rsidR="004907C1" w:rsidRDefault="004907C1">
            <w:pPr>
              <w:widowControl/>
              <w:jc w:val="right"/>
            </w:pPr>
            <w:r>
              <w:rPr>
                <w:rFonts w:ascii="宋体" w:hAnsi="宋体" w:hint="eastAsia"/>
                <w:color w:val="000000"/>
                <w:szCs w:val="21"/>
              </w:rPr>
              <w:t>44,605,000.00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17D88" w14:textId="77777777" w:rsidR="004907C1" w:rsidRDefault="004907C1">
            <w:pPr>
              <w:widowControl/>
              <w:jc w:val="right"/>
            </w:pPr>
            <w:r>
              <w:rPr>
                <w:rFonts w:ascii="宋体" w:hAnsi="宋体" w:hint="eastAsia"/>
                <w:color w:val="000000"/>
                <w:szCs w:val="21"/>
              </w:rPr>
              <w:t>41,497,491.90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99197" w14:textId="77777777" w:rsidR="004907C1" w:rsidRDefault="004907C1">
            <w:pPr>
              <w:widowControl/>
              <w:jc w:val="right"/>
            </w:pPr>
            <w:r>
              <w:rPr>
                <w:rFonts w:ascii="宋体" w:hAnsi="宋体" w:hint="eastAsia"/>
                <w:color w:val="000000"/>
                <w:szCs w:val="21"/>
              </w:rPr>
              <w:t>20.27</w:t>
            </w:r>
            <w:r>
              <w:rPr>
                <w:szCs w:val="21"/>
              </w:rPr>
              <w:t>%</w:t>
            </w:r>
            <w:r>
              <w:t xml:space="preserve"> </w:t>
            </w:r>
          </w:p>
        </w:tc>
      </w:tr>
      <w:tr w:rsidR="0046551E" w14:paraId="6345E326" w14:textId="77777777">
        <w:trPr>
          <w:divId w:val="15615512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0690" w14:textId="77777777" w:rsidR="004907C1" w:rsidRDefault="004907C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1A657" w14:textId="77777777" w:rsidR="004907C1" w:rsidRDefault="004907C1">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74441" w14:textId="77777777" w:rsidR="004907C1" w:rsidRDefault="004907C1">
            <w:pPr>
              <w:widowControl/>
              <w:jc w:val="center"/>
            </w:pPr>
            <w:r>
              <w:rPr>
                <w:rFonts w:ascii="宋体" w:hAnsi="宋体" w:hint="eastAsia"/>
                <w:color w:val="000000"/>
                <w:szCs w:val="21"/>
              </w:rPr>
              <w:t>20250805-20250907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233A0" w14:textId="77777777" w:rsidR="004907C1" w:rsidRDefault="004907C1">
            <w:pPr>
              <w:widowControl/>
              <w:jc w:val="right"/>
            </w:pPr>
            <w:r>
              <w:rPr>
                <w:rFonts w:ascii="宋体" w:hAnsi="宋体" w:hint="eastAsia"/>
                <w:color w:val="000000"/>
                <w:szCs w:val="21"/>
              </w:rPr>
              <w:t>86,102,491.90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35BF0" w14:textId="77777777" w:rsidR="004907C1" w:rsidRDefault="004907C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AE5B9" w14:textId="77777777" w:rsidR="004907C1" w:rsidRDefault="004907C1">
            <w:pPr>
              <w:widowControl/>
              <w:jc w:val="right"/>
            </w:pPr>
            <w:r>
              <w:rPr>
                <w:rFonts w:ascii="宋体" w:hAnsi="宋体" w:hint="eastAsia"/>
                <w:color w:val="000000"/>
                <w:szCs w:val="21"/>
              </w:rPr>
              <w:t>44,605,000.00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BB464" w14:textId="77777777" w:rsidR="004907C1" w:rsidRDefault="004907C1">
            <w:pPr>
              <w:widowControl/>
              <w:jc w:val="right"/>
            </w:pPr>
            <w:r>
              <w:rPr>
                <w:rFonts w:ascii="宋体" w:hAnsi="宋体" w:hint="eastAsia"/>
                <w:color w:val="000000"/>
                <w:szCs w:val="21"/>
              </w:rPr>
              <w:t>41,497,491.90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40D0F" w14:textId="77777777" w:rsidR="004907C1" w:rsidRDefault="004907C1">
            <w:pPr>
              <w:widowControl/>
              <w:jc w:val="right"/>
            </w:pPr>
            <w:r>
              <w:rPr>
                <w:rFonts w:ascii="宋体" w:hAnsi="宋体" w:hint="eastAsia"/>
                <w:color w:val="000000"/>
                <w:szCs w:val="21"/>
              </w:rPr>
              <w:t>20.27</w:t>
            </w:r>
            <w:r>
              <w:rPr>
                <w:szCs w:val="21"/>
              </w:rPr>
              <w:t>%</w:t>
            </w:r>
            <w:r>
              <w:t xml:space="preserve"> </w:t>
            </w:r>
          </w:p>
        </w:tc>
      </w:tr>
      <w:tr w:rsidR="0046551E" w14:paraId="1A75B48B" w14:textId="77777777">
        <w:trPr>
          <w:divId w:val="15615512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80C8A" w14:textId="77777777" w:rsidR="004907C1" w:rsidRDefault="004907C1">
            <w:pPr>
              <w:widowControl/>
              <w:jc w:val="center"/>
            </w:pPr>
            <w:r>
              <w:rPr>
                <w:rFonts w:ascii="宋体" w:hAnsi="宋体" w:hint="eastAsia"/>
                <w:color w:val="000000"/>
                <w:kern w:val="0"/>
              </w:rPr>
              <w:t xml:space="preserve">产品特有风险 </w:t>
            </w:r>
          </w:p>
        </w:tc>
      </w:tr>
      <w:tr w:rsidR="0046551E" w14:paraId="6D5E8B96" w14:textId="77777777">
        <w:trPr>
          <w:divId w:val="15615512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C0AFE" w14:textId="77777777" w:rsidR="004907C1" w:rsidRDefault="004907C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F1DE71C" w14:textId="77777777" w:rsidR="004907C1" w:rsidRDefault="004907C1">
      <w:pPr>
        <w:pStyle w:val="XBRLTitle1"/>
        <w:spacing w:before="156" w:line="360" w:lineRule="auto"/>
        <w:ind w:left="425"/>
      </w:pPr>
      <w:bookmarkStart w:id="353" w:name="_Toc17900006"/>
      <w:bookmarkStart w:id="354" w:name="_Toc512519529"/>
      <w:bookmarkStart w:id="355" w:name="_Toc490050049"/>
      <w:bookmarkStart w:id="356" w:name="_Toc481075097"/>
      <w:bookmarkStart w:id="357" w:name="_Toc438646481"/>
      <w:bookmarkStart w:id="358" w:name="_Toc513295878"/>
      <w:bookmarkStart w:id="359" w:name="_Toc513295941"/>
      <w:bookmarkEnd w:id="342"/>
      <w:proofErr w:type="spellStart"/>
      <w:r>
        <w:rPr>
          <w:rFonts w:hAnsi="宋体" w:hint="eastAsia"/>
        </w:rPr>
        <w:t>备查文件目录</w:t>
      </w:r>
      <w:bookmarkEnd w:id="353"/>
      <w:bookmarkEnd w:id="354"/>
      <w:bookmarkEnd w:id="355"/>
      <w:bookmarkEnd w:id="356"/>
      <w:bookmarkEnd w:id="357"/>
      <w:bookmarkEnd w:id="358"/>
      <w:bookmarkEnd w:id="359"/>
      <w:proofErr w:type="spellEnd"/>
      <w:r>
        <w:rPr>
          <w:rFonts w:hAnsi="宋体" w:hint="eastAsia"/>
        </w:rPr>
        <w:t xml:space="preserve"> </w:t>
      </w:r>
    </w:p>
    <w:p w14:paraId="1938137D" w14:textId="77777777" w:rsidR="004907C1" w:rsidRDefault="004907C1">
      <w:pPr>
        <w:pStyle w:val="XBRLTitle2"/>
        <w:spacing w:before="156" w:line="360" w:lineRule="auto"/>
        <w:ind w:left="454"/>
      </w:pPr>
      <w:bookmarkStart w:id="360" w:name="_Toc438646482"/>
      <w:bookmarkStart w:id="361" w:name="_Toc17900007"/>
      <w:bookmarkStart w:id="362" w:name="_Toc512519530"/>
      <w:bookmarkStart w:id="363" w:name="_Toc481075098"/>
      <w:bookmarkStart w:id="364" w:name="_Toc490050050"/>
      <w:bookmarkStart w:id="365" w:name="_Toc513295879"/>
      <w:bookmarkStart w:id="366" w:name="_Toc513295942"/>
      <w:bookmarkStart w:id="367" w:name="m801_01_1733"/>
      <w:proofErr w:type="spellStart"/>
      <w:r>
        <w:rPr>
          <w:rFonts w:hAnsi="宋体" w:hint="eastAsia"/>
        </w:rPr>
        <w:t>备查文件目录</w:t>
      </w:r>
      <w:bookmarkEnd w:id="360"/>
      <w:bookmarkEnd w:id="361"/>
      <w:bookmarkEnd w:id="362"/>
      <w:bookmarkEnd w:id="363"/>
      <w:bookmarkEnd w:id="364"/>
      <w:bookmarkEnd w:id="365"/>
      <w:bookmarkEnd w:id="366"/>
      <w:proofErr w:type="spellEnd"/>
      <w:r>
        <w:rPr>
          <w:rFonts w:hAnsi="宋体" w:hint="eastAsia"/>
        </w:rPr>
        <w:t xml:space="preserve"> </w:t>
      </w:r>
    </w:p>
    <w:p w14:paraId="17504E9F" w14:textId="77777777" w:rsidR="004907C1" w:rsidRDefault="004907C1">
      <w:pPr>
        <w:spacing w:line="360" w:lineRule="auto"/>
        <w:ind w:firstLineChars="200" w:firstLine="420"/>
        <w:jc w:val="left"/>
      </w:pPr>
      <w:r>
        <w:rPr>
          <w:rFonts w:ascii="宋体" w:hAnsi="宋体" w:cs="宋体" w:hint="eastAsia"/>
          <w:color w:val="000000"/>
          <w:kern w:val="0"/>
        </w:rPr>
        <w:t>（一）中国证监会准予摩根恒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债券型证券投资基金募集注册的文件</w:t>
      </w:r>
      <w:r>
        <w:rPr>
          <w:rFonts w:ascii="宋体" w:hAnsi="宋体" w:cs="宋体" w:hint="eastAsia"/>
          <w:color w:val="000000"/>
          <w:kern w:val="0"/>
        </w:rPr>
        <w:br/>
        <w:t xml:space="preserve">　　（二）摩根恒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EE4E3AE" w14:textId="77777777" w:rsidR="004907C1" w:rsidRDefault="004907C1">
      <w:pPr>
        <w:pStyle w:val="XBRLTitle2"/>
        <w:spacing w:before="156" w:line="360" w:lineRule="auto"/>
        <w:ind w:left="454"/>
      </w:pPr>
      <w:bookmarkStart w:id="368" w:name="_Toc438646483"/>
      <w:bookmarkStart w:id="369" w:name="_Toc17900008"/>
      <w:bookmarkStart w:id="370" w:name="_Toc512519531"/>
      <w:bookmarkStart w:id="371" w:name="_Toc481075099"/>
      <w:bookmarkStart w:id="372" w:name="_Toc490050051"/>
      <w:bookmarkStart w:id="373" w:name="_Toc513295880"/>
      <w:bookmarkStart w:id="374" w:name="_Toc513295943"/>
      <w:bookmarkStart w:id="375" w:name="m801_01_1734"/>
      <w:bookmarkEnd w:id="367"/>
      <w:proofErr w:type="spellStart"/>
      <w:r>
        <w:rPr>
          <w:rFonts w:hAnsi="宋体" w:hint="eastAsia"/>
        </w:rPr>
        <w:t>存放地点</w:t>
      </w:r>
      <w:bookmarkEnd w:id="368"/>
      <w:bookmarkEnd w:id="369"/>
      <w:bookmarkEnd w:id="370"/>
      <w:bookmarkEnd w:id="371"/>
      <w:bookmarkEnd w:id="372"/>
      <w:bookmarkEnd w:id="373"/>
      <w:bookmarkEnd w:id="374"/>
      <w:proofErr w:type="spellEnd"/>
      <w:r>
        <w:rPr>
          <w:rFonts w:hAnsi="宋体" w:hint="eastAsia"/>
        </w:rPr>
        <w:t xml:space="preserve"> </w:t>
      </w:r>
    </w:p>
    <w:p w14:paraId="2DFF73B6" w14:textId="77777777" w:rsidR="004907C1" w:rsidRDefault="004907C1">
      <w:pPr>
        <w:spacing w:line="360" w:lineRule="auto"/>
        <w:ind w:firstLineChars="200" w:firstLine="420"/>
        <w:jc w:val="left"/>
      </w:pPr>
      <w:r>
        <w:rPr>
          <w:rFonts w:ascii="宋体" w:hAnsi="宋体" w:cs="宋体" w:hint="eastAsia"/>
          <w:color w:val="000000"/>
          <w:kern w:val="0"/>
        </w:rPr>
        <w:t>基金管理人或基金托管人住所。</w:t>
      </w:r>
    </w:p>
    <w:p w14:paraId="3C06DD5E" w14:textId="77777777" w:rsidR="004907C1" w:rsidRDefault="004907C1">
      <w:pPr>
        <w:pStyle w:val="XBRLTitle2"/>
        <w:spacing w:before="156" w:line="360" w:lineRule="auto"/>
        <w:ind w:left="454"/>
      </w:pPr>
      <w:bookmarkStart w:id="376" w:name="_Toc438646484"/>
      <w:bookmarkStart w:id="377" w:name="_Toc17900009"/>
      <w:bookmarkStart w:id="378" w:name="_Toc512519532"/>
      <w:bookmarkStart w:id="379" w:name="_Toc481075100"/>
      <w:bookmarkStart w:id="380" w:name="_Toc490050052"/>
      <w:bookmarkStart w:id="381" w:name="_Toc513295881"/>
      <w:bookmarkStart w:id="382" w:name="_Toc513295944"/>
      <w:bookmarkStart w:id="383" w:name="m801_01_1735"/>
      <w:bookmarkEnd w:id="375"/>
      <w:proofErr w:type="spellStart"/>
      <w:r>
        <w:rPr>
          <w:rFonts w:hAnsi="宋体" w:hint="eastAsia"/>
        </w:rPr>
        <w:t>查阅方式</w:t>
      </w:r>
      <w:bookmarkEnd w:id="376"/>
      <w:bookmarkEnd w:id="377"/>
      <w:bookmarkEnd w:id="378"/>
      <w:bookmarkEnd w:id="379"/>
      <w:bookmarkEnd w:id="380"/>
      <w:bookmarkEnd w:id="381"/>
      <w:bookmarkEnd w:id="382"/>
      <w:proofErr w:type="spellEnd"/>
      <w:r>
        <w:rPr>
          <w:rFonts w:hAnsi="宋体" w:hint="eastAsia"/>
        </w:rPr>
        <w:t xml:space="preserve"> </w:t>
      </w:r>
    </w:p>
    <w:p w14:paraId="6E67273A" w14:textId="77777777" w:rsidR="004907C1" w:rsidRDefault="004907C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0658D23C" w14:textId="77777777" w:rsidR="004907C1" w:rsidRDefault="004907C1">
      <w:pPr>
        <w:spacing w:line="360" w:lineRule="auto"/>
        <w:ind w:firstLineChars="600" w:firstLine="1687"/>
        <w:jc w:val="left"/>
      </w:pPr>
      <w:r>
        <w:rPr>
          <w:rFonts w:ascii="宋体" w:hAnsi="宋体" w:hint="eastAsia"/>
          <w:b/>
          <w:bCs/>
          <w:sz w:val="28"/>
          <w:szCs w:val="30"/>
        </w:rPr>
        <w:t xml:space="preserve">　 </w:t>
      </w:r>
    </w:p>
    <w:p w14:paraId="18860C82" w14:textId="77777777" w:rsidR="004907C1" w:rsidRDefault="004907C1">
      <w:pPr>
        <w:spacing w:line="360" w:lineRule="auto"/>
        <w:ind w:firstLineChars="600" w:firstLine="1687"/>
        <w:jc w:val="left"/>
      </w:pPr>
      <w:r>
        <w:rPr>
          <w:rFonts w:ascii="宋体" w:hAnsi="宋体" w:hint="eastAsia"/>
          <w:b/>
          <w:bCs/>
          <w:sz w:val="28"/>
          <w:szCs w:val="30"/>
        </w:rPr>
        <w:t xml:space="preserve">　 </w:t>
      </w:r>
    </w:p>
    <w:p w14:paraId="699AA05B" w14:textId="77777777" w:rsidR="004907C1" w:rsidRDefault="004907C1">
      <w:pPr>
        <w:spacing w:line="360" w:lineRule="auto"/>
        <w:ind w:firstLineChars="600" w:firstLine="1446"/>
        <w:jc w:val="right"/>
      </w:pPr>
      <w:r>
        <w:rPr>
          <w:rFonts w:ascii="宋体" w:hAnsi="宋体" w:hint="eastAsia"/>
          <w:b/>
          <w:bCs/>
          <w:sz w:val="24"/>
          <w:szCs w:val="24"/>
        </w:rPr>
        <w:t>摩根基金管理（中国）有限公司</w:t>
      </w:r>
    </w:p>
    <w:p w14:paraId="6C06A7AF" w14:textId="77777777" w:rsidR="004907C1" w:rsidRDefault="004907C1">
      <w:pPr>
        <w:spacing w:line="360" w:lineRule="auto"/>
        <w:ind w:firstLineChars="600" w:firstLine="1446"/>
        <w:jc w:val="right"/>
      </w:pPr>
      <w:r>
        <w:rPr>
          <w:rFonts w:ascii="宋体" w:hAnsi="宋体" w:hint="eastAsia"/>
          <w:b/>
          <w:bCs/>
          <w:sz w:val="24"/>
          <w:szCs w:val="24"/>
        </w:rPr>
        <w:t>2025年10月28日</w:t>
      </w:r>
      <w:bookmarkEnd w:id="22"/>
    </w:p>
    <w:sectPr w:rsidR="004907C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A03B" w14:textId="77777777" w:rsidR="004907C1" w:rsidRDefault="004907C1">
      <w:pPr>
        <w:rPr>
          <w:szCs w:val="21"/>
        </w:rPr>
      </w:pPr>
      <w:r>
        <w:rPr>
          <w:szCs w:val="21"/>
        </w:rPr>
        <w:separator/>
      </w:r>
      <w:r>
        <w:rPr>
          <w:szCs w:val="21"/>
        </w:rPr>
        <w:t xml:space="preserve"> </w:t>
      </w:r>
    </w:p>
  </w:endnote>
  <w:endnote w:type="continuationSeparator" w:id="0">
    <w:p w14:paraId="012F6BDE" w14:textId="77777777" w:rsidR="004907C1" w:rsidRDefault="004907C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D310" w14:textId="77777777" w:rsidR="004907C1" w:rsidRDefault="004907C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D103" w14:textId="77777777" w:rsidR="004907C1" w:rsidRDefault="004907C1">
      <w:pPr>
        <w:rPr>
          <w:szCs w:val="21"/>
        </w:rPr>
      </w:pPr>
      <w:r>
        <w:rPr>
          <w:szCs w:val="21"/>
        </w:rPr>
        <w:separator/>
      </w:r>
      <w:r>
        <w:rPr>
          <w:szCs w:val="21"/>
        </w:rPr>
        <w:t xml:space="preserve"> </w:t>
      </w:r>
    </w:p>
  </w:footnote>
  <w:footnote w:type="continuationSeparator" w:id="0">
    <w:p w14:paraId="3CA5DF49" w14:textId="77777777" w:rsidR="004907C1" w:rsidRDefault="004907C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DD9A" w14:textId="77777777" w:rsidR="004907C1" w:rsidRDefault="004907C1">
    <w:pPr>
      <w:pStyle w:val="a8"/>
      <w:jc w:val="right"/>
    </w:pPr>
    <w:r>
      <w:rPr>
        <w:rFonts w:ascii="宋体" w:hAnsi="宋体" w:hint="eastAsia"/>
      </w:rPr>
      <w:t>摩根恒</w:t>
    </w:r>
    <w:proofErr w:type="gramStart"/>
    <w:r>
      <w:rPr>
        <w:rFonts w:ascii="宋体" w:hAnsi="宋体" w:hint="eastAsia"/>
      </w:rPr>
      <w:t>鑫</w:t>
    </w:r>
    <w:proofErr w:type="gramEnd"/>
    <w:r>
      <w:rPr>
        <w:rFonts w:ascii="宋体" w:hAnsi="宋体" w:hint="eastAsia"/>
      </w:rPr>
      <w:t>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47773599">
    <w:abstractNumId w:val="0"/>
  </w:num>
  <w:num w:numId="2" w16cid:durableId="1232470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C1"/>
    <w:rsid w:val="001858DA"/>
    <w:rsid w:val="0046551E"/>
    <w:rsid w:val="004907C1"/>
    <w:rsid w:val="009D7797"/>
    <w:rsid w:val="00A63AA3"/>
    <w:rsid w:val="00D20035"/>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5D99DC2"/>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9D779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401">
      <w:marLeft w:val="0"/>
      <w:marRight w:val="0"/>
      <w:marTop w:val="0"/>
      <w:marBottom w:val="0"/>
      <w:divBdr>
        <w:top w:val="none" w:sz="0" w:space="0" w:color="auto"/>
        <w:left w:val="none" w:sz="0" w:space="0" w:color="auto"/>
        <w:bottom w:val="none" w:sz="0" w:space="0" w:color="auto"/>
        <w:right w:val="none" w:sz="0" w:space="0" w:color="auto"/>
      </w:divBdr>
    </w:div>
    <w:div w:id="107358069">
      <w:marLeft w:val="0"/>
      <w:marRight w:val="0"/>
      <w:marTop w:val="0"/>
      <w:marBottom w:val="0"/>
      <w:divBdr>
        <w:top w:val="none" w:sz="0" w:space="0" w:color="auto"/>
        <w:left w:val="none" w:sz="0" w:space="0" w:color="auto"/>
        <w:bottom w:val="none" w:sz="0" w:space="0" w:color="auto"/>
        <w:right w:val="none" w:sz="0" w:space="0" w:color="auto"/>
      </w:divBdr>
    </w:div>
    <w:div w:id="169023874">
      <w:marLeft w:val="0"/>
      <w:marRight w:val="0"/>
      <w:marTop w:val="0"/>
      <w:marBottom w:val="0"/>
      <w:divBdr>
        <w:top w:val="none" w:sz="0" w:space="0" w:color="auto"/>
        <w:left w:val="none" w:sz="0" w:space="0" w:color="auto"/>
        <w:bottom w:val="none" w:sz="0" w:space="0" w:color="auto"/>
        <w:right w:val="none" w:sz="0" w:space="0" w:color="auto"/>
      </w:divBdr>
    </w:div>
    <w:div w:id="238564024">
      <w:marLeft w:val="0"/>
      <w:marRight w:val="0"/>
      <w:marTop w:val="0"/>
      <w:marBottom w:val="0"/>
      <w:divBdr>
        <w:top w:val="none" w:sz="0" w:space="0" w:color="auto"/>
        <w:left w:val="none" w:sz="0" w:space="0" w:color="auto"/>
        <w:bottom w:val="none" w:sz="0" w:space="0" w:color="auto"/>
        <w:right w:val="none" w:sz="0" w:space="0" w:color="auto"/>
      </w:divBdr>
    </w:div>
    <w:div w:id="281965444">
      <w:marLeft w:val="0"/>
      <w:marRight w:val="0"/>
      <w:marTop w:val="0"/>
      <w:marBottom w:val="0"/>
      <w:divBdr>
        <w:top w:val="none" w:sz="0" w:space="0" w:color="auto"/>
        <w:left w:val="none" w:sz="0" w:space="0" w:color="auto"/>
        <w:bottom w:val="none" w:sz="0" w:space="0" w:color="auto"/>
        <w:right w:val="none" w:sz="0" w:space="0" w:color="auto"/>
      </w:divBdr>
    </w:div>
    <w:div w:id="337922720">
      <w:marLeft w:val="0"/>
      <w:marRight w:val="0"/>
      <w:marTop w:val="0"/>
      <w:marBottom w:val="0"/>
      <w:divBdr>
        <w:top w:val="none" w:sz="0" w:space="0" w:color="auto"/>
        <w:left w:val="none" w:sz="0" w:space="0" w:color="auto"/>
        <w:bottom w:val="none" w:sz="0" w:space="0" w:color="auto"/>
        <w:right w:val="none" w:sz="0" w:space="0" w:color="auto"/>
      </w:divBdr>
    </w:div>
    <w:div w:id="398140344">
      <w:marLeft w:val="0"/>
      <w:marRight w:val="0"/>
      <w:marTop w:val="0"/>
      <w:marBottom w:val="0"/>
      <w:divBdr>
        <w:top w:val="none" w:sz="0" w:space="0" w:color="auto"/>
        <w:left w:val="none" w:sz="0" w:space="0" w:color="auto"/>
        <w:bottom w:val="none" w:sz="0" w:space="0" w:color="auto"/>
        <w:right w:val="none" w:sz="0" w:space="0" w:color="auto"/>
      </w:divBdr>
    </w:div>
    <w:div w:id="435490323">
      <w:marLeft w:val="0"/>
      <w:marRight w:val="0"/>
      <w:marTop w:val="0"/>
      <w:marBottom w:val="0"/>
      <w:divBdr>
        <w:top w:val="none" w:sz="0" w:space="0" w:color="auto"/>
        <w:left w:val="none" w:sz="0" w:space="0" w:color="auto"/>
        <w:bottom w:val="none" w:sz="0" w:space="0" w:color="auto"/>
        <w:right w:val="none" w:sz="0" w:space="0" w:color="auto"/>
      </w:divBdr>
      <w:divsChild>
        <w:div w:id="101609564">
          <w:marLeft w:val="0"/>
          <w:marRight w:val="0"/>
          <w:marTop w:val="0"/>
          <w:marBottom w:val="0"/>
          <w:divBdr>
            <w:top w:val="none" w:sz="0" w:space="0" w:color="auto"/>
            <w:left w:val="none" w:sz="0" w:space="0" w:color="auto"/>
            <w:bottom w:val="none" w:sz="0" w:space="0" w:color="auto"/>
            <w:right w:val="none" w:sz="0" w:space="0" w:color="auto"/>
          </w:divBdr>
        </w:div>
      </w:divsChild>
    </w:div>
    <w:div w:id="448672699">
      <w:marLeft w:val="0"/>
      <w:marRight w:val="0"/>
      <w:marTop w:val="0"/>
      <w:marBottom w:val="0"/>
      <w:divBdr>
        <w:top w:val="none" w:sz="0" w:space="0" w:color="auto"/>
        <w:left w:val="none" w:sz="0" w:space="0" w:color="auto"/>
        <w:bottom w:val="none" w:sz="0" w:space="0" w:color="auto"/>
        <w:right w:val="none" w:sz="0" w:space="0" w:color="auto"/>
      </w:divBdr>
    </w:div>
    <w:div w:id="455489701">
      <w:marLeft w:val="0"/>
      <w:marRight w:val="0"/>
      <w:marTop w:val="0"/>
      <w:marBottom w:val="0"/>
      <w:divBdr>
        <w:top w:val="none" w:sz="0" w:space="0" w:color="auto"/>
        <w:left w:val="none" w:sz="0" w:space="0" w:color="auto"/>
        <w:bottom w:val="none" w:sz="0" w:space="0" w:color="auto"/>
        <w:right w:val="none" w:sz="0" w:space="0" w:color="auto"/>
      </w:divBdr>
    </w:div>
    <w:div w:id="507410240">
      <w:marLeft w:val="0"/>
      <w:marRight w:val="0"/>
      <w:marTop w:val="0"/>
      <w:marBottom w:val="0"/>
      <w:divBdr>
        <w:top w:val="none" w:sz="0" w:space="0" w:color="auto"/>
        <w:left w:val="none" w:sz="0" w:space="0" w:color="auto"/>
        <w:bottom w:val="none" w:sz="0" w:space="0" w:color="auto"/>
        <w:right w:val="none" w:sz="0" w:space="0" w:color="auto"/>
      </w:divBdr>
    </w:div>
    <w:div w:id="913930846">
      <w:marLeft w:val="0"/>
      <w:marRight w:val="0"/>
      <w:marTop w:val="0"/>
      <w:marBottom w:val="0"/>
      <w:divBdr>
        <w:top w:val="none" w:sz="0" w:space="0" w:color="auto"/>
        <w:left w:val="none" w:sz="0" w:space="0" w:color="auto"/>
        <w:bottom w:val="none" w:sz="0" w:space="0" w:color="auto"/>
        <w:right w:val="none" w:sz="0" w:space="0" w:color="auto"/>
      </w:divBdr>
      <w:divsChild>
        <w:div w:id="920262559">
          <w:marLeft w:val="0"/>
          <w:marRight w:val="0"/>
          <w:marTop w:val="0"/>
          <w:marBottom w:val="0"/>
          <w:divBdr>
            <w:top w:val="none" w:sz="0" w:space="0" w:color="auto"/>
            <w:left w:val="none" w:sz="0" w:space="0" w:color="auto"/>
            <w:bottom w:val="none" w:sz="0" w:space="0" w:color="auto"/>
            <w:right w:val="none" w:sz="0" w:space="0" w:color="auto"/>
          </w:divBdr>
        </w:div>
      </w:divsChild>
    </w:div>
    <w:div w:id="1075472484">
      <w:marLeft w:val="0"/>
      <w:marRight w:val="0"/>
      <w:marTop w:val="0"/>
      <w:marBottom w:val="0"/>
      <w:divBdr>
        <w:top w:val="none" w:sz="0" w:space="0" w:color="auto"/>
        <w:left w:val="none" w:sz="0" w:space="0" w:color="auto"/>
        <w:bottom w:val="none" w:sz="0" w:space="0" w:color="auto"/>
        <w:right w:val="none" w:sz="0" w:space="0" w:color="auto"/>
      </w:divBdr>
      <w:divsChild>
        <w:div w:id="6760446">
          <w:marLeft w:val="0"/>
          <w:marRight w:val="0"/>
          <w:marTop w:val="0"/>
          <w:marBottom w:val="0"/>
          <w:divBdr>
            <w:top w:val="none" w:sz="0" w:space="0" w:color="auto"/>
            <w:left w:val="none" w:sz="0" w:space="0" w:color="auto"/>
            <w:bottom w:val="none" w:sz="0" w:space="0" w:color="auto"/>
            <w:right w:val="none" w:sz="0" w:space="0" w:color="auto"/>
          </w:divBdr>
        </w:div>
      </w:divsChild>
    </w:div>
    <w:div w:id="1089884485">
      <w:marLeft w:val="0"/>
      <w:marRight w:val="0"/>
      <w:marTop w:val="0"/>
      <w:marBottom w:val="0"/>
      <w:divBdr>
        <w:top w:val="none" w:sz="0" w:space="0" w:color="auto"/>
        <w:left w:val="none" w:sz="0" w:space="0" w:color="auto"/>
        <w:bottom w:val="none" w:sz="0" w:space="0" w:color="auto"/>
        <w:right w:val="none" w:sz="0" w:space="0" w:color="auto"/>
      </w:divBdr>
    </w:div>
    <w:div w:id="1177310562">
      <w:marLeft w:val="0"/>
      <w:marRight w:val="0"/>
      <w:marTop w:val="0"/>
      <w:marBottom w:val="0"/>
      <w:divBdr>
        <w:top w:val="none" w:sz="0" w:space="0" w:color="auto"/>
        <w:left w:val="none" w:sz="0" w:space="0" w:color="auto"/>
        <w:bottom w:val="none" w:sz="0" w:space="0" w:color="auto"/>
        <w:right w:val="none" w:sz="0" w:space="0" w:color="auto"/>
      </w:divBdr>
      <w:divsChild>
        <w:div w:id="1561551223">
          <w:marLeft w:val="0"/>
          <w:marRight w:val="0"/>
          <w:marTop w:val="0"/>
          <w:marBottom w:val="0"/>
          <w:divBdr>
            <w:top w:val="none" w:sz="0" w:space="0" w:color="auto"/>
            <w:left w:val="none" w:sz="0" w:space="0" w:color="auto"/>
            <w:bottom w:val="none" w:sz="0" w:space="0" w:color="auto"/>
            <w:right w:val="none" w:sz="0" w:space="0" w:color="auto"/>
          </w:divBdr>
        </w:div>
      </w:divsChild>
    </w:div>
    <w:div w:id="1274510831">
      <w:marLeft w:val="0"/>
      <w:marRight w:val="0"/>
      <w:marTop w:val="0"/>
      <w:marBottom w:val="0"/>
      <w:divBdr>
        <w:top w:val="none" w:sz="0" w:space="0" w:color="auto"/>
        <w:left w:val="none" w:sz="0" w:space="0" w:color="auto"/>
        <w:bottom w:val="none" w:sz="0" w:space="0" w:color="auto"/>
        <w:right w:val="none" w:sz="0" w:space="0" w:color="auto"/>
      </w:divBdr>
      <w:divsChild>
        <w:div w:id="866261850">
          <w:marLeft w:val="0"/>
          <w:marRight w:val="0"/>
          <w:marTop w:val="0"/>
          <w:marBottom w:val="0"/>
          <w:divBdr>
            <w:top w:val="none" w:sz="0" w:space="0" w:color="auto"/>
            <w:left w:val="none" w:sz="0" w:space="0" w:color="auto"/>
            <w:bottom w:val="none" w:sz="0" w:space="0" w:color="auto"/>
            <w:right w:val="none" w:sz="0" w:space="0" w:color="auto"/>
          </w:divBdr>
        </w:div>
      </w:divsChild>
    </w:div>
    <w:div w:id="1288009119">
      <w:marLeft w:val="0"/>
      <w:marRight w:val="0"/>
      <w:marTop w:val="0"/>
      <w:marBottom w:val="0"/>
      <w:divBdr>
        <w:top w:val="none" w:sz="0" w:space="0" w:color="auto"/>
        <w:left w:val="none" w:sz="0" w:space="0" w:color="auto"/>
        <w:bottom w:val="none" w:sz="0" w:space="0" w:color="auto"/>
        <w:right w:val="none" w:sz="0" w:space="0" w:color="auto"/>
      </w:divBdr>
      <w:divsChild>
        <w:div w:id="1642035921">
          <w:marLeft w:val="0"/>
          <w:marRight w:val="0"/>
          <w:marTop w:val="0"/>
          <w:marBottom w:val="0"/>
          <w:divBdr>
            <w:top w:val="none" w:sz="0" w:space="0" w:color="auto"/>
            <w:left w:val="none" w:sz="0" w:space="0" w:color="auto"/>
            <w:bottom w:val="none" w:sz="0" w:space="0" w:color="auto"/>
            <w:right w:val="none" w:sz="0" w:space="0" w:color="auto"/>
          </w:divBdr>
        </w:div>
      </w:divsChild>
    </w:div>
    <w:div w:id="1396276809">
      <w:marLeft w:val="0"/>
      <w:marRight w:val="0"/>
      <w:marTop w:val="0"/>
      <w:marBottom w:val="0"/>
      <w:divBdr>
        <w:top w:val="none" w:sz="0" w:space="0" w:color="auto"/>
        <w:left w:val="none" w:sz="0" w:space="0" w:color="auto"/>
        <w:bottom w:val="none" w:sz="0" w:space="0" w:color="auto"/>
        <w:right w:val="none" w:sz="0" w:space="0" w:color="auto"/>
      </w:divBdr>
      <w:divsChild>
        <w:div w:id="1473864229">
          <w:marLeft w:val="0"/>
          <w:marRight w:val="0"/>
          <w:marTop w:val="0"/>
          <w:marBottom w:val="0"/>
          <w:divBdr>
            <w:top w:val="none" w:sz="0" w:space="0" w:color="auto"/>
            <w:left w:val="none" w:sz="0" w:space="0" w:color="auto"/>
            <w:bottom w:val="none" w:sz="0" w:space="0" w:color="auto"/>
            <w:right w:val="none" w:sz="0" w:space="0" w:color="auto"/>
          </w:divBdr>
        </w:div>
      </w:divsChild>
    </w:div>
    <w:div w:id="1469972519">
      <w:marLeft w:val="0"/>
      <w:marRight w:val="0"/>
      <w:marTop w:val="0"/>
      <w:marBottom w:val="0"/>
      <w:divBdr>
        <w:top w:val="none" w:sz="0" w:space="0" w:color="auto"/>
        <w:left w:val="none" w:sz="0" w:space="0" w:color="auto"/>
        <w:bottom w:val="none" w:sz="0" w:space="0" w:color="auto"/>
        <w:right w:val="none" w:sz="0" w:space="0" w:color="auto"/>
      </w:divBdr>
      <w:divsChild>
        <w:div w:id="1458912109">
          <w:marLeft w:val="0"/>
          <w:marRight w:val="0"/>
          <w:marTop w:val="0"/>
          <w:marBottom w:val="0"/>
          <w:divBdr>
            <w:top w:val="none" w:sz="0" w:space="0" w:color="auto"/>
            <w:left w:val="none" w:sz="0" w:space="0" w:color="auto"/>
            <w:bottom w:val="none" w:sz="0" w:space="0" w:color="auto"/>
            <w:right w:val="none" w:sz="0" w:space="0" w:color="auto"/>
          </w:divBdr>
        </w:div>
      </w:divsChild>
    </w:div>
    <w:div w:id="1536772159">
      <w:marLeft w:val="0"/>
      <w:marRight w:val="0"/>
      <w:marTop w:val="0"/>
      <w:marBottom w:val="0"/>
      <w:divBdr>
        <w:top w:val="none" w:sz="0" w:space="0" w:color="auto"/>
        <w:left w:val="none" w:sz="0" w:space="0" w:color="auto"/>
        <w:bottom w:val="none" w:sz="0" w:space="0" w:color="auto"/>
        <w:right w:val="none" w:sz="0" w:space="0" w:color="auto"/>
      </w:divBdr>
      <w:divsChild>
        <w:div w:id="173492838">
          <w:marLeft w:val="0"/>
          <w:marRight w:val="0"/>
          <w:marTop w:val="0"/>
          <w:marBottom w:val="0"/>
          <w:divBdr>
            <w:top w:val="none" w:sz="0" w:space="0" w:color="auto"/>
            <w:left w:val="none" w:sz="0" w:space="0" w:color="auto"/>
            <w:bottom w:val="none" w:sz="0" w:space="0" w:color="auto"/>
            <w:right w:val="none" w:sz="0" w:space="0" w:color="auto"/>
          </w:divBdr>
        </w:div>
      </w:divsChild>
    </w:div>
    <w:div w:id="1537431159">
      <w:marLeft w:val="0"/>
      <w:marRight w:val="0"/>
      <w:marTop w:val="0"/>
      <w:marBottom w:val="0"/>
      <w:divBdr>
        <w:top w:val="none" w:sz="0" w:space="0" w:color="auto"/>
        <w:left w:val="none" w:sz="0" w:space="0" w:color="auto"/>
        <w:bottom w:val="none" w:sz="0" w:space="0" w:color="auto"/>
        <w:right w:val="none" w:sz="0" w:space="0" w:color="auto"/>
      </w:divBdr>
    </w:div>
    <w:div w:id="1797020734">
      <w:marLeft w:val="0"/>
      <w:marRight w:val="0"/>
      <w:marTop w:val="0"/>
      <w:marBottom w:val="0"/>
      <w:divBdr>
        <w:top w:val="none" w:sz="0" w:space="0" w:color="auto"/>
        <w:left w:val="none" w:sz="0" w:space="0" w:color="auto"/>
        <w:bottom w:val="none" w:sz="0" w:space="0" w:color="auto"/>
        <w:right w:val="none" w:sz="0" w:space="0" w:color="auto"/>
      </w:divBdr>
      <w:divsChild>
        <w:div w:id="344020911">
          <w:marLeft w:val="0"/>
          <w:marRight w:val="0"/>
          <w:marTop w:val="0"/>
          <w:marBottom w:val="0"/>
          <w:divBdr>
            <w:top w:val="none" w:sz="0" w:space="0" w:color="auto"/>
            <w:left w:val="none" w:sz="0" w:space="0" w:color="auto"/>
            <w:bottom w:val="none" w:sz="0" w:space="0" w:color="auto"/>
            <w:right w:val="none" w:sz="0" w:space="0" w:color="auto"/>
          </w:divBdr>
        </w:div>
      </w:divsChild>
    </w:div>
    <w:div w:id="1899897017">
      <w:marLeft w:val="0"/>
      <w:marRight w:val="0"/>
      <w:marTop w:val="0"/>
      <w:marBottom w:val="0"/>
      <w:divBdr>
        <w:top w:val="none" w:sz="0" w:space="0" w:color="auto"/>
        <w:left w:val="none" w:sz="0" w:space="0" w:color="auto"/>
        <w:bottom w:val="none" w:sz="0" w:space="0" w:color="auto"/>
        <w:right w:val="none" w:sz="0" w:space="0" w:color="auto"/>
      </w:divBdr>
    </w:div>
    <w:div w:id="1987195531">
      <w:marLeft w:val="0"/>
      <w:marRight w:val="0"/>
      <w:marTop w:val="0"/>
      <w:marBottom w:val="0"/>
      <w:divBdr>
        <w:top w:val="none" w:sz="0" w:space="0" w:color="auto"/>
        <w:left w:val="none" w:sz="0" w:space="0" w:color="auto"/>
        <w:bottom w:val="none" w:sz="0" w:space="0" w:color="auto"/>
        <w:right w:val="none" w:sz="0" w:space="0" w:color="auto"/>
      </w:divBdr>
    </w:div>
    <w:div w:id="1997950955">
      <w:marLeft w:val="0"/>
      <w:marRight w:val="0"/>
      <w:marTop w:val="0"/>
      <w:marBottom w:val="0"/>
      <w:divBdr>
        <w:top w:val="none" w:sz="0" w:space="0" w:color="auto"/>
        <w:left w:val="none" w:sz="0" w:space="0" w:color="auto"/>
        <w:bottom w:val="none" w:sz="0" w:space="0" w:color="auto"/>
        <w:right w:val="none" w:sz="0" w:space="0" w:color="auto"/>
      </w:divBdr>
      <w:divsChild>
        <w:div w:id="1129859397">
          <w:marLeft w:val="0"/>
          <w:marRight w:val="0"/>
          <w:marTop w:val="0"/>
          <w:marBottom w:val="0"/>
          <w:divBdr>
            <w:top w:val="none" w:sz="0" w:space="0" w:color="auto"/>
            <w:left w:val="none" w:sz="0" w:space="0" w:color="auto"/>
            <w:bottom w:val="none" w:sz="0" w:space="0" w:color="auto"/>
            <w:right w:val="none" w:sz="0" w:space="0" w:color="auto"/>
          </w:divBdr>
        </w:div>
        <w:div w:id="471145066">
          <w:marLeft w:val="0"/>
          <w:marRight w:val="0"/>
          <w:marTop w:val="0"/>
          <w:marBottom w:val="0"/>
          <w:divBdr>
            <w:top w:val="none" w:sz="0" w:space="0" w:color="auto"/>
            <w:left w:val="none" w:sz="0" w:space="0" w:color="auto"/>
            <w:bottom w:val="none" w:sz="0" w:space="0" w:color="auto"/>
            <w:right w:val="none" w:sz="0" w:space="0" w:color="auto"/>
          </w:divBdr>
        </w:div>
      </w:divsChild>
    </w:div>
    <w:div w:id="2049143428">
      <w:marLeft w:val="0"/>
      <w:marRight w:val="0"/>
      <w:marTop w:val="0"/>
      <w:marBottom w:val="0"/>
      <w:divBdr>
        <w:top w:val="none" w:sz="0" w:space="0" w:color="auto"/>
        <w:left w:val="none" w:sz="0" w:space="0" w:color="auto"/>
        <w:bottom w:val="none" w:sz="0" w:space="0" w:color="auto"/>
        <w:right w:val="none" w:sz="0" w:space="0" w:color="auto"/>
      </w:divBdr>
      <w:divsChild>
        <w:div w:id="469329840">
          <w:marLeft w:val="0"/>
          <w:marRight w:val="0"/>
          <w:marTop w:val="0"/>
          <w:marBottom w:val="0"/>
          <w:divBdr>
            <w:top w:val="none" w:sz="0" w:space="0" w:color="auto"/>
            <w:left w:val="none" w:sz="0" w:space="0" w:color="auto"/>
            <w:bottom w:val="none" w:sz="0" w:space="0" w:color="auto"/>
            <w:right w:val="none" w:sz="0" w:space="0" w:color="auto"/>
          </w:divBdr>
        </w:div>
      </w:divsChild>
    </w:div>
    <w:div w:id="207469915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6471</Words>
  <Characters>2870</Characters>
  <Application>Microsoft Office Word</Application>
  <DocSecurity>0</DocSecurity>
  <Lines>23</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Yang.Wang@FA</cp:lastModifiedBy>
  <cp:revision>4</cp:revision>
  <dcterms:created xsi:type="dcterms:W3CDTF">2025-10-21T02:25:00Z</dcterms:created>
  <dcterms:modified xsi:type="dcterms:W3CDTF">2025-10-27T06:51:00Z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