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76897" w:rsidRDefault="00E76897">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E76897" w:rsidRDefault="00E76897">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E76897" w:rsidRDefault="00E76897">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w:t>
      </w:r>
      <w:r>
        <w:rPr>
          <w:rFonts w:ascii="宋体" w:hAnsi="宋体" w:hint="eastAsia"/>
          <w:b/>
          <w:bCs/>
          <w:color w:val="000000" w:themeColor="text1"/>
          <w:sz w:val="48"/>
          <w:szCs w:val="30"/>
        </w:rPr>
        <w:t>A500</w:t>
      </w:r>
      <w:r>
        <w:rPr>
          <w:rFonts w:ascii="宋体" w:hAnsi="宋体" w:hint="eastAsia"/>
          <w:b/>
          <w:bCs/>
          <w:color w:val="000000" w:themeColor="text1"/>
          <w:sz w:val="48"/>
          <w:szCs w:val="30"/>
        </w:rPr>
        <w:t>指数增强型证券投资基金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E76897" w:rsidRDefault="00E7689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E76897" w:rsidRDefault="00E7689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76897" w:rsidRDefault="00E76897">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E76897" w:rsidRDefault="00E76897">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上海浦东发展银行股份有限公</w:t>
      </w:r>
      <w:r>
        <w:rPr>
          <w:rFonts w:ascii="宋体" w:hAnsi="宋体" w:hint="eastAsia"/>
          <w:b/>
          <w:bCs/>
          <w:sz w:val="28"/>
          <w:szCs w:val="30"/>
        </w:rPr>
        <w:t>司</w:t>
      </w:r>
    </w:p>
    <w:p w:rsidR="00E76897" w:rsidRDefault="00E76897">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E76897" w:rsidRDefault="00E76897">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w:t>
      </w:r>
      <w:r>
        <w:rPr>
          <w:rFonts w:hAnsi="宋体" w:hint="eastAsia"/>
        </w:rPr>
        <w:t>示</w:t>
      </w:r>
      <w:bookmarkEnd w:id="7"/>
      <w:bookmarkEnd w:id="8"/>
      <w:bookmarkEnd w:id="9"/>
      <w:bookmarkEnd w:id="10"/>
      <w:bookmarkEnd w:id="11"/>
      <w:r>
        <w:rPr>
          <w:rFonts w:hAnsi="宋体" w:hint="eastAsia"/>
        </w:rPr>
        <w:t xml:space="preserve"> </w:t>
      </w:r>
    </w:p>
    <w:p w:rsidR="00E76897" w:rsidRDefault="00E76897">
      <w:pPr>
        <w:spacing w:line="360" w:lineRule="auto"/>
        <w:ind w:firstLineChars="200" w:firstLine="420"/>
        <w:divId w:val="1908105310"/>
        <w:rPr>
          <w:rFonts w:hint="eastAsia"/>
        </w:rPr>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基金托管人上海浦东发展银行股份有限公司根据本基金合同约定，于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E76897" w:rsidRDefault="00E76897">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w:t>
      </w:r>
      <w:r>
        <w:rPr>
          <w:rFonts w:hAnsi="宋体" w:hint="eastAsia"/>
        </w:rPr>
        <w:t>况</w:t>
      </w:r>
      <w:bookmarkEnd w:id="20"/>
      <w:bookmarkEnd w:id="21"/>
      <w:bookmarkEnd w:id="22"/>
      <w:bookmarkEnd w:id="23"/>
      <w:bookmarkEnd w:id="24"/>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51781492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szCs w:val="24"/>
                <w:lang w:eastAsia="zh-Hans"/>
              </w:rPr>
              <w:t>摩根中证</w:t>
            </w:r>
            <w:r>
              <w:rPr>
                <w:rFonts w:ascii="宋体" w:hAnsi="宋体" w:hint="eastAsia"/>
                <w:szCs w:val="24"/>
                <w:lang w:eastAsia="zh-Hans"/>
              </w:rPr>
              <w:t>A500</w:t>
            </w:r>
            <w:r>
              <w:rPr>
                <w:rFonts w:ascii="宋体" w:hAnsi="宋体" w:hint="eastAsia"/>
                <w:szCs w:val="24"/>
                <w:lang w:eastAsia="zh-Hans"/>
              </w:rPr>
              <w:t>指数增</w:t>
            </w:r>
            <w:r>
              <w:rPr>
                <w:rFonts w:ascii="宋体" w:hAnsi="宋体" w:hint="eastAsia"/>
                <w:szCs w:val="24"/>
                <w:lang w:eastAsia="zh-Hans"/>
              </w:rPr>
              <w:t>强</w:t>
            </w:r>
            <w:r>
              <w:rPr>
                <w:rFonts w:ascii="宋体" w:hAnsi="宋体" w:hint="eastAsia"/>
                <w:lang w:eastAsia="zh-Hans"/>
              </w:rPr>
              <w:t xml:space="preserve"> </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02386</w:t>
            </w:r>
            <w:r>
              <w:rPr>
                <w:rFonts w:ascii="宋体" w:hAnsi="宋体" w:hint="eastAsia"/>
                <w:lang w:eastAsia="zh-Hans"/>
              </w:rPr>
              <w:t>9</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bookmarkStart w:id="25"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契约型开放</w:t>
            </w:r>
            <w:r>
              <w:rPr>
                <w:rFonts w:ascii="宋体" w:hAnsi="宋体" w:hint="eastAsia"/>
                <w:lang w:eastAsia="zh-Hans"/>
              </w:rPr>
              <w:t>式</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2025</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16</w:t>
            </w:r>
            <w:r>
              <w:rPr>
                <w:rFonts w:ascii="宋体" w:hAnsi="宋体" w:hint="eastAsia"/>
                <w:lang w:eastAsia="zh-Hans"/>
              </w:rPr>
              <w:t>日</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495,546,206.5</w:t>
            </w:r>
            <w:r>
              <w:rPr>
                <w:rFonts w:ascii="宋体" w:hAnsi="宋体" w:hint="eastAsia"/>
                <w:lang w:eastAsia="zh-Hans"/>
              </w:rPr>
              <w:t>2</w:t>
            </w:r>
            <w:r>
              <w:rPr>
                <w:rFonts w:hint="eastAsia"/>
              </w:rPr>
              <w:t>份</w:t>
            </w:r>
            <w:r>
              <w:rPr>
                <w:rFonts w:ascii="宋体" w:hAnsi="宋体" w:hint="eastAsia"/>
                <w:lang w:eastAsia="zh-Hans"/>
              </w:rPr>
              <w:t xml:space="preserve"> </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在力求对标的指数进行有效跟踪的基础上，通过量化的方法进行积极的组合管理与严格的风险控制，力争实现超越目标指数的投资收益，谋求基金资产的长期增值</w:t>
            </w:r>
            <w:r>
              <w:rPr>
                <w:rFonts w:ascii="宋体" w:hAnsi="宋体" w:hint="eastAsia"/>
                <w:lang w:eastAsia="zh-Hans"/>
              </w:rPr>
              <w:t>。</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本基金为指数增强型基金，股票资产占基金资产的比例不低于</w:t>
            </w:r>
            <w:r>
              <w:rPr>
                <w:rFonts w:ascii="宋体" w:hAnsi="宋体" w:hint="eastAsia"/>
                <w:lang w:eastAsia="zh-Hans"/>
              </w:rPr>
              <w:t>80%</w:t>
            </w:r>
            <w:r>
              <w:rPr>
                <w:rFonts w:ascii="宋体" w:hAnsi="宋体" w:hint="eastAsia"/>
                <w:lang w:eastAsia="zh-Hans"/>
              </w:rPr>
              <w:t>，一般情况下将保持资产配置的基本稳定。基金运作过程中，将综合考量系统性风险、股票资产估值、流动性要求、申购赎回以及分红等因素，对基金资产配置做出合适调整。</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属于指数增强型股票基金，一方面采用指数化被动投资以追求有效跟踪标的指数，另一方面采用量化模型调整投资组合力求超越标的指数表现。力争控制本基金净值增长率与业绩比较基准之间的日均跟踪偏离度的绝对值不超过</w:t>
            </w:r>
            <w:r>
              <w:rPr>
                <w:rFonts w:ascii="宋体" w:hAnsi="宋体" w:hint="eastAsia"/>
                <w:lang w:eastAsia="zh-Hans"/>
              </w:rPr>
              <w:t>0.5%</w:t>
            </w:r>
            <w:r>
              <w:rPr>
                <w:rFonts w:ascii="宋体" w:hAnsi="宋体" w:hint="eastAsia"/>
                <w:lang w:eastAsia="zh-Hans"/>
              </w:rPr>
              <w:t>，年跟踪误差不超过</w:t>
            </w:r>
            <w:r>
              <w:rPr>
                <w:rFonts w:ascii="宋体" w:hAnsi="宋体" w:hint="eastAsia"/>
                <w:lang w:eastAsia="zh-Hans"/>
              </w:rPr>
              <w:t>7.75%</w:t>
            </w:r>
            <w:r>
              <w:rPr>
                <w:rFonts w:ascii="宋体" w:hAnsi="宋体" w:hint="eastAsia"/>
                <w:lang w:eastAsia="zh-Hans"/>
              </w:rPr>
              <w:t>。</w:t>
            </w:r>
            <w:r>
              <w:rPr>
                <w:rFonts w:ascii="宋体" w:hAnsi="宋体" w:hint="eastAsia"/>
                <w:lang w:eastAsia="zh-Hans"/>
              </w:rPr>
              <w:br/>
            </w:r>
            <w:r>
              <w:rPr>
                <w:rFonts w:ascii="宋体" w:hAnsi="宋体" w:hint="eastAsia"/>
                <w:lang w:eastAsia="zh-Hans"/>
              </w:rPr>
              <w:t>本基金所采用的股票量化投资模型主要包含三个部分，以实现股票收益预测，风险控制和跟踪误差控制。这三个部分包括收益预测模型，风险模型和组合优化模型：</w:t>
            </w:r>
            <w:r>
              <w:rPr>
                <w:rFonts w:ascii="宋体" w:hAnsi="宋体" w:hint="eastAsia"/>
                <w:lang w:eastAsia="zh-Hans"/>
              </w:rPr>
              <w:br/>
            </w:r>
            <w:r>
              <w:rPr>
                <w:rFonts w:ascii="宋体" w:hAnsi="宋体" w:hint="eastAsia"/>
                <w:lang w:eastAsia="zh-Hans"/>
              </w:rPr>
              <w:t>收益预测模型以量化投资团队开发的多因子选股模型和事件驱动策略为基础，深入分析个股的估值水平、盈利指标、波动指标、运营指标、市场情绪面等指标，根据行情变化进行动态调整，争取做出全面优质的股票收益预测。</w:t>
            </w:r>
            <w:r>
              <w:rPr>
                <w:rFonts w:ascii="宋体" w:hAnsi="宋体" w:hint="eastAsia"/>
                <w:lang w:eastAsia="zh-Hans"/>
              </w:rPr>
              <w:br/>
            </w:r>
            <w:r>
              <w:rPr>
                <w:rFonts w:ascii="宋体" w:hAnsi="宋体" w:hint="eastAsia"/>
                <w:lang w:eastAsia="zh-Hans"/>
              </w:rPr>
              <w:t>风险模型控制投资组合对各类风险因子的敞口，包括资产波动率、行业集中度、风格暴露等，力求主动风险以及跟踪误差控制在目标范围内。</w:t>
            </w:r>
            <w:r>
              <w:rPr>
                <w:rFonts w:ascii="宋体" w:hAnsi="宋体" w:hint="eastAsia"/>
                <w:lang w:eastAsia="zh-Hans"/>
              </w:rPr>
              <w:br/>
            </w:r>
            <w:r>
              <w:rPr>
                <w:rFonts w:ascii="宋体" w:hAnsi="宋体" w:hint="eastAsia"/>
                <w:lang w:eastAsia="zh-Hans"/>
              </w:rPr>
              <w:t>组合优化模型结合收益预测模型和风险模型的产出，并综合考虑交</w:t>
            </w:r>
            <w:r>
              <w:rPr>
                <w:rFonts w:ascii="宋体" w:hAnsi="宋体" w:hint="eastAsia"/>
                <w:lang w:eastAsia="zh-Hans"/>
              </w:rPr>
              <w:t>易成本等因素，在风险约束条件下，将投研成果转化为实际的可投资组合。力争股票配置最优化，以期达到持续超越业绩比较基准收益率的投资目标。</w:t>
            </w:r>
            <w:r>
              <w:rPr>
                <w:rFonts w:ascii="宋体" w:hAnsi="宋体" w:hint="eastAsia"/>
                <w:lang w:eastAsia="zh-Hans"/>
              </w:rPr>
              <w:br/>
              <w:t>3</w:t>
            </w:r>
            <w:r>
              <w:rPr>
                <w:rFonts w:ascii="宋体" w:hAnsi="宋体" w:hint="eastAsia"/>
                <w:lang w:eastAsia="zh-Hans"/>
              </w:rPr>
              <w:t>、其他投资策略：包括金融衍生品投资策略、债券投资策略、融资及转融通证券出借策略、存托凭证投资策略</w:t>
            </w:r>
            <w:r>
              <w:rPr>
                <w:rFonts w:ascii="宋体" w:hAnsi="宋体" w:hint="eastAsia"/>
                <w:lang w:eastAsia="zh-Hans"/>
              </w:rPr>
              <w:t>。</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中证</w:t>
            </w:r>
            <w:r>
              <w:rPr>
                <w:rFonts w:ascii="宋体" w:hAnsi="宋体" w:hint="eastAsia"/>
                <w:lang w:eastAsia="zh-Hans"/>
              </w:rPr>
              <w:t>A500</w:t>
            </w:r>
            <w:r>
              <w:rPr>
                <w:rFonts w:ascii="宋体" w:hAnsi="宋体" w:hint="eastAsia"/>
                <w:lang w:eastAsia="zh-Hans"/>
              </w:rPr>
              <w:t>指数收益率×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本基金为指数增强型基金，其预期风险与预期收益高于混合型基金、债券型基金与货币市场基金。同时，本基金主要投资于标的指数成份股及其备选成份股，具有与标的指数相似的风险收益特征</w:t>
            </w:r>
            <w:r>
              <w:rPr>
                <w:rFonts w:ascii="宋体" w:hAnsi="宋体" w:hint="eastAsia"/>
                <w:lang w:eastAsia="zh-Hans"/>
              </w:rPr>
              <w:t>。</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5178149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lang w:eastAsia="zh-Hans"/>
              </w:rPr>
              <w:t>上海浦东发展银行股份有限公</w:t>
            </w:r>
            <w:r>
              <w:rPr>
                <w:rFonts w:ascii="宋体" w:hAnsi="宋体" w:hint="eastAsia"/>
                <w:lang w:eastAsia="zh-Hans"/>
              </w:rPr>
              <w:t>司</w:t>
            </w:r>
          </w:p>
        </w:tc>
      </w:tr>
      <w:tr w:rsidR="00000000">
        <w:trPr>
          <w:divId w:val="5178149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bookmarkStart w:id="26"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lang w:eastAsia="zh-Hans"/>
              </w:rPr>
              <w:t>摩根中证</w:t>
            </w:r>
            <w:r>
              <w:rPr>
                <w:rFonts w:ascii="宋体" w:hAnsi="宋体" w:hint="eastAsia"/>
                <w:lang w:eastAsia="zh-Hans"/>
              </w:rPr>
              <w:t>A500</w:t>
            </w:r>
            <w:r>
              <w:rPr>
                <w:rFonts w:ascii="宋体" w:hAnsi="宋体" w:hint="eastAsia"/>
                <w:lang w:eastAsia="zh-Hans"/>
              </w:rPr>
              <w:t>指数增强</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lang w:eastAsia="zh-Hans"/>
              </w:rPr>
              <w:t>摩根中证</w:t>
            </w:r>
            <w:r>
              <w:rPr>
                <w:rFonts w:ascii="宋体" w:hAnsi="宋体" w:hint="eastAsia"/>
                <w:lang w:eastAsia="zh-Hans"/>
              </w:rPr>
              <w:t>A500</w:t>
            </w:r>
            <w:r>
              <w:rPr>
                <w:rFonts w:ascii="宋体" w:hAnsi="宋体" w:hint="eastAsia"/>
                <w:lang w:eastAsia="zh-Hans"/>
              </w:rPr>
              <w:t>指数增强</w:t>
            </w:r>
            <w:r>
              <w:rPr>
                <w:rFonts w:ascii="宋体" w:hAnsi="宋体" w:hint="eastAsia"/>
                <w:lang w:eastAsia="zh-Hans"/>
              </w:rPr>
              <w:t>C</w:t>
            </w:r>
            <w:r>
              <w:rPr>
                <w:rFonts w:ascii="宋体" w:hAnsi="宋体" w:hint="eastAsia"/>
                <w:kern w:val="0"/>
                <w:sz w:val="20"/>
                <w:lang w:eastAsia="zh-Hans"/>
              </w:rPr>
              <w:t xml:space="preserve"> </w:t>
            </w:r>
          </w:p>
        </w:tc>
      </w:tr>
      <w:tr w:rsidR="00000000">
        <w:trPr>
          <w:divId w:val="5178149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lang w:eastAsia="zh-Hans"/>
              </w:rPr>
              <w:t>02386</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lang w:eastAsia="zh-Hans"/>
              </w:rPr>
              <w:t>02387</w:t>
            </w:r>
            <w:r>
              <w:rPr>
                <w:rFonts w:ascii="宋体" w:hAnsi="宋体" w:hint="eastAsia"/>
                <w:lang w:eastAsia="zh-Hans"/>
              </w:rPr>
              <w:t>0</w:t>
            </w:r>
            <w:r>
              <w:rPr>
                <w:rFonts w:ascii="宋体" w:hAnsi="宋体" w:hint="eastAsia"/>
                <w:kern w:val="0"/>
                <w:sz w:val="20"/>
                <w:lang w:eastAsia="zh-Hans"/>
              </w:rPr>
              <w:t xml:space="preserve"> </w:t>
            </w:r>
          </w:p>
        </w:tc>
      </w:tr>
      <w:bookmarkEnd w:id="25"/>
      <w:bookmarkEnd w:id="26"/>
      <w:tr w:rsidR="00000000">
        <w:trPr>
          <w:divId w:val="5178149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76897" w:rsidRDefault="00E7689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lang w:eastAsia="zh-Hans"/>
              </w:rPr>
              <w:t>227,140,288.1</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lang w:eastAsia="zh-Hans"/>
              </w:rPr>
              <w:t>268,405,918.4</w:t>
            </w:r>
            <w:r>
              <w:rPr>
                <w:rFonts w:ascii="宋体" w:hAnsi="宋体" w:hint="eastAsia"/>
                <w:lang w:eastAsia="zh-Hans"/>
              </w:rPr>
              <w:t>0</w:t>
            </w:r>
            <w:r>
              <w:rPr>
                <w:rFonts w:hint="eastAsia"/>
              </w:rPr>
              <w:t>份</w:t>
            </w:r>
            <w:r>
              <w:rPr>
                <w:rFonts w:ascii="宋体" w:hAnsi="宋体" w:hint="eastAsia"/>
                <w:lang w:eastAsia="zh-Hans"/>
              </w:rPr>
              <w:t xml:space="preserve"> </w:t>
            </w:r>
          </w:p>
        </w:tc>
      </w:tr>
    </w:tbl>
    <w:p w:rsidR="00E76897" w:rsidRDefault="00E76897">
      <w:pPr>
        <w:pStyle w:val="XBRLTitle1"/>
        <w:spacing w:before="156" w:line="360" w:lineRule="auto"/>
        <w:ind w:left="425"/>
      </w:pPr>
      <w:bookmarkStart w:id="27" w:name="_Toc513386584"/>
      <w:bookmarkStart w:id="28" w:name="_Toc490050003"/>
      <w:bookmarkStart w:id="29" w:name="_Toc438646455"/>
      <w:bookmarkStart w:id="30" w:name="_Toc481075049"/>
      <w:bookmarkStart w:id="31" w:name="_Toc512519482"/>
      <w:bookmarkStart w:id="32" w:name="m401"/>
      <w:bookmarkStart w:id="33" w:name="m401_tab"/>
      <w:r>
        <w:rPr>
          <w:rFonts w:hAnsi="宋体" w:hint="eastAsia"/>
        </w:rPr>
        <w:t>主要财务指标和基金净值表</w:t>
      </w:r>
      <w:r>
        <w:rPr>
          <w:rFonts w:hAnsi="宋体" w:hint="eastAsia"/>
        </w:rPr>
        <w:t>现</w:t>
      </w:r>
      <w:bookmarkEnd w:id="27"/>
      <w:bookmarkEnd w:id="28"/>
      <w:bookmarkEnd w:id="29"/>
      <w:bookmarkEnd w:id="30"/>
      <w:bookmarkEnd w:id="31"/>
      <w:r>
        <w:rPr>
          <w:rFonts w:hAnsi="宋体" w:hint="eastAsia"/>
        </w:rPr>
        <w:t xml:space="preserve"> </w:t>
      </w:r>
    </w:p>
    <w:p w:rsidR="00E76897" w:rsidRDefault="00E76897">
      <w:pPr>
        <w:pStyle w:val="XBRLTitle2"/>
        <w:spacing w:before="156" w:line="360" w:lineRule="auto"/>
        <w:ind w:left="454"/>
        <w:rPr>
          <w:rFonts w:hint="eastAsia"/>
        </w:rPr>
      </w:pPr>
      <w:bookmarkStart w:id="34" w:name="_Toc513386585"/>
      <w:bookmarkStart w:id="35" w:name="_Toc490050004"/>
      <w:bookmarkStart w:id="36" w:name="_Toc438646456"/>
      <w:bookmarkStart w:id="37" w:name="_Toc481075050"/>
      <w:bookmarkStart w:id="38" w:name="_Toc512519483"/>
      <w:r>
        <w:rPr>
          <w:rFonts w:hAnsi="宋体" w:hint="eastAsia"/>
        </w:rPr>
        <w:t>主要财务指</w:t>
      </w:r>
      <w:r>
        <w:rPr>
          <w:rFonts w:hAnsi="宋体" w:hint="eastAsia"/>
        </w:rPr>
        <w:t>标</w:t>
      </w:r>
      <w:bookmarkEnd w:id="34"/>
      <w:bookmarkEnd w:id="35"/>
      <w:bookmarkEnd w:id="36"/>
      <w:bookmarkEnd w:id="37"/>
      <w:bookmarkEnd w:id="38"/>
      <w:r>
        <w:rPr>
          <w:rFonts w:hAnsi="宋体" w:hint="eastAsia"/>
        </w:rPr>
        <w:t xml:space="preserve"> </w:t>
      </w:r>
    </w:p>
    <w:p w:rsidR="00E76897" w:rsidRDefault="00E76897">
      <w:pPr>
        <w:jc w:val="right"/>
        <w:divId w:val="25494762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33"/>
        <w:gridCol w:w="2801"/>
        <w:gridCol w:w="2801"/>
      </w:tblGrid>
      <w:tr w:rsidR="00000000">
        <w:trPr>
          <w:divId w:val="25494762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76897" w:rsidRDefault="00E7689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76897" w:rsidRDefault="00E7689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5494762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6897" w:rsidRDefault="00E7689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76897" w:rsidRDefault="00E76897">
            <w:pPr>
              <w:jc w:val="center"/>
              <w:rPr>
                <w:rFonts w:hint="eastAsia"/>
              </w:rPr>
            </w:pPr>
            <w:r>
              <w:rPr>
                <w:rFonts w:ascii="宋体" w:hAnsi="宋体" w:hint="eastAsia"/>
                <w:szCs w:val="24"/>
                <w:lang w:eastAsia="zh-Hans"/>
              </w:rPr>
              <w:t>摩根中证</w:t>
            </w:r>
            <w:r>
              <w:rPr>
                <w:rFonts w:ascii="宋体" w:hAnsi="宋体" w:hint="eastAsia"/>
                <w:szCs w:val="24"/>
                <w:lang w:eastAsia="zh-Hans"/>
              </w:rPr>
              <w:t>A500</w:t>
            </w:r>
            <w:r>
              <w:rPr>
                <w:rFonts w:ascii="宋体" w:hAnsi="宋体" w:hint="eastAsia"/>
                <w:szCs w:val="24"/>
                <w:lang w:eastAsia="zh-Hans"/>
              </w:rPr>
              <w:t>指数增强</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76897" w:rsidRDefault="00E76897">
            <w:pPr>
              <w:jc w:val="center"/>
            </w:pPr>
            <w:r>
              <w:rPr>
                <w:rFonts w:ascii="宋体" w:hAnsi="宋体" w:hint="eastAsia"/>
                <w:szCs w:val="24"/>
                <w:lang w:eastAsia="zh-Hans"/>
              </w:rPr>
              <w:t>摩根中证</w:t>
            </w:r>
            <w:r>
              <w:rPr>
                <w:rFonts w:ascii="宋体" w:hAnsi="宋体" w:hint="eastAsia"/>
                <w:szCs w:val="24"/>
                <w:lang w:eastAsia="zh-Hans"/>
              </w:rPr>
              <w:t>A500</w:t>
            </w:r>
            <w:r>
              <w:rPr>
                <w:rFonts w:ascii="宋体" w:hAnsi="宋体" w:hint="eastAsia"/>
                <w:szCs w:val="24"/>
                <w:lang w:eastAsia="zh-Hans"/>
              </w:rPr>
              <w:t>指数增强</w:t>
            </w:r>
            <w:r>
              <w:rPr>
                <w:rFonts w:ascii="宋体" w:hAnsi="宋体" w:hint="eastAsia"/>
                <w:szCs w:val="24"/>
                <w:lang w:eastAsia="zh-Hans"/>
              </w:rPr>
              <w:t>C</w:t>
            </w:r>
          </w:p>
        </w:tc>
      </w:tr>
      <w:tr w:rsidR="00000000">
        <w:trPr>
          <w:divId w:val="25494762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rPr>
                <w:rFonts w:hint="eastAsia"/>
              </w:rPr>
            </w:pPr>
            <w:r>
              <w:rPr>
                <w:rFonts w:ascii="宋体" w:hAnsi="宋体" w:hint="eastAsia"/>
                <w:szCs w:val="24"/>
                <w:lang w:eastAsia="zh-Hans"/>
              </w:rPr>
              <w:t>6,441,445.4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pPr>
            <w:r>
              <w:rPr>
                <w:rFonts w:ascii="宋体" w:hAnsi="宋体" w:hint="eastAsia"/>
                <w:szCs w:val="24"/>
                <w:lang w:eastAsia="zh-Hans"/>
              </w:rPr>
              <w:t>7,716,151.4</w:t>
            </w:r>
            <w:r>
              <w:rPr>
                <w:rFonts w:ascii="宋体" w:hAnsi="宋体" w:hint="eastAsia"/>
                <w:szCs w:val="24"/>
                <w:lang w:eastAsia="zh-Hans"/>
              </w:rPr>
              <w:t>7</w:t>
            </w:r>
          </w:p>
        </w:tc>
      </w:tr>
      <w:tr w:rsidR="00000000">
        <w:trPr>
          <w:divId w:val="25494762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rPr>
                <w:rFonts w:hint="eastAsia"/>
              </w:rPr>
            </w:pPr>
            <w:r>
              <w:rPr>
                <w:rFonts w:ascii="宋体" w:hAnsi="宋体" w:hint="eastAsia"/>
                <w:szCs w:val="24"/>
                <w:lang w:eastAsia="zh-Hans"/>
              </w:rPr>
              <w:t>35,672,404.6</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pPr>
            <w:r>
              <w:rPr>
                <w:rFonts w:ascii="宋体" w:hAnsi="宋体" w:hint="eastAsia"/>
                <w:szCs w:val="24"/>
                <w:lang w:eastAsia="zh-Hans"/>
              </w:rPr>
              <w:t>47,195,387.8</w:t>
            </w:r>
            <w:r>
              <w:rPr>
                <w:rFonts w:ascii="宋体" w:hAnsi="宋体" w:hint="eastAsia"/>
                <w:szCs w:val="24"/>
                <w:lang w:eastAsia="zh-Hans"/>
              </w:rPr>
              <w:t>3</w:t>
            </w:r>
          </w:p>
        </w:tc>
      </w:tr>
      <w:tr w:rsidR="00000000">
        <w:trPr>
          <w:divId w:val="25494762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rPr>
                <w:rFonts w:hint="eastAsia"/>
              </w:rPr>
            </w:pPr>
            <w:r>
              <w:rPr>
                <w:rFonts w:ascii="宋体" w:hAnsi="宋体" w:hint="eastAsia"/>
                <w:szCs w:val="24"/>
                <w:lang w:eastAsia="zh-Hans"/>
              </w:rPr>
              <w:t>0.132</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pPr>
            <w:r>
              <w:rPr>
                <w:rFonts w:ascii="宋体" w:hAnsi="宋体" w:hint="eastAsia"/>
                <w:szCs w:val="24"/>
                <w:lang w:eastAsia="zh-Hans"/>
              </w:rPr>
              <w:t>0.137</w:t>
            </w:r>
            <w:r>
              <w:rPr>
                <w:rFonts w:ascii="宋体" w:hAnsi="宋体" w:hint="eastAsia"/>
                <w:szCs w:val="24"/>
                <w:lang w:eastAsia="zh-Hans"/>
              </w:rPr>
              <w:t>0</w:t>
            </w:r>
          </w:p>
        </w:tc>
      </w:tr>
      <w:tr w:rsidR="00000000">
        <w:trPr>
          <w:divId w:val="25494762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rPr>
                <w:rFonts w:hint="eastAsia"/>
              </w:rPr>
            </w:pPr>
            <w:r>
              <w:rPr>
                <w:rFonts w:ascii="宋体" w:hAnsi="宋体" w:hint="eastAsia"/>
                <w:szCs w:val="24"/>
                <w:lang w:eastAsia="zh-Hans"/>
              </w:rPr>
              <w:t>257,424,095.1</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pPr>
            <w:r>
              <w:rPr>
                <w:rFonts w:ascii="宋体" w:hAnsi="宋体" w:hint="eastAsia"/>
                <w:szCs w:val="24"/>
                <w:lang w:eastAsia="zh-Hans"/>
              </w:rPr>
              <w:t>303,233,040.8</w:t>
            </w:r>
            <w:r>
              <w:rPr>
                <w:rFonts w:ascii="宋体" w:hAnsi="宋体" w:hint="eastAsia"/>
                <w:szCs w:val="24"/>
                <w:lang w:eastAsia="zh-Hans"/>
              </w:rPr>
              <w:t>2</w:t>
            </w:r>
          </w:p>
        </w:tc>
      </w:tr>
      <w:tr w:rsidR="00000000">
        <w:trPr>
          <w:divId w:val="25494762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rPr>
                <w:rFonts w:hint="eastAsia"/>
              </w:rPr>
            </w:pPr>
            <w:r>
              <w:rPr>
                <w:rFonts w:ascii="宋体" w:hAnsi="宋体" w:hint="eastAsia"/>
                <w:szCs w:val="24"/>
                <w:lang w:eastAsia="zh-Hans"/>
              </w:rPr>
              <w:t>1.133</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76897" w:rsidRDefault="00E76897">
            <w:pPr>
              <w:jc w:val="right"/>
            </w:pPr>
            <w:r>
              <w:rPr>
                <w:rFonts w:ascii="宋体" w:hAnsi="宋体" w:hint="eastAsia"/>
                <w:szCs w:val="24"/>
                <w:lang w:eastAsia="zh-Hans"/>
              </w:rPr>
              <w:t>1.129</w:t>
            </w:r>
            <w:r>
              <w:rPr>
                <w:rFonts w:ascii="宋体" w:hAnsi="宋体" w:hint="eastAsia"/>
                <w:szCs w:val="24"/>
                <w:lang w:eastAsia="zh-Hans"/>
              </w:rPr>
              <w:t>8</w:t>
            </w:r>
          </w:p>
        </w:tc>
      </w:tr>
    </w:tbl>
    <w:p w:rsidR="00E76897" w:rsidRDefault="00E76897">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E76897" w:rsidRDefault="00E76897">
      <w:pPr>
        <w:pStyle w:val="XBRLTitle2"/>
        <w:spacing w:before="156" w:line="360" w:lineRule="auto"/>
        <w:ind w:left="454"/>
      </w:pPr>
      <w:bookmarkStart w:id="39" w:name="_Toc513386586"/>
      <w:bookmarkStart w:id="40" w:name="_Toc490050005"/>
      <w:bookmarkStart w:id="41" w:name="_Toc438646457"/>
      <w:bookmarkStart w:id="42" w:name="_Toc481075051"/>
      <w:bookmarkStart w:id="43" w:name="_Toc512519484"/>
      <w:r>
        <w:rPr>
          <w:rFonts w:hAnsi="宋体" w:hint="eastAsia"/>
        </w:rPr>
        <w:t>基金净值表</w:t>
      </w:r>
      <w:r>
        <w:rPr>
          <w:rFonts w:hAnsi="宋体" w:hint="eastAsia"/>
        </w:rPr>
        <w:t>现</w:t>
      </w:r>
      <w:bookmarkEnd w:id="39"/>
      <w:bookmarkEnd w:id="40"/>
      <w:bookmarkEnd w:id="41"/>
      <w:bookmarkEnd w:id="42"/>
      <w:bookmarkEnd w:id="43"/>
      <w:r>
        <w:rPr>
          <w:rFonts w:hAnsi="宋体" w:hint="eastAsia"/>
        </w:rPr>
        <w:t xml:space="preserve"> </w:t>
      </w:r>
    </w:p>
    <w:p w:rsidR="00E76897" w:rsidRDefault="00E76897">
      <w:pPr>
        <w:pStyle w:val="XBRLTitle3"/>
        <w:spacing w:before="156"/>
        <w:ind w:left="0"/>
        <w:rPr>
          <w:rFonts w:hint="eastAsia"/>
        </w:rPr>
      </w:pPr>
      <w:bookmarkStart w:id="44" w:name="_Toc513386587"/>
      <w:bookmarkStart w:id="45" w:name="_Toc490050006"/>
      <w:bookmarkStart w:id="46" w:name="_Toc481075052"/>
      <w:bookmarkStart w:id="47" w:name="_Toc512519485"/>
      <w:r>
        <w:rPr>
          <w:rFonts w:hint="eastAsia"/>
        </w:rPr>
        <w:t>基金份额净值增长率及其与同期业绩比较基准收益率的比</w:t>
      </w:r>
      <w:r>
        <w:rPr>
          <w:rFonts w:hint="eastAsia"/>
        </w:rPr>
        <w:t>较</w:t>
      </w:r>
      <w:bookmarkEnd w:id="44"/>
      <w:bookmarkEnd w:id="45"/>
      <w:bookmarkEnd w:id="46"/>
      <w:bookmarkEnd w:id="47"/>
      <w:r>
        <w:rPr>
          <w:rFonts w:hint="eastAsia"/>
          <w:lang w:eastAsia="zh-CN"/>
        </w:rPr>
        <w:t xml:space="preserve"> </w:t>
      </w:r>
    </w:p>
    <w:p w:rsidR="00E76897" w:rsidRDefault="00E76897">
      <w:pPr>
        <w:spacing w:line="360" w:lineRule="auto"/>
        <w:jc w:val="center"/>
        <w:divId w:val="356931976"/>
        <w:rPr>
          <w:rFonts w:hint="eastAsia"/>
        </w:rPr>
      </w:pPr>
      <w:r>
        <w:rPr>
          <w:rFonts w:ascii="宋体" w:hAnsi="宋体" w:hint="eastAsia"/>
        </w:rPr>
        <w:t>摩根中证</w:t>
      </w:r>
      <w:r>
        <w:rPr>
          <w:rFonts w:ascii="宋体" w:hAnsi="宋体" w:hint="eastAsia"/>
        </w:rPr>
        <w:t>A500</w:t>
      </w:r>
      <w:r>
        <w:rPr>
          <w:rFonts w:ascii="宋体" w:hAnsi="宋体" w:hint="eastAsia"/>
        </w:rPr>
        <w:t>指数增强</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5693197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②－④</w:t>
            </w:r>
            <w:r>
              <w:rPr>
                <w:rFonts w:ascii="宋体" w:hAnsi="宋体" w:hint="eastAsia"/>
              </w:rPr>
              <w:t xml:space="preserve"> </w:t>
            </w:r>
          </w:p>
        </w:tc>
      </w:tr>
      <w:tr w:rsidR="00000000">
        <w:trPr>
          <w:divId w:val="3569319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76897" w:rsidRDefault="00E76897">
            <w:pPr>
              <w:spacing w:line="360" w:lineRule="auto"/>
              <w:jc w:val="right"/>
            </w:pPr>
            <w:r>
              <w:rPr>
                <w:rFonts w:ascii="宋体" w:hAnsi="宋体" w:hint="eastAsia"/>
              </w:rPr>
              <w:t>-1.8</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3569319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11.3</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76897" w:rsidRDefault="00E76897">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r>
      <w:tr w:rsidR="00000000">
        <w:trPr>
          <w:divId w:val="3569319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13.3</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15.1</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76897" w:rsidRDefault="00E76897">
            <w:pPr>
              <w:spacing w:line="360" w:lineRule="auto"/>
              <w:jc w:val="right"/>
            </w:pPr>
            <w:r>
              <w:rPr>
                <w:rFonts w:ascii="宋体" w:hAnsi="宋体" w:hint="eastAsia"/>
              </w:rPr>
              <w:t>-1.7</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bl>
    <w:p w:rsidR="00E76897" w:rsidRDefault="00E76897">
      <w:pPr>
        <w:spacing w:line="360" w:lineRule="auto"/>
        <w:jc w:val="center"/>
        <w:divId w:val="1746489264"/>
      </w:pPr>
      <w:r>
        <w:rPr>
          <w:rFonts w:ascii="宋体" w:hAnsi="宋体" w:hint="eastAsia"/>
        </w:rPr>
        <w:t>摩根中证</w:t>
      </w:r>
      <w:r>
        <w:rPr>
          <w:rFonts w:ascii="宋体" w:hAnsi="宋体" w:hint="eastAsia"/>
        </w:rPr>
        <w:t>A500</w:t>
      </w:r>
      <w:r>
        <w:rPr>
          <w:rFonts w:ascii="宋体" w:hAnsi="宋体" w:hint="eastAsia"/>
        </w:rPr>
        <w:t>指数增强</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4648926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7464892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11.5</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76897" w:rsidRDefault="00E76897">
            <w:pPr>
              <w:spacing w:line="360" w:lineRule="auto"/>
              <w:jc w:val="right"/>
            </w:pPr>
            <w:r>
              <w:rPr>
                <w:rFonts w:ascii="宋体" w:hAnsi="宋体" w:hint="eastAsia"/>
              </w:rPr>
              <w:t>-1.9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7464892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11.0</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1.3</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76897" w:rsidRDefault="00E76897">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7464892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12.9</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15.1</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76897" w:rsidRDefault="00E76897">
            <w:pPr>
              <w:spacing w:line="360" w:lineRule="auto"/>
              <w:jc w:val="right"/>
            </w:pPr>
            <w:r>
              <w:rPr>
                <w:rFonts w:ascii="宋体" w:hAnsi="宋体" w:hint="eastAsia"/>
              </w:rPr>
              <w:t>-2.1</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bl>
    <w:p w:rsidR="00E76897" w:rsidRDefault="00E76897">
      <w:pPr>
        <w:pStyle w:val="XBRLTitle3"/>
        <w:spacing w:before="156"/>
        <w:ind w:left="0"/>
      </w:pPr>
      <w:bookmarkStart w:id="48" w:name="_Toc513386588"/>
      <w:bookmarkStart w:id="49" w:name="_Toc490050007"/>
      <w:bookmarkStart w:id="50" w:name="_Toc481075053"/>
      <w:bookmarkStart w:id="51" w:name="_Toc512519486"/>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48"/>
      <w:bookmarkEnd w:id="49"/>
      <w:bookmarkEnd w:id="50"/>
      <w:bookmarkEnd w:id="51"/>
      <w:r>
        <w:rPr>
          <w:rFonts w:hint="eastAsia"/>
          <w:kern w:val="2"/>
          <w:sz w:val="21"/>
          <w:szCs w:val="20"/>
          <w:lang w:val="en-US" w:eastAsia="zh-CN"/>
        </w:rPr>
        <w:t xml:space="preserve"> </w:t>
      </w:r>
    </w:p>
    <w:p w:rsidR="00E76897" w:rsidRDefault="00E76897">
      <w:pPr>
        <w:spacing w:line="360" w:lineRule="auto"/>
        <w:jc w:val="left"/>
        <w:divId w:val="755175760"/>
        <w:rPr>
          <w:rFonts w:hint="eastAsia"/>
        </w:rPr>
      </w:pPr>
      <w:bookmarkStart w:id="52" w:name="m07_04_07_09_tab"/>
      <w:bookmarkStart w:id="53" w:name="m07_04_07_09"/>
      <w:bookmarkStart w:id="54"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76897" w:rsidRDefault="00E76897">
      <w:pPr>
        <w:spacing w:line="360" w:lineRule="auto"/>
        <w:jc w:val="left"/>
        <w:divId w:val="1056123344"/>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76897" w:rsidRDefault="00E7689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2025</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16</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52"/>
      <w:bookmarkEnd w:id="53"/>
      <w:bookmarkEnd w:id="54"/>
    </w:p>
    <w:p w:rsidR="00E76897" w:rsidRDefault="00E76897">
      <w:pPr>
        <w:pStyle w:val="XBRLTitle1"/>
        <w:spacing w:before="156" w:line="360" w:lineRule="auto"/>
        <w:ind w:left="425"/>
      </w:pPr>
      <w:bookmarkStart w:id="55" w:name="_Toc513386589"/>
      <w:bookmarkStart w:id="56" w:name="_Toc512519487"/>
      <w:bookmarkStart w:id="57" w:name="_Toc490050008"/>
      <w:bookmarkStart w:id="58" w:name="_Toc438646458"/>
      <w:bookmarkStart w:id="59" w:name="_Toc481075054"/>
      <w:r>
        <w:rPr>
          <w:rFonts w:hAnsi="宋体" w:hint="eastAsia"/>
        </w:rPr>
        <w:t>管理人报</w:t>
      </w:r>
      <w:r>
        <w:rPr>
          <w:rFonts w:hAnsi="宋体" w:hint="eastAsia"/>
        </w:rPr>
        <w:t>告</w:t>
      </w:r>
      <w:bookmarkEnd w:id="55"/>
      <w:bookmarkEnd w:id="56"/>
      <w:bookmarkEnd w:id="57"/>
      <w:bookmarkEnd w:id="58"/>
      <w:bookmarkEnd w:id="59"/>
      <w:r>
        <w:rPr>
          <w:rFonts w:hAnsi="宋体" w:hint="eastAsia"/>
        </w:rPr>
        <w:t xml:space="preserve"> </w:t>
      </w:r>
    </w:p>
    <w:p w:rsidR="00E76897" w:rsidRDefault="00E76897">
      <w:pPr>
        <w:pStyle w:val="XBRLTitle2"/>
        <w:spacing w:before="156" w:line="360" w:lineRule="auto"/>
        <w:ind w:left="454"/>
        <w:rPr>
          <w:rFonts w:hint="eastAsia"/>
        </w:rPr>
      </w:pPr>
      <w:bookmarkStart w:id="60" w:name="_Toc513386590"/>
      <w:bookmarkStart w:id="61" w:name="_Toc512519488"/>
      <w:bookmarkStart w:id="62" w:name="_Toc490050009"/>
      <w:bookmarkStart w:id="63" w:name="_Toc438646459"/>
      <w:bookmarkStart w:id="64" w:name="_Toc481075055"/>
      <w:r>
        <w:rPr>
          <w:rFonts w:hAnsi="宋体" w:hint="eastAsia"/>
        </w:rPr>
        <w:t>基金经理（或基金经理小组）简</w:t>
      </w:r>
      <w:r>
        <w:rPr>
          <w:rFonts w:hAnsi="宋体" w:hint="eastAsia"/>
        </w:rPr>
        <w:t>介</w:t>
      </w:r>
      <w:bookmarkEnd w:id="60"/>
      <w:bookmarkEnd w:id="61"/>
      <w:bookmarkEnd w:id="62"/>
      <w:bookmarkEnd w:id="63"/>
      <w:bookmarkEnd w:id="6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13529408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napToGrid w:val="0"/>
              <w:jc w:val="center"/>
              <w:rPr>
                <w:rFonts w:hint="eastAsia"/>
              </w:rPr>
            </w:pPr>
            <w:bookmarkStart w:id="65" w:name="m04_02"/>
            <w:bookmarkEnd w:id="6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13529408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6897" w:rsidRDefault="00E7689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897" w:rsidRDefault="00E7689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897" w:rsidRDefault="00E7689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897" w:rsidRDefault="00E76897">
            <w:pPr>
              <w:widowControl/>
              <w:jc w:val="left"/>
            </w:pPr>
          </w:p>
        </w:tc>
      </w:tr>
      <w:tr w:rsidR="00000000">
        <w:trPr>
          <w:divId w:val="113529408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何智</w:t>
            </w:r>
            <w:r>
              <w:rPr>
                <w:rFonts w:ascii="宋体" w:hAnsi="宋体" w:hint="eastAsia"/>
                <w:szCs w:val="24"/>
                <w:lang w:eastAsia="zh-Hans"/>
              </w:rPr>
              <w:t>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szCs w:val="24"/>
                <w:lang w:eastAsia="zh-Hans"/>
              </w:rPr>
              <w:t>何智豪先生曾任中国国际金融股份有限公司组合与量化策略研究员、资产管理部高级经理。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月起加入摩根基金管理（中国）有限公司（原上投摩根基金管理有限公司），现任指数及量化投资部基金经理</w:t>
            </w:r>
            <w:r>
              <w:rPr>
                <w:rFonts w:ascii="宋体" w:hAnsi="宋体" w:hint="eastAsia"/>
                <w:szCs w:val="24"/>
                <w:lang w:eastAsia="zh-Hans"/>
              </w:rPr>
              <w:t>。</w:t>
            </w:r>
          </w:p>
        </w:tc>
      </w:tr>
      <w:tr w:rsidR="00000000">
        <w:trPr>
          <w:divId w:val="113529408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胡</w:t>
            </w:r>
            <w:r>
              <w:rPr>
                <w:rFonts w:ascii="宋体" w:hAnsi="宋体" w:hint="eastAsia"/>
                <w:szCs w:val="24"/>
                <w:lang w:eastAsia="zh-Hans"/>
              </w:rPr>
              <w:t>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szCs w:val="24"/>
                <w:lang w:eastAsia="zh-Hans"/>
              </w:rPr>
              <w:t>本基金基金经理、指数及量化投资部总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18</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月加入摩根基金管理（中国）有限公司（原上投摩根基金管理有限公司），现任指数及量化投资部总监兼基金经理</w:t>
            </w:r>
            <w:r>
              <w:rPr>
                <w:rFonts w:ascii="宋体" w:hAnsi="宋体" w:hint="eastAsia"/>
                <w:szCs w:val="24"/>
                <w:lang w:eastAsia="zh-Hans"/>
              </w:rPr>
              <w:t>。</w:t>
            </w:r>
          </w:p>
        </w:tc>
      </w:tr>
    </w:tbl>
    <w:p w:rsidR="00E76897" w:rsidRDefault="00E76897">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E76897" w:rsidRDefault="00E76897">
      <w:pPr>
        <w:pStyle w:val="XBRLTitle2"/>
        <w:spacing w:before="156" w:line="360" w:lineRule="auto"/>
        <w:ind w:left="454"/>
      </w:pPr>
      <w:bookmarkStart w:id="66" w:name="_Toc513386591"/>
      <w:bookmarkStart w:id="67" w:name="_Toc512519489"/>
      <w:bookmarkStart w:id="68" w:name="_Toc490050010"/>
      <w:bookmarkStart w:id="69" w:name="_Toc438646460"/>
      <w:bookmarkStart w:id="70" w:name="_Toc481075056"/>
      <w:bookmarkStart w:id="71" w:name="m402"/>
      <w:r>
        <w:rPr>
          <w:rFonts w:hAnsi="宋体" w:hint="eastAsia"/>
        </w:rPr>
        <w:t>管理人对报告期内本基金运作遵规守信情况的说</w:t>
      </w:r>
      <w:r>
        <w:rPr>
          <w:rFonts w:hAnsi="宋体" w:hint="eastAsia"/>
        </w:rPr>
        <w:t>明</w:t>
      </w:r>
      <w:bookmarkEnd w:id="66"/>
      <w:bookmarkEnd w:id="67"/>
      <w:bookmarkEnd w:id="68"/>
      <w:bookmarkEnd w:id="69"/>
      <w:bookmarkEnd w:id="70"/>
      <w:r>
        <w:rPr>
          <w:rFonts w:hAnsi="宋体" w:hint="eastAsia"/>
        </w:rPr>
        <w:t xml:space="preserve"> </w:t>
      </w:r>
    </w:p>
    <w:p w:rsidR="00E76897" w:rsidRDefault="00E76897">
      <w:pPr>
        <w:spacing w:line="360" w:lineRule="auto"/>
        <w:ind w:firstLineChars="200" w:firstLine="420"/>
        <w:jc w:val="left"/>
        <w:rPr>
          <w:rFonts w:hint="eastAsia"/>
        </w:rPr>
      </w:pPr>
      <w:bookmarkStart w:id="72" w:name="m403"/>
      <w:bookmarkEnd w:id="71"/>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E76897" w:rsidRDefault="00E76897">
      <w:pPr>
        <w:pStyle w:val="XBRLTitle2"/>
        <w:spacing w:before="156" w:line="360" w:lineRule="auto"/>
        <w:ind w:left="454"/>
      </w:pPr>
      <w:bookmarkStart w:id="73" w:name="_Toc513386592"/>
      <w:bookmarkStart w:id="74" w:name="_Toc512519490"/>
      <w:bookmarkStart w:id="75" w:name="_Toc490050011"/>
      <w:bookmarkStart w:id="76" w:name="_Toc438646462"/>
      <w:bookmarkStart w:id="77" w:name="_Toc481075057"/>
      <w:bookmarkEnd w:id="72"/>
      <w:r>
        <w:rPr>
          <w:rFonts w:hAnsi="宋体" w:hint="eastAsia"/>
        </w:rPr>
        <w:t>公平交易专项说</w:t>
      </w:r>
      <w:r>
        <w:rPr>
          <w:rFonts w:hAnsi="宋体" w:hint="eastAsia"/>
        </w:rPr>
        <w:t>明</w:t>
      </w:r>
      <w:bookmarkEnd w:id="73"/>
      <w:bookmarkEnd w:id="74"/>
      <w:bookmarkEnd w:id="75"/>
      <w:bookmarkEnd w:id="76"/>
      <w:bookmarkEnd w:id="77"/>
      <w:r>
        <w:rPr>
          <w:rFonts w:hAnsi="宋体" w:hint="eastAsia"/>
        </w:rPr>
        <w:t xml:space="preserve"> </w:t>
      </w:r>
    </w:p>
    <w:p w:rsidR="00E76897" w:rsidRDefault="00E76897">
      <w:pPr>
        <w:pStyle w:val="XBRLTitle3"/>
        <w:spacing w:before="156"/>
        <w:ind w:left="0"/>
        <w:rPr>
          <w:rFonts w:hint="eastAsia"/>
        </w:rPr>
      </w:pPr>
      <w:bookmarkStart w:id="78" w:name="_Toc513386593"/>
      <w:bookmarkStart w:id="79" w:name="_Toc512519491"/>
      <w:bookmarkStart w:id="80" w:name="_Toc490050012"/>
      <w:bookmarkStart w:id="81" w:name="_Toc481075058"/>
      <w:bookmarkStart w:id="82" w:name="m404_01_0570"/>
      <w:r>
        <w:rPr>
          <w:rFonts w:hint="eastAsia"/>
        </w:rPr>
        <w:t>公平交易制度的执行情</w:t>
      </w:r>
      <w:r>
        <w:rPr>
          <w:rFonts w:hint="eastAsia"/>
        </w:rPr>
        <w:t>况</w:t>
      </w:r>
      <w:bookmarkEnd w:id="78"/>
      <w:bookmarkEnd w:id="79"/>
      <w:bookmarkEnd w:id="80"/>
      <w:bookmarkEnd w:id="81"/>
    </w:p>
    <w:p w:rsidR="00E76897" w:rsidRDefault="00E7689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E76897" w:rsidRDefault="00E76897">
      <w:pPr>
        <w:pStyle w:val="XBRLTitle3"/>
        <w:spacing w:before="156"/>
        <w:ind w:left="0"/>
      </w:pPr>
      <w:bookmarkStart w:id="83" w:name="_Toc513386594"/>
      <w:bookmarkStart w:id="84" w:name="_Toc512519492"/>
      <w:bookmarkStart w:id="85" w:name="_Toc490050013"/>
      <w:bookmarkStart w:id="86" w:name="_Toc481075059"/>
      <w:bookmarkStart w:id="87" w:name="m404_01_0578"/>
      <w:bookmarkEnd w:id="82"/>
      <w:r>
        <w:rPr>
          <w:rFonts w:hint="eastAsia"/>
        </w:rPr>
        <w:t>异常交易行为的专项说</w:t>
      </w:r>
      <w:r>
        <w:rPr>
          <w:rFonts w:hint="eastAsia"/>
        </w:rPr>
        <w:t>明</w:t>
      </w:r>
      <w:bookmarkEnd w:id="83"/>
      <w:bookmarkEnd w:id="84"/>
      <w:bookmarkEnd w:id="85"/>
      <w:bookmarkEnd w:id="86"/>
    </w:p>
    <w:p w:rsidR="00E76897" w:rsidRDefault="00E7689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E76897" w:rsidRDefault="00E76897">
      <w:pPr>
        <w:pStyle w:val="XBRLTitle2"/>
        <w:spacing w:before="156" w:line="360" w:lineRule="auto"/>
        <w:ind w:left="454"/>
      </w:pPr>
      <w:bookmarkStart w:id="88" w:name="_Toc513386595"/>
      <w:bookmarkStart w:id="89" w:name="_Toc512519493"/>
      <w:bookmarkStart w:id="90" w:name="_Toc490050014"/>
      <w:bookmarkStart w:id="91" w:name="_Toc481075061"/>
      <w:bookmarkStart w:id="92" w:name="m405_01_2550"/>
      <w:bookmarkEnd w:id="87"/>
      <w:r>
        <w:rPr>
          <w:rFonts w:hAnsi="宋体" w:hint="eastAsia"/>
        </w:rPr>
        <w:t>报告期内基金的投资策略和运作分</w:t>
      </w:r>
      <w:r>
        <w:rPr>
          <w:rFonts w:hAnsi="宋体" w:hint="eastAsia"/>
        </w:rPr>
        <w:t>析</w:t>
      </w:r>
      <w:bookmarkEnd w:id="88"/>
      <w:bookmarkEnd w:id="89"/>
      <w:bookmarkEnd w:id="90"/>
      <w:bookmarkEnd w:id="91"/>
      <w:r>
        <w:rPr>
          <w:rFonts w:hAnsi="宋体" w:hint="eastAsia"/>
        </w:rPr>
        <w:t xml:space="preserve"> </w:t>
      </w:r>
    </w:p>
    <w:p w:rsidR="00E76897" w:rsidRDefault="00E76897">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股市场走出极致的</w:t>
      </w:r>
      <w:r>
        <w:rPr>
          <w:rFonts w:ascii="宋体" w:hAnsi="宋体" w:cs="宋体" w:hint="eastAsia"/>
          <w:color w:val="000000"/>
          <w:kern w:val="0"/>
        </w:rPr>
        <w:t>K</w:t>
      </w:r>
      <w:r>
        <w:rPr>
          <w:rFonts w:ascii="宋体" w:hAnsi="宋体" w:cs="宋体" w:hint="eastAsia"/>
          <w:color w:val="000000"/>
          <w:kern w:val="0"/>
        </w:rPr>
        <w:t>型分化行情。一季度末伊朗冲突引发的全球避险情绪在</w:t>
      </w:r>
      <w:r>
        <w:rPr>
          <w:rFonts w:ascii="宋体" w:hAnsi="宋体" w:cs="宋体" w:hint="eastAsia"/>
          <w:color w:val="000000"/>
          <w:kern w:val="0"/>
        </w:rPr>
        <w:t>4</w:t>
      </w:r>
      <w:r>
        <w:rPr>
          <w:rFonts w:ascii="宋体" w:hAnsi="宋体" w:cs="宋体" w:hint="eastAsia"/>
          <w:color w:val="000000"/>
          <w:kern w:val="0"/>
        </w:rPr>
        <w:t>月快速消退，叠加一季报窗口期</w:t>
      </w:r>
      <w:r>
        <w:rPr>
          <w:rFonts w:ascii="宋体" w:hAnsi="宋体" w:cs="宋体" w:hint="eastAsia"/>
          <w:color w:val="000000"/>
          <w:kern w:val="0"/>
        </w:rPr>
        <w:t>AI</w:t>
      </w:r>
      <w:r>
        <w:rPr>
          <w:rFonts w:ascii="宋体" w:hAnsi="宋体" w:cs="宋体" w:hint="eastAsia"/>
          <w:color w:val="000000"/>
          <w:kern w:val="0"/>
        </w:rPr>
        <w:t>算力产业链业绩集中爆发，市场风险偏好急剧回升，科技成长风格接棒成为主线，传统周期、消费和红利板块在资金虹吸效应下持续失血，市场结构极致分化。</w:t>
      </w:r>
      <w:r>
        <w:rPr>
          <w:rFonts w:ascii="宋体" w:hAnsi="宋体" w:cs="宋体" w:hint="eastAsia"/>
          <w:color w:val="000000"/>
          <w:kern w:val="0"/>
        </w:rPr>
        <w:br/>
      </w:r>
      <w:r>
        <w:rPr>
          <w:rFonts w:ascii="宋体" w:hAnsi="宋体" w:cs="宋体" w:hint="eastAsia"/>
          <w:color w:val="000000"/>
          <w:kern w:val="0"/>
        </w:rPr>
        <w:t xml:space="preserve">　　策略运行方面，量化选股策略不做择时类判断，我们仍然保持较高仓位运作。二季度极致的风格分化对多因子模型的因子多样性和风险控制提出了更高要求，传统估值和价值因子普遍回撤，成长和动量因子表现突出。</w:t>
      </w:r>
      <w:r>
        <w:rPr>
          <w:rFonts w:ascii="宋体" w:hAnsi="宋体" w:cs="宋体" w:hint="eastAsia"/>
          <w:color w:val="000000"/>
          <w:kern w:val="0"/>
        </w:rPr>
        <w:br/>
      </w:r>
      <w:r>
        <w:rPr>
          <w:rFonts w:ascii="宋体" w:hAnsi="宋体" w:cs="宋体" w:hint="eastAsia"/>
          <w:color w:val="000000"/>
          <w:kern w:val="0"/>
        </w:rPr>
        <w:t xml:space="preserve">　　往后看，三季度市场分歧较大。一方面</w:t>
      </w:r>
      <w:r>
        <w:rPr>
          <w:rFonts w:ascii="宋体" w:hAnsi="宋体" w:cs="宋体" w:hint="eastAsia"/>
          <w:color w:val="000000"/>
          <w:kern w:val="0"/>
        </w:rPr>
        <w:t>AI</w:t>
      </w:r>
      <w:r>
        <w:rPr>
          <w:rFonts w:ascii="宋体" w:hAnsi="宋体" w:cs="宋体" w:hint="eastAsia"/>
          <w:color w:val="000000"/>
          <w:kern w:val="0"/>
        </w:rPr>
        <w:t>科技行情已经历半年度的极致演绎，板块交易拥挤度和估值均处于历史高位，</w:t>
      </w:r>
      <w:r>
        <w:rPr>
          <w:rFonts w:ascii="宋体" w:hAnsi="宋体" w:cs="宋体" w:hint="eastAsia"/>
          <w:color w:val="000000"/>
          <w:kern w:val="0"/>
        </w:rPr>
        <w:t>7-8</w:t>
      </w:r>
      <w:r>
        <w:rPr>
          <w:rFonts w:ascii="宋体" w:hAnsi="宋体" w:cs="宋体" w:hint="eastAsia"/>
          <w:color w:val="000000"/>
          <w:kern w:val="0"/>
        </w:rPr>
        <w:t>月中报季将是</w:t>
      </w:r>
      <w:r>
        <w:rPr>
          <w:rFonts w:ascii="宋体" w:hAnsi="宋体" w:cs="宋体" w:hint="eastAsia"/>
          <w:color w:val="000000"/>
          <w:kern w:val="0"/>
        </w:rPr>
        <w:t>"</w:t>
      </w:r>
      <w:r>
        <w:rPr>
          <w:rFonts w:ascii="宋体" w:hAnsi="宋体" w:cs="宋体" w:hint="eastAsia"/>
          <w:color w:val="000000"/>
          <w:kern w:val="0"/>
        </w:rPr>
        <w:t>去伪存真</w:t>
      </w:r>
      <w:r>
        <w:rPr>
          <w:rFonts w:ascii="宋体" w:hAnsi="宋体" w:cs="宋体" w:hint="eastAsia"/>
          <w:color w:val="000000"/>
          <w:kern w:val="0"/>
        </w:rPr>
        <w:t>"</w:t>
      </w:r>
      <w:r>
        <w:rPr>
          <w:rFonts w:ascii="宋体" w:hAnsi="宋体" w:cs="宋体" w:hint="eastAsia"/>
          <w:color w:val="000000"/>
          <w:kern w:val="0"/>
        </w:rPr>
        <w:t>的关键窗口，业绩无法兑现的标的面临较大回撤风险；另一方面，国内经济复苏预期稳固，政治局会议有望进一步定调稳增长政策，传统板块在过度悲观定价下存在修复空间。多数机构预计市场风格可能从极致分化走向适度再平衡，这将为低频</w:t>
      </w:r>
      <w:r>
        <w:rPr>
          <w:rFonts w:ascii="宋体" w:hAnsi="宋体" w:cs="宋体" w:hint="eastAsia"/>
          <w:color w:val="000000"/>
          <w:kern w:val="0"/>
        </w:rPr>
        <w:t>alpha</w:t>
      </w:r>
      <w:r>
        <w:rPr>
          <w:rFonts w:ascii="宋体" w:hAnsi="宋体" w:cs="宋体" w:hint="eastAsia"/>
          <w:color w:val="000000"/>
          <w:kern w:val="0"/>
        </w:rPr>
        <w:t>策略提供更友好的运行环境。</w:t>
      </w:r>
      <w:r>
        <w:rPr>
          <w:rFonts w:ascii="宋体" w:hAnsi="宋体" w:cs="宋体" w:hint="eastAsia"/>
          <w:color w:val="000000"/>
          <w:kern w:val="0"/>
        </w:rPr>
        <w:br/>
      </w:r>
      <w:r>
        <w:rPr>
          <w:rFonts w:ascii="宋体" w:hAnsi="宋体" w:cs="宋体" w:hint="eastAsia"/>
          <w:color w:val="000000"/>
          <w:kern w:val="0"/>
        </w:rPr>
        <w:t xml:space="preserve">　　我们继续坚持基本面和价量结合的量化多因子选股策略，坚持自上而下的传统研究与自下而上的机器学习启发式研究并重，在风格再平衡的过程中力争构造风险收益特征优于市场基准的投资组合。</w:t>
      </w:r>
      <w:r>
        <w:rPr>
          <w:rFonts w:ascii="宋体" w:hAnsi="宋体" w:cs="宋体" w:hint="eastAsia"/>
          <w:color w:val="000000"/>
          <w:kern w:val="0"/>
        </w:rPr>
        <w:br/>
      </w:r>
      <w:r>
        <w:rPr>
          <w:rFonts w:ascii="宋体" w:hAnsi="宋体" w:cs="宋体" w:hint="eastAsia"/>
          <w:color w:val="000000"/>
          <w:kern w:val="0"/>
        </w:rPr>
        <w:t xml:space="preserve">　　策略研究方面，我们在上季度规划的三个方向均取得阶段性进展：</w:t>
      </w:r>
      <w:r>
        <w:rPr>
          <w:rFonts w:ascii="宋体" w:hAnsi="宋体" w:cs="宋体" w:hint="eastAsia"/>
          <w:color w:val="000000"/>
          <w:kern w:val="0"/>
        </w:rPr>
        <w:t>1.</w:t>
      </w:r>
      <w:r>
        <w:rPr>
          <w:rFonts w:ascii="宋体" w:hAnsi="宋体" w:cs="宋体" w:hint="eastAsia"/>
          <w:color w:val="000000"/>
          <w:kern w:val="0"/>
        </w:rPr>
        <w:t>数据源扩充方面，优化器和风险模型已完成升级并投入实盘辅助组合优化，研究效率显著提升；另类数据（专利、供应链、预期数据等）的采购和接入工作持续推进。</w:t>
      </w:r>
      <w:r>
        <w:rPr>
          <w:rFonts w:ascii="宋体" w:hAnsi="宋体" w:cs="宋体" w:hint="eastAsia"/>
          <w:color w:val="000000"/>
          <w:kern w:val="0"/>
        </w:rPr>
        <w:t>2.</w:t>
      </w:r>
      <w:r>
        <w:rPr>
          <w:rFonts w:ascii="宋体" w:hAnsi="宋体" w:cs="宋体" w:hint="eastAsia"/>
          <w:color w:val="000000"/>
          <w:kern w:val="0"/>
        </w:rPr>
        <w:t>因子研究高维化、分类化、局部化方面，针对二季度极端的市场风格，我们着力提升了因子体系在风格剧变环境下的适应性，通过构造不同结构的低相关子模型来捕捉数据中蕴含的不同侧面信息，基本面的先验知识表达和价量信息的特征工程挖掘均取得一定进展。</w:t>
      </w:r>
      <w:r>
        <w:rPr>
          <w:rFonts w:ascii="宋体" w:hAnsi="宋体" w:cs="宋体" w:hint="eastAsia"/>
          <w:color w:val="000000"/>
          <w:kern w:val="0"/>
        </w:rPr>
        <w:t>3.</w:t>
      </w:r>
      <w:r>
        <w:rPr>
          <w:rFonts w:ascii="宋体" w:hAnsi="宋体" w:cs="宋体" w:hint="eastAsia"/>
          <w:color w:val="000000"/>
          <w:kern w:val="0"/>
        </w:rPr>
        <w:t>高性能高频数据处理及仿真交易平台的建设按计划推进，为逐步提升交易频率做好基础设施准备</w:t>
      </w:r>
      <w:r>
        <w:rPr>
          <w:rFonts w:ascii="宋体" w:hAnsi="宋体" w:cs="宋体" w:hint="eastAsia"/>
          <w:color w:val="000000"/>
          <w:kern w:val="0"/>
        </w:rPr>
        <w:t>。</w:t>
      </w:r>
    </w:p>
    <w:p w:rsidR="00E76897" w:rsidRDefault="00E76897">
      <w:pPr>
        <w:pStyle w:val="XBRLTitle2"/>
        <w:spacing w:before="156" w:line="360" w:lineRule="auto"/>
        <w:ind w:left="454"/>
      </w:pPr>
      <w:bookmarkStart w:id="93" w:name="_Toc513386596"/>
      <w:bookmarkStart w:id="94" w:name="_Toc512519494"/>
      <w:bookmarkStart w:id="95" w:name="_Toc481075062"/>
      <w:bookmarkStart w:id="96" w:name="_Toc490050015"/>
      <w:bookmarkStart w:id="97" w:name="m405_01_2549"/>
      <w:bookmarkEnd w:id="92"/>
      <w:r>
        <w:rPr>
          <w:rFonts w:hAnsi="宋体" w:hint="eastAsia"/>
        </w:rPr>
        <w:t>报告期内基金的业绩表</w:t>
      </w:r>
      <w:r>
        <w:rPr>
          <w:rFonts w:hAnsi="宋体" w:hint="eastAsia"/>
        </w:rPr>
        <w:t>现</w:t>
      </w:r>
      <w:bookmarkEnd w:id="93"/>
      <w:bookmarkEnd w:id="94"/>
      <w:bookmarkEnd w:id="95"/>
      <w:bookmarkEnd w:id="96"/>
      <w:r>
        <w:rPr>
          <w:rFonts w:hAnsi="宋体" w:hint="eastAsia"/>
        </w:rPr>
        <w:t xml:space="preserve"> </w:t>
      </w:r>
      <w:bookmarkEnd w:id="97"/>
    </w:p>
    <w:p w:rsidR="00E76897" w:rsidRDefault="00E76897">
      <w:pPr>
        <w:spacing w:line="360" w:lineRule="auto"/>
        <w:ind w:firstLineChars="200" w:firstLine="420"/>
        <w:divId w:val="1465078783"/>
        <w:rPr>
          <w:rFonts w:hint="eastAsia"/>
        </w:rPr>
      </w:pPr>
      <w:r>
        <w:rPr>
          <w:rFonts w:ascii="宋体" w:hAnsi="宋体" w:hint="eastAsia"/>
        </w:rPr>
        <w:t>本报告期摩根中证</w:t>
      </w:r>
      <w:r>
        <w:rPr>
          <w:rFonts w:ascii="宋体" w:hAnsi="宋体" w:hint="eastAsia"/>
        </w:rPr>
        <w:t>A500</w:t>
      </w:r>
      <w:r>
        <w:rPr>
          <w:rFonts w:ascii="宋体" w:hAnsi="宋体" w:hint="eastAsia"/>
        </w:rPr>
        <w:t>指数增强</w:t>
      </w:r>
      <w:r>
        <w:rPr>
          <w:rFonts w:ascii="宋体" w:hAnsi="宋体" w:hint="eastAsia"/>
        </w:rPr>
        <w:t>A</w:t>
      </w:r>
      <w:r>
        <w:rPr>
          <w:rFonts w:ascii="宋体" w:hAnsi="宋体" w:hint="eastAsia"/>
        </w:rPr>
        <w:t>份额净值增长率为：</w:t>
      </w:r>
      <w:r>
        <w:rPr>
          <w:rFonts w:ascii="宋体" w:hAnsi="宋体" w:hint="eastAsia"/>
        </w:rPr>
        <w:t>11.68%</w:t>
      </w:r>
      <w:r>
        <w:rPr>
          <w:rFonts w:ascii="宋体" w:hAnsi="宋体" w:hint="eastAsia"/>
        </w:rPr>
        <w:t>，同期业绩比较基准收益率为：</w:t>
      </w:r>
      <w:r>
        <w:rPr>
          <w:rFonts w:ascii="宋体" w:hAnsi="宋体" w:hint="eastAsia"/>
        </w:rPr>
        <w:t>13.55%</w:t>
      </w:r>
      <w:r>
        <w:rPr>
          <w:rFonts w:ascii="宋体" w:hAnsi="宋体" w:hint="eastAsia"/>
        </w:rPr>
        <w:t>；</w:t>
      </w:r>
      <w:r>
        <w:rPr>
          <w:rFonts w:ascii="宋体" w:hAnsi="宋体" w:hint="eastAsia"/>
        </w:rPr>
        <w:br/>
      </w:r>
      <w:r>
        <w:rPr>
          <w:rFonts w:ascii="宋体" w:hAnsi="宋体" w:hint="eastAsia"/>
        </w:rPr>
        <w:t xml:space="preserve">　　摩根中证</w:t>
      </w:r>
      <w:r>
        <w:rPr>
          <w:rFonts w:ascii="宋体" w:hAnsi="宋体" w:hint="eastAsia"/>
        </w:rPr>
        <w:t>A500</w:t>
      </w:r>
      <w:r>
        <w:rPr>
          <w:rFonts w:ascii="宋体" w:hAnsi="宋体" w:hint="eastAsia"/>
        </w:rPr>
        <w:t>指数增强</w:t>
      </w:r>
      <w:r>
        <w:rPr>
          <w:rFonts w:ascii="宋体" w:hAnsi="宋体" w:hint="eastAsia"/>
        </w:rPr>
        <w:t>C</w:t>
      </w:r>
      <w:r>
        <w:rPr>
          <w:rFonts w:ascii="宋体" w:hAnsi="宋体" w:hint="eastAsia"/>
        </w:rPr>
        <w:t>份额净值增长率为：</w:t>
      </w:r>
      <w:r>
        <w:rPr>
          <w:rFonts w:ascii="宋体" w:hAnsi="宋体" w:hint="eastAsia"/>
        </w:rPr>
        <w:t>11.57%</w:t>
      </w:r>
      <w:r>
        <w:rPr>
          <w:rFonts w:ascii="宋体" w:hAnsi="宋体" w:hint="eastAsia"/>
        </w:rPr>
        <w:t>，同期业绩比较基准收益率为：</w:t>
      </w:r>
      <w:r>
        <w:rPr>
          <w:rFonts w:ascii="宋体" w:hAnsi="宋体" w:hint="eastAsia"/>
        </w:rPr>
        <w:t>13.55%</w:t>
      </w:r>
      <w:r>
        <w:rPr>
          <w:rFonts w:ascii="宋体" w:hAnsi="宋体" w:hint="eastAsia"/>
        </w:rPr>
        <w:t>。</w:t>
      </w:r>
    </w:p>
    <w:p w:rsidR="00E76897" w:rsidRDefault="00E76897">
      <w:pPr>
        <w:pStyle w:val="XBRLTitle2"/>
        <w:spacing w:before="156" w:line="360" w:lineRule="auto"/>
        <w:ind w:left="454"/>
      </w:pPr>
      <w:bookmarkStart w:id="98" w:name="m406"/>
      <w:bookmarkStart w:id="99" w:name="_Toc513386597"/>
      <w:bookmarkStart w:id="100" w:name="_Toc512519495"/>
      <w:bookmarkStart w:id="101" w:name="_Toc438646465"/>
      <w:bookmarkStart w:id="102" w:name="_Toc481075063"/>
      <w:bookmarkStart w:id="103" w:name="_Toc490050016"/>
      <w:bookmarkStart w:id="104" w:name="m407"/>
      <w:bookmarkEnd w:id="98"/>
      <w:r>
        <w:rPr>
          <w:rFonts w:hAnsi="宋体" w:hint="eastAsia"/>
        </w:rPr>
        <w:t>报告期内基金持有人数或基金资产净值预警说</w:t>
      </w:r>
      <w:r>
        <w:rPr>
          <w:rFonts w:hAnsi="宋体" w:hint="eastAsia"/>
        </w:rPr>
        <w:t>明</w:t>
      </w:r>
      <w:bookmarkEnd w:id="99"/>
      <w:bookmarkEnd w:id="100"/>
      <w:bookmarkEnd w:id="101"/>
      <w:bookmarkEnd w:id="102"/>
      <w:bookmarkEnd w:id="103"/>
      <w:r>
        <w:rPr>
          <w:rFonts w:hAnsi="宋体" w:hint="eastAsia"/>
        </w:rPr>
        <w:t xml:space="preserve"> </w:t>
      </w:r>
    </w:p>
    <w:p w:rsidR="00E76897" w:rsidRDefault="00E7689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E76897" w:rsidRDefault="00E76897">
      <w:pPr>
        <w:pStyle w:val="XBRLTitle1"/>
        <w:spacing w:before="156" w:line="360" w:lineRule="auto"/>
        <w:ind w:left="425"/>
      </w:pPr>
      <w:bookmarkStart w:id="105" w:name="_Toc513386598"/>
      <w:bookmarkStart w:id="106" w:name="_Toc490050017"/>
      <w:bookmarkStart w:id="107" w:name="_Toc438646466"/>
      <w:bookmarkStart w:id="108" w:name="_Toc481075064"/>
      <w:bookmarkStart w:id="109" w:name="_Toc512519496"/>
      <w:bookmarkEnd w:id="104"/>
      <w:r>
        <w:rPr>
          <w:rFonts w:hAnsi="宋体" w:hint="eastAsia"/>
        </w:rPr>
        <w:t>投资组合报</w:t>
      </w:r>
      <w:r>
        <w:rPr>
          <w:rFonts w:hAnsi="宋体" w:hint="eastAsia"/>
        </w:rPr>
        <w:t>告</w:t>
      </w:r>
      <w:bookmarkEnd w:id="105"/>
      <w:bookmarkEnd w:id="106"/>
      <w:bookmarkEnd w:id="107"/>
      <w:bookmarkEnd w:id="108"/>
      <w:bookmarkEnd w:id="109"/>
      <w:r>
        <w:rPr>
          <w:rFonts w:hAnsi="宋体" w:hint="eastAsia"/>
        </w:rPr>
        <w:t xml:space="preserve"> </w:t>
      </w:r>
    </w:p>
    <w:p w:rsidR="00E76897" w:rsidRDefault="00E76897">
      <w:pPr>
        <w:pStyle w:val="XBRLTitle2"/>
        <w:spacing w:before="156" w:line="360" w:lineRule="auto"/>
        <w:ind w:left="454"/>
        <w:rPr>
          <w:rFonts w:hint="eastAsia"/>
        </w:rPr>
      </w:pPr>
      <w:bookmarkStart w:id="110" w:name="_Toc513386599"/>
      <w:bookmarkStart w:id="111" w:name="_Toc512519497"/>
      <w:bookmarkStart w:id="112" w:name="_Toc490050018"/>
      <w:bookmarkStart w:id="113" w:name="_Toc438646467"/>
      <w:bookmarkStart w:id="114" w:name="_Toc481075065"/>
      <w:bookmarkStart w:id="115" w:name="m501"/>
      <w:r>
        <w:rPr>
          <w:rFonts w:hAnsi="宋体" w:hint="eastAsia"/>
        </w:rPr>
        <w:t>报告期末基金资产组合情</w:t>
      </w:r>
      <w:r>
        <w:rPr>
          <w:rFonts w:hAnsi="宋体" w:hint="eastAsia"/>
        </w:rPr>
        <w:t>况</w:t>
      </w:r>
      <w:bookmarkEnd w:id="110"/>
      <w:bookmarkEnd w:id="111"/>
      <w:bookmarkEnd w:id="112"/>
      <w:bookmarkEnd w:id="113"/>
      <w:bookmarkEnd w:id="114"/>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rPr>
                <w:rFonts w:hint="eastAsia"/>
              </w:rPr>
            </w:pPr>
            <w:bookmarkStart w:id="116" w:name="m08QD_01_tab"/>
            <w:bookmarkEnd w:id="116"/>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524,814,866.7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93.2</w:t>
            </w:r>
            <w:r>
              <w:rPr>
                <w:rFonts w:ascii="宋体" w:hAnsi="宋体" w:hint="eastAsia"/>
                <w:szCs w:val="24"/>
                <w:lang w:eastAsia="zh-Hans"/>
              </w:rPr>
              <w:t>0</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524,814,866.7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93.2</w:t>
            </w:r>
            <w:r>
              <w:rPr>
                <w:rFonts w:ascii="宋体" w:hAnsi="宋体" w:hint="eastAsia"/>
                <w:szCs w:val="24"/>
                <w:lang w:eastAsia="zh-Hans"/>
              </w:rPr>
              <w:t>0</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38,087,317.9</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6.7</w:t>
            </w:r>
            <w:r>
              <w:rPr>
                <w:rFonts w:ascii="宋体" w:hAnsi="宋体" w:hint="eastAsia"/>
                <w:szCs w:val="24"/>
                <w:lang w:eastAsia="zh-Hans"/>
              </w:rPr>
              <w:t>6</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221,513.1</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55006659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76897" w:rsidRDefault="00E7689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E76897" w:rsidRDefault="00E7689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563,123,697.7</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E76897" w:rsidRDefault="00E76897">
            <w:pPr>
              <w:jc w:val="right"/>
            </w:pPr>
            <w:r>
              <w:rPr>
                <w:rFonts w:ascii="宋体" w:hAnsi="宋体" w:hint="eastAsia"/>
                <w:szCs w:val="24"/>
                <w:lang w:eastAsia="zh-Hans"/>
              </w:rPr>
              <w:t>100.0</w:t>
            </w:r>
            <w:r>
              <w:rPr>
                <w:rFonts w:ascii="宋体" w:hAnsi="宋体" w:hint="eastAsia"/>
                <w:szCs w:val="24"/>
                <w:lang w:eastAsia="zh-Hans"/>
              </w:rPr>
              <w:t>0</w:t>
            </w:r>
          </w:p>
        </w:tc>
      </w:tr>
    </w:tbl>
    <w:p w:rsidR="00E76897" w:rsidRDefault="00E76897">
      <w:pPr>
        <w:pStyle w:val="XBRLTitle2"/>
        <w:spacing w:before="156" w:line="360" w:lineRule="auto"/>
        <w:ind w:left="454"/>
      </w:pPr>
      <w:bookmarkStart w:id="117" w:name="_Toc513386600"/>
      <w:bookmarkStart w:id="118" w:name="_Toc490050019"/>
      <w:bookmarkStart w:id="119" w:name="_Toc438646468"/>
      <w:bookmarkStart w:id="120" w:name="_Toc481075066"/>
      <w:bookmarkStart w:id="121" w:name="_Toc512519498"/>
      <w:bookmarkEnd w:id="115"/>
      <w:r>
        <w:rPr>
          <w:rFonts w:hAnsi="宋体" w:hint="eastAsia"/>
        </w:rPr>
        <w:t>报告期末按行业分类的股票投资组</w:t>
      </w:r>
      <w:r>
        <w:rPr>
          <w:rFonts w:hAnsi="宋体" w:hint="eastAsia"/>
        </w:rPr>
        <w:t>合</w:t>
      </w:r>
      <w:bookmarkEnd w:id="117"/>
      <w:bookmarkEnd w:id="118"/>
      <w:bookmarkEnd w:id="119"/>
      <w:bookmarkEnd w:id="120"/>
      <w:bookmarkEnd w:id="121"/>
      <w:r>
        <w:rPr>
          <w:rFonts w:hAnsi="宋体" w:hint="eastAsia"/>
          <w:lang w:eastAsia="zh-CN"/>
        </w:rPr>
        <w:t xml:space="preserve"> </w:t>
      </w:r>
    </w:p>
    <w:p w:rsidR="00E76897" w:rsidRDefault="00E76897">
      <w:pPr>
        <w:pStyle w:val="XBRLTitle3"/>
        <w:spacing w:before="156"/>
        <w:ind w:left="0"/>
        <w:rPr>
          <w:rFonts w:hint="eastAsia"/>
        </w:rPr>
      </w:pPr>
      <w:bookmarkStart w:id="122" w:name="_Toc513386601"/>
      <w:bookmarkStart w:id="123" w:name="_Toc512519499"/>
      <w:bookmarkStart w:id="124" w:name="_Toc490050020"/>
      <w:bookmarkStart w:id="125" w:name="_Toc481075067"/>
      <w:r>
        <w:rPr>
          <w:rFonts w:hint="eastAsia"/>
        </w:rPr>
        <w:t>报告期末指数投资按行业分类的境内股票投资组</w:t>
      </w:r>
      <w:r>
        <w:rPr>
          <w:rFonts w:hint="eastAsia"/>
        </w:rPr>
        <w:t>合</w:t>
      </w:r>
      <w:bookmarkEnd w:id="122"/>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000000">
        <w:trPr>
          <w:divId w:val="802116451"/>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jc w:val="center"/>
              <w:rPr>
                <w:rFonts w:hint="eastAsia"/>
              </w:rPr>
            </w:pPr>
            <w:bookmarkStart w:id="126" w:name="m502_tab"/>
            <w:r>
              <w:rPr>
                <w:rFonts w:ascii="宋体" w:hAnsi="宋体" w:hint="eastAsia"/>
              </w:rPr>
              <w:t>代码</w:t>
            </w:r>
            <w:r>
              <w:rPr>
                <w:rFonts w:ascii="宋体" w:hAnsi="宋体" w:hint="eastAsia"/>
              </w:rPr>
              <w:t xml:space="preserve">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jc w:val="center"/>
            </w:pPr>
            <w:r>
              <w:rPr>
                <w:rFonts w:ascii="宋体" w:hAnsi="宋体" w:hint="eastAsia"/>
              </w:rPr>
              <w:t>行业类别</w:t>
            </w:r>
            <w:r>
              <w:rPr>
                <w:rFonts w:ascii="宋体" w:hAnsi="宋体" w:hint="eastAsia"/>
              </w:rPr>
              <w:t xml:space="preserve">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jc w:val="center"/>
            </w:pPr>
            <w:r>
              <w:rPr>
                <w:rFonts w:ascii="宋体" w:hAnsi="宋体" w:hint="eastAsia"/>
              </w:rPr>
              <w:t>公允价值（元）</w:t>
            </w:r>
            <w:r>
              <w:rPr>
                <w:rFonts w:ascii="宋体" w:hAnsi="宋体" w:hint="eastAsia"/>
              </w:rPr>
              <w:t xml:space="preserve">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jc w:val="center"/>
            </w:pPr>
            <w:r>
              <w:rPr>
                <w:rFonts w:ascii="宋体" w:hAnsi="宋体" w:hint="eastAsia"/>
              </w:rPr>
              <w:t>占基金资产净值比例</w:t>
            </w:r>
            <w:r>
              <w:rPr>
                <w:rFonts w:ascii="宋体" w:hAnsi="宋体" w:hint="eastAsia"/>
              </w:rPr>
              <w:t xml:space="preserve">(%) </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29,107,678.8</w:t>
            </w:r>
            <w:r>
              <w:rPr>
                <w:rFonts w:ascii="宋体" w:hAnsi="宋体" w:hint="eastAsia"/>
              </w:rPr>
              <w:t>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5.1</w:t>
            </w:r>
            <w:r>
              <w:rPr>
                <w:rFonts w:ascii="宋体" w:hAnsi="宋体" w:hint="eastAsia"/>
              </w:rPr>
              <w:t>9</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284,606,785.1</w:t>
            </w:r>
            <w:r>
              <w:rPr>
                <w:rFonts w:ascii="宋体" w:hAnsi="宋体" w:hint="eastAsia"/>
              </w:rPr>
              <w:t>7</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50.7</w:t>
            </w:r>
            <w:r>
              <w:rPr>
                <w:rFonts w:ascii="宋体" w:hAnsi="宋体" w:hint="eastAsia"/>
              </w:rPr>
              <w:t>6</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5,780,245.0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1.0</w:t>
            </w:r>
            <w:r>
              <w:rPr>
                <w:rFonts w:ascii="宋体" w:hAnsi="宋体" w:hint="eastAsia"/>
              </w:rPr>
              <w:t>3</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817,823.0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0.1</w:t>
            </w:r>
            <w:r>
              <w:rPr>
                <w:rFonts w:ascii="宋体" w:hAnsi="宋体" w:hint="eastAsia"/>
              </w:rPr>
              <w:t>5</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4,869,843.0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0.8</w:t>
            </w:r>
            <w:r>
              <w:rPr>
                <w:rFonts w:ascii="宋体" w:hAnsi="宋体" w:hint="eastAsia"/>
              </w:rPr>
              <w:t>7</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10,066,953.0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1.8</w:t>
            </w:r>
            <w:r>
              <w:rPr>
                <w:rFonts w:ascii="宋体" w:hAnsi="宋体" w:hint="eastAsia"/>
              </w:rPr>
              <w:t>0</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368,795.0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0.0</w:t>
            </w:r>
            <w:r>
              <w:rPr>
                <w:rFonts w:ascii="宋体" w:hAnsi="宋体" w:hint="eastAsia"/>
              </w:rPr>
              <w:t>7</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34,547,927.6</w:t>
            </w:r>
            <w:r>
              <w:rPr>
                <w:rFonts w:ascii="宋体" w:hAnsi="宋体" w:hint="eastAsia"/>
              </w:rPr>
              <w:t>5</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6.1</w:t>
            </w:r>
            <w:r>
              <w:rPr>
                <w:rFonts w:ascii="宋体" w:hAnsi="宋体" w:hint="eastAsia"/>
              </w:rPr>
              <w:t>6</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38,472,270.5</w:t>
            </w:r>
            <w:r>
              <w:rPr>
                <w:rFonts w:ascii="宋体" w:hAnsi="宋体" w:hint="eastAsia"/>
              </w:rPr>
              <w:t>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6.8</w:t>
            </w:r>
            <w:r>
              <w:rPr>
                <w:rFonts w:ascii="宋体" w:hAnsi="宋体" w:hint="eastAsia"/>
              </w:rPr>
              <w:t>6</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1,965,018.0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0.3</w:t>
            </w:r>
            <w:r>
              <w:rPr>
                <w:rFonts w:ascii="宋体" w:hAnsi="宋体" w:hint="eastAsia"/>
              </w:rPr>
              <w:t>5</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1,700,649.0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0.3</w:t>
            </w:r>
            <w:r>
              <w:rPr>
                <w:rFonts w:ascii="宋体" w:hAnsi="宋体" w:hint="eastAsia"/>
              </w:rPr>
              <w:t>0</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7,329,429.0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1.3</w:t>
            </w:r>
            <w:r>
              <w:rPr>
                <w:rFonts w:ascii="宋体" w:hAnsi="宋体" w:hint="eastAsia"/>
              </w:rPr>
              <w:t>1</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5,876,468.0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1.0</w:t>
            </w:r>
            <w:r>
              <w:rPr>
                <w:rFonts w:ascii="宋体" w:hAnsi="宋体" w:hint="eastAsia"/>
              </w:rPr>
              <w:t>5</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674,958.0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0.1</w:t>
            </w:r>
            <w:r>
              <w:rPr>
                <w:rFonts w:ascii="宋体" w:hAnsi="宋体" w:hint="eastAsia"/>
              </w:rPr>
              <w:t>2</w:t>
            </w:r>
          </w:p>
        </w:tc>
      </w:tr>
      <w:tr w:rsidR="00000000">
        <w:trPr>
          <w:divId w:val="802116451"/>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426,184,843.2</w:t>
            </w:r>
            <w:r>
              <w:rPr>
                <w:rFonts w:ascii="宋体" w:hAnsi="宋体" w:hint="eastAsia"/>
              </w:rPr>
              <w:t>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76.0</w:t>
            </w:r>
            <w:r>
              <w:rPr>
                <w:rFonts w:ascii="宋体" w:hAnsi="宋体" w:hint="eastAsia"/>
              </w:rPr>
              <w:t>2</w:t>
            </w:r>
          </w:p>
        </w:tc>
      </w:tr>
    </w:tbl>
    <w:p w:rsidR="00E76897" w:rsidRDefault="00E76897">
      <w:pPr>
        <w:pStyle w:val="XBRLTitle3"/>
        <w:spacing w:before="156"/>
        <w:ind w:left="0"/>
      </w:pPr>
      <w:bookmarkStart w:id="127" w:name="_Toc513386602"/>
      <w:r>
        <w:rPr>
          <w:rFonts w:hint="eastAsia"/>
        </w:rPr>
        <w:t>报告期末积极投资按行业分类的境内股票投资组</w:t>
      </w:r>
      <w:r>
        <w:rPr>
          <w:rFonts w:hint="eastAsia"/>
        </w:rPr>
        <w:t>合</w:t>
      </w:r>
      <w:bookmarkEnd w:id="127"/>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658"/>
        <w:gridCol w:w="3089"/>
        <w:gridCol w:w="2292"/>
      </w:tblGrid>
      <w:tr w:rsidR="00000000">
        <w:trPr>
          <w:divId w:val="108745227"/>
        </w:trPr>
        <w:tc>
          <w:tcPr>
            <w:tcW w:w="451"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bookmarkEnd w:id="123"/>
          <w:bookmarkEnd w:id="124"/>
          <w:bookmarkEnd w:id="125"/>
          <w:p w:rsidR="00E76897" w:rsidRDefault="00E76897">
            <w:pPr>
              <w:jc w:val="center"/>
              <w:rPr>
                <w:rFonts w:hint="eastAsia"/>
              </w:rPr>
            </w:pPr>
            <w:r>
              <w:rPr>
                <w:rFonts w:ascii="宋体" w:hAnsi="宋体" w:hint="eastAsia"/>
              </w:rPr>
              <w:t>代码</w:t>
            </w:r>
            <w:r>
              <w:rPr>
                <w:rFonts w:ascii="宋体" w:hAnsi="宋体" w:hint="eastAsia"/>
              </w:rPr>
              <w:t xml:space="preserve"> </w:t>
            </w:r>
          </w:p>
        </w:tc>
        <w:tc>
          <w:tcPr>
            <w:tcW w:w="1504"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jc w:val="center"/>
            </w:pPr>
            <w:r>
              <w:rPr>
                <w:rFonts w:ascii="宋体" w:hAnsi="宋体" w:hint="eastAsia"/>
              </w:rPr>
              <w:t>行业类别</w:t>
            </w:r>
            <w:r>
              <w:rPr>
                <w:rFonts w:ascii="宋体" w:hAnsi="宋体" w:hint="eastAsia"/>
              </w:rPr>
              <w:t xml:space="preserve"> </w:t>
            </w:r>
          </w:p>
        </w:tc>
        <w:tc>
          <w:tcPr>
            <w:tcW w:w="174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jc w:val="center"/>
            </w:pPr>
            <w:r>
              <w:rPr>
                <w:rFonts w:ascii="宋体" w:hAnsi="宋体" w:hint="eastAsia"/>
              </w:rPr>
              <w:t>公允价值（元）</w:t>
            </w:r>
            <w:r>
              <w:rPr>
                <w:rFonts w:ascii="宋体" w:hAnsi="宋体" w:hint="eastAsia"/>
              </w:rPr>
              <w:t xml:space="preserve"> </w:t>
            </w:r>
          </w:p>
        </w:tc>
        <w:tc>
          <w:tcPr>
            <w:tcW w:w="129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jc w:val="center"/>
            </w:pPr>
            <w:r>
              <w:rPr>
                <w:rFonts w:ascii="宋体" w:hAnsi="宋体" w:hint="eastAsia"/>
              </w:rPr>
              <w:t>占基金资产净值比例</w:t>
            </w:r>
            <w:r>
              <w:rPr>
                <w:rFonts w:ascii="宋体" w:hAnsi="宋体" w:hint="eastAsia"/>
              </w:rPr>
              <w:t xml:space="preserve">(%) </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A</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农、林、牧、渔业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3,774,067.5</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0.6</w:t>
            </w:r>
            <w:r>
              <w:rPr>
                <w:rFonts w:ascii="宋体" w:hAnsi="宋体" w:hint="eastAsia"/>
              </w:rPr>
              <w:t>7</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B</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采矿业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5,521,231.0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0.9</w:t>
            </w:r>
            <w:r>
              <w:rPr>
                <w:rFonts w:ascii="宋体" w:hAnsi="宋体" w:hint="eastAsia"/>
              </w:rPr>
              <w:t>8</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C</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制造业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68,297,767.9</w:t>
            </w:r>
            <w:r>
              <w:rPr>
                <w:rFonts w:ascii="宋体" w:hAnsi="宋体" w:hint="eastAsia"/>
              </w:rPr>
              <w:t>5</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12.1</w:t>
            </w:r>
            <w:r>
              <w:rPr>
                <w:rFonts w:ascii="宋体" w:hAnsi="宋体" w:hint="eastAsia"/>
              </w:rPr>
              <w:t>8</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D</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电力、热力、燃气及水生产和供应业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1,128,000.0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0.2</w:t>
            </w:r>
            <w:r>
              <w:rPr>
                <w:rFonts w:ascii="宋体" w:hAnsi="宋体" w:hint="eastAsia"/>
              </w:rPr>
              <w:t>0</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E</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建筑业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95,427.0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0.0</w:t>
            </w:r>
            <w:r>
              <w:rPr>
                <w:rFonts w:ascii="宋体" w:hAnsi="宋体" w:hint="eastAsia"/>
              </w:rPr>
              <w:t>2</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F</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批发和零售业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2,558,736.0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0.4</w:t>
            </w:r>
            <w:r>
              <w:rPr>
                <w:rFonts w:ascii="宋体" w:hAnsi="宋体" w:hint="eastAsia"/>
              </w:rPr>
              <w:t>6</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G</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交通运输、仓储和邮政业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630,606.0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0.1</w:t>
            </w:r>
            <w:r>
              <w:rPr>
                <w:rFonts w:ascii="宋体" w:hAnsi="宋体" w:hint="eastAsia"/>
              </w:rPr>
              <w:t>1</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H</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住宿和餐饮业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298,480.0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0.0</w:t>
            </w:r>
            <w:r>
              <w:rPr>
                <w:rFonts w:ascii="宋体" w:hAnsi="宋体" w:hint="eastAsia"/>
              </w:rPr>
              <w:t>5</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I</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信息传输、软件和信息技术服务业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7,683,943.0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1.3</w:t>
            </w:r>
            <w:r>
              <w:rPr>
                <w:rFonts w:ascii="宋体" w:hAnsi="宋体" w:hint="eastAsia"/>
              </w:rPr>
              <w:t>7</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J</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金融业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432,414.0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0.0</w:t>
            </w:r>
            <w:r>
              <w:rPr>
                <w:rFonts w:ascii="宋体" w:hAnsi="宋体" w:hint="eastAsia"/>
              </w:rPr>
              <w:t>8</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K</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房地产业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1,472,405.0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0.2</w:t>
            </w:r>
            <w:r>
              <w:rPr>
                <w:rFonts w:ascii="宋体" w:hAnsi="宋体" w:hint="eastAsia"/>
              </w:rPr>
              <w:t>6</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L</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租赁和商务服务业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448,611.0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0.0</w:t>
            </w:r>
            <w:r>
              <w:rPr>
                <w:rFonts w:ascii="宋体" w:hAnsi="宋体" w:hint="eastAsia"/>
              </w:rPr>
              <w:t>8</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center"/>
            </w:pPr>
            <w:r>
              <w:rPr>
                <w:rFonts w:ascii="宋体" w:hAnsi="宋体" w:hint="eastAsia"/>
              </w:rPr>
              <w:t>M</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科学研究和技术服务业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1,947,222.0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0.3</w:t>
            </w:r>
            <w:r>
              <w:rPr>
                <w:rFonts w:ascii="宋体" w:hAnsi="宋体" w:hint="eastAsia"/>
              </w:rPr>
              <w:t>5</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center"/>
            </w:pPr>
            <w:r>
              <w:rPr>
                <w:rFonts w:ascii="宋体" w:hAnsi="宋体" w:hint="eastAsia"/>
              </w:rPr>
              <w:t>N</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水利、环境和公共设施管理业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3,953,708.0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0.7</w:t>
            </w:r>
            <w:r>
              <w:rPr>
                <w:rFonts w:ascii="宋体" w:hAnsi="宋体" w:hint="eastAsia"/>
              </w:rPr>
              <w:t>1</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center"/>
            </w:pPr>
            <w:r>
              <w:rPr>
                <w:rFonts w:ascii="宋体" w:hAnsi="宋体" w:hint="eastAsia"/>
              </w:rPr>
              <w:t>O</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居民服务、修理和其他服务业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center"/>
            </w:pPr>
            <w:r>
              <w:rPr>
                <w:rFonts w:ascii="宋体" w:hAnsi="宋体" w:hint="eastAsia"/>
              </w:rPr>
              <w:t>P</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教育</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113,355.0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0.0</w:t>
            </w:r>
            <w:r>
              <w:rPr>
                <w:rFonts w:ascii="宋体" w:hAnsi="宋体" w:hint="eastAsia"/>
              </w:rPr>
              <w:t>2</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center"/>
            </w:pPr>
            <w:r>
              <w:rPr>
                <w:rFonts w:ascii="宋体" w:hAnsi="宋体" w:hint="eastAsia"/>
              </w:rPr>
              <w:t>Q</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卫生和社会工作</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274,050.0</w:t>
            </w:r>
            <w:r>
              <w:rPr>
                <w:rFonts w:ascii="宋体" w:hAnsi="宋体" w:hint="eastAsia"/>
              </w:rPr>
              <w:t>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0.0</w:t>
            </w:r>
            <w:r>
              <w:rPr>
                <w:rFonts w:ascii="宋体" w:hAnsi="宋体" w:hint="eastAsia"/>
              </w:rPr>
              <w:t>5</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center"/>
            </w:pPr>
            <w:r>
              <w:rPr>
                <w:rFonts w:ascii="宋体" w:hAnsi="宋体" w:hint="eastAsia"/>
              </w:rPr>
              <w:t>R</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文化、体育和娱乐业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center"/>
            </w:pPr>
            <w:r>
              <w:rPr>
                <w:rFonts w:ascii="宋体" w:hAnsi="宋体" w:hint="eastAsia"/>
              </w:rPr>
              <w:t>S</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E76897" w:rsidRDefault="00E76897">
            <w:pPr>
              <w:jc w:val="left"/>
            </w:pPr>
            <w:r>
              <w:rPr>
                <w:rFonts w:ascii="宋体" w:hAnsi="宋体" w:hint="eastAsia"/>
              </w:rPr>
              <w:t>综合</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w:t>
            </w:r>
          </w:p>
        </w:tc>
      </w:tr>
      <w:tr w:rsidR="00000000">
        <w:trPr>
          <w:divId w:val="108745227"/>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left"/>
            </w:pPr>
            <w:r>
              <w:rPr>
                <w:rFonts w:ascii="宋体" w:hAnsi="宋体" w:hint="eastAsia"/>
              </w:rPr>
              <w:t>合计</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98,630,023.4</w:t>
            </w:r>
            <w:r>
              <w:rPr>
                <w:rFonts w:ascii="宋体" w:hAnsi="宋体" w:hint="eastAsia"/>
              </w:rPr>
              <w:t>5</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E76897" w:rsidRDefault="00E76897">
            <w:pPr>
              <w:jc w:val="right"/>
            </w:pPr>
            <w:r>
              <w:rPr>
                <w:rFonts w:ascii="宋体" w:hAnsi="宋体" w:hint="eastAsia"/>
              </w:rPr>
              <w:t>17.5</w:t>
            </w:r>
            <w:r>
              <w:rPr>
                <w:rFonts w:ascii="宋体" w:hAnsi="宋体" w:hint="eastAsia"/>
              </w:rPr>
              <w:t>9</w:t>
            </w:r>
          </w:p>
        </w:tc>
      </w:tr>
    </w:tbl>
    <w:p w:rsidR="00E76897" w:rsidRDefault="00E76897">
      <w:pPr>
        <w:pStyle w:val="XBRLTitle3"/>
        <w:spacing w:before="156"/>
        <w:ind w:left="0"/>
      </w:pPr>
      <w:bookmarkStart w:id="128" w:name="_Toc513386603"/>
      <w:bookmarkStart w:id="129" w:name="_Toc512519500"/>
      <w:bookmarkStart w:id="130" w:name="_Toc490050021"/>
      <w:bookmarkStart w:id="131" w:name="_Toc481075068"/>
      <w:r>
        <w:rPr>
          <w:rFonts w:hint="eastAsia"/>
        </w:rPr>
        <w:t>报告期末按行业分类的港股通投资股票投资组</w:t>
      </w:r>
      <w:r>
        <w:rPr>
          <w:rFonts w:hint="eastAsia"/>
        </w:rPr>
        <w:t>合</w:t>
      </w:r>
      <w:bookmarkEnd w:id="128"/>
      <w:bookmarkEnd w:id="129"/>
      <w:bookmarkEnd w:id="130"/>
      <w:bookmarkEnd w:id="131"/>
      <w:r>
        <w:rPr>
          <w:rFonts w:hint="eastAsia"/>
          <w:szCs w:val="24"/>
        </w:rPr>
        <w:t xml:space="preserve"> </w:t>
      </w:r>
    </w:p>
    <w:p w:rsidR="00E76897" w:rsidRDefault="00E76897">
      <w:pPr>
        <w:spacing w:line="360" w:lineRule="auto"/>
        <w:ind w:firstLineChars="200" w:firstLine="42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E76897" w:rsidRDefault="00E76897">
      <w:pPr>
        <w:pStyle w:val="XBRLTitle2"/>
        <w:spacing w:before="156" w:line="360" w:lineRule="auto"/>
        <w:ind w:left="454"/>
      </w:pPr>
      <w:bookmarkStart w:id="132" w:name="_Toc513386604"/>
      <w:bookmarkStart w:id="133" w:name="_Toc481075437"/>
      <w:bookmarkStart w:id="134" w:name="_Toc512605774"/>
      <w:bookmarkStart w:id="135" w:name="_Toc512600998"/>
      <w:bookmarkStart w:id="136" w:name="_Toc512605565"/>
      <w:bookmarkStart w:id="137" w:name="_Toc512609352"/>
      <w:bookmarkStart w:id="138" w:name="_Toc512519502"/>
      <w:bookmarkStart w:id="139" w:name="_Toc490050023"/>
      <w:bookmarkStart w:id="140" w:name="_Toc438646471"/>
      <w:bookmarkStart w:id="141" w:name="_Toc481075070"/>
      <w:bookmarkStart w:id="142" w:name="m505"/>
      <w:r>
        <w:rPr>
          <w:rFonts w:hAnsi="宋体" w:hint="eastAsia"/>
        </w:rPr>
        <w:t>期末按公允价值占基金资产净值比例大小排序的股票投资明</w:t>
      </w:r>
      <w:r>
        <w:rPr>
          <w:rFonts w:hAnsi="宋体" w:hint="eastAsia"/>
        </w:rPr>
        <w:t>细</w:t>
      </w:r>
      <w:bookmarkEnd w:id="132"/>
      <w:bookmarkEnd w:id="133"/>
      <w:bookmarkEnd w:id="134"/>
      <w:bookmarkEnd w:id="135"/>
      <w:bookmarkEnd w:id="136"/>
      <w:bookmarkEnd w:id="137"/>
      <w:r>
        <w:rPr>
          <w:rFonts w:hAnsi="宋体" w:hint="eastAsia"/>
        </w:rPr>
        <w:t xml:space="preserve"> </w:t>
      </w:r>
    </w:p>
    <w:p w:rsidR="00E76897" w:rsidRDefault="00E76897">
      <w:pPr>
        <w:pStyle w:val="XBRLTitle3"/>
        <w:spacing w:before="156"/>
        <w:ind w:left="0"/>
        <w:rPr>
          <w:rFonts w:hint="eastAsia"/>
        </w:rPr>
      </w:pPr>
      <w:bookmarkStart w:id="143" w:name="_Toc513386605"/>
      <w:bookmarkStart w:id="144" w:name="m504_tab"/>
      <w:r>
        <w:rPr>
          <w:rFonts w:hint="eastAsia"/>
        </w:rPr>
        <w:t>报告期末指数投资按公允价值占基金资产净值比例大小排序的前十名股票投资明</w:t>
      </w:r>
      <w:r>
        <w:rPr>
          <w:rFonts w:hint="eastAsia"/>
        </w:rPr>
        <w:t>细</w:t>
      </w:r>
      <w:bookmarkEnd w:id="1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1186211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21,80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27,686,000.0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4.9</w:t>
            </w:r>
            <w:r>
              <w:rPr>
                <w:rFonts w:ascii="宋体" w:hAnsi="宋体" w:hint="eastAsia"/>
                <w:szCs w:val="24"/>
                <w:lang w:eastAsia="zh-Hans"/>
              </w:rPr>
              <w:t>4</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52,48</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20,627,915.8</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3.6</w:t>
            </w:r>
            <w:r>
              <w:rPr>
                <w:rFonts w:ascii="宋体" w:hAnsi="宋体" w:hint="eastAsia"/>
                <w:szCs w:val="24"/>
                <w:lang w:eastAsia="zh-Hans"/>
              </w:rPr>
              <w:t>8</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18,14</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11,010,980.0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1.9</w:t>
            </w:r>
            <w:r>
              <w:rPr>
                <w:rFonts w:ascii="宋体" w:hAnsi="宋体" w:hint="eastAsia"/>
                <w:szCs w:val="24"/>
                <w:lang w:eastAsia="zh-Hans"/>
              </w:rPr>
              <w:t>6</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6,50</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10,382,243.8</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1.8</w:t>
            </w:r>
            <w:r>
              <w:rPr>
                <w:rFonts w:ascii="宋体" w:hAnsi="宋体" w:hint="eastAsia"/>
                <w:szCs w:val="24"/>
                <w:lang w:eastAsia="zh-Hans"/>
              </w:rPr>
              <w:t>5</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60398</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兆易创</w:t>
            </w:r>
            <w:r>
              <w:rPr>
                <w:rFonts w:ascii="宋体" w:hAnsi="宋体" w:hint="eastAsia"/>
                <w:szCs w:val="24"/>
                <w:lang w:eastAsia="zh-Hans"/>
              </w:rPr>
              <w:t>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12,60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10,269,000.0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1.8</w:t>
            </w:r>
            <w:r>
              <w:rPr>
                <w:rFonts w:ascii="宋体" w:hAnsi="宋体" w:hint="eastAsia"/>
                <w:szCs w:val="24"/>
                <w:lang w:eastAsia="zh-Hans"/>
              </w:rPr>
              <w:t>3</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68801</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中微公</w:t>
            </w:r>
            <w:r>
              <w:rPr>
                <w:rFonts w:ascii="宋体" w:hAnsi="宋体" w:hint="eastAsia"/>
                <w:szCs w:val="24"/>
                <w:lang w:eastAsia="zh-Hans"/>
              </w:rPr>
              <w:t>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21,58</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10,111,167.0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1.8</w:t>
            </w:r>
            <w:r>
              <w:rPr>
                <w:rFonts w:ascii="宋体" w:hAnsi="宋体" w:hint="eastAsia"/>
                <w:szCs w:val="24"/>
                <w:lang w:eastAsia="zh-Hans"/>
              </w:rPr>
              <w:t>0</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341,24</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8,578,823.8</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1.5</w:t>
            </w:r>
            <w:r>
              <w:rPr>
                <w:rFonts w:ascii="宋体" w:hAnsi="宋体" w:hint="eastAsia"/>
                <w:szCs w:val="24"/>
                <w:lang w:eastAsia="zh-Hans"/>
              </w:rPr>
              <w:t>3</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60051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贵州茅</w:t>
            </w:r>
            <w:r>
              <w:rPr>
                <w:rFonts w:ascii="宋体" w:hAnsi="宋体" w:hint="eastAsia"/>
                <w:szCs w:val="24"/>
                <w:lang w:eastAsia="zh-Hans"/>
              </w:rPr>
              <w:t>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7,00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8,298,430.0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1.4</w:t>
            </w:r>
            <w:r>
              <w:rPr>
                <w:rFonts w:ascii="宋体" w:hAnsi="宋体" w:hint="eastAsia"/>
                <w:szCs w:val="24"/>
                <w:lang w:eastAsia="zh-Hans"/>
              </w:rPr>
              <w:t>8</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68804</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海光信</w:t>
            </w:r>
            <w:r>
              <w:rPr>
                <w:rFonts w:ascii="宋体" w:hAnsi="宋体" w:hint="eastAsia"/>
                <w:szCs w:val="24"/>
                <w:lang w:eastAsia="zh-Hans"/>
              </w:rPr>
              <w:t>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20,89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7,735,567.0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1.3</w:t>
            </w:r>
            <w:r>
              <w:rPr>
                <w:rFonts w:ascii="宋体" w:hAnsi="宋体" w:hint="eastAsia"/>
                <w:szCs w:val="24"/>
                <w:lang w:eastAsia="zh-Hans"/>
              </w:rPr>
              <w:t>8</w:t>
            </w:r>
          </w:p>
        </w:tc>
      </w:tr>
      <w:tr w:rsidR="00000000">
        <w:trPr>
          <w:divId w:val="13118621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28,90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7,581,915.0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1.3</w:t>
            </w:r>
            <w:r>
              <w:rPr>
                <w:rFonts w:ascii="宋体" w:hAnsi="宋体" w:hint="eastAsia"/>
                <w:szCs w:val="24"/>
                <w:lang w:eastAsia="zh-Hans"/>
              </w:rPr>
              <w:t>5</w:t>
            </w:r>
          </w:p>
        </w:tc>
      </w:tr>
    </w:tbl>
    <w:p w:rsidR="00E76897" w:rsidRDefault="00E76897">
      <w:pPr>
        <w:pStyle w:val="XBRLTitle3"/>
        <w:spacing w:before="156"/>
        <w:ind w:left="0"/>
      </w:pPr>
      <w:bookmarkStart w:id="145" w:name="_Toc513386606"/>
      <w:r>
        <w:rPr>
          <w:rFonts w:hint="eastAsia"/>
        </w:rPr>
        <w:t>报告期末积极投资按公允价值占基金资产净值比例大小排序的前五名股票投资明</w:t>
      </w:r>
      <w:r>
        <w:rPr>
          <w:rFonts w:hint="eastAsia"/>
        </w:rPr>
        <w:t>细</w:t>
      </w:r>
      <w:bookmarkEnd w:id="144"/>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7187557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71875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68823</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航宇科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62,20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3,721,426.0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0.6</w:t>
            </w:r>
            <w:r>
              <w:rPr>
                <w:rFonts w:ascii="宋体" w:hAnsi="宋体" w:hint="eastAsia"/>
                <w:szCs w:val="24"/>
                <w:lang w:eastAsia="zh-Hans"/>
              </w:rPr>
              <w:t>6</w:t>
            </w:r>
          </w:p>
        </w:tc>
      </w:tr>
      <w:tr w:rsidR="00000000">
        <w:trPr>
          <w:divId w:val="1371875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60350</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振江股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107,00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3,519,230.0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0.6</w:t>
            </w:r>
            <w:r>
              <w:rPr>
                <w:rFonts w:ascii="宋体" w:hAnsi="宋体" w:hint="eastAsia"/>
                <w:szCs w:val="24"/>
                <w:lang w:eastAsia="zh-Hans"/>
              </w:rPr>
              <w:t>3</w:t>
            </w:r>
          </w:p>
        </w:tc>
      </w:tr>
      <w:tr w:rsidR="00000000">
        <w:trPr>
          <w:divId w:val="1371875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00081</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创维数</w:t>
            </w:r>
            <w:r>
              <w:rPr>
                <w:rFonts w:ascii="宋体" w:hAnsi="宋体" w:hint="eastAsia"/>
                <w:szCs w:val="24"/>
                <w:lang w:eastAsia="zh-Hans"/>
              </w:rPr>
              <w:t>字</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209,50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2,775,875.0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0.5</w:t>
            </w:r>
            <w:r>
              <w:rPr>
                <w:rFonts w:ascii="宋体" w:hAnsi="宋体" w:hint="eastAsia"/>
                <w:szCs w:val="24"/>
                <w:lang w:eastAsia="zh-Hans"/>
              </w:rPr>
              <w:t>0</w:t>
            </w:r>
          </w:p>
        </w:tc>
      </w:tr>
      <w:tr w:rsidR="00000000">
        <w:trPr>
          <w:divId w:val="1371875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68839</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正弦电</w:t>
            </w:r>
            <w:r>
              <w:rPr>
                <w:rFonts w:ascii="宋体" w:hAnsi="宋体" w:hint="eastAsia"/>
                <w:szCs w:val="24"/>
                <w:lang w:eastAsia="zh-Hans"/>
              </w:rPr>
              <w:t>气</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123,67</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2,733,195.4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0.4</w:t>
            </w:r>
            <w:r>
              <w:rPr>
                <w:rFonts w:ascii="宋体" w:hAnsi="宋体" w:hint="eastAsia"/>
                <w:szCs w:val="24"/>
                <w:lang w:eastAsia="zh-Hans"/>
              </w:rPr>
              <w:t>9</w:t>
            </w:r>
          </w:p>
        </w:tc>
      </w:tr>
      <w:tr w:rsidR="00000000">
        <w:trPr>
          <w:divId w:val="1371875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68815</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szCs w:val="24"/>
                <w:lang w:eastAsia="zh-Hans"/>
              </w:rPr>
              <w:t>先惠技</w:t>
            </w:r>
            <w:r>
              <w:rPr>
                <w:rFonts w:ascii="宋体" w:hAnsi="宋体" w:hint="eastAsia"/>
                <w:szCs w:val="24"/>
                <w:lang w:eastAsia="zh-Hans"/>
              </w:rPr>
              <w:t>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31,40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2,539,946.0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0.4</w:t>
            </w:r>
            <w:r>
              <w:rPr>
                <w:rFonts w:ascii="宋体" w:hAnsi="宋体" w:hint="eastAsia"/>
                <w:szCs w:val="24"/>
                <w:lang w:eastAsia="zh-Hans"/>
              </w:rPr>
              <w:t>5</w:t>
            </w:r>
          </w:p>
        </w:tc>
      </w:tr>
    </w:tbl>
    <w:p w:rsidR="00E76897" w:rsidRDefault="00E76897">
      <w:pPr>
        <w:pStyle w:val="XBRLTitle2"/>
        <w:spacing w:before="156" w:line="360" w:lineRule="auto"/>
        <w:ind w:left="454"/>
      </w:pPr>
      <w:bookmarkStart w:id="146" w:name="_Toc513386607"/>
      <w:r>
        <w:rPr>
          <w:rFonts w:hAnsi="宋体" w:hint="eastAsia"/>
        </w:rPr>
        <w:t>报告期末按债券品种分类的债券投资组</w:t>
      </w:r>
      <w:r>
        <w:rPr>
          <w:rFonts w:hAnsi="宋体" w:hint="eastAsia"/>
        </w:rPr>
        <w:t>合</w:t>
      </w:r>
      <w:bookmarkEnd w:id="138"/>
      <w:bookmarkEnd w:id="139"/>
      <w:bookmarkEnd w:id="140"/>
      <w:bookmarkEnd w:id="141"/>
      <w:bookmarkEnd w:id="146"/>
      <w:r>
        <w:rPr>
          <w:rFonts w:hAnsi="宋体" w:hint="eastAsia"/>
        </w:rPr>
        <w:t xml:space="preserve"> </w:t>
      </w:r>
    </w:p>
    <w:p w:rsidR="00E76897" w:rsidRDefault="00E76897">
      <w:pPr>
        <w:spacing w:line="360" w:lineRule="auto"/>
        <w:ind w:firstLineChars="200" w:firstLine="420"/>
        <w:jc w:val="left"/>
        <w:divId w:val="2026133747"/>
        <w:rPr>
          <w:rFonts w:hint="eastAsia"/>
        </w:rPr>
      </w:pPr>
      <w:r>
        <w:rPr>
          <w:rFonts w:ascii="宋体" w:hAnsi="宋体" w:hint="eastAsia"/>
        </w:rPr>
        <w:t>本基金本报告期末未持有债券</w:t>
      </w:r>
      <w:r>
        <w:rPr>
          <w:rFonts w:ascii="宋体" w:hAnsi="宋体" w:hint="eastAsia"/>
        </w:rPr>
        <w:t>。</w:t>
      </w:r>
      <w:bookmarkStart w:id="147" w:name="m08QD_06"/>
      <w:bookmarkEnd w:id="147"/>
      <w:r>
        <w:rPr>
          <w:rFonts w:ascii="宋体" w:hAnsi="宋体" w:hint="eastAsia"/>
        </w:rPr>
        <w:t xml:space="preserve"> </w:t>
      </w:r>
    </w:p>
    <w:p w:rsidR="00E76897" w:rsidRDefault="00E76897">
      <w:pPr>
        <w:pStyle w:val="XBRLTitle2"/>
        <w:spacing w:before="156" w:line="360" w:lineRule="auto"/>
        <w:ind w:left="454"/>
      </w:pPr>
      <w:bookmarkStart w:id="148" w:name="_Toc513386608"/>
      <w:bookmarkStart w:id="149" w:name="_Toc512519503"/>
      <w:bookmarkStart w:id="150" w:name="_Toc490050024"/>
      <w:bookmarkStart w:id="151" w:name="_Toc438646472"/>
      <w:bookmarkStart w:id="152" w:name="_Toc481075071"/>
      <w:bookmarkStart w:id="153" w:name="m506"/>
      <w:bookmarkEnd w:id="142"/>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48"/>
      <w:bookmarkEnd w:id="149"/>
      <w:bookmarkEnd w:id="150"/>
      <w:bookmarkEnd w:id="151"/>
      <w:bookmarkEnd w:id="152"/>
      <w:r>
        <w:rPr>
          <w:rFonts w:hAnsi="宋体" w:hint="eastAsia"/>
        </w:rPr>
        <w:t xml:space="preserve"> </w:t>
      </w:r>
    </w:p>
    <w:p w:rsidR="00E76897" w:rsidRDefault="00E76897">
      <w:pPr>
        <w:spacing w:line="360" w:lineRule="auto"/>
        <w:ind w:firstLineChars="200" w:firstLine="420"/>
        <w:jc w:val="left"/>
        <w:divId w:val="367067154"/>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E76897" w:rsidRDefault="00E76897">
      <w:pPr>
        <w:pStyle w:val="XBRLTitle2"/>
        <w:spacing w:before="156" w:line="360" w:lineRule="auto"/>
        <w:ind w:left="454"/>
      </w:pPr>
      <w:bookmarkStart w:id="154" w:name="_Toc513386609"/>
      <w:bookmarkStart w:id="155" w:name="_Toc512519504"/>
      <w:bookmarkStart w:id="156" w:name="_Toc490050025"/>
      <w:bookmarkStart w:id="157" w:name="_Toc438646473"/>
      <w:bookmarkStart w:id="158" w:name="_Toc481075072"/>
      <w:bookmarkStart w:id="159" w:name="m507"/>
      <w:bookmarkEnd w:id="153"/>
      <w:r>
        <w:rPr>
          <w:rFonts w:hAnsi="宋体" w:hint="eastAsia"/>
        </w:rPr>
        <w:t>报告期末按公允价值占基金资产净值比例大小排序的前十名资产支持证券投资明</w:t>
      </w:r>
      <w:r>
        <w:rPr>
          <w:rFonts w:hAnsi="宋体" w:hint="eastAsia"/>
        </w:rPr>
        <w:t>细</w:t>
      </w:r>
      <w:bookmarkEnd w:id="154"/>
      <w:bookmarkEnd w:id="155"/>
      <w:bookmarkEnd w:id="156"/>
      <w:bookmarkEnd w:id="157"/>
      <w:bookmarkEnd w:id="158"/>
      <w:r>
        <w:rPr>
          <w:rFonts w:hAnsi="宋体" w:hint="eastAsia"/>
        </w:rPr>
        <w:t xml:space="preserve"> </w:t>
      </w:r>
    </w:p>
    <w:p w:rsidR="00E76897" w:rsidRDefault="00E76897">
      <w:pPr>
        <w:spacing w:line="360" w:lineRule="auto"/>
        <w:ind w:firstLineChars="200" w:firstLine="420"/>
        <w:jc w:val="left"/>
        <w:divId w:val="773867468"/>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E76897" w:rsidRDefault="00E76897">
      <w:pPr>
        <w:pStyle w:val="XBRLTitle2"/>
        <w:spacing w:before="156" w:line="360" w:lineRule="auto"/>
        <w:ind w:left="454"/>
      </w:pPr>
      <w:bookmarkStart w:id="160" w:name="_Toc513386610"/>
      <w:bookmarkStart w:id="161" w:name="_Toc512519505"/>
      <w:bookmarkStart w:id="162" w:name="_Toc490050026"/>
      <w:bookmarkStart w:id="163" w:name="_Toc438646474"/>
      <w:bookmarkStart w:id="164" w:name="_Toc481075073"/>
      <w:bookmarkStart w:id="165" w:name="m508"/>
      <w:bookmarkEnd w:id="159"/>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60"/>
      <w:bookmarkEnd w:id="161"/>
      <w:bookmarkEnd w:id="162"/>
      <w:bookmarkEnd w:id="163"/>
      <w:bookmarkEnd w:id="164"/>
      <w:r>
        <w:rPr>
          <w:rFonts w:hAnsi="宋体" w:hint="eastAsia"/>
        </w:rPr>
        <w:t xml:space="preserve"> </w:t>
      </w:r>
    </w:p>
    <w:p w:rsidR="00E76897" w:rsidRDefault="00E76897">
      <w:pPr>
        <w:spacing w:line="360" w:lineRule="auto"/>
        <w:ind w:firstLineChars="200" w:firstLine="42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E76897" w:rsidRDefault="00E76897">
      <w:pPr>
        <w:pStyle w:val="XBRLTitle2"/>
        <w:spacing w:before="156" w:line="360" w:lineRule="auto"/>
        <w:ind w:left="454"/>
      </w:pPr>
      <w:bookmarkStart w:id="166" w:name="_Toc513386611"/>
      <w:bookmarkStart w:id="167" w:name="_Toc512519506"/>
      <w:bookmarkStart w:id="168" w:name="_Toc490050027"/>
      <w:bookmarkStart w:id="169" w:name="_Toc438646475"/>
      <w:bookmarkStart w:id="170" w:name="_Toc481075074"/>
      <w:bookmarkStart w:id="171" w:name="m509"/>
      <w:bookmarkEnd w:id="165"/>
      <w:r>
        <w:rPr>
          <w:rFonts w:hAnsi="宋体" w:hint="eastAsia"/>
        </w:rPr>
        <w:t>报告期末按公允价值占基金资产净值比例大小排序的前五名权证投资明</w:t>
      </w:r>
      <w:r>
        <w:rPr>
          <w:rFonts w:hAnsi="宋体" w:hint="eastAsia"/>
        </w:rPr>
        <w:t>细</w:t>
      </w:r>
      <w:bookmarkEnd w:id="166"/>
      <w:bookmarkEnd w:id="167"/>
      <w:bookmarkEnd w:id="168"/>
      <w:bookmarkEnd w:id="169"/>
      <w:bookmarkEnd w:id="170"/>
      <w:r>
        <w:rPr>
          <w:rFonts w:hAnsi="宋体" w:hint="eastAsia"/>
        </w:rPr>
        <w:t xml:space="preserve"> </w:t>
      </w:r>
    </w:p>
    <w:p w:rsidR="00E76897" w:rsidRDefault="00E76897">
      <w:pPr>
        <w:spacing w:line="360" w:lineRule="auto"/>
        <w:ind w:firstLineChars="200" w:firstLine="42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E76897" w:rsidRDefault="00E76897">
      <w:pPr>
        <w:pStyle w:val="XBRLTitle2"/>
        <w:spacing w:before="156" w:line="360" w:lineRule="auto"/>
        <w:ind w:left="454"/>
      </w:pPr>
      <w:bookmarkStart w:id="172" w:name="_Toc513386612"/>
      <w:bookmarkStart w:id="173" w:name="_Toc490050028"/>
      <w:bookmarkStart w:id="174" w:name="_Toc481075075"/>
      <w:bookmarkStart w:id="175" w:name="_Toc512519507"/>
      <w:r>
        <w:rPr>
          <w:rFonts w:hAnsi="宋体" w:hint="eastAsia"/>
        </w:rPr>
        <w:t>报告期末本基金投资的股指期货交易情况说</w:t>
      </w:r>
      <w:r>
        <w:rPr>
          <w:rFonts w:hAnsi="宋体" w:hint="eastAsia"/>
        </w:rPr>
        <w:t>明</w:t>
      </w:r>
      <w:bookmarkEnd w:id="172"/>
      <w:bookmarkEnd w:id="173"/>
      <w:bookmarkEnd w:id="174"/>
      <w:bookmarkEnd w:id="175"/>
      <w:r>
        <w:rPr>
          <w:rFonts w:hAnsi="宋体" w:hint="eastAsia"/>
        </w:rPr>
        <w:t xml:space="preserve"> </w:t>
      </w:r>
    </w:p>
    <w:bookmarkEnd w:id="171"/>
    <w:p w:rsidR="00E76897" w:rsidRDefault="00E76897">
      <w:pPr>
        <w:spacing w:line="360" w:lineRule="auto"/>
        <w:ind w:firstLineChars="200" w:firstLine="42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E76897" w:rsidRDefault="00E76897">
      <w:pPr>
        <w:pStyle w:val="XBRLTitle2"/>
        <w:spacing w:before="156" w:line="360" w:lineRule="auto"/>
        <w:ind w:left="454"/>
      </w:pPr>
      <w:bookmarkStart w:id="176" w:name="_Toc513386615"/>
      <w:bookmarkStart w:id="177" w:name="_Toc490050031"/>
      <w:bookmarkStart w:id="178" w:name="_Toc481075078"/>
      <w:bookmarkStart w:id="179" w:name="_Toc512519510"/>
      <w:bookmarkStart w:id="180" w:name="_Toc438646476"/>
      <w:r>
        <w:rPr>
          <w:rFonts w:hAnsi="宋体" w:hint="eastAsia"/>
        </w:rPr>
        <w:t>报告期末本基金投资的国债期货交易情况说</w:t>
      </w:r>
      <w:r>
        <w:rPr>
          <w:rFonts w:hAnsi="宋体" w:hint="eastAsia"/>
        </w:rPr>
        <w:t>明</w:t>
      </w:r>
      <w:bookmarkEnd w:id="176"/>
      <w:bookmarkEnd w:id="177"/>
      <w:bookmarkEnd w:id="178"/>
      <w:bookmarkEnd w:id="179"/>
      <w:bookmarkEnd w:id="180"/>
      <w:r>
        <w:rPr>
          <w:rFonts w:hAnsi="宋体" w:hint="eastAsia"/>
        </w:rPr>
        <w:t xml:space="preserve"> </w:t>
      </w:r>
    </w:p>
    <w:p w:rsidR="00E76897" w:rsidRDefault="00E76897">
      <w:pPr>
        <w:spacing w:line="360" w:lineRule="auto"/>
        <w:ind w:firstLineChars="200" w:firstLine="420"/>
        <w:rPr>
          <w:rFonts w:hint="eastAsia"/>
        </w:rPr>
      </w:pPr>
      <w:bookmarkStart w:id="181" w:name="m510_01_1597"/>
      <w:bookmarkStart w:id="182" w:name="m510_01_1598"/>
      <w:bookmarkEnd w:id="181"/>
      <w:r>
        <w:rPr>
          <w:rFonts w:ascii="宋体" w:hAnsi="宋体" w:hint="eastAsia"/>
          <w:szCs w:val="21"/>
          <w:lang w:eastAsia="zh-Hans"/>
        </w:rPr>
        <w:t>本基金本报告期末未持有国债期货</w:t>
      </w:r>
      <w:r>
        <w:rPr>
          <w:rFonts w:ascii="宋体" w:hAnsi="宋体" w:hint="eastAsia"/>
          <w:szCs w:val="21"/>
          <w:lang w:eastAsia="zh-Hans"/>
        </w:rPr>
        <w:t>。</w:t>
      </w:r>
    </w:p>
    <w:p w:rsidR="00E76897" w:rsidRDefault="00E76897">
      <w:pPr>
        <w:pStyle w:val="XBRLTitle2"/>
        <w:spacing w:before="156" w:line="360" w:lineRule="auto"/>
        <w:ind w:left="454"/>
      </w:pPr>
      <w:bookmarkStart w:id="183" w:name="_Toc513386619"/>
      <w:bookmarkStart w:id="184" w:name="_Toc490050035"/>
      <w:bookmarkStart w:id="185" w:name="_Toc481075082"/>
      <w:bookmarkStart w:id="186" w:name="_Toc512519514"/>
      <w:r>
        <w:rPr>
          <w:rFonts w:hAnsi="宋体" w:hint="eastAsia"/>
        </w:rPr>
        <w:t>投资组合报告附</w:t>
      </w:r>
      <w:r>
        <w:rPr>
          <w:rFonts w:hAnsi="宋体" w:hint="eastAsia"/>
        </w:rPr>
        <w:t>注</w:t>
      </w:r>
      <w:bookmarkEnd w:id="183"/>
      <w:bookmarkEnd w:id="184"/>
      <w:bookmarkEnd w:id="185"/>
      <w:bookmarkEnd w:id="186"/>
      <w:r>
        <w:rPr>
          <w:rFonts w:hAnsi="宋体" w:hint="eastAsia"/>
        </w:rPr>
        <w:t xml:space="preserve"> </w:t>
      </w:r>
    </w:p>
    <w:p w:rsidR="00E76897" w:rsidRDefault="00E76897">
      <w:pPr>
        <w:pStyle w:val="XBRLTitle3"/>
        <w:spacing w:before="156"/>
        <w:ind w:left="0"/>
        <w:rPr>
          <w:rFonts w:hint="eastAsia"/>
        </w:rPr>
      </w:pPr>
      <w:bookmarkStart w:id="187" w:name="_Toc512519515"/>
      <w:bookmarkStart w:id="188" w:name="_Toc481075083"/>
      <w:bookmarkStart w:id="189" w:name="_Toc490050036"/>
      <w:bookmarkStart w:id="190" w:name="_Toc513295927"/>
      <w:r>
        <w:rPr>
          <w:rFonts w:hAnsi="宋体" w:hint="eastAsia"/>
        </w:rPr>
        <w:t> </w:t>
      </w:r>
      <w:r>
        <w:rPr>
          <w:rFonts w:hint="eastAsia"/>
          <w:lang w:eastAsia="zh-CN"/>
        </w:rPr>
        <w:t xml:space="preserve"> </w:t>
      </w:r>
      <w:bookmarkStart w:id="191" w:name="_Toc514507543"/>
      <w:bookmarkEnd w:id="187"/>
      <w:bookmarkEnd w:id="188"/>
      <w:bookmarkEnd w:id="189"/>
      <w:bookmarkEnd w:id="190"/>
      <w:bookmarkEnd w:id="191"/>
    </w:p>
    <w:p w:rsidR="00E76897" w:rsidRDefault="00E76897">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E76897" w:rsidRDefault="00E76897">
      <w:pPr>
        <w:pStyle w:val="XBRLTitle3"/>
        <w:spacing w:before="156"/>
        <w:ind w:left="0"/>
      </w:pPr>
      <w:bookmarkStart w:id="192" w:name="_Toc512519516"/>
      <w:bookmarkStart w:id="193" w:name="_Toc481075084"/>
      <w:bookmarkStart w:id="194" w:name="_Toc490050037"/>
      <w:bookmarkStart w:id="195" w:name="_Toc513295928"/>
      <w:r>
        <w:rPr>
          <w:rFonts w:hAnsi="宋体" w:hint="eastAsia"/>
        </w:rPr>
        <w:t> </w:t>
      </w:r>
      <w:r>
        <w:rPr>
          <w:rFonts w:hint="eastAsia"/>
          <w:lang w:eastAsia="zh-CN"/>
        </w:rPr>
        <w:t xml:space="preserve"> </w:t>
      </w:r>
      <w:bookmarkStart w:id="196" w:name="_Toc514507544"/>
      <w:bookmarkEnd w:id="192"/>
      <w:bookmarkEnd w:id="193"/>
      <w:bookmarkEnd w:id="194"/>
      <w:bookmarkEnd w:id="195"/>
      <w:bookmarkEnd w:id="196"/>
    </w:p>
    <w:p w:rsidR="00E76897" w:rsidRDefault="00E7689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E76897" w:rsidRDefault="00E76897">
      <w:pPr>
        <w:pStyle w:val="XBRLTitle3"/>
        <w:spacing w:before="156"/>
        <w:ind w:left="0"/>
      </w:pPr>
      <w:bookmarkStart w:id="197" w:name="_Toc513386622"/>
      <w:bookmarkStart w:id="198" w:name="_Toc512519517"/>
      <w:bookmarkStart w:id="199" w:name="_Toc490050038"/>
      <w:bookmarkStart w:id="200" w:name="_Toc481075085"/>
      <w:bookmarkStart w:id="201" w:name="m510_02"/>
      <w:bookmarkEnd w:id="182"/>
      <w:r>
        <w:rPr>
          <w:rFonts w:hint="eastAsia"/>
        </w:rPr>
        <w:t>其他资产构</w:t>
      </w:r>
      <w:r>
        <w:rPr>
          <w:rFonts w:hint="eastAsia"/>
        </w:rPr>
        <w:t>成</w:t>
      </w:r>
      <w:bookmarkEnd w:id="197"/>
      <w:bookmarkEnd w:id="198"/>
      <w:bookmarkEnd w:id="199"/>
      <w:bookmarkEnd w:id="2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21693924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897" w:rsidRDefault="00E76897">
            <w:pPr>
              <w:jc w:val="center"/>
            </w:pPr>
            <w:r>
              <w:rPr>
                <w:rFonts w:ascii="宋体" w:hAnsi="宋体" w:hint="eastAsia"/>
              </w:rPr>
              <w:t>金额（元</w:t>
            </w:r>
            <w:r>
              <w:rPr>
                <w:rFonts w:ascii="宋体" w:hAnsi="宋体" w:hint="eastAsia"/>
              </w:rPr>
              <w:t>）</w:t>
            </w:r>
            <w:r>
              <w:t xml:space="preserve"> </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221,513.1</w:t>
            </w:r>
            <w:r>
              <w:rPr>
                <w:rFonts w:ascii="宋体" w:hAnsi="宋体" w:hint="eastAsia"/>
              </w:rPr>
              <w:t>5</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w:t>
            </w:r>
          </w:p>
        </w:tc>
      </w:tr>
      <w:tr w:rsidR="00000000">
        <w:trPr>
          <w:divId w:val="121693924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rPr>
              <w:t>221,513.1</w:t>
            </w:r>
            <w:r>
              <w:rPr>
                <w:rFonts w:ascii="宋体" w:hAnsi="宋体" w:hint="eastAsia"/>
              </w:rPr>
              <w:t>5</w:t>
            </w:r>
          </w:p>
        </w:tc>
      </w:tr>
    </w:tbl>
    <w:p w:rsidR="00E76897" w:rsidRDefault="00E76897">
      <w:pPr>
        <w:pStyle w:val="XBRLTitle3"/>
        <w:spacing w:before="156"/>
        <w:ind w:left="0"/>
      </w:pPr>
      <w:bookmarkStart w:id="202" w:name="_Toc513386623"/>
      <w:bookmarkStart w:id="203" w:name="_Toc512519518"/>
      <w:bookmarkStart w:id="204" w:name="_Toc490050039"/>
      <w:bookmarkStart w:id="205" w:name="_Toc481075086"/>
      <w:bookmarkStart w:id="206" w:name="m510_03"/>
      <w:bookmarkEnd w:id="201"/>
      <w:r>
        <w:rPr>
          <w:rFonts w:hint="eastAsia"/>
        </w:rPr>
        <w:t>报告期末持有的处于转股期的可转换债券明</w:t>
      </w:r>
      <w:r>
        <w:rPr>
          <w:rFonts w:hint="eastAsia"/>
        </w:rPr>
        <w:t>细</w:t>
      </w:r>
      <w:bookmarkEnd w:id="202"/>
      <w:bookmarkEnd w:id="203"/>
      <w:bookmarkEnd w:id="204"/>
      <w:bookmarkEnd w:id="205"/>
    </w:p>
    <w:p w:rsidR="00E76897" w:rsidRDefault="00E76897">
      <w:pPr>
        <w:spacing w:line="360" w:lineRule="auto"/>
        <w:ind w:firstLineChars="200" w:firstLine="420"/>
        <w:jc w:val="left"/>
        <w:divId w:val="1023675103"/>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E76897" w:rsidRDefault="00E76897">
      <w:pPr>
        <w:pStyle w:val="XBRLTitle3"/>
        <w:spacing w:before="156"/>
        <w:ind w:left="0"/>
      </w:pPr>
      <w:bookmarkStart w:id="207" w:name="_Toc513386624"/>
      <w:bookmarkStart w:id="208" w:name="_Toc512519519"/>
      <w:bookmarkStart w:id="209" w:name="_Toc490050040"/>
      <w:bookmarkStart w:id="210" w:name="_Toc481075087"/>
      <w:bookmarkStart w:id="211" w:name="m510_04"/>
      <w:bookmarkEnd w:id="206"/>
      <w:r>
        <w:rPr>
          <w:rFonts w:hint="eastAsia"/>
        </w:rPr>
        <w:t>报告期末前十名股票中存在流通受限情况的说</w:t>
      </w:r>
      <w:r>
        <w:rPr>
          <w:rFonts w:hint="eastAsia"/>
        </w:rPr>
        <w:t>明</w:t>
      </w:r>
      <w:bookmarkEnd w:id="207"/>
      <w:bookmarkEnd w:id="208"/>
      <w:bookmarkEnd w:id="209"/>
      <w:bookmarkEnd w:id="210"/>
    </w:p>
    <w:p w:rsidR="00E76897" w:rsidRDefault="00E76897">
      <w:pPr>
        <w:pStyle w:val="XBRLTitle4"/>
        <w:spacing w:before="156"/>
        <w:ind w:left="794"/>
        <w:rPr>
          <w:rFonts w:hint="eastAsia"/>
        </w:rPr>
      </w:pPr>
      <w:bookmarkStart w:id="212" w:name="_Toc513386625"/>
      <w:r>
        <w:rPr>
          <w:rFonts w:eastAsia="宋体" w:hint="eastAsia"/>
          <w:lang w:eastAsia="zh-CN"/>
        </w:rPr>
        <w:t>报告期末指数投资前十名股票中存在流通受限情况的说</w:t>
      </w:r>
      <w:r>
        <w:rPr>
          <w:rFonts w:eastAsia="宋体" w:hint="eastAsia"/>
          <w:lang w:eastAsia="zh-CN"/>
        </w:rPr>
        <w:t>明</w:t>
      </w:r>
      <w:bookmarkEnd w:id="212"/>
      <w:r>
        <w:rPr>
          <w:rFonts w:eastAsia="宋体" w:hint="eastAsia"/>
          <w:lang w:eastAsia="zh-CN"/>
        </w:rPr>
        <w:t xml:space="preserve"> </w:t>
      </w:r>
    </w:p>
    <w:p w:rsidR="00E76897" w:rsidRDefault="00E76897">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p>
    <w:p w:rsidR="00E76897" w:rsidRDefault="00E76897">
      <w:pPr>
        <w:pStyle w:val="XBRLTitle4"/>
        <w:spacing w:before="156"/>
        <w:ind w:left="794"/>
      </w:pPr>
      <w:bookmarkStart w:id="213" w:name="_Toc513386626"/>
      <w:r>
        <w:rPr>
          <w:rFonts w:eastAsia="宋体" w:hint="eastAsia"/>
          <w:lang w:eastAsia="zh-CN"/>
        </w:rPr>
        <w:t>报告期末积极投资前五名股票中存在流通受限情况的说</w:t>
      </w:r>
      <w:r>
        <w:rPr>
          <w:rFonts w:eastAsia="宋体" w:hint="eastAsia"/>
          <w:lang w:eastAsia="zh-CN"/>
        </w:rPr>
        <w:t>明</w:t>
      </w:r>
      <w:bookmarkEnd w:id="213"/>
      <w:r>
        <w:rPr>
          <w:rFonts w:eastAsia="宋体" w:hint="eastAsia"/>
          <w:lang w:eastAsia="zh-CN"/>
        </w:rPr>
        <w:t xml:space="preserve"> </w:t>
      </w:r>
    </w:p>
    <w:p w:rsidR="00E76897" w:rsidRDefault="00E76897">
      <w:pPr>
        <w:spacing w:line="360" w:lineRule="auto"/>
        <w:ind w:firstLineChars="200" w:firstLine="420"/>
        <w:jc w:val="left"/>
        <w:rPr>
          <w:rFonts w:hint="eastAsia"/>
        </w:rPr>
      </w:pPr>
      <w:r>
        <w:rPr>
          <w:rFonts w:ascii="宋体" w:hAnsi="宋体" w:hint="eastAsia"/>
        </w:rPr>
        <w:t>本基金本报告期末前五名积极投资中不存在流通受限情况</w:t>
      </w:r>
      <w:r>
        <w:rPr>
          <w:rFonts w:ascii="宋体" w:hAnsi="宋体" w:hint="eastAsia"/>
        </w:rPr>
        <w:t>。</w:t>
      </w:r>
      <w:bookmarkEnd w:id="13"/>
      <w:bookmarkEnd w:id="14"/>
      <w:bookmarkEnd w:id="15"/>
      <w:bookmarkEnd w:id="16"/>
      <w:bookmarkEnd w:id="17"/>
    </w:p>
    <w:p w:rsidR="00E76897" w:rsidRDefault="00E76897">
      <w:pPr>
        <w:pStyle w:val="XBRLTitle3"/>
        <w:spacing w:before="156"/>
        <w:ind w:left="0"/>
      </w:pPr>
      <w:bookmarkStart w:id="214" w:name="_Toc513386627"/>
      <w:bookmarkStart w:id="215" w:name="_Toc490050041"/>
      <w:bookmarkStart w:id="216" w:name="_Toc481075088"/>
      <w:bookmarkStart w:id="217" w:name="_Toc512519520"/>
      <w:bookmarkStart w:id="218" w:name="m510_05_1678"/>
      <w:bookmarkEnd w:id="211"/>
      <w:r>
        <w:rPr>
          <w:rFonts w:hint="eastAsia"/>
        </w:rPr>
        <w:t>投资组合报告附注的其他文字描述部</w:t>
      </w:r>
      <w:r>
        <w:rPr>
          <w:rFonts w:hint="eastAsia"/>
        </w:rPr>
        <w:t>分</w:t>
      </w:r>
      <w:bookmarkEnd w:id="214"/>
      <w:bookmarkEnd w:id="215"/>
      <w:bookmarkEnd w:id="216"/>
      <w:bookmarkEnd w:id="217"/>
      <w:r>
        <w:rPr>
          <w:rFonts w:hint="eastAsia"/>
          <w:sz w:val="21"/>
        </w:rPr>
        <w:t xml:space="preserve"> </w:t>
      </w:r>
    </w:p>
    <w:p w:rsidR="00E76897" w:rsidRDefault="00E7689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E76897" w:rsidRDefault="00E76897">
      <w:pPr>
        <w:pStyle w:val="XBRLTitle1"/>
        <w:spacing w:before="156" w:line="360" w:lineRule="auto"/>
        <w:ind w:left="425"/>
      </w:pPr>
      <w:bookmarkStart w:id="219" w:name="_Toc513386628"/>
      <w:bookmarkStart w:id="220" w:name="_Toc490050042"/>
      <w:bookmarkStart w:id="221" w:name="_Toc438646477"/>
      <w:bookmarkStart w:id="222" w:name="_Toc481075089"/>
      <w:bookmarkStart w:id="223" w:name="_Toc512519521"/>
      <w:bookmarkStart w:id="224" w:name="m601"/>
      <w:bookmarkEnd w:id="126"/>
      <w:bookmarkEnd w:id="218"/>
      <w:r>
        <w:rPr>
          <w:rFonts w:hAnsi="宋体" w:hint="eastAsia"/>
        </w:rPr>
        <w:t>开放式基金份额变</w:t>
      </w:r>
      <w:r>
        <w:rPr>
          <w:rFonts w:hAnsi="宋体" w:hint="eastAsia"/>
        </w:rPr>
        <w:t>动</w:t>
      </w:r>
      <w:bookmarkStart w:id="225" w:name="m601_tab"/>
      <w:bookmarkEnd w:id="12"/>
      <w:bookmarkEnd w:id="219"/>
      <w:bookmarkEnd w:id="220"/>
      <w:bookmarkEnd w:id="221"/>
      <w:bookmarkEnd w:id="222"/>
      <w:bookmarkEnd w:id="223"/>
    </w:p>
    <w:p w:rsidR="00E76897" w:rsidRDefault="00E76897">
      <w:pPr>
        <w:wordWrap w:val="0"/>
        <w:spacing w:line="360" w:lineRule="auto"/>
        <w:jc w:val="right"/>
        <w:rPr>
          <w:rFonts w:hint="eastAsia"/>
        </w:rPr>
      </w:pPr>
      <w:bookmarkStart w:id="22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76897" w:rsidRDefault="00E76897">
            <w:pPr>
              <w:pStyle w:val="xl33"/>
              <w:widowControl w:val="0"/>
              <w:pBdr>
                <w:left w:val="none" w:sz="0" w:space="0" w:color="auto"/>
                <w:bottom w:val="none" w:sz="0" w:space="0" w:color="auto"/>
                <w:right w:val="none" w:sz="0" w:space="0" w:color="auto"/>
              </w:pBdr>
              <w:spacing w:before="0" w:beforeAutospacing="0" w:after="0" w:afterAutospacing="0"/>
              <w:jc w:val="both"/>
            </w:pPr>
            <w:bookmarkStart w:id="227" w:name="m10_01" w:colFirst="1" w:colLast="2"/>
            <w:bookmarkEnd w:id="22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ind w:right="3"/>
              <w:jc w:val="center"/>
            </w:pPr>
            <w:r>
              <w:rPr>
                <w:rFonts w:ascii="宋体" w:hAnsi="宋体" w:hint="eastAsia"/>
                <w:lang w:eastAsia="zh-Hans"/>
              </w:rPr>
              <w:t>摩根中证</w:t>
            </w:r>
            <w:r>
              <w:rPr>
                <w:rFonts w:ascii="宋体" w:hAnsi="宋体" w:hint="eastAsia"/>
                <w:lang w:eastAsia="zh-Hans"/>
              </w:rPr>
              <w:t>A500</w:t>
            </w:r>
            <w:r>
              <w:rPr>
                <w:rFonts w:ascii="宋体" w:hAnsi="宋体" w:hint="eastAsia"/>
                <w:lang w:eastAsia="zh-Hans"/>
              </w:rPr>
              <w:t>指数增强</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76897" w:rsidRDefault="00E76897">
            <w:pPr>
              <w:ind w:right="3"/>
              <w:jc w:val="center"/>
            </w:pPr>
            <w:r>
              <w:rPr>
                <w:rFonts w:ascii="宋体" w:hAnsi="宋体" w:hint="eastAsia"/>
                <w:lang w:eastAsia="zh-Hans"/>
              </w:rPr>
              <w:t>摩根中证</w:t>
            </w:r>
            <w:r>
              <w:rPr>
                <w:rFonts w:ascii="宋体" w:hAnsi="宋体" w:hint="eastAsia"/>
                <w:lang w:eastAsia="zh-Hans"/>
              </w:rPr>
              <w:t>A500</w:t>
            </w:r>
            <w:r>
              <w:rPr>
                <w:rFonts w:ascii="宋体" w:hAnsi="宋体" w:hint="eastAsia"/>
                <w:lang w:eastAsia="zh-Hans"/>
              </w:rPr>
              <w:t>指数增强</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331,373,272.4</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462,122,654.1</w:t>
            </w:r>
            <w:r>
              <w:rPr>
                <w:rFonts w:ascii="宋体" w:hAnsi="宋体" w:hint="eastAsia"/>
              </w:rPr>
              <w:t>5</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7,331,952.0</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20,073,198.1</w:t>
            </w:r>
            <w:r>
              <w:rPr>
                <w:rFonts w:ascii="宋体" w:hAnsi="宋体" w:hint="eastAsia"/>
              </w:rPr>
              <w:t>8</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111,564,936.3</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213,789,933.9</w:t>
            </w:r>
            <w:r>
              <w:rPr>
                <w:rFonts w:ascii="宋体" w:hAnsi="宋体" w:hint="eastAsia"/>
              </w:rPr>
              <w:t>3</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227,140,288.1</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76897" w:rsidRDefault="00E76897">
            <w:pPr>
              <w:jc w:val="right"/>
            </w:pPr>
            <w:r>
              <w:rPr>
                <w:rFonts w:ascii="宋体" w:hAnsi="宋体" w:hint="eastAsia"/>
              </w:rPr>
              <w:t>268,405,918.4</w:t>
            </w:r>
            <w:r>
              <w:rPr>
                <w:rFonts w:ascii="宋体" w:hAnsi="宋体" w:hint="eastAsia"/>
              </w:rPr>
              <w:t>0</w:t>
            </w:r>
          </w:p>
        </w:tc>
      </w:tr>
    </w:tbl>
    <w:p w:rsidR="00E76897" w:rsidRDefault="00E76897">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227"/>
      <w:r>
        <w:rPr>
          <w:rFonts w:ascii="宋体" w:hAnsi="宋体" w:hint="eastAsia"/>
        </w:rPr>
        <w:t xml:space="preserve"> </w:t>
      </w:r>
    </w:p>
    <w:p w:rsidR="00E76897" w:rsidRDefault="00E76897">
      <w:pPr>
        <w:pStyle w:val="XBRLTitle1"/>
        <w:spacing w:before="156" w:line="360" w:lineRule="auto"/>
        <w:ind w:left="425"/>
      </w:pPr>
      <w:bookmarkStart w:id="228" w:name="_Toc513386629"/>
      <w:bookmarkStart w:id="229" w:name="_Toc490050043"/>
      <w:bookmarkStart w:id="230" w:name="_Toc438646478"/>
      <w:bookmarkStart w:id="231" w:name="_Toc481075090"/>
      <w:bookmarkStart w:id="232" w:name="_Toc512519522"/>
      <w:bookmarkStart w:id="233" w:name="m7manage01"/>
      <w:bookmarkEnd w:id="224"/>
      <w:bookmarkEnd w:id="225"/>
      <w:r>
        <w:rPr>
          <w:rFonts w:hAnsi="宋体" w:hint="eastAsia"/>
        </w:rPr>
        <w:t>基金管理人运用固有资金投资本基金情</w:t>
      </w:r>
      <w:r>
        <w:rPr>
          <w:rFonts w:hAnsi="宋体" w:hint="eastAsia"/>
        </w:rPr>
        <w:t>况</w:t>
      </w:r>
      <w:bookmarkEnd w:id="228"/>
      <w:bookmarkEnd w:id="229"/>
      <w:bookmarkEnd w:id="230"/>
      <w:bookmarkEnd w:id="231"/>
      <w:bookmarkEnd w:id="232"/>
      <w:bookmarkEnd w:id="233"/>
      <w:r>
        <w:rPr>
          <w:rFonts w:hAnsi="宋体" w:hint="eastAsia"/>
        </w:rPr>
        <w:t xml:space="preserve"> </w:t>
      </w:r>
    </w:p>
    <w:p w:rsidR="00E76897" w:rsidRDefault="00E76897">
      <w:pPr>
        <w:pStyle w:val="XBRLTitle2"/>
        <w:spacing w:before="156" w:line="360" w:lineRule="auto"/>
        <w:ind w:left="454"/>
        <w:rPr>
          <w:rFonts w:hint="eastAsia"/>
        </w:rPr>
      </w:pPr>
      <w:bookmarkStart w:id="234" w:name="_Toc513386630"/>
      <w:bookmarkStart w:id="235" w:name="_Toc490050044"/>
      <w:bookmarkStart w:id="236" w:name="_Toc458599606"/>
      <w:bookmarkStart w:id="237" w:name="_Toc481075091"/>
      <w:bookmarkStart w:id="238" w:name="_Toc512519523"/>
      <w:r>
        <w:rPr>
          <w:rFonts w:hAnsi="宋体" w:hint="eastAsia"/>
        </w:rPr>
        <w:t>基金管理人持有本基金份额变动情</w:t>
      </w:r>
      <w:r>
        <w:rPr>
          <w:rFonts w:hAnsi="宋体" w:hint="eastAsia"/>
        </w:rPr>
        <w:t>况</w:t>
      </w:r>
      <w:bookmarkEnd w:id="234"/>
      <w:bookmarkEnd w:id="235"/>
      <w:bookmarkEnd w:id="236"/>
      <w:bookmarkEnd w:id="237"/>
      <w:bookmarkEnd w:id="238"/>
      <w:r>
        <w:rPr>
          <w:rFonts w:hAnsi="宋体" w:hint="eastAsia"/>
          <w:lang w:eastAsia="zh-CN"/>
        </w:rPr>
        <w:t xml:space="preserve"> </w:t>
      </w:r>
    </w:p>
    <w:p w:rsidR="00E76897" w:rsidRDefault="00E76897">
      <w:pPr>
        <w:wordWrap w:val="0"/>
        <w:spacing w:line="360" w:lineRule="auto"/>
        <w:jc w:val="right"/>
        <w:divId w:val="321127183"/>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321127183"/>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jc w:val="center"/>
            </w:pPr>
            <w:r>
              <w:rPr>
                <w:rFonts w:ascii="宋体" w:hAnsi="宋体" w:hint="eastAsia"/>
                <w:lang w:eastAsia="zh-Hans"/>
              </w:rPr>
              <w:t>摩根中证</w:t>
            </w:r>
            <w:r>
              <w:rPr>
                <w:rFonts w:ascii="宋体" w:hAnsi="宋体" w:hint="eastAsia"/>
                <w:lang w:eastAsia="zh-Hans"/>
              </w:rPr>
              <w:t>A500</w:t>
            </w:r>
            <w:r>
              <w:rPr>
                <w:rFonts w:ascii="宋体" w:hAnsi="宋体" w:hint="eastAsia"/>
                <w:lang w:eastAsia="zh-Hans"/>
              </w:rPr>
              <w:t>指数增强</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76897" w:rsidRDefault="00E76897">
            <w:pPr>
              <w:jc w:val="center"/>
            </w:pPr>
            <w:r>
              <w:rPr>
                <w:rFonts w:ascii="宋体" w:hAnsi="宋体" w:hint="eastAsia"/>
                <w:lang w:eastAsia="zh-Hans"/>
              </w:rPr>
              <w:t>摩根中证</w:t>
            </w:r>
            <w:r>
              <w:rPr>
                <w:rFonts w:ascii="宋体" w:hAnsi="宋体" w:hint="eastAsia"/>
                <w:lang w:eastAsia="zh-Hans"/>
              </w:rPr>
              <w:t>A500</w:t>
            </w:r>
            <w:r>
              <w:rPr>
                <w:rFonts w:ascii="宋体" w:hAnsi="宋体" w:hint="eastAsia"/>
                <w:lang w:eastAsia="zh-Hans"/>
              </w:rPr>
              <w:t>指数增强</w:t>
            </w:r>
            <w:r>
              <w:rPr>
                <w:rFonts w:ascii="宋体" w:hAnsi="宋体" w:hint="eastAsia"/>
                <w:lang w:eastAsia="zh-Hans"/>
              </w:rPr>
              <w:t>C</w:t>
            </w:r>
            <w:r>
              <w:rPr>
                <w:rFonts w:ascii="宋体" w:hAnsi="宋体" w:hint="eastAsia"/>
                <w:color w:val="000000"/>
              </w:rPr>
              <w:t xml:space="preserve"> </w:t>
            </w:r>
          </w:p>
        </w:tc>
      </w:tr>
      <w:tr w:rsidR="00000000">
        <w:trPr>
          <w:divId w:val="32112718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rPr>
                <w:rFonts w:hint="eastAsia"/>
              </w:rPr>
            </w:pPr>
            <w:r>
              <w:rPr>
                <w:rFonts w:ascii="宋体" w:hAnsi="宋体" w:hint="eastAsia"/>
                <w:kern w:val="0"/>
                <w:szCs w:val="24"/>
                <w:lang w:eastAsia="zh-Hans"/>
              </w:rPr>
              <w:t>24,718,990.5</w:t>
            </w:r>
            <w:r>
              <w:rPr>
                <w:rFonts w:ascii="宋体" w:hAnsi="宋体" w:hint="eastAsia"/>
                <w:kern w:val="0"/>
                <w:szCs w:val="24"/>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kern w:val="0"/>
                <w:szCs w:val="24"/>
                <w:lang w:eastAsia="zh-Hans"/>
              </w:rPr>
              <w:t>-</w:t>
            </w:r>
          </w:p>
        </w:tc>
      </w:tr>
      <w:tr w:rsidR="00000000">
        <w:trPr>
          <w:divId w:val="32112718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szCs w:val="24"/>
                <w:lang w:eastAsia="zh-Hans"/>
              </w:rPr>
              <w:t>-</w:t>
            </w:r>
          </w:p>
        </w:tc>
      </w:tr>
      <w:tr w:rsidR="00000000">
        <w:trPr>
          <w:divId w:val="32112718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lang w:eastAsia="zh-Hans"/>
              </w:rPr>
              <w:t>-</w:t>
            </w:r>
          </w:p>
        </w:tc>
      </w:tr>
      <w:tr w:rsidR="00000000">
        <w:trPr>
          <w:divId w:val="32112718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rPr>
                <w:rFonts w:hint="eastAsia"/>
              </w:rPr>
            </w:pPr>
            <w:r>
              <w:rPr>
                <w:rFonts w:ascii="宋体" w:hAnsi="宋体" w:hint="eastAsia"/>
                <w:lang w:eastAsia="zh-Hans"/>
              </w:rPr>
              <w:t>24,718,990.5</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lang w:eastAsia="zh-Hans"/>
              </w:rPr>
              <w:t>-</w:t>
            </w:r>
          </w:p>
        </w:tc>
      </w:tr>
      <w:tr w:rsidR="00000000">
        <w:trPr>
          <w:divId w:val="32112718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rPr>
                <w:rFonts w:hint="eastAsia"/>
              </w:rPr>
            </w:pPr>
            <w:r>
              <w:rPr>
                <w:rFonts w:ascii="宋体" w:hAnsi="宋体" w:hint="eastAsia"/>
                <w:lang w:eastAsia="zh-Hans"/>
              </w:rPr>
              <w:t>4.9</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76897" w:rsidRDefault="00E76897">
            <w:pPr>
              <w:jc w:val="right"/>
            </w:pPr>
            <w:r>
              <w:rPr>
                <w:rFonts w:ascii="宋体" w:hAnsi="宋体" w:hint="eastAsia"/>
                <w:lang w:eastAsia="zh-Hans"/>
              </w:rPr>
              <w:t>-</w:t>
            </w:r>
          </w:p>
        </w:tc>
      </w:tr>
    </w:tbl>
    <w:p w:rsidR="00E76897" w:rsidRDefault="00E76897">
      <w:pPr>
        <w:pStyle w:val="XBRLTitle2"/>
        <w:spacing w:before="156" w:line="360" w:lineRule="auto"/>
        <w:ind w:left="454"/>
      </w:pPr>
      <w:bookmarkStart w:id="239" w:name="_Toc513386631"/>
      <w:bookmarkStart w:id="240" w:name="_Toc490050045"/>
      <w:bookmarkStart w:id="241" w:name="_Toc458599607"/>
      <w:bookmarkStart w:id="242" w:name="_Toc481075092"/>
      <w:bookmarkStart w:id="243" w:name="_Toc512519524"/>
      <w:r>
        <w:rPr>
          <w:rFonts w:hAnsi="宋体" w:hint="eastAsia"/>
        </w:rPr>
        <w:t>基金管理人运用固有资金投资本基金交易明</w:t>
      </w:r>
      <w:r>
        <w:rPr>
          <w:rFonts w:hAnsi="宋体" w:hint="eastAsia"/>
        </w:rPr>
        <w:t>细</w:t>
      </w:r>
      <w:bookmarkEnd w:id="239"/>
      <w:bookmarkEnd w:id="240"/>
      <w:bookmarkEnd w:id="241"/>
      <w:bookmarkEnd w:id="242"/>
      <w:bookmarkEnd w:id="243"/>
      <w:r>
        <w:rPr>
          <w:rFonts w:hAnsi="宋体" w:hint="eastAsia"/>
          <w:lang w:eastAsia="zh-CN"/>
        </w:rPr>
        <w:t xml:space="preserve"> </w:t>
      </w:r>
    </w:p>
    <w:p w:rsidR="00E76897" w:rsidRDefault="00E76897">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E76897" w:rsidRDefault="00E76897">
      <w:pPr>
        <w:pStyle w:val="XBRLTitle1"/>
        <w:spacing w:before="156" w:line="360" w:lineRule="auto"/>
        <w:ind w:left="425"/>
      </w:pPr>
      <w:bookmarkStart w:id="244" w:name="_Toc513386632"/>
      <w:bookmarkStart w:id="245" w:name="_Toc479856294"/>
      <w:bookmarkStart w:id="246" w:name="_Toc481075094"/>
      <w:bookmarkStart w:id="247" w:name="_Toc490050046"/>
      <w:bookmarkStart w:id="248" w:name="_Toc512519526"/>
      <w:bookmarkStart w:id="249" w:name="m701"/>
      <w:r>
        <w:rPr>
          <w:rFonts w:hAnsi="宋体" w:hint="eastAsia"/>
        </w:rPr>
        <w:t>影响投资者决策的其他重要信</w:t>
      </w:r>
      <w:r>
        <w:rPr>
          <w:rFonts w:hAnsi="宋体" w:hint="eastAsia"/>
        </w:rPr>
        <w:t>息</w:t>
      </w:r>
      <w:bookmarkEnd w:id="244"/>
      <w:bookmarkEnd w:id="245"/>
      <w:bookmarkEnd w:id="246"/>
      <w:bookmarkEnd w:id="247"/>
      <w:bookmarkEnd w:id="248"/>
      <w:r>
        <w:rPr>
          <w:rFonts w:hAnsi="宋体" w:hint="eastAsia"/>
          <w:lang w:eastAsia="zh-CN"/>
        </w:rPr>
        <w:t xml:space="preserve"> </w:t>
      </w:r>
    </w:p>
    <w:p w:rsidR="00E76897" w:rsidRDefault="00E76897">
      <w:pPr>
        <w:pStyle w:val="XBRLTitle2"/>
        <w:spacing w:before="156" w:line="360" w:lineRule="auto"/>
        <w:ind w:left="454"/>
        <w:rPr>
          <w:rFonts w:hint="eastAsia"/>
        </w:rPr>
      </w:pPr>
      <w:bookmarkStart w:id="250" w:name="_Toc513386633"/>
      <w:bookmarkStart w:id="251" w:name="_Toc490050047"/>
      <w:bookmarkStart w:id="252" w:name="_Toc481075095"/>
      <w:bookmarkStart w:id="253" w:name="_Toc512519527"/>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50"/>
      <w:bookmarkEnd w:id="251"/>
      <w:bookmarkEnd w:id="252"/>
      <w:bookmarkEnd w:id="253"/>
      <w:r>
        <w:rPr>
          <w:rFonts w:hAnsi="宋体" w:hint="eastAsia"/>
          <w:kern w:val="0"/>
          <w:lang w:eastAsia="zh-CN"/>
        </w:rPr>
        <w:t xml:space="preserve"> </w:t>
      </w:r>
    </w:p>
    <w:bookmarkEnd w:id="18"/>
    <w:bookmarkEnd w:id="32"/>
    <w:bookmarkEnd w:id="33"/>
    <w:p w:rsidR="00E76897" w:rsidRDefault="00E76897">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E76897" w:rsidRDefault="00E76897">
      <w:pPr>
        <w:pStyle w:val="XBRLTitle1"/>
        <w:spacing w:before="156" w:line="360" w:lineRule="auto"/>
        <w:ind w:left="425"/>
        <w:rPr>
          <w:rFonts w:hint="eastAsia"/>
        </w:rPr>
      </w:pPr>
      <w:bookmarkStart w:id="254" w:name="_Toc513386635"/>
      <w:bookmarkStart w:id="255" w:name="_Toc438646481"/>
      <w:bookmarkStart w:id="256" w:name="_Toc481075097"/>
      <w:bookmarkStart w:id="257" w:name="_Toc490050049"/>
      <w:bookmarkStart w:id="258" w:name="_Toc512519529"/>
      <w:bookmarkEnd w:id="249"/>
      <w:r>
        <w:rPr>
          <w:rFonts w:hAnsi="宋体" w:hint="eastAsia"/>
        </w:rPr>
        <w:t>备查文件目</w:t>
      </w:r>
      <w:r>
        <w:rPr>
          <w:rFonts w:hAnsi="宋体" w:hint="eastAsia"/>
        </w:rPr>
        <w:t>录</w:t>
      </w:r>
      <w:bookmarkEnd w:id="254"/>
      <w:bookmarkEnd w:id="255"/>
      <w:bookmarkEnd w:id="256"/>
      <w:bookmarkEnd w:id="257"/>
      <w:bookmarkEnd w:id="258"/>
      <w:r>
        <w:rPr>
          <w:rFonts w:hAnsi="宋体" w:hint="eastAsia"/>
        </w:rPr>
        <w:t xml:space="preserve"> </w:t>
      </w:r>
    </w:p>
    <w:p w:rsidR="00E76897" w:rsidRDefault="00E76897">
      <w:pPr>
        <w:pStyle w:val="XBRLTitle2"/>
        <w:spacing w:before="156" w:line="360" w:lineRule="auto"/>
        <w:ind w:left="454"/>
        <w:rPr>
          <w:rFonts w:hint="eastAsia"/>
        </w:rPr>
      </w:pPr>
      <w:bookmarkStart w:id="259" w:name="_Toc438646482"/>
      <w:bookmarkStart w:id="260" w:name="_Toc513386636"/>
      <w:bookmarkStart w:id="261" w:name="_Toc490050050"/>
      <w:bookmarkStart w:id="262" w:name="_Toc481075098"/>
      <w:bookmarkStart w:id="263" w:name="_Toc512519530"/>
      <w:bookmarkStart w:id="264" w:name="m801_01_1733"/>
      <w:r>
        <w:rPr>
          <w:rFonts w:hAnsi="宋体" w:hint="eastAsia"/>
        </w:rPr>
        <w:t>备查文件目</w:t>
      </w:r>
      <w:r>
        <w:rPr>
          <w:rFonts w:hAnsi="宋体" w:hint="eastAsia"/>
        </w:rPr>
        <w:t>录</w:t>
      </w:r>
      <w:bookmarkEnd w:id="259"/>
      <w:bookmarkEnd w:id="260"/>
      <w:bookmarkEnd w:id="261"/>
      <w:bookmarkEnd w:id="262"/>
      <w:bookmarkEnd w:id="263"/>
      <w:r>
        <w:rPr>
          <w:rFonts w:hAnsi="宋体" w:hint="eastAsia"/>
        </w:rPr>
        <w:t xml:space="preserve"> </w:t>
      </w:r>
    </w:p>
    <w:p w:rsidR="00E76897" w:rsidRDefault="00E76897">
      <w:pPr>
        <w:spacing w:line="360" w:lineRule="auto"/>
        <w:ind w:firstLineChars="200" w:firstLine="420"/>
        <w:jc w:val="left"/>
        <w:rPr>
          <w:rFonts w:hint="eastAsia"/>
        </w:rPr>
      </w:pPr>
      <w:r>
        <w:rPr>
          <w:rFonts w:ascii="宋体" w:hAnsi="宋体" w:cs="宋体" w:hint="eastAsia"/>
          <w:color w:val="000000"/>
          <w:kern w:val="0"/>
        </w:rPr>
        <w:t>（一）中国证监会准予摩根中证</w:t>
      </w:r>
      <w:r>
        <w:rPr>
          <w:rFonts w:ascii="宋体" w:hAnsi="宋体" w:cs="宋体" w:hint="eastAsia"/>
          <w:color w:val="000000"/>
          <w:kern w:val="0"/>
        </w:rPr>
        <w:t>A500</w:t>
      </w:r>
      <w:r>
        <w:rPr>
          <w:rFonts w:ascii="宋体" w:hAnsi="宋体" w:cs="宋体" w:hint="eastAsia"/>
          <w:color w:val="000000"/>
          <w:kern w:val="0"/>
        </w:rPr>
        <w:t>指数增强型证券投资基金募集注册的文件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（二）摩根中证</w:t>
      </w:r>
      <w:r>
        <w:rPr>
          <w:rFonts w:ascii="宋体" w:hAnsi="宋体" w:cs="宋体" w:hint="eastAsia"/>
          <w:color w:val="000000"/>
          <w:kern w:val="0"/>
        </w:rPr>
        <w:t>A500</w:t>
      </w:r>
      <w:r>
        <w:rPr>
          <w:rFonts w:ascii="宋体" w:hAnsi="宋体" w:cs="宋体" w:hint="eastAsia"/>
          <w:color w:val="000000"/>
          <w:kern w:val="0"/>
        </w:rPr>
        <w:t>指数增强型证券投资基金基金合同</w:t>
      </w:r>
      <w:r>
        <w:rPr>
          <w:rFonts w:ascii="宋体" w:hAnsi="宋体" w:cs="宋体" w:hint="eastAsia"/>
          <w:color w:val="000000"/>
          <w:kern w:val="0"/>
        </w:rPr>
        <w:br/>
      </w:r>
      <w:r>
        <w:rPr>
          <w:rFonts w:ascii="宋体" w:hAnsi="宋体" w:cs="宋体" w:hint="eastAsia"/>
          <w:color w:val="000000"/>
          <w:kern w:val="0"/>
        </w:rPr>
        <w:t xml:space="preserve">　　（三）摩根中证</w:t>
      </w:r>
      <w:r>
        <w:rPr>
          <w:rFonts w:ascii="宋体" w:hAnsi="宋体" w:cs="宋体" w:hint="eastAsia"/>
          <w:color w:val="000000"/>
          <w:kern w:val="0"/>
        </w:rPr>
        <w:t>A500</w:t>
      </w:r>
      <w:r>
        <w:rPr>
          <w:rFonts w:ascii="宋体" w:hAnsi="宋体" w:cs="宋体" w:hint="eastAsia"/>
          <w:color w:val="000000"/>
          <w:kern w:val="0"/>
        </w:rPr>
        <w:t>指数增强型证券投资基金托管协议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E76897" w:rsidRDefault="00E76897">
      <w:pPr>
        <w:pStyle w:val="XBRLTitle2"/>
        <w:spacing w:before="156" w:line="360" w:lineRule="auto"/>
        <w:ind w:left="454"/>
      </w:pPr>
      <w:bookmarkStart w:id="265" w:name="_Toc438646483"/>
      <w:bookmarkStart w:id="266" w:name="_Toc513386637"/>
      <w:bookmarkStart w:id="267" w:name="_Toc490050051"/>
      <w:bookmarkStart w:id="268" w:name="_Toc481075099"/>
      <w:bookmarkStart w:id="269" w:name="_Toc512519531"/>
      <w:bookmarkStart w:id="270" w:name="m801_01_1734"/>
      <w:bookmarkEnd w:id="264"/>
      <w:r>
        <w:rPr>
          <w:rFonts w:hAnsi="宋体" w:hint="eastAsia"/>
        </w:rPr>
        <w:t>存放地</w:t>
      </w:r>
      <w:r>
        <w:rPr>
          <w:rFonts w:hAnsi="宋体" w:hint="eastAsia"/>
        </w:rPr>
        <w:t>点</w:t>
      </w:r>
      <w:bookmarkEnd w:id="265"/>
      <w:bookmarkEnd w:id="266"/>
      <w:bookmarkEnd w:id="267"/>
      <w:bookmarkEnd w:id="268"/>
      <w:bookmarkEnd w:id="269"/>
      <w:r>
        <w:rPr>
          <w:rFonts w:hAnsi="宋体" w:hint="eastAsia"/>
        </w:rPr>
        <w:t xml:space="preserve"> </w:t>
      </w:r>
    </w:p>
    <w:p w:rsidR="00E76897" w:rsidRDefault="00E7689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E76897" w:rsidRDefault="00E76897">
      <w:pPr>
        <w:pStyle w:val="XBRLTitle2"/>
        <w:spacing w:before="156" w:line="360" w:lineRule="auto"/>
        <w:ind w:left="454"/>
      </w:pPr>
      <w:bookmarkStart w:id="271" w:name="_Toc438646484"/>
      <w:bookmarkStart w:id="272" w:name="_Toc513386638"/>
      <w:bookmarkStart w:id="273" w:name="_Toc490050052"/>
      <w:bookmarkStart w:id="274" w:name="_Toc481075100"/>
      <w:bookmarkStart w:id="275" w:name="_Toc512519532"/>
      <w:bookmarkStart w:id="276" w:name="m801_01_1735"/>
      <w:bookmarkEnd w:id="270"/>
      <w:r>
        <w:rPr>
          <w:rFonts w:hAnsi="宋体" w:hint="eastAsia"/>
        </w:rPr>
        <w:t>查阅方</w:t>
      </w:r>
      <w:r>
        <w:rPr>
          <w:rFonts w:hAnsi="宋体" w:hint="eastAsia"/>
        </w:rPr>
        <w:t>式</w:t>
      </w:r>
      <w:bookmarkEnd w:id="271"/>
      <w:bookmarkEnd w:id="272"/>
      <w:bookmarkEnd w:id="273"/>
      <w:bookmarkEnd w:id="274"/>
      <w:bookmarkEnd w:id="275"/>
      <w:r>
        <w:rPr>
          <w:rFonts w:hAnsi="宋体" w:hint="eastAsia"/>
        </w:rPr>
        <w:t xml:space="preserve"> </w:t>
      </w:r>
    </w:p>
    <w:p w:rsidR="00E76897" w:rsidRDefault="00E7689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276"/>
    <w:p w:rsidR="00E76897" w:rsidRDefault="00E7689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76897" w:rsidRDefault="00E7689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76897" w:rsidRDefault="00E7689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E76897" w:rsidRDefault="00E7689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19"/>
    </w:p>
    <w:sectPr w:rsidR="00E7689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897" w:rsidRDefault="00E76897">
      <w:pPr>
        <w:rPr>
          <w:szCs w:val="21"/>
        </w:rPr>
      </w:pPr>
      <w:r>
        <w:rPr>
          <w:szCs w:val="21"/>
        </w:rPr>
        <w:separator/>
      </w:r>
      <w:r>
        <w:rPr>
          <w:szCs w:val="21"/>
        </w:rPr>
        <w:t xml:space="preserve"> </w:t>
      </w:r>
    </w:p>
  </w:endnote>
  <w:endnote w:type="continuationSeparator" w:id="0">
    <w:p w:rsidR="00E76897" w:rsidRDefault="00E7689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897" w:rsidRDefault="00E7689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897" w:rsidRDefault="00E76897">
      <w:pPr>
        <w:rPr>
          <w:szCs w:val="21"/>
        </w:rPr>
      </w:pPr>
      <w:r>
        <w:rPr>
          <w:szCs w:val="21"/>
        </w:rPr>
        <w:separator/>
      </w:r>
      <w:r>
        <w:rPr>
          <w:szCs w:val="21"/>
        </w:rPr>
        <w:t xml:space="preserve"> </w:t>
      </w:r>
    </w:p>
  </w:footnote>
  <w:footnote w:type="continuationSeparator" w:id="0">
    <w:p w:rsidR="00E76897" w:rsidRDefault="00E7689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897" w:rsidRDefault="00E76897">
    <w:pPr>
      <w:pStyle w:val="a8"/>
      <w:jc w:val="right"/>
    </w:pPr>
    <w:r>
      <w:rPr>
        <w:rFonts w:ascii="宋体" w:hAnsi="宋体" w:hint="eastAsia"/>
      </w:rPr>
      <w:t>摩根中证</w:t>
    </w:r>
    <w:r>
      <w:rPr>
        <w:rFonts w:ascii="宋体" w:hAnsi="宋体" w:hint="eastAsia"/>
      </w:rPr>
      <w:t>A500</w:t>
    </w:r>
    <w:r>
      <w:rPr>
        <w:rFonts w:ascii="宋体" w:hAnsi="宋体" w:hint="eastAsia"/>
      </w:rPr>
      <w:t>指数增强型证券投资基金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1078" w:hanging="794"/>
      </w:pPr>
      <w:rPr>
        <w:sz w:val="24"/>
        <w:szCs w:val="24"/>
      </w:r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152134461">
    <w:abstractNumId w:val="0"/>
  </w:num>
  <w:num w:numId="2" w16cid:durableId="815679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128A7"/>
    <w:rsid w:val="00584843"/>
    <w:rsid w:val="007128A7"/>
    <w:rsid w:val="00E76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5227">
      <w:marLeft w:val="0"/>
      <w:marRight w:val="0"/>
      <w:marTop w:val="0"/>
      <w:marBottom w:val="0"/>
      <w:divBdr>
        <w:top w:val="none" w:sz="0" w:space="0" w:color="auto"/>
        <w:left w:val="none" w:sz="0" w:space="0" w:color="auto"/>
        <w:bottom w:val="none" w:sz="0" w:space="0" w:color="auto"/>
        <w:right w:val="none" w:sz="0" w:space="0" w:color="auto"/>
      </w:divBdr>
    </w:div>
    <w:div w:id="111946725">
      <w:marLeft w:val="0"/>
      <w:marRight w:val="0"/>
      <w:marTop w:val="0"/>
      <w:marBottom w:val="0"/>
      <w:divBdr>
        <w:top w:val="none" w:sz="0" w:space="0" w:color="auto"/>
        <w:left w:val="none" w:sz="0" w:space="0" w:color="auto"/>
        <w:bottom w:val="none" w:sz="0" w:space="0" w:color="auto"/>
        <w:right w:val="none" w:sz="0" w:space="0" w:color="auto"/>
      </w:divBdr>
      <w:divsChild>
        <w:div w:id="1371875574">
          <w:marLeft w:val="0"/>
          <w:marRight w:val="0"/>
          <w:marTop w:val="0"/>
          <w:marBottom w:val="0"/>
          <w:divBdr>
            <w:top w:val="none" w:sz="0" w:space="0" w:color="auto"/>
            <w:left w:val="none" w:sz="0" w:space="0" w:color="auto"/>
            <w:bottom w:val="none" w:sz="0" w:space="0" w:color="auto"/>
            <w:right w:val="none" w:sz="0" w:space="0" w:color="auto"/>
          </w:divBdr>
        </w:div>
      </w:divsChild>
    </w:div>
    <w:div w:id="145516739">
      <w:marLeft w:val="0"/>
      <w:marRight w:val="0"/>
      <w:marTop w:val="0"/>
      <w:marBottom w:val="0"/>
      <w:divBdr>
        <w:top w:val="none" w:sz="0" w:space="0" w:color="auto"/>
        <w:left w:val="none" w:sz="0" w:space="0" w:color="auto"/>
        <w:bottom w:val="none" w:sz="0" w:space="0" w:color="auto"/>
        <w:right w:val="none" w:sz="0" w:space="0" w:color="auto"/>
      </w:divBdr>
      <w:divsChild>
        <w:div w:id="1311862115">
          <w:marLeft w:val="0"/>
          <w:marRight w:val="0"/>
          <w:marTop w:val="0"/>
          <w:marBottom w:val="0"/>
          <w:divBdr>
            <w:top w:val="none" w:sz="0" w:space="0" w:color="auto"/>
            <w:left w:val="none" w:sz="0" w:space="0" w:color="auto"/>
            <w:bottom w:val="none" w:sz="0" w:space="0" w:color="auto"/>
            <w:right w:val="none" w:sz="0" w:space="0" w:color="auto"/>
          </w:divBdr>
        </w:div>
      </w:divsChild>
    </w:div>
    <w:div w:id="254947629">
      <w:marLeft w:val="0"/>
      <w:marRight w:val="0"/>
      <w:marTop w:val="0"/>
      <w:marBottom w:val="0"/>
      <w:divBdr>
        <w:top w:val="none" w:sz="0" w:space="0" w:color="auto"/>
        <w:left w:val="none" w:sz="0" w:space="0" w:color="auto"/>
        <w:bottom w:val="none" w:sz="0" w:space="0" w:color="auto"/>
        <w:right w:val="none" w:sz="0" w:space="0" w:color="auto"/>
      </w:divBdr>
    </w:div>
    <w:div w:id="321127183">
      <w:marLeft w:val="0"/>
      <w:marRight w:val="0"/>
      <w:marTop w:val="0"/>
      <w:marBottom w:val="0"/>
      <w:divBdr>
        <w:top w:val="none" w:sz="0" w:space="0" w:color="auto"/>
        <w:left w:val="none" w:sz="0" w:space="0" w:color="auto"/>
        <w:bottom w:val="none" w:sz="0" w:space="0" w:color="auto"/>
        <w:right w:val="none" w:sz="0" w:space="0" w:color="auto"/>
      </w:divBdr>
    </w:div>
    <w:div w:id="356931976">
      <w:marLeft w:val="0"/>
      <w:marRight w:val="0"/>
      <w:marTop w:val="0"/>
      <w:marBottom w:val="0"/>
      <w:divBdr>
        <w:top w:val="none" w:sz="0" w:space="0" w:color="auto"/>
        <w:left w:val="none" w:sz="0" w:space="0" w:color="auto"/>
        <w:bottom w:val="none" w:sz="0" w:space="0" w:color="auto"/>
        <w:right w:val="none" w:sz="0" w:space="0" w:color="auto"/>
      </w:divBdr>
    </w:div>
    <w:div w:id="367067154">
      <w:marLeft w:val="0"/>
      <w:marRight w:val="0"/>
      <w:marTop w:val="0"/>
      <w:marBottom w:val="0"/>
      <w:divBdr>
        <w:top w:val="none" w:sz="0" w:space="0" w:color="auto"/>
        <w:left w:val="none" w:sz="0" w:space="0" w:color="auto"/>
        <w:bottom w:val="none" w:sz="0" w:space="0" w:color="auto"/>
        <w:right w:val="none" w:sz="0" w:space="0" w:color="auto"/>
      </w:divBdr>
    </w:div>
    <w:div w:id="755175760">
      <w:marLeft w:val="0"/>
      <w:marRight w:val="0"/>
      <w:marTop w:val="0"/>
      <w:marBottom w:val="0"/>
      <w:divBdr>
        <w:top w:val="none" w:sz="0" w:space="0" w:color="auto"/>
        <w:left w:val="none" w:sz="0" w:space="0" w:color="auto"/>
        <w:bottom w:val="none" w:sz="0" w:space="0" w:color="auto"/>
        <w:right w:val="none" w:sz="0" w:space="0" w:color="auto"/>
      </w:divBdr>
    </w:div>
    <w:div w:id="773867468">
      <w:marLeft w:val="0"/>
      <w:marRight w:val="0"/>
      <w:marTop w:val="0"/>
      <w:marBottom w:val="0"/>
      <w:divBdr>
        <w:top w:val="none" w:sz="0" w:space="0" w:color="auto"/>
        <w:left w:val="none" w:sz="0" w:space="0" w:color="auto"/>
        <w:bottom w:val="none" w:sz="0" w:space="0" w:color="auto"/>
        <w:right w:val="none" w:sz="0" w:space="0" w:color="auto"/>
      </w:divBdr>
    </w:div>
    <w:div w:id="802116451">
      <w:marLeft w:val="0"/>
      <w:marRight w:val="0"/>
      <w:marTop w:val="0"/>
      <w:marBottom w:val="0"/>
      <w:divBdr>
        <w:top w:val="none" w:sz="0" w:space="0" w:color="auto"/>
        <w:left w:val="none" w:sz="0" w:space="0" w:color="auto"/>
        <w:bottom w:val="none" w:sz="0" w:space="0" w:color="auto"/>
        <w:right w:val="none" w:sz="0" w:space="0" w:color="auto"/>
      </w:divBdr>
    </w:div>
    <w:div w:id="1023675103">
      <w:marLeft w:val="0"/>
      <w:marRight w:val="0"/>
      <w:marTop w:val="0"/>
      <w:marBottom w:val="0"/>
      <w:divBdr>
        <w:top w:val="none" w:sz="0" w:space="0" w:color="auto"/>
        <w:left w:val="none" w:sz="0" w:space="0" w:color="auto"/>
        <w:bottom w:val="none" w:sz="0" w:space="0" w:color="auto"/>
        <w:right w:val="none" w:sz="0" w:space="0" w:color="auto"/>
      </w:divBdr>
    </w:div>
    <w:div w:id="1056123344">
      <w:marLeft w:val="0"/>
      <w:marRight w:val="0"/>
      <w:marTop w:val="0"/>
      <w:marBottom w:val="0"/>
      <w:divBdr>
        <w:top w:val="none" w:sz="0" w:space="0" w:color="auto"/>
        <w:left w:val="none" w:sz="0" w:space="0" w:color="auto"/>
        <w:bottom w:val="none" w:sz="0" w:space="0" w:color="auto"/>
        <w:right w:val="none" w:sz="0" w:space="0" w:color="auto"/>
      </w:divBdr>
    </w:div>
    <w:div w:id="1135294086">
      <w:marLeft w:val="0"/>
      <w:marRight w:val="0"/>
      <w:marTop w:val="0"/>
      <w:marBottom w:val="0"/>
      <w:divBdr>
        <w:top w:val="none" w:sz="0" w:space="0" w:color="auto"/>
        <w:left w:val="none" w:sz="0" w:space="0" w:color="auto"/>
        <w:bottom w:val="none" w:sz="0" w:space="0" w:color="auto"/>
        <w:right w:val="none" w:sz="0" w:space="0" w:color="auto"/>
      </w:divBdr>
    </w:div>
    <w:div w:id="1216939243">
      <w:marLeft w:val="0"/>
      <w:marRight w:val="0"/>
      <w:marTop w:val="0"/>
      <w:marBottom w:val="0"/>
      <w:divBdr>
        <w:top w:val="none" w:sz="0" w:space="0" w:color="auto"/>
        <w:left w:val="none" w:sz="0" w:space="0" w:color="auto"/>
        <w:bottom w:val="none" w:sz="0" w:space="0" w:color="auto"/>
        <w:right w:val="none" w:sz="0" w:space="0" w:color="auto"/>
      </w:divBdr>
    </w:div>
    <w:div w:id="1465078783">
      <w:marLeft w:val="0"/>
      <w:marRight w:val="0"/>
      <w:marTop w:val="0"/>
      <w:marBottom w:val="0"/>
      <w:divBdr>
        <w:top w:val="none" w:sz="0" w:space="0" w:color="auto"/>
        <w:left w:val="none" w:sz="0" w:space="0" w:color="auto"/>
        <w:bottom w:val="none" w:sz="0" w:space="0" w:color="auto"/>
        <w:right w:val="none" w:sz="0" w:space="0" w:color="auto"/>
      </w:divBdr>
    </w:div>
    <w:div w:id="1550066597">
      <w:marLeft w:val="0"/>
      <w:marRight w:val="0"/>
      <w:marTop w:val="0"/>
      <w:marBottom w:val="0"/>
      <w:divBdr>
        <w:top w:val="none" w:sz="0" w:space="0" w:color="auto"/>
        <w:left w:val="none" w:sz="0" w:space="0" w:color="auto"/>
        <w:bottom w:val="none" w:sz="0" w:space="0" w:color="auto"/>
        <w:right w:val="none" w:sz="0" w:space="0" w:color="auto"/>
      </w:divBdr>
    </w:div>
    <w:div w:id="1746489264">
      <w:marLeft w:val="0"/>
      <w:marRight w:val="0"/>
      <w:marTop w:val="0"/>
      <w:marBottom w:val="0"/>
      <w:divBdr>
        <w:top w:val="none" w:sz="0" w:space="0" w:color="auto"/>
        <w:left w:val="none" w:sz="0" w:space="0" w:color="auto"/>
        <w:bottom w:val="none" w:sz="0" w:space="0" w:color="auto"/>
        <w:right w:val="none" w:sz="0" w:space="0" w:color="auto"/>
      </w:divBdr>
    </w:div>
    <w:div w:id="1847669859">
      <w:marLeft w:val="0"/>
      <w:marRight w:val="0"/>
      <w:marTop w:val="0"/>
      <w:marBottom w:val="0"/>
      <w:divBdr>
        <w:top w:val="none" w:sz="0" w:space="0" w:color="auto"/>
        <w:left w:val="none" w:sz="0" w:space="0" w:color="auto"/>
        <w:bottom w:val="none" w:sz="0" w:space="0" w:color="auto"/>
        <w:right w:val="none" w:sz="0" w:space="0" w:color="auto"/>
      </w:divBdr>
      <w:divsChild>
        <w:div w:id="517814929">
          <w:marLeft w:val="0"/>
          <w:marRight w:val="0"/>
          <w:marTop w:val="0"/>
          <w:marBottom w:val="0"/>
          <w:divBdr>
            <w:top w:val="none" w:sz="0" w:space="0" w:color="auto"/>
            <w:left w:val="none" w:sz="0" w:space="0" w:color="auto"/>
            <w:bottom w:val="none" w:sz="0" w:space="0" w:color="auto"/>
            <w:right w:val="none" w:sz="0" w:space="0" w:color="auto"/>
          </w:divBdr>
        </w:div>
      </w:divsChild>
    </w:div>
    <w:div w:id="1908105310">
      <w:marLeft w:val="0"/>
      <w:marRight w:val="0"/>
      <w:marTop w:val="0"/>
      <w:marBottom w:val="0"/>
      <w:divBdr>
        <w:top w:val="none" w:sz="0" w:space="0" w:color="auto"/>
        <w:left w:val="none" w:sz="0" w:space="0" w:color="auto"/>
        <w:bottom w:val="none" w:sz="0" w:space="0" w:color="auto"/>
        <w:right w:val="none" w:sz="0" w:space="0" w:color="auto"/>
      </w:divBdr>
    </w:div>
    <w:div w:id="20261337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1335</Words>
  <Characters>7614</Characters>
  <Application>Microsoft Office Word</Application>
  <DocSecurity>4</DocSecurity>
  <Lines>63</Lines>
  <Paragraphs>17</Paragraphs>
  <ScaleCrop>false</ScaleCrop>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2026-07-13T13:26:00Z</dcterms:created>
  <dcterms:modified xsi:type="dcterms:W3CDTF">2026-07-13T13:26:00Z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