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E364CF" w:rsidRDefault="00E364CF">
      <w:pPr>
        <w:rPr>
          <w:rFonts w:ascii="宋体" w:hAnsi="宋体"/>
          <w:sz w:val="48"/>
        </w:rPr>
      </w:pPr>
      <w:r>
        <w:rPr>
          <w:rFonts w:ascii="宋体" w:hAnsi="宋体" w:hint="eastAsia"/>
          <w:sz w:val="48"/>
        </w:rPr>
        <w:t xml:space="preserve">　</w:t>
      </w:r>
      <w:r>
        <w:rPr>
          <w:rFonts w:ascii="宋体" w:hAnsi="宋体" w:hint="eastAsia"/>
          <w:sz w:val="48"/>
        </w:rPr>
        <w:t xml:space="preserve"> </w:t>
      </w:r>
    </w:p>
    <w:p w:rsidR="00E364CF" w:rsidRDefault="00E364CF">
      <w:pPr>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E364CF" w:rsidRDefault="00E364CF">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摩根上证科创板新一代信息技术交易型开放式指数证券投资基金联接基金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E364CF" w:rsidRDefault="00E364CF">
      <w:pPr>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E364CF" w:rsidRDefault="00E364CF">
      <w:pPr>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E364CF" w:rsidRDefault="00E364CF">
      <w:pPr>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E364CF" w:rsidRDefault="00E364CF">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364CF" w:rsidRDefault="00E364CF">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364CF" w:rsidRDefault="00E364CF">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364CF" w:rsidRDefault="00E364CF">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364CF" w:rsidRDefault="00E364CF">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364CF" w:rsidRDefault="00E364CF">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364CF" w:rsidRDefault="00E364CF">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364CF" w:rsidRDefault="00E364CF">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364CF" w:rsidRDefault="00E364CF">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364CF" w:rsidRDefault="00E364CF">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364CF" w:rsidRDefault="00E364CF">
      <w:pPr>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E364CF" w:rsidRDefault="00E364CF">
      <w:pPr>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中国工商银行股份有限公</w:t>
      </w:r>
      <w:r>
        <w:rPr>
          <w:rFonts w:ascii="宋体" w:hAnsi="宋体" w:hint="eastAsia"/>
          <w:b/>
          <w:bCs/>
          <w:sz w:val="28"/>
          <w:szCs w:val="30"/>
        </w:rPr>
        <w:t>司</w:t>
      </w:r>
    </w:p>
    <w:p w:rsidR="00E364CF" w:rsidRDefault="00E364CF">
      <w:pPr>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E364CF" w:rsidRDefault="00E364CF">
      <w:pPr>
        <w:pStyle w:val="XBRLTitle1"/>
        <w:spacing w:before="156"/>
        <w:ind w:left="425"/>
      </w:pPr>
      <w:r>
        <w:rPr>
          <w:rFonts w:hAnsi="宋体" w:cs="宋体" w:hint="eastAsia"/>
          <w:color w:val="404040"/>
          <w:kern w:val="0"/>
        </w:rPr>
        <w:br w:type="page"/>
      </w:r>
      <w:bookmarkStart w:id="7" w:name="_Toc17881663"/>
      <w:bookmarkStart w:id="8" w:name="_Toc512627214"/>
      <w:bookmarkStart w:id="9" w:name="_Toc492299860"/>
      <w:bookmarkStart w:id="10" w:name="_Toc466644444"/>
      <w:bookmarkStart w:id="11" w:name="_Toc447872908"/>
      <w:bookmarkStart w:id="12" w:name="_Toc438646451"/>
      <w:bookmarkStart w:id="13" w:name="_Toc512694294"/>
      <w:bookmarkStart w:id="14" w:name="m101"/>
      <w:bookmarkStart w:id="15" w:name="m01_01"/>
      <w:bookmarkStart w:id="16"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r>
        <w:rPr>
          <w:rFonts w:hAnsi="宋体" w:hint="eastAsia"/>
        </w:rPr>
        <w:t xml:space="preserve"> </w:t>
      </w:r>
    </w:p>
    <w:p w:rsidR="00E364CF" w:rsidRDefault="00E364CF">
      <w:pPr>
        <w:spacing w:line="360" w:lineRule="auto"/>
        <w:ind w:firstLineChars="200" w:firstLine="420"/>
        <w:rPr>
          <w:rFonts w:hint="eastAsia"/>
        </w:rPr>
      </w:pPr>
      <w:bookmarkStart w:id="17" w:name="m502"/>
      <w:bookmarkStart w:id="18" w:name="_Toc438646470"/>
      <w:bookmarkStart w:id="19" w:name="m504"/>
      <w:bookmarkStart w:id="20" w:name="m08QD_01"/>
      <w:bookmarkStart w:id="21" w:name="m201"/>
      <w:bookmarkStart w:id="22"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基金托管人中国工商银行股份有限公司根据本基金合同约定，于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E364CF" w:rsidRDefault="00E364CF">
      <w:pPr>
        <w:pStyle w:val="XBRLTitle1"/>
        <w:spacing w:before="156"/>
        <w:ind w:left="425"/>
      </w:pPr>
      <w:bookmarkStart w:id="23" w:name="_Toc17881664"/>
      <w:bookmarkStart w:id="24" w:name="_Toc492299861"/>
      <w:bookmarkStart w:id="25" w:name="_Toc466644445"/>
      <w:bookmarkStart w:id="26" w:name="_Toc447872909"/>
      <w:bookmarkStart w:id="27" w:name="_Toc438646452"/>
      <w:bookmarkStart w:id="28" w:name="_Toc512627215"/>
      <w:bookmarkStart w:id="29" w:name="_Toc512694295"/>
      <w:bookmarkEnd w:id="14"/>
      <w:r>
        <w:rPr>
          <w:rFonts w:hAnsi="宋体" w:hint="eastAsia"/>
        </w:rPr>
        <w:t>基金产品概</w:t>
      </w:r>
      <w:r>
        <w:rPr>
          <w:rFonts w:hAnsi="宋体" w:hint="eastAsia"/>
        </w:rPr>
        <w:t>况</w:t>
      </w:r>
      <w:bookmarkEnd w:id="23"/>
      <w:bookmarkEnd w:id="24"/>
      <w:bookmarkEnd w:id="25"/>
      <w:bookmarkEnd w:id="26"/>
      <w:bookmarkEnd w:id="27"/>
      <w:bookmarkEnd w:id="28"/>
      <w:bookmarkEnd w:id="29"/>
      <w:r>
        <w:rPr>
          <w:rFonts w:hAnsi="宋体" w:hint="eastAsia"/>
        </w:rPr>
        <w:t xml:space="preserve"> </w:t>
      </w:r>
    </w:p>
    <w:p w:rsidR="00E364CF" w:rsidRDefault="00E364CF">
      <w:pPr>
        <w:pStyle w:val="XBRLTitle2"/>
        <w:spacing w:before="156"/>
        <w:ind w:left="454"/>
        <w:rPr>
          <w:rFonts w:hint="eastAsia"/>
        </w:rPr>
      </w:pPr>
      <w:bookmarkStart w:id="30" w:name="_Toc17881665"/>
      <w:bookmarkStart w:id="31" w:name="_Toc492299866"/>
      <w:bookmarkStart w:id="32" w:name="_Toc466644450"/>
      <w:bookmarkStart w:id="33" w:name="_Toc447872912"/>
      <w:bookmarkStart w:id="34" w:name="_Toc438646456"/>
      <w:bookmarkStart w:id="35" w:name="_Toc512627218"/>
      <w:bookmarkStart w:id="36" w:name="_Toc512694298"/>
      <w:bookmarkStart w:id="37" w:name="m401_tab"/>
      <w:bookmarkStart w:id="38" w:name="m401"/>
      <w:r>
        <w:rPr>
          <w:rFonts w:hAnsi="宋体" w:hint="eastAsia"/>
        </w:rPr>
        <w:t>基金基本情</w:t>
      </w:r>
      <w:r>
        <w:rPr>
          <w:rFonts w:hAnsi="宋体" w:hint="eastAsia"/>
        </w:rPr>
        <w:t>况</w:t>
      </w:r>
      <w:bookmarkEnd w:id="30"/>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969481332"/>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szCs w:val="24"/>
                <w:lang w:eastAsia="zh-Hans"/>
              </w:rPr>
              <w:t>摩根上证科创板新一代信息技术</w:t>
            </w:r>
            <w:r>
              <w:rPr>
                <w:rFonts w:ascii="宋体" w:hAnsi="宋体" w:hint="eastAsia"/>
                <w:szCs w:val="24"/>
                <w:lang w:eastAsia="zh-Hans"/>
              </w:rPr>
              <w:t>ETF</w:t>
            </w:r>
            <w:r>
              <w:rPr>
                <w:rFonts w:ascii="宋体" w:hAnsi="宋体" w:hint="eastAsia"/>
                <w:szCs w:val="24"/>
                <w:lang w:eastAsia="zh-Hans"/>
              </w:rPr>
              <w:t>联</w:t>
            </w:r>
            <w:r>
              <w:rPr>
                <w:rFonts w:ascii="宋体" w:hAnsi="宋体" w:hint="eastAsia"/>
                <w:szCs w:val="24"/>
                <w:lang w:eastAsia="zh-Hans"/>
              </w:rPr>
              <w:t>接</w:t>
            </w:r>
            <w:r>
              <w:rPr>
                <w:rFonts w:ascii="宋体" w:hAnsi="宋体" w:hint="eastAsia"/>
                <w:lang w:eastAsia="zh-Hans"/>
              </w:rPr>
              <w:t xml:space="preserve"> </w:t>
            </w:r>
          </w:p>
        </w:tc>
      </w:tr>
      <w:tr w:rsidR="00000000">
        <w:trPr>
          <w:divId w:val="9694813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lang w:eastAsia="zh-Hans"/>
              </w:rPr>
              <w:t>02531</w:t>
            </w:r>
            <w:r>
              <w:rPr>
                <w:rFonts w:ascii="宋体" w:hAnsi="宋体" w:hint="eastAsia"/>
                <w:lang w:eastAsia="zh-Hans"/>
              </w:rPr>
              <w:t>5</w:t>
            </w:r>
          </w:p>
        </w:tc>
      </w:tr>
      <w:tr w:rsidR="00000000">
        <w:trPr>
          <w:divId w:val="9694813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bookmarkStart w:id="39" w:name="OLE_LINK1"/>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lang w:eastAsia="zh-Hans"/>
              </w:rPr>
              <w:t>契约型开放</w:t>
            </w:r>
            <w:r>
              <w:rPr>
                <w:rFonts w:ascii="宋体" w:hAnsi="宋体" w:hint="eastAsia"/>
                <w:lang w:eastAsia="zh-Hans"/>
              </w:rPr>
              <w:t>式</w:t>
            </w:r>
          </w:p>
        </w:tc>
      </w:tr>
      <w:tr w:rsidR="00000000">
        <w:trPr>
          <w:divId w:val="9694813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lang w:eastAsia="zh-Hans"/>
              </w:rPr>
              <w:t>2026</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27</w:t>
            </w:r>
            <w:r>
              <w:rPr>
                <w:rFonts w:ascii="宋体" w:hAnsi="宋体" w:hint="eastAsia"/>
                <w:lang w:eastAsia="zh-Hans"/>
              </w:rPr>
              <w:t>日</w:t>
            </w:r>
          </w:p>
        </w:tc>
      </w:tr>
      <w:tr w:rsidR="00000000">
        <w:trPr>
          <w:divId w:val="9694813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lang w:eastAsia="zh-Hans"/>
              </w:rPr>
              <w:t>460,622,441.3</w:t>
            </w:r>
            <w:r>
              <w:rPr>
                <w:rFonts w:ascii="宋体" w:hAnsi="宋体" w:hint="eastAsia"/>
                <w:lang w:eastAsia="zh-Hans"/>
              </w:rPr>
              <w:t>6</w:t>
            </w:r>
            <w:r>
              <w:rPr>
                <w:rFonts w:hint="eastAsia"/>
              </w:rPr>
              <w:t>份</w:t>
            </w:r>
            <w:r>
              <w:rPr>
                <w:rFonts w:ascii="宋体" w:hAnsi="宋体" w:hint="eastAsia"/>
                <w:lang w:eastAsia="zh-Hans"/>
              </w:rPr>
              <w:t xml:space="preserve"> </w:t>
            </w:r>
          </w:p>
        </w:tc>
      </w:tr>
      <w:tr w:rsidR="00000000">
        <w:trPr>
          <w:divId w:val="9694813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lang w:eastAsia="zh-Hans"/>
              </w:rPr>
              <w:t>通过对目标</w:t>
            </w:r>
            <w:r>
              <w:rPr>
                <w:rFonts w:ascii="宋体" w:hAnsi="宋体" w:hint="eastAsia"/>
                <w:lang w:eastAsia="zh-Hans"/>
              </w:rPr>
              <w:t>ETF</w:t>
            </w:r>
            <w:r>
              <w:rPr>
                <w:rFonts w:ascii="宋体" w:hAnsi="宋体" w:hint="eastAsia"/>
                <w:lang w:eastAsia="zh-Hans"/>
              </w:rPr>
              <w:t>的投资，追求跟踪标的指数，获得与指数收益相似的回报</w:t>
            </w:r>
            <w:r>
              <w:rPr>
                <w:rFonts w:ascii="宋体" w:hAnsi="宋体" w:hint="eastAsia"/>
                <w:lang w:eastAsia="zh-Hans"/>
              </w:rPr>
              <w:t>。</w:t>
            </w:r>
          </w:p>
        </w:tc>
      </w:tr>
      <w:tr w:rsidR="00000000">
        <w:trPr>
          <w:divId w:val="9694813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lang w:eastAsia="zh-Hans"/>
              </w:rPr>
              <w:t>本基金为摩根上证科创板新一代信息技术交易型开放式指数证券投资基金的联接基金，通过将基金资产主要投资于目标</w:t>
            </w:r>
            <w:r>
              <w:rPr>
                <w:rFonts w:ascii="宋体" w:hAnsi="宋体" w:hint="eastAsia"/>
                <w:lang w:eastAsia="zh-Hans"/>
              </w:rPr>
              <w:t>ETF</w:t>
            </w:r>
            <w:r>
              <w:rPr>
                <w:rFonts w:ascii="宋体" w:hAnsi="宋体" w:hint="eastAsia"/>
                <w:lang w:eastAsia="zh-Hans"/>
              </w:rPr>
              <w:t>，以实现对标的指数的跟踪。本基金力争日均跟踪偏离度的绝对值不超过</w:t>
            </w:r>
            <w:r>
              <w:rPr>
                <w:rFonts w:ascii="宋体" w:hAnsi="宋体" w:hint="eastAsia"/>
                <w:lang w:eastAsia="zh-Hans"/>
              </w:rPr>
              <w:t>0.35%</w:t>
            </w:r>
            <w:r>
              <w:rPr>
                <w:rFonts w:ascii="宋体" w:hAnsi="宋体" w:hint="eastAsia"/>
                <w:lang w:eastAsia="zh-Hans"/>
              </w:rPr>
              <w:t>，年跟踪误差不超过</w:t>
            </w:r>
            <w:r>
              <w:rPr>
                <w:rFonts w:ascii="宋体" w:hAnsi="宋体" w:hint="eastAsia"/>
                <w:lang w:eastAsia="zh-Hans"/>
              </w:rPr>
              <w:t>4%</w:t>
            </w:r>
            <w:r>
              <w:rPr>
                <w:rFonts w:ascii="宋体" w:hAnsi="宋体" w:hint="eastAsia"/>
                <w:lang w:eastAsia="zh-Hans"/>
              </w:rPr>
              <w:t>。如因标的指数编制规则调整或其他因素导致跟踪误差超过上述范围，基金管理人应采取合理措施避免跟踪误差进一步扩大。</w:t>
            </w:r>
            <w:r>
              <w:rPr>
                <w:rFonts w:ascii="宋体" w:hAnsi="宋体" w:hint="eastAsia"/>
                <w:lang w:eastAsia="zh-Hans"/>
              </w:rPr>
              <w:br/>
            </w:r>
            <w:r>
              <w:rPr>
                <w:rFonts w:ascii="宋体" w:hAnsi="宋体" w:hint="eastAsia"/>
                <w:lang w:eastAsia="zh-Hans"/>
              </w:rPr>
              <w:t>基金也可以通过买入标的指数成份股来跟踪标的指数。为了提高投资效率，基金还可以根据风险管理原则，少量投资于股指期货、国债期货、股票期权和其他经中国证监会允许的衍生工具等。</w:t>
            </w:r>
            <w:r>
              <w:rPr>
                <w:rFonts w:ascii="宋体" w:hAnsi="宋体" w:hint="eastAsia"/>
                <w:lang w:eastAsia="zh-Hans"/>
              </w:rPr>
              <w:br/>
              <w:t>1</w:t>
            </w:r>
            <w:r>
              <w:rPr>
                <w:rFonts w:ascii="宋体" w:hAnsi="宋体" w:hint="eastAsia"/>
                <w:lang w:eastAsia="zh-Hans"/>
              </w:rPr>
              <w:t>、目标</w:t>
            </w:r>
            <w:r>
              <w:rPr>
                <w:rFonts w:ascii="宋体" w:hAnsi="宋体" w:hint="eastAsia"/>
                <w:lang w:eastAsia="zh-Hans"/>
              </w:rPr>
              <w:t>ETF</w:t>
            </w:r>
            <w:r>
              <w:rPr>
                <w:rFonts w:ascii="宋体" w:hAnsi="宋体" w:hint="eastAsia"/>
                <w:lang w:eastAsia="zh-Hans"/>
              </w:rPr>
              <w:t>投资策略</w:t>
            </w:r>
            <w:r>
              <w:rPr>
                <w:rFonts w:ascii="宋体" w:hAnsi="宋体" w:hint="eastAsia"/>
                <w:lang w:eastAsia="zh-Hans"/>
              </w:rPr>
              <w:br/>
            </w:r>
            <w:r>
              <w:rPr>
                <w:rFonts w:ascii="宋体" w:hAnsi="宋体" w:hint="eastAsia"/>
                <w:lang w:eastAsia="zh-Hans"/>
              </w:rPr>
              <w:t>为了实现追踪误差最小化，本基金投资于目标</w:t>
            </w:r>
            <w:r>
              <w:rPr>
                <w:rFonts w:ascii="宋体" w:hAnsi="宋体" w:hint="eastAsia"/>
                <w:lang w:eastAsia="zh-Hans"/>
              </w:rPr>
              <w:t>ETF</w:t>
            </w:r>
            <w:r>
              <w:rPr>
                <w:rFonts w:ascii="宋体" w:hAnsi="宋体" w:hint="eastAsia"/>
                <w:lang w:eastAsia="zh-Hans"/>
              </w:rPr>
              <w:t>的资产不低于基金资产净值的</w:t>
            </w:r>
            <w:r>
              <w:rPr>
                <w:rFonts w:ascii="宋体" w:hAnsi="宋体" w:hint="eastAsia"/>
                <w:lang w:eastAsia="zh-Hans"/>
              </w:rPr>
              <w:t>90%</w:t>
            </w:r>
            <w:r>
              <w:rPr>
                <w:rFonts w:ascii="宋体" w:hAnsi="宋体" w:hint="eastAsia"/>
                <w:lang w:eastAsia="zh-Hans"/>
              </w:rPr>
              <w:t>，且不低于非现金基金资产的</w:t>
            </w:r>
            <w:r>
              <w:rPr>
                <w:rFonts w:ascii="宋体" w:hAnsi="宋体" w:hint="eastAsia"/>
                <w:lang w:eastAsia="zh-Hans"/>
              </w:rPr>
              <w:t>80%</w:t>
            </w:r>
            <w:r>
              <w:rPr>
                <w:rFonts w:ascii="宋体" w:hAnsi="宋体" w:hint="eastAsia"/>
                <w:lang w:eastAsia="zh-Hans"/>
              </w:rPr>
              <w:t>。本基金主要通过申购、赎回或二级市场买卖的方式投资于目标</w:t>
            </w:r>
            <w:r>
              <w:rPr>
                <w:rFonts w:ascii="宋体" w:hAnsi="宋体" w:hint="eastAsia"/>
                <w:lang w:eastAsia="zh-Hans"/>
              </w:rPr>
              <w:t>ETF</w:t>
            </w:r>
            <w:r>
              <w:rPr>
                <w:rFonts w:ascii="宋体" w:hAnsi="宋体" w:hint="eastAsia"/>
                <w:lang w:eastAsia="zh-Hans"/>
              </w:rPr>
              <w:t>。当目标</w:t>
            </w:r>
            <w:r>
              <w:rPr>
                <w:rFonts w:ascii="宋体" w:hAnsi="宋体" w:hint="eastAsia"/>
                <w:lang w:eastAsia="zh-Hans"/>
              </w:rPr>
              <w:t>ETF</w:t>
            </w:r>
            <w:r>
              <w:rPr>
                <w:rFonts w:ascii="宋体" w:hAnsi="宋体" w:hint="eastAsia"/>
                <w:lang w:eastAsia="zh-Hans"/>
              </w:rPr>
              <w:t>申购、赎回或交易模式进行了变更或调整，本基金也将作相应的变更或调整，无需召开基金份额持有人大会。本基金在综合考虑合规、风险、效率、成本等因素的基础上，决定采用申赎的方式或二级市场交易的方式进行目标</w:t>
            </w:r>
            <w:r>
              <w:rPr>
                <w:rFonts w:ascii="宋体" w:hAnsi="宋体" w:hint="eastAsia"/>
                <w:lang w:eastAsia="zh-Hans"/>
              </w:rPr>
              <w:t>ETF</w:t>
            </w:r>
            <w:r>
              <w:rPr>
                <w:rFonts w:ascii="宋体" w:hAnsi="宋体" w:hint="eastAsia"/>
                <w:lang w:eastAsia="zh-Hans"/>
              </w:rPr>
              <w:t>的买卖。本基金还可适度参与目标</w:t>
            </w:r>
            <w:r>
              <w:rPr>
                <w:rFonts w:ascii="宋体" w:hAnsi="宋体" w:hint="eastAsia"/>
                <w:lang w:eastAsia="zh-Hans"/>
              </w:rPr>
              <w:t>ETF</w:t>
            </w:r>
            <w:r>
              <w:rPr>
                <w:rFonts w:ascii="宋体" w:hAnsi="宋体" w:hint="eastAsia"/>
                <w:lang w:eastAsia="zh-Hans"/>
              </w:rPr>
              <w:t>基金份额交易和申购、赎回之间的套利，以增强基金收益。</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为更好地跟踪标的指数，本基金也可以通过被动指数化的方法买入标的指数成份股，根据成份股在标的指数中的基准权重构建组合，对于</w:t>
            </w:r>
            <w:r>
              <w:rPr>
                <w:rFonts w:ascii="宋体" w:hAnsi="宋体" w:hint="eastAsia"/>
                <w:lang w:eastAsia="zh-Hans"/>
              </w:rPr>
              <w:t>因法规限制、流动性限制而无法交易的成份股，将采用与被限制股预期收益率相近的股票或股票组合进行相应的替代。在投资运作过程中，本基金根据成份股构成及其权重的变动进行动态调整；在条件允许的情况下还可通过买入标的指数成份股、备选成份股以申购目标</w:t>
            </w:r>
            <w:r>
              <w:rPr>
                <w:rFonts w:ascii="宋体" w:hAnsi="宋体" w:hint="eastAsia"/>
                <w:lang w:eastAsia="zh-Hans"/>
              </w:rPr>
              <w:t>ETF</w:t>
            </w:r>
            <w:r>
              <w:rPr>
                <w:rFonts w:ascii="宋体" w:hAnsi="宋体" w:hint="eastAsia"/>
                <w:lang w:eastAsia="zh-Hans"/>
              </w:rPr>
              <w:t>。</w:t>
            </w:r>
            <w:r>
              <w:rPr>
                <w:rFonts w:ascii="宋体" w:hAnsi="宋体" w:hint="eastAsia"/>
                <w:lang w:eastAsia="zh-Hans"/>
              </w:rPr>
              <w:br/>
              <w:t>3</w:t>
            </w:r>
            <w:r>
              <w:rPr>
                <w:rFonts w:ascii="宋体" w:hAnsi="宋体" w:hint="eastAsia"/>
                <w:lang w:eastAsia="zh-Hans"/>
              </w:rPr>
              <w:t>、其它投资策略包括：金融衍生品投资策略、债券投资策略、融资及转融通证券出借策略、存托凭证投资策略等</w:t>
            </w:r>
            <w:r>
              <w:rPr>
                <w:rFonts w:ascii="宋体" w:hAnsi="宋体" w:hint="eastAsia"/>
                <w:lang w:eastAsia="zh-Hans"/>
              </w:rPr>
              <w:t>。</w:t>
            </w:r>
          </w:p>
        </w:tc>
      </w:tr>
      <w:tr w:rsidR="00000000">
        <w:trPr>
          <w:divId w:val="9694813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lang w:eastAsia="zh-Hans"/>
              </w:rPr>
              <w:t>上证科创板新一代信息技术指数收益率×</w:t>
            </w:r>
            <w:r>
              <w:rPr>
                <w:rFonts w:ascii="宋体" w:hAnsi="宋体" w:hint="eastAsia"/>
                <w:lang w:eastAsia="zh-Hans"/>
              </w:rPr>
              <w:t>95%+</w:t>
            </w:r>
            <w:r>
              <w:rPr>
                <w:rFonts w:ascii="宋体" w:hAnsi="宋体" w:hint="eastAsia"/>
                <w:lang w:eastAsia="zh-Hans"/>
              </w:rPr>
              <w:t>银行活期存款利率（税后）×</w:t>
            </w:r>
            <w:r>
              <w:rPr>
                <w:rFonts w:ascii="宋体" w:hAnsi="宋体" w:hint="eastAsia"/>
                <w:lang w:eastAsia="zh-Hans"/>
              </w:rPr>
              <w:t>5</w:t>
            </w:r>
            <w:r>
              <w:rPr>
                <w:rFonts w:ascii="宋体" w:hAnsi="宋体" w:hint="eastAsia"/>
                <w:lang w:eastAsia="zh-Hans"/>
              </w:rPr>
              <w:t>%</w:t>
            </w:r>
          </w:p>
        </w:tc>
      </w:tr>
      <w:tr w:rsidR="00000000">
        <w:trPr>
          <w:divId w:val="9694813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lang w:eastAsia="zh-Hans"/>
              </w:rPr>
              <w:t>本基金为</w:t>
            </w:r>
            <w:r>
              <w:rPr>
                <w:rFonts w:ascii="宋体" w:hAnsi="宋体" w:hint="eastAsia"/>
                <w:lang w:eastAsia="zh-Hans"/>
              </w:rPr>
              <w:t>ETF</w:t>
            </w:r>
            <w:r>
              <w:rPr>
                <w:rFonts w:ascii="宋体" w:hAnsi="宋体" w:hint="eastAsia"/>
                <w:lang w:eastAsia="zh-Hans"/>
              </w:rPr>
              <w:t>联接基金，具有与目标</w:t>
            </w:r>
            <w:r>
              <w:rPr>
                <w:rFonts w:ascii="宋体" w:hAnsi="宋体" w:hint="eastAsia"/>
                <w:lang w:eastAsia="zh-Hans"/>
              </w:rPr>
              <w:t>ETF</w:t>
            </w:r>
            <w:r>
              <w:rPr>
                <w:rFonts w:ascii="宋体" w:hAnsi="宋体" w:hint="eastAsia"/>
                <w:lang w:eastAsia="zh-Hans"/>
              </w:rPr>
              <w:t>相似的风险收益特征。目标</w:t>
            </w:r>
            <w:r>
              <w:rPr>
                <w:rFonts w:ascii="宋体" w:hAnsi="宋体" w:hint="eastAsia"/>
                <w:lang w:eastAsia="zh-Hans"/>
              </w:rPr>
              <w:t>ETF</w:t>
            </w:r>
            <w:r>
              <w:rPr>
                <w:rFonts w:ascii="宋体" w:hAnsi="宋体" w:hint="eastAsia"/>
                <w:lang w:eastAsia="zh-Hans"/>
              </w:rPr>
              <w:t>为股票型指数基金，因此本基金的预期风险和预期收益高于货币市场基金、债券型基金和混合型基金，且具有与标的指数以及标的指数所代表的股票市场相似的风险收益特征</w:t>
            </w:r>
            <w:r>
              <w:rPr>
                <w:rFonts w:ascii="宋体" w:hAnsi="宋体" w:hint="eastAsia"/>
                <w:lang w:eastAsia="zh-Hans"/>
              </w:rPr>
              <w:t>。</w:t>
            </w:r>
          </w:p>
        </w:tc>
      </w:tr>
      <w:tr w:rsidR="00000000">
        <w:trPr>
          <w:divId w:val="9694813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9694813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lang w:eastAsia="zh-Hans"/>
              </w:rPr>
              <w:t>中国工商银行股份有限公</w:t>
            </w:r>
            <w:r>
              <w:rPr>
                <w:rFonts w:ascii="宋体" w:hAnsi="宋体" w:hint="eastAsia"/>
                <w:lang w:eastAsia="zh-Hans"/>
              </w:rPr>
              <w:t>司</w:t>
            </w:r>
          </w:p>
        </w:tc>
      </w:tr>
      <w:tr w:rsidR="00000000">
        <w:trPr>
          <w:divId w:val="96948133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bookmarkStart w:id="40"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pPr>
            <w:r>
              <w:rPr>
                <w:rFonts w:ascii="宋体" w:hAnsi="宋体" w:hint="eastAsia"/>
                <w:lang w:eastAsia="zh-Hans"/>
              </w:rPr>
              <w:t>摩根上证科创板新一代信息技术</w:t>
            </w:r>
            <w:r>
              <w:rPr>
                <w:rFonts w:ascii="宋体" w:hAnsi="宋体" w:hint="eastAsia"/>
                <w:lang w:eastAsia="zh-Hans"/>
              </w:rPr>
              <w:t>ETF</w:t>
            </w:r>
            <w:r>
              <w:rPr>
                <w:rFonts w:ascii="宋体" w:hAnsi="宋体" w:hint="eastAsia"/>
                <w:lang w:eastAsia="zh-Hans"/>
              </w:rPr>
              <w:t>联接</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pPr>
            <w:r>
              <w:rPr>
                <w:rFonts w:ascii="宋体" w:hAnsi="宋体" w:hint="eastAsia"/>
                <w:lang w:eastAsia="zh-Hans"/>
              </w:rPr>
              <w:t>摩根上证科创板新一代信息技术</w:t>
            </w:r>
            <w:r>
              <w:rPr>
                <w:rFonts w:ascii="宋体" w:hAnsi="宋体" w:hint="eastAsia"/>
                <w:lang w:eastAsia="zh-Hans"/>
              </w:rPr>
              <w:t>ETF</w:t>
            </w:r>
            <w:r>
              <w:rPr>
                <w:rFonts w:ascii="宋体" w:hAnsi="宋体" w:hint="eastAsia"/>
                <w:lang w:eastAsia="zh-Hans"/>
              </w:rPr>
              <w:t>联接</w:t>
            </w:r>
            <w:r>
              <w:rPr>
                <w:rFonts w:ascii="宋体" w:hAnsi="宋体" w:hint="eastAsia"/>
                <w:lang w:eastAsia="zh-Hans"/>
              </w:rPr>
              <w:t>C</w:t>
            </w:r>
            <w:r>
              <w:rPr>
                <w:rFonts w:ascii="宋体" w:hAnsi="宋体" w:hint="eastAsia"/>
                <w:kern w:val="0"/>
                <w:sz w:val="20"/>
                <w:lang w:eastAsia="zh-Hans"/>
              </w:rPr>
              <w:t xml:space="preserve"> </w:t>
            </w:r>
          </w:p>
        </w:tc>
      </w:tr>
      <w:tr w:rsidR="00000000">
        <w:trPr>
          <w:divId w:val="96948133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pPr>
            <w:r>
              <w:rPr>
                <w:rFonts w:ascii="宋体" w:hAnsi="宋体" w:hint="eastAsia"/>
                <w:lang w:eastAsia="zh-Hans"/>
              </w:rPr>
              <w:t>02531</w:t>
            </w:r>
            <w:r>
              <w:rPr>
                <w:rFonts w:ascii="宋体" w:hAnsi="宋体" w:hint="eastAsia"/>
                <w:lang w:eastAsia="zh-Hans"/>
              </w:rPr>
              <w:t>5</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pPr>
            <w:r>
              <w:rPr>
                <w:rFonts w:ascii="宋体" w:hAnsi="宋体" w:hint="eastAsia"/>
                <w:lang w:eastAsia="zh-Hans"/>
              </w:rPr>
              <w:t>02531</w:t>
            </w:r>
            <w:r>
              <w:rPr>
                <w:rFonts w:ascii="宋体" w:hAnsi="宋体" w:hint="eastAsia"/>
                <w:lang w:eastAsia="zh-Hans"/>
              </w:rPr>
              <w:t>6</w:t>
            </w:r>
            <w:r>
              <w:rPr>
                <w:rFonts w:ascii="宋体" w:hAnsi="宋体" w:hint="eastAsia"/>
                <w:kern w:val="0"/>
                <w:sz w:val="20"/>
                <w:lang w:eastAsia="zh-Hans"/>
              </w:rPr>
              <w:t xml:space="preserve"> </w:t>
            </w:r>
          </w:p>
        </w:tc>
      </w:tr>
      <w:bookmarkEnd w:id="40"/>
      <w:tr w:rsidR="00000000">
        <w:trPr>
          <w:divId w:val="96948133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364CF" w:rsidRDefault="00E364CF">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lang w:eastAsia="zh-Hans"/>
              </w:rPr>
              <w:t>160,959,063.2</w:t>
            </w:r>
            <w:r>
              <w:rPr>
                <w:rFonts w:ascii="宋体" w:hAnsi="宋体" w:hint="eastAsia"/>
                <w:lang w:eastAsia="zh-Hans"/>
              </w:rPr>
              <w:t>9</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lang w:eastAsia="zh-Hans"/>
              </w:rPr>
              <w:t>299,663,378.0</w:t>
            </w:r>
            <w:r>
              <w:rPr>
                <w:rFonts w:ascii="宋体" w:hAnsi="宋体" w:hint="eastAsia"/>
                <w:lang w:eastAsia="zh-Hans"/>
              </w:rPr>
              <w:t>7</w:t>
            </w:r>
            <w:r>
              <w:rPr>
                <w:rFonts w:hint="eastAsia"/>
              </w:rPr>
              <w:t>份</w:t>
            </w:r>
            <w:r>
              <w:rPr>
                <w:rFonts w:ascii="宋体" w:hAnsi="宋体" w:hint="eastAsia"/>
                <w:lang w:eastAsia="zh-Hans"/>
              </w:rPr>
              <w:t xml:space="preserve"> </w:t>
            </w:r>
          </w:p>
        </w:tc>
      </w:tr>
    </w:tbl>
    <w:p w:rsidR="00E364CF" w:rsidRDefault="00E364CF">
      <w:pPr>
        <w:pStyle w:val="XBRLTitle3"/>
        <w:numPr>
          <w:ilvl w:val="2"/>
          <w:numId w:val="2"/>
        </w:numPr>
        <w:spacing w:before="156"/>
        <w:ind w:left="0" w:firstLine="0"/>
      </w:pPr>
      <w:bookmarkStart w:id="41" w:name="_Toc17881666"/>
      <w:bookmarkStart w:id="42" w:name="_Toc492299863"/>
      <w:bookmarkStart w:id="43" w:name="_Toc466644447"/>
      <w:bookmarkStart w:id="44" w:name="_Toc475438078"/>
      <w:r>
        <w:rPr>
          <w:rFonts w:hAnsi="宋体" w:hint="eastAsia"/>
          <w:szCs w:val="24"/>
        </w:rPr>
        <w:t>目标基金基本情</w:t>
      </w:r>
      <w:r>
        <w:rPr>
          <w:rFonts w:hAnsi="宋体" w:hint="eastAsia"/>
          <w:szCs w:val="24"/>
        </w:rPr>
        <w:t>况</w:t>
      </w:r>
      <w:bookmarkEnd w:id="41"/>
      <w:bookmarkEnd w:id="42"/>
      <w:bookmarkEnd w:id="43"/>
      <w:bookmarkEnd w:id="44"/>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963"/>
        <w:gridCol w:w="5872"/>
      </w:tblGrid>
      <w:tr w:rsidR="00000000">
        <w:trPr>
          <w:divId w:val="121658273"/>
          <w:trHeight w:val="64"/>
        </w:trPr>
        <w:tc>
          <w:tcPr>
            <w:tcW w:w="1677" w:type="pct"/>
            <w:tcBorders>
              <w:top w:val="single" w:sz="4" w:space="0" w:color="000000"/>
              <w:left w:val="single" w:sz="4" w:space="0" w:color="000000"/>
              <w:bottom w:val="single" w:sz="4" w:space="0" w:color="000000"/>
              <w:right w:val="single" w:sz="4" w:space="0" w:color="000000"/>
            </w:tcBorders>
            <w:hideMark/>
          </w:tcPr>
          <w:p w:rsidR="00E364CF" w:rsidRDefault="00E364CF">
            <w:pPr>
              <w:widowControl/>
              <w:spacing w:line="315" w:lineRule="atLeast"/>
              <w:jc w:val="left"/>
              <w:rPr>
                <w:rFonts w:hint="eastAsia"/>
              </w:rPr>
            </w:pPr>
            <w:r>
              <w:rPr>
                <w:rFonts w:asciiTheme="minorEastAsia" w:eastAsiaTheme="minorEastAsia" w:hAnsiTheme="minorEastAsia" w:hint="eastAsia"/>
              </w:rPr>
              <w:t>基金名称</w:t>
            </w:r>
            <w:r>
              <w:rPr>
                <w:rFonts w:asciiTheme="minorEastAsia" w:eastAsiaTheme="minorEastAsia" w:hAnsiTheme="minorEastAsia" w:hint="eastAsia"/>
              </w:rPr>
              <w:t xml:space="preserve"> </w:t>
            </w:r>
          </w:p>
        </w:tc>
        <w:tc>
          <w:tcPr>
            <w:tcW w:w="3823" w:type="pct"/>
            <w:tcBorders>
              <w:top w:val="single" w:sz="4" w:space="0" w:color="000000"/>
              <w:left w:val="nil"/>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摩根上证科创板新一代信息技术交易型开放式指数证券投资基</w:t>
            </w:r>
            <w:r>
              <w:rPr>
                <w:rFonts w:asciiTheme="minorEastAsia" w:eastAsiaTheme="minorEastAsia" w:hAnsiTheme="minorEastAsia" w:hint="eastAsia"/>
              </w:rPr>
              <w:t>金</w:t>
            </w:r>
          </w:p>
        </w:tc>
      </w:tr>
      <w:tr w:rsidR="00000000">
        <w:trPr>
          <w:divId w:val="121658273"/>
        </w:trPr>
        <w:tc>
          <w:tcPr>
            <w:tcW w:w="1677" w:type="pct"/>
            <w:tcBorders>
              <w:top w:val="nil"/>
              <w:left w:val="single" w:sz="4" w:space="0" w:color="000000"/>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58877</w:t>
            </w:r>
            <w:r>
              <w:rPr>
                <w:rFonts w:asciiTheme="minorEastAsia" w:eastAsiaTheme="minorEastAsia" w:hAnsiTheme="minorEastAsia" w:hint="eastAsia"/>
              </w:rPr>
              <w:t>0</w:t>
            </w:r>
          </w:p>
        </w:tc>
      </w:tr>
      <w:tr w:rsidR="00000000">
        <w:trPr>
          <w:divId w:val="121658273"/>
        </w:trPr>
        <w:tc>
          <w:tcPr>
            <w:tcW w:w="1677" w:type="pct"/>
            <w:tcBorders>
              <w:top w:val="nil"/>
              <w:left w:val="single" w:sz="4" w:space="0" w:color="000000"/>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交易型开放</w:t>
            </w:r>
            <w:r>
              <w:rPr>
                <w:rFonts w:asciiTheme="minorEastAsia" w:eastAsiaTheme="minorEastAsia" w:hAnsiTheme="minorEastAsia" w:hint="eastAsia"/>
              </w:rPr>
              <w:t>式</w:t>
            </w:r>
          </w:p>
        </w:tc>
      </w:tr>
      <w:tr w:rsidR="00000000">
        <w:trPr>
          <w:divId w:val="121658273"/>
        </w:trPr>
        <w:tc>
          <w:tcPr>
            <w:tcW w:w="1677" w:type="pct"/>
            <w:tcBorders>
              <w:top w:val="nil"/>
              <w:left w:val="single" w:sz="4" w:space="0" w:color="000000"/>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2025</w:t>
            </w:r>
            <w:r>
              <w:rPr>
                <w:rFonts w:asciiTheme="minorEastAsia" w:eastAsiaTheme="minorEastAsia" w:hAnsiTheme="minorEastAsia" w:hint="eastAsia"/>
              </w:rPr>
              <w:t>年</w:t>
            </w:r>
            <w:r>
              <w:rPr>
                <w:rFonts w:asciiTheme="minorEastAsia" w:eastAsiaTheme="minorEastAsia" w:hAnsiTheme="minorEastAsia" w:hint="eastAsia"/>
              </w:rPr>
              <w:t>3</w:t>
            </w:r>
            <w:r>
              <w:rPr>
                <w:rFonts w:asciiTheme="minorEastAsia" w:eastAsiaTheme="minorEastAsia" w:hAnsiTheme="minorEastAsia" w:hint="eastAsia"/>
              </w:rPr>
              <w:t>月</w:t>
            </w:r>
            <w:r>
              <w:rPr>
                <w:rFonts w:asciiTheme="minorEastAsia" w:eastAsiaTheme="minorEastAsia" w:hAnsiTheme="minorEastAsia" w:hint="eastAsia"/>
              </w:rPr>
              <w:t>14</w:t>
            </w:r>
            <w:r>
              <w:rPr>
                <w:rFonts w:asciiTheme="minorEastAsia" w:eastAsiaTheme="minorEastAsia" w:hAnsiTheme="minorEastAsia" w:hint="eastAsia"/>
              </w:rPr>
              <w:t>日</w:t>
            </w:r>
          </w:p>
        </w:tc>
      </w:tr>
      <w:tr w:rsidR="00000000">
        <w:trPr>
          <w:divId w:val="121658273"/>
        </w:trPr>
        <w:tc>
          <w:tcPr>
            <w:tcW w:w="1677" w:type="pct"/>
            <w:tcBorders>
              <w:top w:val="nil"/>
              <w:left w:val="single" w:sz="4" w:space="0" w:color="000000"/>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基金份额上市的证券交易所</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上海证券交易</w:t>
            </w:r>
            <w:r>
              <w:rPr>
                <w:rFonts w:asciiTheme="minorEastAsia" w:eastAsiaTheme="minorEastAsia" w:hAnsiTheme="minorEastAsia" w:hint="eastAsia"/>
              </w:rPr>
              <w:t>所</w:t>
            </w:r>
          </w:p>
        </w:tc>
      </w:tr>
      <w:tr w:rsidR="00000000">
        <w:trPr>
          <w:divId w:val="121658273"/>
        </w:trPr>
        <w:tc>
          <w:tcPr>
            <w:tcW w:w="1677" w:type="pct"/>
            <w:tcBorders>
              <w:top w:val="nil"/>
              <w:left w:val="single" w:sz="4" w:space="0" w:color="000000"/>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上市日期</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2025</w:t>
            </w:r>
            <w:r>
              <w:rPr>
                <w:rFonts w:asciiTheme="minorEastAsia" w:eastAsiaTheme="minorEastAsia" w:hAnsiTheme="minorEastAsia" w:hint="eastAsia"/>
              </w:rPr>
              <w:t>年</w:t>
            </w:r>
            <w:r>
              <w:rPr>
                <w:rFonts w:asciiTheme="minorEastAsia" w:eastAsiaTheme="minorEastAsia" w:hAnsiTheme="minorEastAsia" w:hint="eastAsia"/>
              </w:rPr>
              <w:t>3</w:t>
            </w:r>
            <w:r>
              <w:rPr>
                <w:rFonts w:asciiTheme="minorEastAsia" w:eastAsiaTheme="minorEastAsia" w:hAnsiTheme="minorEastAsia" w:hint="eastAsia"/>
              </w:rPr>
              <w:t>月</w:t>
            </w:r>
            <w:r>
              <w:rPr>
                <w:rFonts w:asciiTheme="minorEastAsia" w:eastAsiaTheme="minorEastAsia" w:hAnsiTheme="minorEastAsia" w:hint="eastAsia"/>
              </w:rPr>
              <w:t>24</w:t>
            </w:r>
            <w:r>
              <w:rPr>
                <w:rFonts w:asciiTheme="minorEastAsia" w:eastAsiaTheme="minorEastAsia" w:hAnsiTheme="minorEastAsia" w:hint="eastAsia"/>
              </w:rPr>
              <w:t>日</w:t>
            </w:r>
          </w:p>
        </w:tc>
      </w:tr>
      <w:tr w:rsidR="00000000">
        <w:trPr>
          <w:divId w:val="121658273"/>
        </w:trPr>
        <w:tc>
          <w:tcPr>
            <w:tcW w:w="1677" w:type="pct"/>
            <w:tcBorders>
              <w:top w:val="nil"/>
              <w:left w:val="single" w:sz="4" w:space="0" w:color="000000"/>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基金管理人名称</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121658273"/>
        </w:trPr>
        <w:tc>
          <w:tcPr>
            <w:tcW w:w="1677" w:type="pct"/>
            <w:tcBorders>
              <w:top w:val="nil"/>
              <w:left w:val="single" w:sz="4" w:space="0" w:color="000000"/>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基金托管人名称</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中国工商银行股份有限公</w:t>
            </w:r>
            <w:r>
              <w:rPr>
                <w:rFonts w:asciiTheme="minorEastAsia" w:eastAsiaTheme="minorEastAsia" w:hAnsiTheme="minorEastAsia" w:hint="eastAsia"/>
              </w:rPr>
              <w:t>司</w:t>
            </w:r>
          </w:p>
        </w:tc>
      </w:tr>
    </w:tbl>
    <w:p w:rsidR="00E364CF" w:rsidRDefault="00E364CF">
      <w:pPr>
        <w:pStyle w:val="XBRLTitle3"/>
        <w:numPr>
          <w:ilvl w:val="2"/>
          <w:numId w:val="2"/>
        </w:numPr>
        <w:spacing w:before="156"/>
        <w:ind w:left="0" w:firstLine="0"/>
      </w:pPr>
      <w:bookmarkStart w:id="45" w:name="_Toc17881667"/>
      <w:bookmarkStart w:id="46" w:name="_Toc492299864"/>
      <w:bookmarkStart w:id="47" w:name="_Toc466644448"/>
      <w:bookmarkStart w:id="48" w:name="_Toc475438079"/>
      <w:r>
        <w:rPr>
          <w:rFonts w:hAnsi="宋体" w:hint="eastAsia"/>
          <w:szCs w:val="24"/>
        </w:rPr>
        <w:t>目标基金</w:t>
      </w:r>
      <w:r>
        <w:rPr>
          <w:rFonts w:hint="eastAsia"/>
          <w:lang w:eastAsia="zh-CN"/>
        </w:rPr>
        <w:t>产品说</w:t>
      </w:r>
      <w:r>
        <w:rPr>
          <w:rFonts w:hint="eastAsia"/>
          <w:lang w:eastAsia="zh-CN"/>
        </w:rPr>
        <w:t>明</w:t>
      </w:r>
      <w:bookmarkEnd w:id="45"/>
      <w:bookmarkEnd w:id="46"/>
      <w:bookmarkEnd w:id="47"/>
      <w:bookmarkEnd w:id="48"/>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286"/>
        <w:gridCol w:w="6549"/>
      </w:tblGrid>
      <w:tr w:rsidR="00000000">
        <w:trPr>
          <w:divId w:val="194124276"/>
          <w:trHeight w:val="64"/>
        </w:trPr>
        <w:tc>
          <w:tcPr>
            <w:tcW w:w="1294" w:type="pct"/>
            <w:tcBorders>
              <w:top w:val="single" w:sz="4" w:space="0" w:color="000000"/>
              <w:left w:val="single" w:sz="4" w:space="0" w:color="000000"/>
              <w:bottom w:val="single" w:sz="4" w:space="0" w:color="000000"/>
              <w:right w:val="single" w:sz="4" w:space="0" w:color="000000"/>
            </w:tcBorders>
            <w:hideMark/>
          </w:tcPr>
          <w:p w:rsidR="00E364CF" w:rsidRDefault="00E364CF">
            <w:pPr>
              <w:widowControl/>
              <w:spacing w:line="315" w:lineRule="atLeast"/>
              <w:jc w:val="left"/>
              <w:rPr>
                <w:rFonts w:hint="eastAsia"/>
              </w:rPr>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706" w:type="pct"/>
            <w:tcBorders>
              <w:top w:val="single" w:sz="4" w:space="0" w:color="000000"/>
              <w:left w:val="nil"/>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本基金进行被动指数化投资，紧密跟踪标的指数，追求跟踪偏离度和跟踪误差最小化</w:t>
            </w:r>
            <w:r>
              <w:rPr>
                <w:rFonts w:asciiTheme="minorEastAsia" w:eastAsiaTheme="minorEastAsia" w:hAnsiTheme="minorEastAsia" w:hint="eastAsia"/>
              </w:rPr>
              <w:t>。</w:t>
            </w:r>
          </w:p>
        </w:tc>
      </w:tr>
      <w:tr w:rsidR="00000000">
        <w:trPr>
          <w:divId w:val="194124276"/>
        </w:trPr>
        <w:tc>
          <w:tcPr>
            <w:tcW w:w="1294" w:type="pct"/>
            <w:tcBorders>
              <w:top w:val="nil"/>
              <w:left w:val="single" w:sz="4" w:space="0" w:color="000000"/>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706" w:type="pct"/>
            <w:tcBorders>
              <w:top w:val="nil"/>
              <w:left w:val="nil"/>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本基金主要采用复制策略、替代策略及其他适当的策略以更好地跟踪标的指数，实现基金投资目标。本基金力争日均跟踪偏离度的绝对值不超过</w:t>
            </w:r>
            <w:r>
              <w:rPr>
                <w:rFonts w:asciiTheme="minorEastAsia" w:eastAsiaTheme="minorEastAsia" w:hAnsiTheme="minorEastAsia" w:hint="eastAsia"/>
              </w:rPr>
              <w:t>0.2%</w:t>
            </w:r>
            <w:r>
              <w:rPr>
                <w:rFonts w:asciiTheme="minorEastAsia" w:eastAsiaTheme="minorEastAsia" w:hAnsiTheme="minorEastAsia" w:hint="eastAsia"/>
              </w:rPr>
              <w:t>，年跟踪误差不超过</w:t>
            </w:r>
            <w:r>
              <w:rPr>
                <w:rFonts w:asciiTheme="minorEastAsia" w:eastAsiaTheme="minorEastAsia" w:hAnsiTheme="minorEastAsia" w:hint="eastAsia"/>
              </w:rPr>
              <w:t>2%</w:t>
            </w:r>
            <w:r>
              <w:rPr>
                <w:rFonts w:asciiTheme="minorEastAsia" w:eastAsiaTheme="minorEastAsia" w:hAnsiTheme="minorEastAsia" w:hint="eastAsia"/>
              </w:rPr>
              <w:t>。</w:t>
            </w:r>
            <w:r>
              <w:rPr>
                <w:rFonts w:asciiTheme="minorEastAsia" w:eastAsiaTheme="minorEastAsia" w:hAnsiTheme="minorEastAsia" w:hint="eastAsia"/>
              </w:rPr>
              <w:br/>
              <w:t>1</w:t>
            </w:r>
            <w:r>
              <w:rPr>
                <w:rFonts w:asciiTheme="minorEastAsia" w:eastAsiaTheme="minorEastAsia" w:hAnsiTheme="minorEastAsia" w:hint="eastAsia"/>
              </w:rPr>
              <w:t>、复制策略</w:t>
            </w:r>
            <w:r>
              <w:rPr>
                <w:rFonts w:asciiTheme="minorEastAsia" w:eastAsiaTheme="minorEastAsia" w:hAnsiTheme="minorEastAsia" w:hint="eastAsia"/>
              </w:rPr>
              <w:br/>
            </w:r>
            <w:r>
              <w:rPr>
                <w:rFonts w:asciiTheme="minorEastAsia" w:eastAsiaTheme="minorEastAsia" w:hAnsiTheme="minorEastAsia" w:hint="eastAsia"/>
              </w:rPr>
              <w:t>本基金主要采用完全复制法，按照标的指数成份股构成及其权重构建股票资产组合，并根据标的指数成份股及其权重的变化对股票组合进行动态调整。</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1</w:t>
            </w:r>
            <w:r>
              <w:rPr>
                <w:rFonts w:asciiTheme="minorEastAsia" w:eastAsiaTheme="minorEastAsia" w:hAnsiTheme="minorEastAsia" w:hint="eastAsia"/>
              </w:rPr>
              <w:t>）定期调整</w:t>
            </w:r>
            <w:r>
              <w:rPr>
                <w:rFonts w:asciiTheme="minorEastAsia" w:eastAsiaTheme="minorEastAsia" w:hAnsiTheme="minorEastAsia" w:hint="eastAsia"/>
              </w:rPr>
              <w:br/>
            </w:r>
            <w:r>
              <w:rPr>
                <w:rFonts w:asciiTheme="minorEastAsia" w:eastAsiaTheme="minorEastAsia" w:hAnsiTheme="minorEastAsia" w:hint="eastAsia"/>
              </w:rP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2</w:t>
            </w:r>
            <w:r>
              <w:rPr>
                <w:rFonts w:asciiTheme="minorEastAsia" w:eastAsiaTheme="minorEastAsia" w:hAnsiTheme="minorEastAsia" w:hint="eastAsia"/>
              </w:rPr>
              <w:t>）不定期调整</w:t>
            </w:r>
            <w:r>
              <w:rPr>
                <w:rFonts w:asciiTheme="minorEastAsia" w:eastAsiaTheme="minorEastAsia" w:hAnsiTheme="minorEastAsia" w:hint="eastAsia"/>
              </w:rPr>
              <w:br/>
              <w:t>1</w:t>
            </w:r>
            <w:r>
              <w:rPr>
                <w:rFonts w:asciiTheme="minorEastAsia" w:eastAsiaTheme="minorEastAsia" w:hAnsiTheme="minorEastAsia" w:hint="eastAsia"/>
              </w:rPr>
              <w:t>）根据指数编制规则，当标的指数成份股因增发、送配等股权变动而需进行成份股权重调整时，本基金将根据标的指数权重比例的变化，进行相应调整。</w:t>
            </w:r>
            <w:r>
              <w:rPr>
                <w:rFonts w:asciiTheme="minorEastAsia" w:eastAsiaTheme="minorEastAsia" w:hAnsiTheme="minorEastAsia" w:hint="eastAsia"/>
              </w:rPr>
              <w:br/>
              <w:t>2</w:t>
            </w:r>
            <w:r>
              <w:rPr>
                <w:rFonts w:asciiTheme="minorEastAsia" w:eastAsiaTheme="minorEastAsia" w:hAnsiTheme="minorEastAsia" w:hint="eastAsia"/>
              </w:rPr>
              <w:t>）当标的指数成份股因停牌、流动性不足等因素导致基金无法按照指数权重进行配置，基金管理人将综合考虑跟踪误差和投资者利益，选择相关股票进行适当的替代。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t>3</w:t>
            </w:r>
            <w:r>
              <w:rPr>
                <w:rFonts w:asciiTheme="minorEastAsia" w:eastAsiaTheme="minorEastAsia" w:hAnsiTheme="minorEastAsia" w:hint="eastAsia"/>
              </w:rPr>
              <w:t>）本基金将根据申购和赎回情况对股票投资组合进行调整，保证基金正常运行，从而有效跟踪标的指数。</w:t>
            </w:r>
            <w:r>
              <w:rPr>
                <w:rFonts w:asciiTheme="minorEastAsia" w:eastAsiaTheme="minorEastAsia" w:hAnsiTheme="minorEastAsia" w:hint="eastAsia"/>
              </w:rPr>
              <w:br/>
              <w:t>2</w:t>
            </w:r>
            <w:r>
              <w:rPr>
                <w:rFonts w:asciiTheme="minorEastAsia" w:eastAsiaTheme="minorEastAsia" w:hAnsiTheme="minorEastAsia" w:hint="eastAsia"/>
              </w:rPr>
              <w:t>、替代策略</w:t>
            </w:r>
            <w:r>
              <w:rPr>
                <w:rFonts w:asciiTheme="minorEastAsia" w:eastAsiaTheme="minorEastAsia" w:hAnsiTheme="minorEastAsia" w:hint="eastAsia"/>
              </w:rPr>
              <w:br/>
            </w:r>
            <w:r>
              <w:rPr>
                <w:rFonts w:asciiTheme="minorEastAsia" w:eastAsiaTheme="minorEastAsia" w:hAnsiTheme="minorEastAsia" w:hint="eastAsia"/>
              </w:rPr>
              <w:t>当预期成份股发生调整和成份股发生配股、增发、分红、长期停牌等行为时，或因基金的申购和赎回等对本基金跟踪标的指数的效果可能带来影响时，或因某些特殊情况导致流动性不足时，或法律法规的限制无法投资某只</w:t>
            </w:r>
            <w:r>
              <w:rPr>
                <w:rFonts w:asciiTheme="minorEastAsia" w:eastAsiaTheme="minorEastAsia" w:hAnsiTheme="minorEastAsia" w:hint="eastAsia"/>
              </w:rPr>
              <w:t>成份股，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相关性、估值、流动性等因素挑选标的指数中其他成份股或备选成份股进行替代。</w:t>
            </w:r>
            <w:r>
              <w:rPr>
                <w:rFonts w:asciiTheme="minorEastAsia" w:eastAsiaTheme="minorEastAsia" w:hAnsiTheme="minorEastAsia" w:hint="eastAsia"/>
              </w:rPr>
              <w:br/>
              <w:t>3</w:t>
            </w:r>
            <w:r>
              <w:rPr>
                <w:rFonts w:asciiTheme="minorEastAsia" w:eastAsiaTheme="minorEastAsia" w:hAnsiTheme="minorEastAsia" w:hint="eastAsia"/>
              </w:rPr>
              <w:t>、其他投资策略：包括股指期货投资策略、股票期权投资策略、债券投资策略、资产支持证券投资策略、融资及转融通证券出借策略、存托凭证投资策略。</w:t>
            </w:r>
            <w:r>
              <w:rPr>
                <w:rFonts w:asciiTheme="minorEastAsia" w:eastAsiaTheme="minorEastAsia" w:hAnsiTheme="minorEastAsia" w:hint="eastAsia"/>
              </w:rPr>
              <w:br/>
            </w:r>
          </w:p>
        </w:tc>
      </w:tr>
      <w:tr w:rsidR="00000000">
        <w:trPr>
          <w:divId w:val="194124276"/>
        </w:trPr>
        <w:tc>
          <w:tcPr>
            <w:tcW w:w="1294" w:type="pct"/>
            <w:tcBorders>
              <w:top w:val="nil"/>
              <w:left w:val="single" w:sz="4" w:space="0" w:color="000000"/>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业绩比较基准</w:t>
            </w:r>
            <w:r>
              <w:rPr>
                <w:rFonts w:asciiTheme="minorEastAsia" w:eastAsiaTheme="minorEastAsia" w:hAnsiTheme="minorEastAsia" w:hint="eastAsia"/>
              </w:rPr>
              <w:t xml:space="preserve"> </w:t>
            </w:r>
          </w:p>
        </w:tc>
        <w:tc>
          <w:tcPr>
            <w:tcW w:w="3706" w:type="pct"/>
            <w:tcBorders>
              <w:top w:val="nil"/>
              <w:left w:val="nil"/>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本基金的业绩比较基准为标的指数，即上证科创板新一代信息技术指数收益率</w:t>
            </w:r>
            <w:r>
              <w:rPr>
                <w:rFonts w:asciiTheme="minorEastAsia" w:eastAsiaTheme="minorEastAsia" w:hAnsiTheme="minorEastAsia" w:hint="eastAsia"/>
              </w:rPr>
              <w:t>。</w:t>
            </w:r>
          </w:p>
        </w:tc>
      </w:tr>
      <w:tr w:rsidR="00000000">
        <w:trPr>
          <w:divId w:val="194124276"/>
        </w:trPr>
        <w:tc>
          <w:tcPr>
            <w:tcW w:w="1294" w:type="pct"/>
            <w:tcBorders>
              <w:top w:val="nil"/>
              <w:left w:val="single" w:sz="4" w:space="0" w:color="000000"/>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706" w:type="pct"/>
            <w:tcBorders>
              <w:top w:val="nil"/>
              <w:left w:val="nil"/>
              <w:bottom w:val="single" w:sz="4" w:space="0" w:color="000000"/>
              <w:right w:val="single" w:sz="4" w:space="0" w:color="000000"/>
            </w:tcBorders>
            <w:hideMark/>
          </w:tcPr>
          <w:p w:rsidR="00E364CF" w:rsidRDefault="00E364CF">
            <w:pPr>
              <w:widowControl/>
              <w:spacing w:line="315" w:lineRule="atLeast"/>
              <w:jc w:val="left"/>
            </w:pPr>
            <w:r>
              <w:rPr>
                <w:rFonts w:asciiTheme="minorEastAsia" w:eastAsiaTheme="minorEastAsia" w:hAnsiTheme="minorEastAsia" w:hint="eastAsia"/>
              </w:rPr>
              <w:t>本基金为股票型指数基金，其预期风险和预期收益高于货币市场基金、债券型基金和混合型基金。本基金主要采用完全复制法跟踪标的指数的表现，具有与标的指数相似的风险收益特征</w:t>
            </w:r>
            <w:r>
              <w:rPr>
                <w:rFonts w:asciiTheme="minorEastAsia" w:eastAsiaTheme="minorEastAsia" w:hAnsiTheme="minorEastAsia" w:hint="eastAsia"/>
              </w:rPr>
              <w:t>。</w:t>
            </w:r>
          </w:p>
        </w:tc>
      </w:tr>
    </w:tbl>
    <w:p w:rsidR="00E364CF" w:rsidRDefault="00E364CF">
      <w:pPr>
        <w:pStyle w:val="XBRLTitle1"/>
        <w:spacing w:before="156"/>
        <w:ind w:left="425"/>
      </w:pPr>
      <w:bookmarkStart w:id="49" w:name="_Toc17881668"/>
      <w:bookmarkStart w:id="50" w:name="_Toc492299865"/>
      <w:bookmarkStart w:id="51" w:name="_Toc466644449"/>
      <w:bookmarkStart w:id="52" w:name="_Toc447872911"/>
      <w:bookmarkStart w:id="53" w:name="_Toc438646455"/>
      <w:bookmarkStart w:id="54" w:name="_Toc512627217"/>
      <w:bookmarkStart w:id="55" w:name="_Toc512694297"/>
      <w:bookmarkEnd w:id="39"/>
      <w:r>
        <w:rPr>
          <w:rFonts w:hAnsi="宋体" w:hint="eastAsia"/>
        </w:rPr>
        <w:t>主要财务指标和基金净值表</w:t>
      </w:r>
      <w:r>
        <w:rPr>
          <w:rFonts w:hAnsi="宋体" w:hint="eastAsia"/>
        </w:rPr>
        <w:t>现</w:t>
      </w:r>
      <w:bookmarkEnd w:id="49"/>
      <w:bookmarkEnd w:id="50"/>
      <w:bookmarkEnd w:id="51"/>
      <w:bookmarkEnd w:id="52"/>
      <w:bookmarkEnd w:id="53"/>
      <w:bookmarkEnd w:id="54"/>
      <w:bookmarkEnd w:id="55"/>
      <w:r>
        <w:rPr>
          <w:rFonts w:hAnsi="宋体" w:hint="eastAsia"/>
        </w:rPr>
        <w:t xml:space="preserve"> </w:t>
      </w:r>
    </w:p>
    <w:p w:rsidR="00E364CF" w:rsidRDefault="00E364CF">
      <w:pPr>
        <w:pStyle w:val="XBRLTitle2"/>
        <w:spacing w:before="156"/>
        <w:ind w:left="454"/>
        <w:rPr>
          <w:rFonts w:hint="eastAsia"/>
        </w:rPr>
      </w:pPr>
      <w:bookmarkStart w:id="56" w:name="_Toc17881669"/>
      <w:r>
        <w:rPr>
          <w:rFonts w:hAnsi="宋体" w:hint="eastAsia"/>
        </w:rPr>
        <w:t>主要财务指</w:t>
      </w:r>
      <w:r>
        <w:rPr>
          <w:rFonts w:hAnsi="宋体" w:hint="eastAsia"/>
        </w:rPr>
        <w:t>标</w:t>
      </w:r>
      <w:bookmarkEnd w:id="31"/>
      <w:bookmarkEnd w:id="32"/>
      <w:bookmarkEnd w:id="33"/>
      <w:bookmarkEnd w:id="34"/>
      <w:bookmarkEnd w:id="35"/>
      <w:bookmarkEnd w:id="36"/>
      <w:bookmarkEnd w:id="56"/>
    </w:p>
    <w:p w:rsidR="00E364CF" w:rsidRDefault="00E364CF">
      <w:pPr>
        <w:jc w:val="right"/>
        <w:divId w:val="1976793613"/>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31"/>
        <w:gridCol w:w="3352"/>
        <w:gridCol w:w="3352"/>
      </w:tblGrid>
      <w:tr w:rsidR="00000000">
        <w:trPr>
          <w:divId w:val="1976793613"/>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E364CF" w:rsidRDefault="00E364CF">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E364CF" w:rsidRDefault="00E364CF">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976793613"/>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4CF" w:rsidRDefault="00E364CF">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E364CF" w:rsidRDefault="00E364CF">
            <w:pPr>
              <w:jc w:val="center"/>
              <w:rPr>
                <w:rFonts w:hint="eastAsia"/>
              </w:rPr>
            </w:pPr>
            <w:r>
              <w:rPr>
                <w:rFonts w:ascii="宋体" w:hAnsi="宋体" w:hint="eastAsia"/>
                <w:szCs w:val="24"/>
                <w:lang w:eastAsia="zh-Hans"/>
              </w:rPr>
              <w:t>摩根上证科创板新一代信息技术</w:t>
            </w:r>
            <w:r>
              <w:rPr>
                <w:rFonts w:ascii="宋体" w:hAnsi="宋体" w:hint="eastAsia"/>
                <w:szCs w:val="24"/>
                <w:lang w:eastAsia="zh-Hans"/>
              </w:rPr>
              <w:t>ETF</w:t>
            </w:r>
            <w:r>
              <w:rPr>
                <w:rFonts w:ascii="宋体" w:hAnsi="宋体" w:hint="eastAsia"/>
                <w:szCs w:val="24"/>
                <w:lang w:eastAsia="zh-Hans"/>
              </w:rPr>
              <w:t>联接</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E364CF" w:rsidRDefault="00E364CF">
            <w:pPr>
              <w:jc w:val="center"/>
            </w:pPr>
            <w:r>
              <w:rPr>
                <w:rFonts w:ascii="宋体" w:hAnsi="宋体" w:hint="eastAsia"/>
                <w:szCs w:val="24"/>
                <w:lang w:eastAsia="zh-Hans"/>
              </w:rPr>
              <w:t>摩根上证科创板新一代信息技术</w:t>
            </w:r>
            <w:r>
              <w:rPr>
                <w:rFonts w:ascii="宋体" w:hAnsi="宋体" w:hint="eastAsia"/>
                <w:szCs w:val="24"/>
                <w:lang w:eastAsia="zh-Hans"/>
              </w:rPr>
              <w:t>ETF</w:t>
            </w:r>
            <w:r>
              <w:rPr>
                <w:rFonts w:ascii="宋体" w:hAnsi="宋体" w:hint="eastAsia"/>
                <w:szCs w:val="24"/>
                <w:lang w:eastAsia="zh-Hans"/>
              </w:rPr>
              <w:t>联接</w:t>
            </w:r>
            <w:r>
              <w:rPr>
                <w:rFonts w:ascii="宋体" w:hAnsi="宋体" w:hint="eastAsia"/>
                <w:szCs w:val="24"/>
                <w:lang w:eastAsia="zh-Hans"/>
              </w:rPr>
              <w:t>C</w:t>
            </w:r>
          </w:p>
        </w:tc>
      </w:tr>
      <w:tr w:rsidR="00000000">
        <w:trPr>
          <w:divId w:val="197679361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jc w:val="right"/>
              <w:rPr>
                <w:rFonts w:hint="eastAsia"/>
              </w:rPr>
            </w:pPr>
            <w:r>
              <w:rPr>
                <w:rFonts w:ascii="宋体" w:hAnsi="宋体" w:hint="eastAsia"/>
                <w:szCs w:val="24"/>
                <w:lang w:eastAsia="zh-Hans"/>
              </w:rPr>
              <w:t>73,956,291.2</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jc w:val="right"/>
            </w:pPr>
            <w:r>
              <w:rPr>
                <w:rFonts w:ascii="宋体" w:hAnsi="宋体" w:hint="eastAsia"/>
                <w:szCs w:val="24"/>
                <w:lang w:eastAsia="zh-Hans"/>
              </w:rPr>
              <w:t>43,973,927.3</w:t>
            </w:r>
            <w:r>
              <w:rPr>
                <w:rFonts w:ascii="宋体" w:hAnsi="宋体" w:hint="eastAsia"/>
                <w:szCs w:val="24"/>
                <w:lang w:eastAsia="zh-Hans"/>
              </w:rPr>
              <w:t>2</w:t>
            </w:r>
          </w:p>
        </w:tc>
      </w:tr>
      <w:tr w:rsidR="00000000">
        <w:trPr>
          <w:divId w:val="197679361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jc w:val="right"/>
              <w:rPr>
                <w:rFonts w:hint="eastAsia"/>
              </w:rPr>
            </w:pPr>
            <w:r>
              <w:rPr>
                <w:rFonts w:ascii="宋体" w:hAnsi="宋体" w:hint="eastAsia"/>
                <w:szCs w:val="24"/>
                <w:lang w:eastAsia="zh-Hans"/>
              </w:rPr>
              <w:t>348,941,007.0</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jc w:val="right"/>
            </w:pPr>
            <w:r>
              <w:rPr>
                <w:rFonts w:ascii="宋体" w:hAnsi="宋体" w:hint="eastAsia"/>
                <w:szCs w:val="24"/>
                <w:lang w:eastAsia="zh-Hans"/>
              </w:rPr>
              <w:t>184,437,070.8</w:t>
            </w:r>
            <w:r>
              <w:rPr>
                <w:rFonts w:ascii="宋体" w:hAnsi="宋体" w:hint="eastAsia"/>
                <w:szCs w:val="24"/>
                <w:lang w:eastAsia="zh-Hans"/>
              </w:rPr>
              <w:t>6</w:t>
            </w:r>
          </w:p>
        </w:tc>
      </w:tr>
      <w:tr w:rsidR="00000000">
        <w:trPr>
          <w:divId w:val="197679361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jc w:val="right"/>
              <w:rPr>
                <w:rFonts w:hint="eastAsia"/>
              </w:rPr>
            </w:pPr>
            <w:r>
              <w:rPr>
                <w:rFonts w:ascii="宋体" w:hAnsi="宋体" w:hint="eastAsia"/>
                <w:szCs w:val="24"/>
                <w:lang w:eastAsia="zh-Hans"/>
              </w:rPr>
              <w:t>0.702</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jc w:val="right"/>
            </w:pPr>
            <w:r>
              <w:rPr>
                <w:rFonts w:ascii="宋体" w:hAnsi="宋体" w:hint="eastAsia"/>
                <w:szCs w:val="24"/>
                <w:lang w:eastAsia="zh-Hans"/>
              </w:rPr>
              <w:t>0.779</w:t>
            </w:r>
            <w:r>
              <w:rPr>
                <w:rFonts w:ascii="宋体" w:hAnsi="宋体" w:hint="eastAsia"/>
                <w:szCs w:val="24"/>
                <w:lang w:eastAsia="zh-Hans"/>
              </w:rPr>
              <w:t>2</w:t>
            </w:r>
          </w:p>
        </w:tc>
      </w:tr>
      <w:tr w:rsidR="00000000">
        <w:trPr>
          <w:divId w:val="197679361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jc w:val="right"/>
              <w:rPr>
                <w:rFonts w:hint="eastAsia"/>
              </w:rPr>
            </w:pPr>
            <w:r>
              <w:rPr>
                <w:rFonts w:ascii="宋体" w:hAnsi="宋体" w:hint="eastAsia"/>
                <w:szCs w:val="24"/>
                <w:lang w:eastAsia="zh-Hans"/>
              </w:rPr>
              <w:t>259,532,710.0</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jc w:val="right"/>
            </w:pPr>
            <w:r>
              <w:rPr>
                <w:rFonts w:ascii="宋体" w:hAnsi="宋体" w:hint="eastAsia"/>
                <w:szCs w:val="24"/>
                <w:lang w:eastAsia="zh-Hans"/>
              </w:rPr>
              <w:t>482,793,244.7</w:t>
            </w:r>
            <w:r>
              <w:rPr>
                <w:rFonts w:ascii="宋体" w:hAnsi="宋体" w:hint="eastAsia"/>
                <w:szCs w:val="24"/>
                <w:lang w:eastAsia="zh-Hans"/>
              </w:rPr>
              <w:t>4</w:t>
            </w:r>
          </w:p>
        </w:tc>
      </w:tr>
      <w:tr w:rsidR="00000000">
        <w:trPr>
          <w:divId w:val="197679361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jc w:val="right"/>
              <w:rPr>
                <w:rFonts w:hint="eastAsia"/>
              </w:rPr>
            </w:pPr>
            <w:r>
              <w:rPr>
                <w:rFonts w:ascii="宋体" w:hAnsi="宋体" w:hint="eastAsia"/>
                <w:szCs w:val="24"/>
                <w:lang w:eastAsia="zh-Hans"/>
              </w:rPr>
              <w:t>1.612</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364CF" w:rsidRDefault="00E364CF">
            <w:pPr>
              <w:jc w:val="right"/>
            </w:pPr>
            <w:r>
              <w:rPr>
                <w:rFonts w:ascii="宋体" w:hAnsi="宋体" w:hint="eastAsia"/>
                <w:szCs w:val="24"/>
                <w:lang w:eastAsia="zh-Hans"/>
              </w:rPr>
              <w:t>1.611</w:t>
            </w:r>
            <w:r>
              <w:rPr>
                <w:rFonts w:ascii="宋体" w:hAnsi="宋体" w:hint="eastAsia"/>
                <w:szCs w:val="24"/>
                <w:lang w:eastAsia="zh-Hans"/>
              </w:rPr>
              <w:t>1</w:t>
            </w:r>
          </w:p>
        </w:tc>
      </w:tr>
    </w:tbl>
    <w:p w:rsidR="00E364CF" w:rsidRDefault="00E364CF">
      <w:pPr>
        <w:wordWrap w:val="0"/>
        <w:spacing w:line="360" w:lineRule="auto"/>
        <w:jc w:val="left"/>
        <w:divId w:val="2085182022"/>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E364CF" w:rsidRDefault="00E364CF">
      <w:pPr>
        <w:pStyle w:val="XBRLTitle2"/>
        <w:spacing w:before="156"/>
        <w:ind w:left="454"/>
      </w:pPr>
      <w:bookmarkStart w:id="57" w:name="_Toc17881670"/>
      <w:bookmarkStart w:id="58" w:name="_Toc492299867"/>
      <w:bookmarkStart w:id="59" w:name="_Toc466644451"/>
      <w:bookmarkStart w:id="60" w:name="_Toc447872913"/>
      <w:bookmarkStart w:id="61" w:name="_Toc438646457"/>
      <w:bookmarkStart w:id="62" w:name="_Toc512627219"/>
      <w:bookmarkStart w:id="63" w:name="_Toc512694299"/>
      <w:r>
        <w:rPr>
          <w:rFonts w:hAnsi="宋体" w:hint="eastAsia"/>
        </w:rPr>
        <w:t>基金净值表</w:t>
      </w:r>
      <w:r>
        <w:rPr>
          <w:rFonts w:hAnsi="宋体" w:hint="eastAsia"/>
        </w:rPr>
        <w:t>现</w:t>
      </w:r>
      <w:bookmarkEnd w:id="57"/>
      <w:bookmarkEnd w:id="58"/>
      <w:bookmarkEnd w:id="59"/>
      <w:bookmarkEnd w:id="60"/>
      <w:bookmarkEnd w:id="61"/>
      <w:bookmarkEnd w:id="62"/>
      <w:bookmarkEnd w:id="63"/>
      <w:r>
        <w:rPr>
          <w:rFonts w:hAnsi="宋体" w:hint="eastAsia"/>
        </w:rPr>
        <w:t xml:space="preserve"> </w:t>
      </w:r>
    </w:p>
    <w:p w:rsidR="00E364CF" w:rsidRDefault="00E364CF">
      <w:pPr>
        <w:pStyle w:val="XBRLTitle3"/>
        <w:numPr>
          <w:ilvl w:val="2"/>
          <w:numId w:val="2"/>
        </w:numPr>
        <w:spacing w:before="156"/>
        <w:ind w:left="0" w:firstLine="0"/>
        <w:rPr>
          <w:rFonts w:hint="eastAsia"/>
        </w:rPr>
      </w:pPr>
      <w:bookmarkStart w:id="64" w:name="_Toc17881671"/>
      <w:bookmarkStart w:id="65" w:name="_Toc492299868"/>
      <w:bookmarkStart w:id="66" w:name="_Toc466644452"/>
      <w:bookmarkStart w:id="67" w:name="_Toc447872914"/>
      <w:r>
        <w:rPr>
          <w:rFonts w:hAnsi="宋体" w:hint="eastAsia"/>
        </w:rPr>
        <w:t>基金份额净值增长率及其与同期业绩比较基准收益率的比</w:t>
      </w:r>
      <w:r>
        <w:rPr>
          <w:rFonts w:hAnsi="宋体" w:hint="eastAsia"/>
        </w:rPr>
        <w:t>较</w:t>
      </w:r>
      <w:bookmarkEnd w:id="64"/>
      <w:bookmarkEnd w:id="65"/>
      <w:bookmarkEnd w:id="66"/>
      <w:bookmarkEnd w:id="67"/>
      <w:r>
        <w:rPr>
          <w:rFonts w:hint="eastAsia"/>
          <w:lang w:eastAsia="zh-CN"/>
        </w:rPr>
        <w:t xml:space="preserve"> </w:t>
      </w:r>
    </w:p>
    <w:p w:rsidR="00E364CF" w:rsidRDefault="00E364CF">
      <w:pPr>
        <w:spacing w:line="360" w:lineRule="auto"/>
        <w:jc w:val="center"/>
        <w:divId w:val="1433628490"/>
        <w:rPr>
          <w:rFonts w:hint="eastAsia"/>
        </w:rPr>
      </w:pPr>
      <w:r>
        <w:rPr>
          <w:rFonts w:ascii="宋体" w:hAnsi="宋体" w:hint="eastAsia"/>
        </w:rPr>
        <w:t>摩根上证科创板新一代信息技术</w:t>
      </w:r>
      <w:r>
        <w:rPr>
          <w:rFonts w:ascii="宋体" w:hAnsi="宋体" w:hint="eastAsia"/>
        </w:rPr>
        <w:t>ETF</w:t>
      </w:r>
      <w:r>
        <w:rPr>
          <w:rFonts w:ascii="宋体" w:hAnsi="宋体" w:hint="eastAsia"/>
        </w:rPr>
        <w:t>联接</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43362849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64CF" w:rsidRDefault="00E364CF">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②－④</w:t>
            </w:r>
            <w:r>
              <w:rPr>
                <w:rFonts w:ascii="宋体" w:hAnsi="宋体" w:hint="eastAsia"/>
              </w:rPr>
              <w:t xml:space="preserve"> </w:t>
            </w:r>
          </w:p>
        </w:tc>
      </w:tr>
      <w:tr w:rsidR="00000000">
        <w:trPr>
          <w:divId w:val="14336284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87.6</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2.9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87.4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2.8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364CF" w:rsidRDefault="00E364CF">
            <w:pPr>
              <w:spacing w:line="360" w:lineRule="auto"/>
              <w:jc w:val="right"/>
            </w:pPr>
            <w:r>
              <w:rPr>
                <w:rFonts w:ascii="宋体" w:hAnsi="宋体" w:hint="eastAsia"/>
              </w:rPr>
              <w:t>0.1</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r>
      <w:tr w:rsidR="00000000">
        <w:trPr>
          <w:divId w:val="14336284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61.2</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2.6</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53.2</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2.6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364CF" w:rsidRDefault="00E364CF">
            <w:pPr>
              <w:spacing w:line="360" w:lineRule="auto"/>
              <w:jc w:val="right"/>
            </w:pPr>
            <w:r>
              <w:rPr>
                <w:rFonts w:ascii="宋体" w:hAnsi="宋体" w:hint="eastAsia"/>
              </w:rPr>
              <w:t>7.9</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r>
    </w:tbl>
    <w:p w:rsidR="00E364CF" w:rsidRDefault="00E364CF">
      <w:pPr>
        <w:spacing w:line="360" w:lineRule="auto"/>
        <w:jc w:val="center"/>
        <w:divId w:val="1558740022"/>
      </w:pPr>
      <w:r>
        <w:rPr>
          <w:rFonts w:ascii="宋体" w:hAnsi="宋体" w:hint="eastAsia"/>
        </w:rPr>
        <w:t>摩根上证科创板新一代信息技术</w:t>
      </w:r>
      <w:r>
        <w:rPr>
          <w:rFonts w:ascii="宋体" w:hAnsi="宋体" w:hint="eastAsia"/>
        </w:rPr>
        <w:t>ETF</w:t>
      </w:r>
      <w:r>
        <w:rPr>
          <w:rFonts w:ascii="宋体" w:hAnsi="宋体" w:hint="eastAsia"/>
        </w:rPr>
        <w:t>联接</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55874002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64CF" w:rsidRDefault="00E364CF">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55874002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87.5</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2.9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87.4</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2.8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364CF" w:rsidRDefault="00E364CF">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r>
      <w:tr w:rsidR="00000000">
        <w:trPr>
          <w:divId w:val="155874002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61.1</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2.6</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53.2</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2.6</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364CF" w:rsidRDefault="00E364CF">
            <w:pPr>
              <w:spacing w:line="360" w:lineRule="auto"/>
              <w:jc w:val="right"/>
            </w:pPr>
            <w:r>
              <w:rPr>
                <w:rFonts w:ascii="宋体" w:hAnsi="宋体" w:hint="eastAsia"/>
              </w:rPr>
              <w:t>7.8</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bl>
    <w:p w:rsidR="00E364CF" w:rsidRDefault="00E364CF">
      <w:pPr>
        <w:pStyle w:val="XBRLTitle3"/>
        <w:numPr>
          <w:ilvl w:val="2"/>
          <w:numId w:val="2"/>
        </w:numPr>
        <w:spacing w:before="156"/>
        <w:ind w:left="0" w:firstLine="0"/>
      </w:pPr>
      <w:bookmarkStart w:id="68" w:name="_Toc17881672"/>
      <w:bookmarkStart w:id="69" w:name="_Toc492299869"/>
      <w:bookmarkStart w:id="70" w:name="_Toc466644453"/>
      <w:bookmarkStart w:id="71" w:name="_Toc447872915"/>
      <w:r>
        <w:rPr>
          <w:rFonts w:hAnsi="宋体" w:hint="eastAsia"/>
        </w:rPr>
        <w:t>自基金合同生效以</w:t>
      </w:r>
      <w:r>
        <w:rPr>
          <w:rFonts w:hAnsi="宋体" w:hint="eastAsia"/>
        </w:rPr>
        <w:t>来</w:t>
      </w:r>
      <w:r>
        <w:rPr>
          <w:rFonts w:hAnsi="宋体" w:hint="eastAsia"/>
        </w:rPr>
        <w:t>基金累计净值增长率变动及其与同期业绩比较基准收益率变动的比</w:t>
      </w:r>
      <w:r>
        <w:rPr>
          <w:rFonts w:hAnsi="宋体" w:hint="eastAsia"/>
        </w:rPr>
        <w:t>较</w:t>
      </w:r>
      <w:bookmarkEnd w:id="68"/>
      <w:bookmarkEnd w:id="69"/>
      <w:bookmarkEnd w:id="70"/>
      <w:bookmarkEnd w:id="71"/>
      <w:r>
        <w:rPr>
          <w:rStyle w:val="spelle"/>
          <w:rFonts w:hAnsi="宋体" w:hint="eastAsia"/>
        </w:rPr>
        <w:t xml:space="preserve"> </w:t>
      </w:r>
    </w:p>
    <w:p w:rsidR="00E364CF" w:rsidRDefault="00E364CF">
      <w:pPr>
        <w:spacing w:line="360" w:lineRule="auto"/>
        <w:jc w:val="left"/>
        <w:divId w:val="2064478355"/>
        <w:rPr>
          <w:rFonts w:hint="eastAsia"/>
        </w:rPr>
      </w:pPr>
      <w:bookmarkStart w:id="72" w:name="m07_04_07_09_tab"/>
      <w:bookmarkStart w:id="73" w:name="m07_04_07_09"/>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E364CF" w:rsidRDefault="00E364CF">
      <w:pPr>
        <w:spacing w:line="360" w:lineRule="auto"/>
        <w:jc w:val="left"/>
        <w:divId w:val="1816096614"/>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E364CF" w:rsidRDefault="00E364CF">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2026</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27</w:t>
      </w:r>
      <w:r>
        <w:rPr>
          <w:rFonts w:ascii="宋体" w:hAnsi="宋体" w:hint="eastAsia"/>
          <w:lang w:eastAsia="zh-Hans"/>
        </w:rPr>
        <w:t>日，截至本报告期末本基金合同生效未满一年。</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个月，截至本报告期末本基金仍处于建仓期</w:t>
      </w:r>
      <w:r>
        <w:rPr>
          <w:rFonts w:ascii="宋体" w:hAnsi="宋体" w:hint="eastAsia"/>
          <w:lang w:eastAsia="zh-Hans"/>
        </w:rPr>
        <w:t>。</w:t>
      </w:r>
      <w:r>
        <w:rPr>
          <w:rFonts w:ascii="宋体" w:hAnsi="宋体" w:hint="eastAsia"/>
          <w:kern w:val="0"/>
          <w:lang w:eastAsia="zh-Hans"/>
        </w:rPr>
        <w:t xml:space="preserve"> </w:t>
      </w:r>
      <w:bookmarkEnd w:id="15"/>
      <w:bookmarkEnd w:id="72"/>
      <w:bookmarkEnd w:id="73"/>
    </w:p>
    <w:p w:rsidR="00E364CF" w:rsidRDefault="00E364CF">
      <w:pPr>
        <w:pStyle w:val="XBRLTitle1"/>
        <w:spacing w:before="156"/>
        <w:ind w:left="425"/>
      </w:pPr>
      <w:bookmarkStart w:id="74" w:name="_Toc17881674"/>
      <w:bookmarkStart w:id="75" w:name="_Toc492299870"/>
      <w:bookmarkStart w:id="76" w:name="_Toc466644454"/>
      <w:bookmarkStart w:id="77" w:name="_Toc447872916"/>
      <w:bookmarkStart w:id="78" w:name="_Toc438646458"/>
      <w:bookmarkStart w:id="79" w:name="_Toc512627220"/>
      <w:bookmarkStart w:id="80" w:name="_Toc512694300"/>
      <w:r>
        <w:rPr>
          <w:rFonts w:hAnsi="宋体" w:hint="eastAsia"/>
        </w:rPr>
        <w:t>管理人报</w:t>
      </w:r>
      <w:r>
        <w:rPr>
          <w:rFonts w:hAnsi="宋体" w:hint="eastAsia"/>
        </w:rPr>
        <w:t>告</w:t>
      </w:r>
      <w:bookmarkEnd w:id="74"/>
      <w:bookmarkEnd w:id="75"/>
      <w:bookmarkEnd w:id="76"/>
      <w:bookmarkEnd w:id="77"/>
      <w:bookmarkEnd w:id="78"/>
      <w:bookmarkEnd w:id="79"/>
      <w:bookmarkEnd w:id="80"/>
      <w:r>
        <w:rPr>
          <w:rFonts w:hAnsi="宋体" w:hint="eastAsia"/>
        </w:rPr>
        <w:t xml:space="preserve"> </w:t>
      </w:r>
    </w:p>
    <w:p w:rsidR="00E364CF" w:rsidRDefault="00E364CF">
      <w:pPr>
        <w:pStyle w:val="XBRLTitle2"/>
        <w:spacing w:before="156"/>
        <w:ind w:left="454"/>
        <w:rPr>
          <w:rFonts w:hint="eastAsia"/>
        </w:rPr>
      </w:pPr>
      <w:bookmarkStart w:id="81" w:name="_Toc17881675"/>
      <w:bookmarkStart w:id="82" w:name="_Toc492299871"/>
      <w:bookmarkStart w:id="83" w:name="_Toc466644455"/>
      <w:bookmarkStart w:id="84" w:name="_Toc447872917"/>
      <w:bookmarkStart w:id="85" w:name="_Toc438646459"/>
      <w:bookmarkStart w:id="86" w:name="_Toc512627221"/>
      <w:bookmarkStart w:id="87" w:name="_Toc512694301"/>
      <w:r>
        <w:rPr>
          <w:rFonts w:hAnsi="宋体" w:hint="eastAsia"/>
        </w:rPr>
        <w:t>基金经理（或基金经理小组）简</w:t>
      </w:r>
      <w:r>
        <w:rPr>
          <w:rFonts w:hAnsi="宋体" w:hint="eastAsia"/>
        </w:rPr>
        <w:t>介</w:t>
      </w:r>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52524216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64CF" w:rsidRDefault="00E364CF">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64CF" w:rsidRDefault="00E364CF">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64CF" w:rsidRDefault="00E364CF">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64CF" w:rsidRDefault="00E364CF">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64CF" w:rsidRDefault="00E364CF">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52524216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64CF" w:rsidRDefault="00E364CF">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4CF" w:rsidRDefault="00E364CF">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64CF" w:rsidRDefault="00E364CF">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64CF" w:rsidRDefault="00E364CF">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4CF" w:rsidRDefault="00E364CF">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64CF" w:rsidRDefault="00E364CF">
            <w:pPr>
              <w:widowControl/>
              <w:jc w:val="left"/>
            </w:pPr>
          </w:p>
        </w:tc>
      </w:tr>
      <w:tr w:rsidR="00000000">
        <w:trPr>
          <w:divId w:val="152524216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szCs w:val="24"/>
                <w:lang w:eastAsia="zh-Hans"/>
              </w:rPr>
              <w:t>何智</w:t>
            </w:r>
            <w:r>
              <w:rPr>
                <w:rFonts w:ascii="宋体" w:hAnsi="宋体" w:hint="eastAsia"/>
                <w:szCs w:val="24"/>
                <w:lang w:eastAsia="zh-Hans"/>
              </w:rPr>
              <w:t>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27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left"/>
            </w:pPr>
            <w:r>
              <w:rPr>
                <w:rFonts w:ascii="宋体" w:hAnsi="宋体" w:hint="eastAsia"/>
                <w:szCs w:val="24"/>
                <w:lang w:eastAsia="zh-Hans"/>
              </w:rPr>
              <w:t>何智豪先生曾任中国国际金融股份有限公司组合与量化策略研究员、资产管理部高级经理。</w:t>
            </w: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月起加入摩根基金管理（中国）有限公司（原上投摩根基金管理有限公司），现任指数及量化投资部基金经理</w:t>
            </w:r>
            <w:r>
              <w:rPr>
                <w:rFonts w:ascii="宋体" w:hAnsi="宋体" w:hint="eastAsia"/>
                <w:szCs w:val="24"/>
                <w:lang w:eastAsia="zh-Hans"/>
              </w:rPr>
              <w:t>。</w:t>
            </w:r>
          </w:p>
        </w:tc>
      </w:tr>
      <w:tr w:rsidR="00000000">
        <w:trPr>
          <w:divId w:val="152524216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szCs w:val="24"/>
                <w:lang w:eastAsia="zh-Hans"/>
              </w:rPr>
              <w:t>曲蕾</w:t>
            </w:r>
            <w:r>
              <w:rPr>
                <w:rFonts w:ascii="宋体" w:hAnsi="宋体" w:hint="eastAsia"/>
                <w:szCs w:val="24"/>
                <w:lang w:eastAsia="zh-Hans"/>
              </w:rPr>
              <w:t>蕾</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27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left"/>
            </w:pPr>
            <w:r>
              <w:rPr>
                <w:rFonts w:ascii="宋体" w:hAnsi="宋体" w:hint="eastAsia"/>
                <w:szCs w:val="24"/>
                <w:lang w:eastAsia="zh-Hans"/>
              </w:rPr>
              <w:t>曲蕾蕾女士曾任法国兴业证券（香港）有限公司衍生品交易组交易助理；摩根资产管理香港分公司量化交易部门量化研究员、数据科学部投资研究组长；自</w:t>
            </w: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有限公司，历任投资经理，现任指数及量化投资部基金经理</w:t>
            </w:r>
            <w:r>
              <w:rPr>
                <w:rFonts w:ascii="宋体" w:hAnsi="宋体" w:hint="eastAsia"/>
                <w:szCs w:val="24"/>
                <w:lang w:eastAsia="zh-Hans"/>
              </w:rPr>
              <w:t>。</w:t>
            </w:r>
          </w:p>
        </w:tc>
      </w:tr>
    </w:tbl>
    <w:p w:rsidR="00E364CF" w:rsidRDefault="00E364CF">
      <w:pPr>
        <w:wordWrap w:val="0"/>
        <w:spacing w:line="360" w:lineRule="auto"/>
        <w:jc w:val="left"/>
        <w:divId w:val="701788571"/>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E364CF" w:rsidRDefault="00E364CF">
      <w:pPr>
        <w:pStyle w:val="XBRLTitle2"/>
        <w:spacing w:before="156"/>
        <w:ind w:left="454"/>
      </w:pPr>
      <w:bookmarkStart w:id="89" w:name="_Toc17881676"/>
      <w:bookmarkStart w:id="90" w:name="_Toc492299872"/>
      <w:bookmarkStart w:id="91" w:name="_Toc466644456"/>
      <w:bookmarkStart w:id="92" w:name="_Toc447872918"/>
      <w:bookmarkStart w:id="93" w:name="_Toc438646460"/>
      <w:bookmarkStart w:id="94" w:name="_Toc512627222"/>
      <w:bookmarkStart w:id="95" w:name="_Toc512694302"/>
      <w:bookmarkStart w:id="96" w:name="m402"/>
      <w:r>
        <w:rPr>
          <w:rFonts w:hAnsi="宋体" w:hint="eastAsia"/>
          <w:lang w:eastAsia="zh-CN"/>
        </w:rPr>
        <w:t>管理人对报告期内本基金运作遵规守信情况的说</w:t>
      </w:r>
      <w:r>
        <w:rPr>
          <w:rFonts w:hAnsi="宋体" w:hint="eastAsia"/>
          <w:lang w:eastAsia="zh-CN"/>
        </w:rPr>
        <w:t>明</w:t>
      </w:r>
      <w:bookmarkEnd w:id="89"/>
      <w:bookmarkEnd w:id="90"/>
      <w:bookmarkEnd w:id="91"/>
      <w:bookmarkEnd w:id="92"/>
      <w:bookmarkEnd w:id="93"/>
      <w:bookmarkEnd w:id="94"/>
      <w:bookmarkEnd w:id="95"/>
      <w:r>
        <w:rPr>
          <w:rFonts w:hAnsi="宋体" w:hint="eastAsia"/>
        </w:rPr>
        <w:t xml:space="preserve"> </w:t>
      </w:r>
      <w:bookmarkEnd w:id="96"/>
    </w:p>
    <w:p w:rsidR="00E364CF" w:rsidRDefault="00E364CF">
      <w:pPr>
        <w:spacing w:line="360" w:lineRule="auto"/>
        <w:ind w:firstLineChars="200" w:firstLine="420"/>
        <w:jc w:val="left"/>
        <w:rPr>
          <w:rFonts w:hint="eastAsia"/>
        </w:rPr>
      </w:pPr>
      <w:bookmarkStart w:id="97" w:name="m404_01_0570"/>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E364CF" w:rsidRDefault="00E364CF">
      <w:pPr>
        <w:pStyle w:val="XBRLTitle2"/>
        <w:spacing w:before="156"/>
        <w:ind w:left="454"/>
      </w:pPr>
      <w:bookmarkStart w:id="98" w:name="m403"/>
      <w:bookmarkStart w:id="99" w:name="_Toc492299873"/>
      <w:bookmarkStart w:id="100" w:name="_Toc466644457"/>
      <w:bookmarkStart w:id="101" w:name="_Toc447872919"/>
      <w:bookmarkStart w:id="102" w:name="_Toc438646462"/>
      <w:bookmarkStart w:id="103" w:name="_Toc512627223"/>
      <w:bookmarkStart w:id="104" w:name="_Toc512694303"/>
      <w:bookmarkStart w:id="105" w:name="_Toc17881677"/>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r>
        <w:rPr>
          <w:rFonts w:hAnsi="宋体" w:hint="eastAsia"/>
        </w:rPr>
        <w:t xml:space="preserve"> </w:t>
      </w:r>
    </w:p>
    <w:p w:rsidR="00E364CF" w:rsidRDefault="00E364CF">
      <w:pPr>
        <w:pStyle w:val="XBRLTitle3"/>
        <w:numPr>
          <w:ilvl w:val="2"/>
          <w:numId w:val="2"/>
        </w:numPr>
        <w:spacing w:before="156"/>
        <w:ind w:left="0" w:firstLine="0"/>
        <w:rPr>
          <w:rFonts w:hint="eastAsia"/>
        </w:rPr>
      </w:pPr>
      <w:bookmarkStart w:id="106" w:name="_Toc17881678"/>
      <w:bookmarkStart w:id="107" w:name="_Toc492299874"/>
      <w:bookmarkStart w:id="108" w:name="_Toc466644458"/>
      <w:bookmarkStart w:id="109" w:name="_Toc447872920"/>
      <w:r>
        <w:rPr>
          <w:rFonts w:hAnsi="宋体" w:hint="eastAsia"/>
        </w:rPr>
        <w:t>公平交易制度的执行情</w:t>
      </w:r>
      <w:r>
        <w:rPr>
          <w:rFonts w:hAnsi="宋体" w:hint="eastAsia"/>
        </w:rPr>
        <w:t>况</w:t>
      </w:r>
      <w:bookmarkEnd w:id="106"/>
      <w:bookmarkEnd w:id="107"/>
      <w:bookmarkEnd w:id="108"/>
      <w:bookmarkEnd w:id="109"/>
    </w:p>
    <w:p w:rsidR="00E364CF" w:rsidRDefault="00E364CF">
      <w:pPr>
        <w:spacing w:line="360" w:lineRule="auto"/>
        <w:ind w:firstLineChars="200" w:firstLine="420"/>
        <w:jc w:val="left"/>
        <w:rPr>
          <w:rFonts w:hint="eastAsia"/>
        </w:rPr>
      </w:pPr>
      <w:r>
        <w:rPr>
          <w:rFonts w:ascii="宋体" w:hAnsi="宋体" w:cs="宋体" w:hint="eastAsia"/>
          <w:color w:val="000000"/>
          <w:kern w:val="0"/>
        </w:rPr>
        <w:t>报告期内，本公司继续贯彻落实《证券投资基金管</w:t>
      </w:r>
      <w:r>
        <w:rPr>
          <w:rFonts w:ascii="宋体" w:hAnsi="宋体" w:cs="宋体" w:hint="eastAsia"/>
          <w:color w:val="000000"/>
          <w:kern w:val="0"/>
        </w:rPr>
        <w:t xml:space="preserve">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E364CF" w:rsidRDefault="00E364CF">
      <w:pPr>
        <w:pStyle w:val="XBRLTitle3"/>
        <w:numPr>
          <w:ilvl w:val="2"/>
          <w:numId w:val="2"/>
        </w:numPr>
        <w:spacing w:before="156"/>
        <w:ind w:left="0" w:firstLine="0"/>
      </w:pPr>
      <w:bookmarkStart w:id="110" w:name="_Toc17881679"/>
      <w:bookmarkStart w:id="111" w:name="_Toc492299875"/>
      <w:bookmarkStart w:id="112" w:name="_Toc466644459"/>
      <w:bookmarkStart w:id="113" w:name="_Toc447872921"/>
      <w:bookmarkStart w:id="114" w:name="m404_01_0578"/>
      <w:bookmarkEnd w:id="97"/>
      <w:r>
        <w:rPr>
          <w:rFonts w:hAnsi="宋体" w:hint="eastAsia"/>
        </w:rPr>
        <w:t>异常交易行为的专项说</w:t>
      </w:r>
      <w:r>
        <w:rPr>
          <w:rFonts w:hAnsi="宋体" w:hint="eastAsia"/>
        </w:rPr>
        <w:t>明</w:t>
      </w:r>
      <w:bookmarkEnd w:id="110"/>
      <w:bookmarkEnd w:id="111"/>
      <w:bookmarkEnd w:id="112"/>
      <w:bookmarkEnd w:id="113"/>
    </w:p>
    <w:p w:rsidR="00E364CF" w:rsidRDefault="00E364CF">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E364CF" w:rsidRDefault="00E364CF">
      <w:pPr>
        <w:pStyle w:val="XBRLTitle2"/>
        <w:spacing w:before="156"/>
        <w:ind w:left="454"/>
      </w:pPr>
      <w:bookmarkStart w:id="115" w:name="_Toc17881680"/>
      <w:bookmarkStart w:id="116" w:name="_Toc492299876"/>
      <w:bookmarkStart w:id="117" w:name="_Toc466644460"/>
      <w:bookmarkStart w:id="118" w:name="_Toc447872922"/>
      <w:bookmarkStart w:id="119" w:name="_Toc438646463"/>
      <w:bookmarkStart w:id="120" w:name="_Toc512627224"/>
      <w:bookmarkStart w:id="121" w:name="_Toc512694304"/>
      <w:bookmarkEnd w:id="114"/>
      <w:r>
        <w:rPr>
          <w:rFonts w:hAnsi="宋体" w:hint="eastAsia"/>
        </w:rPr>
        <w:t>报告期内基金的投资策略和运作分</w:t>
      </w:r>
      <w:r>
        <w:rPr>
          <w:rFonts w:hAnsi="宋体" w:hint="eastAsia"/>
        </w:rPr>
        <w:t>析</w:t>
      </w:r>
      <w:bookmarkEnd w:id="115"/>
      <w:bookmarkEnd w:id="116"/>
      <w:bookmarkEnd w:id="117"/>
      <w:bookmarkEnd w:id="118"/>
      <w:bookmarkEnd w:id="119"/>
      <w:bookmarkEnd w:id="120"/>
      <w:bookmarkEnd w:id="121"/>
      <w:r>
        <w:rPr>
          <w:rFonts w:hAnsi="宋体" w:hint="eastAsia"/>
        </w:rPr>
        <w:t xml:space="preserve"> </w:t>
      </w:r>
    </w:p>
    <w:p w:rsidR="00E364CF" w:rsidRDefault="00E364CF">
      <w:pPr>
        <w:spacing w:line="360" w:lineRule="auto"/>
        <w:ind w:firstLineChars="200" w:firstLine="420"/>
        <w:jc w:val="left"/>
        <w:rPr>
          <w:rFonts w:hint="eastAsia"/>
        </w:rPr>
      </w:pPr>
      <w:bookmarkStart w:id="122" w:name="m405_01_2550"/>
      <w:r>
        <w:rPr>
          <w:rFonts w:ascii="宋体" w:hAnsi="宋体" w:cs="宋体" w:hint="eastAsia"/>
          <w:color w:val="000000"/>
          <w:kern w:val="0"/>
        </w:rPr>
        <w:t>上证科创板新一代信息技术指数在</w:t>
      </w:r>
      <w:r>
        <w:rPr>
          <w:rFonts w:ascii="宋体" w:hAnsi="宋体" w:cs="宋体" w:hint="eastAsia"/>
          <w:color w:val="000000"/>
          <w:kern w:val="0"/>
        </w:rPr>
        <w:t>2026</w:t>
      </w:r>
      <w:r>
        <w:rPr>
          <w:rFonts w:ascii="宋体" w:hAnsi="宋体" w:cs="宋体" w:hint="eastAsia"/>
          <w:color w:val="000000"/>
          <w:kern w:val="0"/>
        </w:rPr>
        <w:t>年二季度收涨约</w:t>
      </w:r>
      <w:r>
        <w:rPr>
          <w:rFonts w:ascii="宋体" w:hAnsi="宋体" w:cs="宋体" w:hint="eastAsia"/>
          <w:color w:val="000000"/>
          <w:kern w:val="0"/>
        </w:rPr>
        <w:t>92.1%</w:t>
      </w:r>
      <w:r>
        <w:rPr>
          <w:rFonts w:ascii="宋体" w:hAnsi="宋体" w:cs="宋体" w:hint="eastAsia"/>
          <w:color w:val="000000"/>
          <w:kern w:val="0"/>
        </w:rPr>
        <w:t>，大幅跑赢同期科创</w:t>
      </w:r>
      <w:r>
        <w:rPr>
          <w:rFonts w:ascii="宋体" w:hAnsi="宋体" w:cs="宋体" w:hint="eastAsia"/>
          <w:color w:val="000000"/>
          <w:kern w:val="0"/>
        </w:rPr>
        <w:t>50</w:t>
      </w:r>
      <w:r>
        <w:rPr>
          <w:rFonts w:ascii="宋体" w:hAnsi="宋体" w:cs="宋体" w:hint="eastAsia"/>
          <w:color w:val="000000"/>
          <w:kern w:val="0"/>
        </w:rPr>
        <w:t>和沪深</w:t>
      </w:r>
      <w:r>
        <w:rPr>
          <w:rFonts w:ascii="宋体" w:hAnsi="宋体" w:cs="宋体" w:hint="eastAsia"/>
          <w:color w:val="000000"/>
          <w:kern w:val="0"/>
        </w:rPr>
        <w:t>300</w:t>
      </w:r>
      <w:r>
        <w:rPr>
          <w:rFonts w:ascii="宋体" w:hAnsi="宋体" w:cs="宋体" w:hint="eastAsia"/>
          <w:color w:val="000000"/>
          <w:kern w:val="0"/>
        </w:rPr>
        <w:t>，其中半导体权重高达</w:t>
      </w:r>
      <w:r>
        <w:rPr>
          <w:rFonts w:ascii="宋体" w:hAnsi="宋体" w:cs="宋体" w:hint="eastAsia"/>
          <w:color w:val="000000"/>
          <w:kern w:val="0"/>
        </w:rPr>
        <w:t>85%</w:t>
      </w:r>
      <w:r>
        <w:rPr>
          <w:rFonts w:ascii="宋体" w:hAnsi="宋体" w:cs="宋体" w:hint="eastAsia"/>
          <w:color w:val="000000"/>
          <w:kern w:val="0"/>
        </w:rPr>
        <w:t>带来的行业暴露是本季度超额收益的核心来源。北向资金</w:t>
      </w:r>
      <w:r>
        <w:rPr>
          <w:rFonts w:ascii="宋体" w:hAnsi="宋体" w:cs="宋体" w:hint="eastAsia"/>
          <w:color w:val="000000"/>
          <w:kern w:val="0"/>
        </w:rPr>
        <w:t>Q2</w:t>
      </w:r>
      <w:r>
        <w:rPr>
          <w:rFonts w:ascii="宋体" w:hAnsi="宋体" w:cs="宋体" w:hint="eastAsia"/>
          <w:color w:val="000000"/>
          <w:kern w:val="0"/>
        </w:rPr>
        <w:t>加速流入科创板硬科技标的，重点加仓</w:t>
      </w:r>
      <w:r>
        <w:rPr>
          <w:rFonts w:ascii="宋体" w:hAnsi="宋体" w:cs="宋体" w:hint="eastAsia"/>
          <w:color w:val="000000"/>
          <w:kern w:val="0"/>
        </w:rPr>
        <w:t>AI</w:t>
      </w:r>
      <w:r>
        <w:rPr>
          <w:rFonts w:ascii="宋体" w:hAnsi="宋体" w:cs="宋体" w:hint="eastAsia"/>
          <w:color w:val="000000"/>
          <w:kern w:val="0"/>
        </w:rPr>
        <w:t>算力链和存储芯片。</w:t>
      </w:r>
      <w:r>
        <w:rPr>
          <w:rFonts w:ascii="宋体" w:hAnsi="宋体" w:cs="宋体" w:hint="eastAsia"/>
          <w:color w:val="000000"/>
          <w:kern w:val="0"/>
        </w:rPr>
        <w:br/>
      </w:r>
      <w:r>
        <w:rPr>
          <w:rFonts w:ascii="宋体" w:hAnsi="宋体" w:cs="宋体" w:hint="eastAsia"/>
          <w:color w:val="000000"/>
          <w:kern w:val="0"/>
        </w:rPr>
        <w:t xml:space="preserve">　　指数在</w:t>
      </w:r>
      <w:r>
        <w:rPr>
          <w:rFonts w:ascii="宋体" w:hAnsi="宋体" w:cs="宋体" w:hint="eastAsia"/>
          <w:color w:val="000000"/>
          <w:kern w:val="0"/>
        </w:rPr>
        <w:t>6</w:t>
      </w:r>
      <w:r>
        <w:rPr>
          <w:rFonts w:ascii="宋体" w:hAnsi="宋体" w:cs="宋体" w:hint="eastAsia"/>
          <w:color w:val="000000"/>
          <w:kern w:val="0"/>
        </w:rPr>
        <w:t>月进行季度成分股调整，调出部分软件及信息技术服务类标的，新纳入以存储芯片、</w:t>
      </w:r>
      <w:r>
        <w:rPr>
          <w:rFonts w:ascii="宋体" w:hAnsi="宋体" w:cs="宋体" w:hint="eastAsia"/>
          <w:color w:val="000000"/>
          <w:kern w:val="0"/>
        </w:rPr>
        <w:t>AI</w:t>
      </w:r>
      <w:r>
        <w:rPr>
          <w:rFonts w:ascii="宋体" w:hAnsi="宋体" w:cs="宋体" w:hint="eastAsia"/>
          <w:color w:val="000000"/>
          <w:kern w:val="0"/>
        </w:rPr>
        <w:t>推理芯片、先进封装为代表的半导体硬科技企业。指数成分整体呈现</w:t>
      </w:r>
      <w:r>
        <w:rPr>
          <w:rFonts w:ascii="宋体" w:hAnsi="宋体" w:cs="宋体" w:hint="eastAsia"/>
          <w:color w:val="000000"/>
          <w:kern w:val="0"/>
        </w:rPr>
        <w:t>"</w:t>
      </w:r>
      <w:r>
        <w:rPr>
          <w:rFonts w:ascii="宋体" w:hAnsi="宋体" w:cs="宋体" w:hint="eastAsia"/>
          <w:color w:val="000000"/>
          <w:kern w:val="0"/>
        </w:rPr>
        <w:t>半导体含量</w:t>
      </w:r>
      <w:r>
        <w:rPr>
          <w:rFonts w:ascii="宋体" w:hAnsi="宋体" w:cs="宋体" w:hint="eastAsia"/>
          <w:color w:val="000000"/>
          <w:kern w:val="0"/>
        </w:rPr>
        <w:t>"</w:t>
      </w:r>
      <w:r>
        <w:rPr>
          <w:rFonts w:ascii="宋体" w:hAnsi="宋体" w:cs="宋体" w:hint="eastAsia"/>
          <w:color w:val="000000"/>
          <w:kern w:val="0"/>
        </w:rPr>
        <w:t>持续提升的趋势。</w:t>
      </w:r>
      <w:r>
        <w:rPr>
          <w:rFonts w:ascii="宋体" w:hAnsi="宋体" w:cs="宋体" w:hint="eastAsia"/>
          <w:color w:val="000000"/>
          <w:kern w:val="0"/>
        </w:rPr>
        <w:br/>
      </w:r>
      <w:r>
        <w:rPr>
          <w:rFonts w:ascii="宋体" w:hAnsi="宋体" w:cs="宋体" w:hint="eastAsia"/>
          <w:color w:val="000000"/>
          <w:kern w:val="0"/>
        </w:rPr>
        <w:t xml:space="preserve">　　本基金的投资策略主要通过交易所买卖或申购赎回的方式投资于目标</w:t>
      </w:r>
      <w:r>
        <w:rPr>
          <w:rFonts w:ascii="宋体" w:hAnsi="宋体" w:cs="宋体" w:hint="eastAsia"/>
          <w:color w:val="000000"/>
          <w:kern w:val="0"/>
        </w:rPr>
        <w:t xml:space="preserve"> ETF</w:t>
      </w:r>
      <w:r>
        <w:rPr>
          <w:rFonts w:ascii="宋体" w:hAnsi="宋体" w:cs="宋体" w:hint="eastAsia"/>
          <w:color w:val="000000"/>
          <w:kern w:val="0"/>
        </w:rPr>
        <w:t>的份额从而实现基金投资目标，基金也可以通过买入标的指数成份股来跟踪标的指数，以实现基金的投资目标并争取将跟踪误差保持在合理范围内。</w:t>
      </w:r>
      <w:r>
        <w:rPr>
          <w:rFonts w:ascii="宋体" w:hAnsi="宋体" w:cs="宋体" w:hint="eastAsia"/>
          <w:color w:val="000000"/>
          <w:kern w:val="0"/>
        </w:rPr>
        <w:br/>
      </w:r>
      <w:r>
        <w:rPr>
          <w:rFonts w:ascii="宋体" w:hAnsi="宋体" w:cs="宋体" w:hint="eastAsia"/>
          <w:color w:val="000000"/>
          <w:kern w:val="0"/>
        </w:rPr>
        <w:t xml:space="preserve">　　展望未来，中报是三季度主要变量，</w:t>
      </w:r>
      <w:r>
        <w:rPr>
          <w:rFonts w:ascii="宋体" w:hAnsi="宋体" w:cs="宋体" w:hint="eastAsia"/>
          <w:color w:val="000000"/>
          <w:kern w:val="0"/>
        </w:rPr>
        <w:t>AI</w:t>
      </w:r>
      <w:r>
        <w:rPr>
          <w:rFonts w:ascii="宋体" w:hAnsi="宋体" w:cs="宋体" w:hint="eastAsia"/>
          <w:color w:val="000000"/>
          <w:kern w:val="0"/>
        </w:rPr>
        <w:t>板块若业绩兑现则有望继续走强。中长期来看，</w:t>
      </w:r>
      <w:r>
        <w:rPr>
          <w:rFonts w:ascii="宋体" w:hAnsi="宋体" w:cs="宋体" w:hint="eastAsia"/>
          <w:color w:val="000000"/>
          <w:kern w:val="0"/>
        </w:rPr>
        <w:t xml:space="preserve"> </w:t>
      </w:r>
      <w:r>
        <w:rPr>
          <w:rFonts w:ascii="宋体" w:hAnsi="宋体" w:cs="宋体" w:hint="eastAsia"/>
          <w:color w:val="000000"/>
          <w:kern w:val="0"/>
        </w:rPr>
        <w:t>中国半导体核心资产的估值仍在全球范围内具有相对吸引力，政策预期叠加</w:t>
      </w:r>
      <w:r>
        <w:rPr>
          <w:rFonts w:ascii="宋体" w:hAnsi="宋体" w:cs="宋体" w:hint="eastAsia"/>
          <w:color w:val="000000"/>
          <w:kern w:val="0"/>
        </w:rPr>
        <w:t>AI</w:t>
      </w:r>
      <w:r>
        <w:rPr>
          <w:rFonts w:ascii="宋体" w:hAnsi="宋体" w:cs="宋体" w:hint="eastAsia"/>
          <w:color w:val="000000"/>
          <w:kern w:val="0"/>
        </w:rPr>
        <w:t>超级周期催化下，配置型资金有望进一步回流中国硬科技核心资产</w:t>
      </w:r>
      <w:r>
        <w:rPr>
          <w:rFonts w:ascii="宋体" w:hAnsi="宋体" w:cs="宋体" w:hint="eastAsia"/>
          <w:color w:val="000000"/>
          <w:kern w:val="0"/>
        </w:rPr>
        <w:t>。</w:t>
      </w:r>
    </w:p>
    <w:p w:rsidR="00E364CF" w:rsidRDefault="00E364CF">
      <w:pPr>
        <w:pStyle w:val="XBRLTitle2"/>
        <w:spacing w:before="156"/>
        <w:ind w:left="454"/>
      </w:pPr>
      <w:bookmarkStart w:id="123" w:name="_Toc17881681"/>
      <w:bookmarkStart w:id="124" w:name="_Toc466644462"/>
      <w:bookmarkStart w:id="125" w:name="_Toc447872924"/>
      <w:bookmarkStart w:id="126" w:name="_Toc492299877"/>
      <w:bookmarkStart w:id="127" w:name="_Toc512627225"/>
      <w:bookmarkStart w:id="128" w:name="_Toc512694305"/>
      <w:bookmarkStart w:id="129" w:name="m405_01_2549"/>
      <w:bookmarkEnd w:id="122"/>
      <w:r>
        <w:rPr>
          <w:rFonts w:hint="eastAsia"/>
        </w:rPr>
        <w:t>报告期内基金的业绩表</w:t>
      </w:r>
      <w:r>
        <w:rPr>
          <w:rFonts w:hint="eastAsia"/>
        </w:rPr>
        <w:t>现</w:t>
      </w:r>
      <w:bookmarkEnd w:id="123"/>
      <w:bookmarkEnd w:id="124"/>
      <w:bookmarkEnd w:id="125"/>
      <w:bookmarkEnd w:id="126"/>
      <w:bookmarkEnd w:id="127"/>
      <w:bookmarkEnd w:id="128"/>
      <w:bookmarkEnd w:id="129"/>
    </w:p>
    <w:p w:rsidR="00E364CF" w:rsidRDefault="00E364CF">
      <w:pPr>
        <w:spacing w:line="360" w:lineRule="auto"/>
        <w:ind w:firstLineChars="200" w:firstLine="420"/>
        <w:rPr>
          <w:rFonts w:hint="eastAsia"/>
        </w:rPr>
      </w:pPr>
      <w:r>
        <w:rPr>
          <w:rFonts w:ascii="宋体" w:hAnsi="宋体" w:hint="eastAsia"/>
        </w:rPr>
        <w:t>本报告期摩根上证科创板新一代信息技术</w:t>
      </w:r>
      <w:r>
        <w:rPr>
          <w:rFonts w:ascii="宋体" w:hAnsi="宋体" w:hint="eastAsia"/>
        </w:rPr>
        <w:t>ETF</w:t>
      </w:r>
      <w:r>
        <w:rPr>
          <w:rFonts w:ascii="宋体" w:hAnsi="宋体" w:hint="eastAsia"/>
        </w:rPr>
        <w:t>联接</w:t>
      </w:r>
      <w:r>
        <w:rPr>
          <w:rFonts w:ascii="宋体" w:hAnsi="宋体" w:hint="eastAsia"/>
        </w:rPr>
        <w:t>A</w:t>
      </w:r>
      <w:r>
        <w:rPr>
          <w:rFonts w:ascii="宋体" w:hAnsi="宋体" w:hint="eastAsia"/>
        </w:rPr>
        <w:t>份额净值增长率为：</w:t>
      </w:r>
      <w:r>
        <w:rPr>
          <w:rFonts w:ascii="宋体" w:hAnsi="宋体" w:hint="eastAsia"/>
        </w:rPr>
        <w:t>87.60%</w:t>
      </w:r>
      <w:r>
        <w:rPr>
          <w:rFonts w:ascii="宋体" w:hAnsi="宋体" w:hint="eastAsia"/>
        </w:rPr>
        <w:t>，同期业绩比较基准收益率为：</w:t>
      </w:r>
      <w:r>
        <w:rPr>
          <w:rFonts w:ascii="宋体" w:hAnsi="宋体" w:hint="eastAsia"/>
        </w:rPr>
        <w:t>87.48%</w:t>
      </w:r>
      <w:r>
        <w:rPr>
          <w:rFonts w:ascii="宋体" w:hAnsi="宋体" w:hint="eastAsia"/>
        </w:rPr>
        <w:t>；</w:t>
      </w:r>
      <w:r>
        <w:rPr>
          <w:rFonts w:ascii="宋体" w:hAnsi="宋体" w:hint="eastAsia"/>
        </w:rPr>
        <w:br/>
      </w:r>
      <w:r>
        <w:rPr>
          <w:rFonts w:ascii="宋体" w:hAnsi="宋体" w:hint="eastAsia"/>
        </w:rPr>
        <w:t xml:space="preserve">　　摩根上证科创板新一代信息技术</w:t>
      </w:r>
      <w:r>
        <w:rPr>
          <w:rFonts w:ascii="宋体" w:hAnsi="宋体" w:hint="eastAsia"/>
        </w:rPr>
        <w:t>ETF</w:t>
      </w:r>
      <w:r>
        <w:rPr>
          <w:rFonts w:ascii="宋体" w:hAnsi="宋体" w:hint="eastAsia"/>
        </w:rPr>
        <w:t>联接</w:t>
      </w:r>
      <w:r>
        <w:rPr>
          <w:rFonts w:ascii="宋体" w:hAnsi="宋体" w:hint="eastAsia"/>
        </w:rPr>
        <w:t>C</w:t>
      </w:r>
      <w:r>
        <w:rPr>
          <w:rFonts w:ascii="宋体" w:hAnsi="宋体" w:hint="eastAsia"/>
        </w:rPr>
        <w:t>份额净值增长率为：</w:t>
      </w:r>
      <w:r>
        <w:rPr>
          <w:rFonts w:ascii="宋体" w:hAnsi="宋体" w:hint="eastAsia"/>
        </w:rPr>
        <w:t>87.51%</w:t>
      </w:r>
      <w:r>
        <w:rPr>
          <w:rFonts w:ascii="宋体" w:hAnsi="宋体" w:hint="eastAsia"/>
        </w:rPr>
        <w:t>，同期业绩比较基准收益率为：</w:t>
      </w:r>
      <w:r>
        <w:rPr>
          <w:rFonts w:ascii="宋体" w:hAnsi="宋体" w:hint="eastAsia"/>
        </w:rPr>
        <w:t>87.48%</w:t>
      </w:r>
      <w:r>
        <w:rPr>
          <w:rFonts w:ascii="宋体" w:hAnsi="宋体" w:hint="eastAsia"/>
        </w:rPr>
        <w:t>。</w:t>
      </w:r>
    </w:p>
    <w:p w:rsidR="00E364CF" w:rsidRDefault="00E364CF">
      <w:pPr>
        <w:pStyle w:val="XBRLTitle2"/>
        <w:spacing w:before="156"/>
        <w:ind w:left="454"/>
      </w:pPr>
      <w:bookmarkStart w:id="130" w:name="m406"/>
      <w:bookmarkStart w:id="131" w:name="_Toc17881682"/>
      <w:bookmarkStart w:id="132" w:name="_Toc466644464"/>
      <w:bookmarkStart w:id="133" w:name="_Toc447872926"/>
      <w:bookmarkStart w:id="134" w:name="_Toc438646465"/>
      <w:bookmarkStart w:id="135" w:name="_Toc492299878"/>
      <w:bookmarkStart w:id="136" w:name="_Toc512627226"/>
      <w:bookmarkStart w:id="137" w:name="_Toc512694306"/>
      <w:bookmarkStart w:id="138" w:name="m407"/>
      <w:bookmarkEnd w:id="130"/>
      <w:r>
        <w:rPr>
          <w:rFonts w:hAnsi="宋体" w:hint="eastAsia"/>
        </w:rPr>
        <w:t>报告期内基金持有人数或基金资产净值预警说</w:t>
      </w:r>
      <w:r>
        <w:rPr>
          <w:rFonts w:hAnsi="宋体" w:hint="eastAsia"/>
        </w:rPr>
        <w:t>明</w:t>
      </w:r>
      <w:bookmarkEnd w:id="131"/>
      <w:bookmarkEnd w:id="132"/>
      <w:bookmarkEnd w:id="133"/>
      <w:bookmarkEnd w:id="134"/>
      <w:bookmarkEnd w:id="135"/>
      <w:bookmarkEnd w:id="136"/>
      <w:bookmarkEnd w:id="137"/>
      <w:r>
        <w:rPr>
          <w:rFonts w:hAnsi="宋体" w:hint="eastAsia"/>
        </w:rPr>
        <w:t xml:space="preserve"> </w:t>
      </w:r>
    </w:p>
    <w:p w:rsidR="00E364CF" w:rsidRDefault="00E364CF">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E364CF" w:rsidRDefault="00E364CF">
      <w:pPr>
        <w:pStyle w:val="XBRLTitle1"/>
        <w:spacing w:before="156"/>
        <w:ind w:left="425"/>
      </w:pPr>
      <w:bookmarkStart w:id="139" w:name="_Toc17881683"/>
      <w:bookmarkStart w:id="140" w:name="_Toc492299879"/>
      <w:bookmarkStart w:id="141" w:name="_Toc466644465"/>
      <w:bookmarkStart w:id="142" w:name="_Toc447872927"/>
      <w:bookmarkStart w:id="143" w:name="_Toc438646466"/>
      <w:bookmarkStart w:id="144" w:name="_Toc512627227"/>
      <w:bookmarkStart w:id="145" w:name="_Toc512694307"/>
      <w:bookmarkEnd w:id="138"/>
      <w:r>
        <w:rPr>
          <w:rFonts w:hAnsi="宋体" w:hint="eastAsia"/>
        </w:rPr>
        <w:t>投资组合报</w:t>
      </w:r>
      <w:r>
        <w:rPr>
          <w:rFonts w:hAnsi="宋体" w:hint="eastAsia"/>
        </w:rPr>
        <w:t>告</w:t>
      </w:r>
      <w:bookmarkEnd w:id="139"/>
      <w:bookmarkEnd w:id="140"/>
      <w:bookmarkEnd w:id="141"/>
      <w:bookmarkEnd w:id="142"/>
      <w:bookmarkEnd w:id="143"/>
      <w:bookmarkEnd w:id="144"/>
      <w:bookmarkEnd w:id="145"/>
      <w:r>
        <w:rPr>
          <w:rFonts w:hAnsi="宋体" w:hint="eastAsia"/>
        </w:rPr>
        <w:t xml:space="preserve"> </w:t>
      </w:r>
    </w:p>
    <w:p w:rsidR="00E364CF" w:rsidRDefault="00E364CF">
      <w:pPr>
        <w:pStyle w:val="XBRLTitle2"/>
        <w:spacing w:before="156"/>
        <w:ind w:left="454"/>
        <w:rPr>
          <w:rFonts w:hint="eastAsia"/>
        </w:rPr>
      </w:pPr>
      <w:bookmarkStart w:id="146" w:name="_Toc17881684"/>
      <w:bookmarkStart w:id="147" w:name="_Toc512627228"/>
      <w:bookmarkStart w:id="148" w:name="_Toc492299880"/>
      <w:bookmarkStart w:id="149" w:name="_Toc466644466"/>
      <w:bookmarkStart w:id="150" w:name="_Toc447872928"/>
      <w:bookmarkStart w:id="151" w:name="_Toc438646467"/>
      <w:bookmarkStart w:id="152" w:name="_Toc512694308"/>
      <w:bookmarkStart w:id="153" w:name="m501"/>
      <w:r>
        <w:rPr>
          <w:rFonts w:hAnsi="宋体" w:hint="eastAsia"/>
        </w:rPr>
        <w:t>报告期末基金资产组合情</w:t>
      </w:r>
      <w:r>
        <w:rPr>
          <w:rFonts w:hAnsi="宋体" w:hint="eastAsia"/>
        </w:rPr>
        <w:t>况</w:t>
      </w:r>
      <w:bookmarkEnd w:id="146"/>
      <w:bookmarkEnd w:id="147"/>
      <w:bookmarkEnd w:id="148"/>
      <w:bookmarkEnd w:id="149"/>
      <w:bookmarkEnd w:id="150"/>
      <w:bookmarkEnd w:id="151"/>
      <w:bookmarkEnd w:id="15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41361932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364CF" w:rsidRDefault="00E364CF">
            <w:pPr>
              <w:jc w:val="center"/>
              <w:rPr>
                <w:rFonts w:hint="eastAsia"/>
              </w:rPr>
            </w:pPr>
            <w:bookmarkStart w:id="154" w:name="m08QD_01_tab"/>
            <w:bookmarkEnd w:id="15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E364CF" w:rsidRDefault="00E364CF">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E364CF" w:rsidRDefault="00E364CF">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E364CF" w:rsidRDefault="00E364CF">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4136193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E364CF" w:rsidRDefault="00E364CF">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r>
      <w:tr w:rsidR="00000000">
        <w:trPr>
          <w:divId w:val="14136193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364CF" w:rsidRDefault="00E364CF">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r>
      <w:tr w:rsidR="00000000">
        <w:trPr>
          <w:divId w:val="14136193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E364CF" w:rsidRDefault="00E364CF">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694,321,012.8</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90.6</w:t>
            </w:r>
            <w:r>
              <w:rPr>
                <w:rFonts w:ascii="宋体" w:hAnsi="宋体" w:hint="eastAsia"/>
                <w:szCs w:val="24"/>
                <w:lang w:eastAsia="zh-Hans"/>
              </w:rPr>
              <w:t>0</w:t>
            </w:r>
          </w:p>
        </w:tc>
      </w:tr>
      <w:tr w:rsidR="00000000">
        <w:trPr>
          <w:divId w:val="14136193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E364CF" w:rsidRDefault="00E364CF">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r>
      <w:tr w:rsidR="00000000">
        <w:trPr>
          <w:divId w:val="14136193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364CF" w:rsidRDefault="00E364CF">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r>
      <w:tr w:rsidR="00000000">
        <w:trPr>
          <w:divId w:val="14136193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364CF" w:rsidRDefault="00E364CF">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r>
      <w:tr w:rsidR="00000000">
        <w:trPr>
          <w:divId w:val="14136193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E364CF" w:rsidRDefault="00E364CF">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r>
      <w:tr w:rsidR="00000000">
        <w:trPr>
          <w:divId w:val="14136193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E364CF" w:rsidRDefault="00E364CF">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r>
      <w:tr w:rsidR="00000000">
        <w:trPr>
          <w:divId w:val="14136193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E364CF" w:rsidRDefault="00E364CF">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r>
      <w:tr w:rsidR="00000000">
        <w:trPr>
          <w:divId w:val="14136193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364CF" w:rsidRDefault="00E364CF">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w:t>
            </w:r>
          </w:p>
        </w:tc>
      </w:tr>
      <w:tr w:rsidR="00000000">
        <w:trPr>
          <w:divId w:val="14136193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E364CF" w:rsidRDefault="00E364CF">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50,222,583.9</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6.5</w:t>
            </w:r>
            <w:r>
              <w:rPr>
                <w:rFonts w:ascii="宋体" w:hAnsi="宋体" w:hint="eastAsia"/>
                <w:szCs w:val="24"/>
                <w:lang w:eastAsia="zh-Hans"/>
              </w:rPr>
              <w:t>5</w:t>
            </w:r>
          </w:p>
        </w:tc>
      </w:tr>
      <w:tr w:rsidR="00000000">
        <w:trPr>
          <w:divId w:val="14136193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E364CF" w:rsidRDefault="00E364CF">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21,789,716.4</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2.8</w:t>
            </w:r>
            <w:r>
              <w:rPr>
                <w:rFonts w:ascii="宋体" w:hAnsi="宋体" w:hint="eastAsia"/>
                <w:szCs w:val="24"/>
                <w:lang w:eastAsia="zh-Hans"/>
              </w:rPr>
              <w:t>4</w:t>
            </w:r>
          </w:p>
        </w:tc>
      </w:tr>
      <w:tr w:rsidR="00000000">
        <w:trPr>
          <w:divId w:val="141361932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364CF" w:rsidRDefault="00E364CF">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E364CF" w:rsidRDefault="00E364CF">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766,333,313.2</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E364CF" w:rsidRDefault="00E364CF">
            <w:pPr>
              <w:jc w:val="right"/>
            </w:pPr>
            <w:r>
              <w:rPr>
                <w:rFonts w:ascii="宋体" w:hAnsi="宋体" w:hint="eastAsia"/>
                <w:szCs w:val="24"/>
                <w:lang w:eastAsia="zh-Hans"/>
              </w:rPr>
              <w:t>100.0</w:t>
            </w:r>
            <w:r>
              <w:rPr>
                <w:rFonts w:ascii="宋体" w:hAnsi="宋体" w:hint="eastAsia"/>
                <w:szCs w:val="24"/>
                <w:lang w:eastAsia="zh-Hans"/>
              </w:rPr>
              <w:t>0</w:t>
            </w:r>
          </w:p>
        </w:tc>
      </w:tr>
    </w:tbl>
    <w:p w:rsidR="00E364CF" w:rsidRDefault="00E364CF">
      <w:pPr>
        <w:pStyle w:val="XBRLTitle2"/>
        <w:spacing w:before="156"/>
        <w:ind w:left="454"/>
      </w:pPr>
      <w:bookmarkStart w:id="155" w:name="_Toc17881685"/>
      <w:bookmarkStart w:id="156" w:name="_Toc492299881"/>
      <w:bookmarkStart w:id="157" w:name="_Toc438646468"/>
      <w:bookmarkStart w:id="158" w:name="_Toc475467580"/>
      <w:bookmarkStart w:id="159" w:name="_Toc512627229"/>
      <w:bookmarkStart w:id="160" w:name="_Toc512694309"/>
      <w:bookmarkEnd w:id="153"/>
      <w:r>
        <w:rPr>
          <w:rFonts w:hAnsi="宋体" w:hint="eastAsia"/>
        </w:rPr>
        <w:t>报告期末按行业分类的股票投资组</w:t>
      </w:r>
      <w:r>
        <w:rPr>
          <w:rFonts w:hAnsi="宋体" w:hint="eastAsia"/>
        </w:rPr>
        <w:t>合</w:t>
      </w:r>
      <w:bookmarkEnd w:id="155"/>
      <w:r>
        <w:rPr>
          <w:rFonts w:hAnsi="宋体" w:hint="eastAsia"/>
          <w:lang w:eastAsia="zh-CN"/>
        </w:rPr>
        <w:t xml:space="preserve"> </w:t>
      </w:r>
    </w:p>
    <w:p w:rsidR="00E364CF" w:rsidRDefault="00E364CF">
      <w:pPr>
        <w:pStyle w:val="XBRLTitle3"/>
        <w:numPr>
          <w:ilvl w:val="2"/>
          <w:numId w:val="2"/>
        </w:numPr>
        <w:spacing w:before="156"/>
        <w:ind w:left="0" w:firstLine="0"/>
        <w:rPr>
          <w:rFonts w:hint="eastAsia"/>
        </w:rPr>
      </w:pPr>
      <w:bookmarkStart w:id="161" w:name="_Toc17881686"/>
      <w:bookmarkStart w:id="162" w:name="_Toc492299882"/>
      <w:bookmarkStart w:id="163" w:name="_Toc475467581"/>
      <w:r>
        <w:rPr>
          <w:rFonts w:hAnsi="宋体" w:hint="eastAsia"/>
        </w:rPr>
        <w:t>报告期末按行业分类的境内股票投资组</w:t>
      </w:r>
      <w:r>
        <w:rPr>
          <w:rFonts w:hAnsi="宋体" w:hint="eastAsia"/>
        </w:rPr>
        <w:t>合</w:t>
      </w:r>
      <w:bookmarkEnd w:id="161"/>
      <w:r>
        <w:rPr>
          <w:rFonts w:hint="eastAsia"/>
          <w:lang w:eastAsia="zh-CN"/>
        </w:rPr>
        <w:t xml:space="preserve"> </w:t>
      </w:r>
    </w:p>
    <w:p w:rsidR="00E364CF" w:rsidRDefault="00E364CF">
      <w:pPr>
        <w:spacing w:line="360" w:lineRule="auto"/>
        <w:ind w:firstLineChars="200" w:firstLine="420"/>
        <w:divId w:val="70587729"/>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E364CF" w:rsidRDefault="00E364CF">
      <w:pPr>
        <w:pStyle w:val="XBRLTitle3"/>
        <w:numPr>
          <w:ilvl w:val="2"/>
          <w:numId w:val="2"/>
        </w:numPr>
        <w:spacing w:before="156"/>
        <w:ind w:left="0" w:firstLine="0"/>
      </w:pPr>
      <w:bookmarkStart w:id="164" w:name="_Toc17881687"/>
      <w:bookmarkStart w:id="165" w:name="_Toc492299883"/>
      <w:bookmarkStart w:id="166" w:name="_Toc475467582"/>
      <w:bookmarkStart w:id="167" w:name="m502_tab"/>
      <w:r>
        <w:rPr>
          <w:rFonts w:hAnsi="宋体" w:hint="eastAsia"/>
        </w:rPr>
        <w:t>报告期末按行业分类的港股通投资股票投资组</w:t>
      </w:r>
      <w:r>
        <w:rPr>
          <w:rFonts w:hAnsi="宋体" w:hint="eastAsia"/>
        </w:rPr>
        <w:t>合</w:t>
      </w:r>
      <w:bookmarkEnd w:id="164"/>
      <w:bookmarkEnd w:id="165"/>
      <w:bookmarkEnd w:id="166"/>
      <w:r>
        <w:rPr>
          <w:rFonts w:hint="eastAsia"/>
          <w:szCs w:val="24"/>
        </w:rPr>
        <w:t xml:space="preserve"> </w:t>
      </w:r>
    </w:p>
    <w:p w:rsidR="00E364CF" w:rsidRDefault="00E364CF">
      <w:pPr>
        <w:spacing w:line="360" w:lineRule="auto"/>
        <w:ind w:firstLineChars="200" w:firstLine="420"/>
        <w:divId w:val="1511987126"/>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E364CF" w:rsidRDefault="00E364CF">
      <w:pPr>
        <w:pStyle w:val="XBRLTitle2"/>
        <w:spacing w:before="156"/>
        <w:ind w:left="454"/>
      </w:pPr>
      <w:bookmarkStart w:id="168" w:name="_Toc1788168512"/>
      <w:r>
        <w:rPr>
          <w:rFonts w:hAnsi="宋体" w:hint="eastAsia"/>
        </w:rPr>
        <w:t>期末按公允价值占基金资产净值比例大小排序的股票投资明</w:t>
      </w:r>
      <w:r>
        <w:rPr>
          <w:rFonts w:hAnsi="宋体" w:hint="eastAsia"/>
        </w:rPr>
        <w:t>细</w:t>
      </w:r>
      <w:bookmarkEnd w:id="156"/>
      <w:bookmarkEnd w:id="157"/>
      <w:bookmarkEnd w:id="158"/>
      <w:bookmarkEnd w:id="159"/>
      <w:bookmarkEnd w:id="160"/>
      <w:bookmarkEnd w:id="168"/>
      <w:r>
        <w:rPr>
          <w:rFonts w:hAnsi="宋体" w:hint="eastAsia"/>
          <w:lang w:eastAsia="zh-CN"/>
        </w:rPr>
        <w:t xml:space="preserve"> </w:t>
      </w:r>
    </w:p>
    <w:p w:rsidR="00E364CF" w:rsidRDefault="00E364CF">
      <w:pPr>
        <w:pStyle w:val="XBRLTitle3"/>
        <w:numPr>
          <w:ilvl w:val="2"/>
          <w:numId w:val="2"/>
        </w:numPr>
        <w:spacing w:before="156"/>
        <w:ind w:left="0" w:firstLine="0"/>
        <w:rPr>
          <w:rFonts w:hint="eastAsia"/>
        </w:rPr>
      </w:pPr>
      <w:bookmarkStart w:id="169" w:name="_Toc1788168513"/>
      <w:r>
        <w:rPr>
          <w:rFonts w:hAnsi="宋体" w:hint="eastAsia"/>
        </w:rPr>
        <w:t>报告期末按公允价值占基金资产净值比例大小排序的前十名股票投资明</w:t>
      </w:r>
      <w:r>
        <w:rPr>
          <w:rFonts w:hAnsi="宋体" w:hint="eastAsia"/>
        </w:rPr>
        <w:t>细</w:t>
      </w:r>
      <w:bookmarkEnd w:id="162"/>
      <w:bookmarkEnd w:id="163"/>
      <w:bookmarkEnd w:id="169"/>
      <w:r>
        <w:rPr>
          <w:rFonts w:hint="eastAsia"/>
          <w:lang w:eastAsia="zh-CN"/>
        </w:rPr>
        <w:t xml:space="preserve"> </w:t>
      </w:r>
    </w:p>
    <w:p w:rsidR="00E364CF" w:rsidRDefault="00E364CF">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E364CF" w:rsidRDefault="00E364CF">
      <w:pPr>
        <w:pStyle w:val="XBRLTitle2"/>
        <w:spacing w:before="156"/>
        <w:ind w:left="454"/>
      </w:pPr>
      <w:bookmarkStart w:id="170" w:name="_Toc17881689"/>
      <w:bookmarkStart w:id="171" w:name="_Toc512627231"/>
      <w:bookmarkStart w:id="172" w:name="_Toc492299885"/>
      <w:bookmarkStart w:id="173" w:name="_Toc466644469"/>
      <w:bookmarkStart w:id="174" w:name="_Toc447872931"/>
      <w:bookmarkStart w:id="175" w:name="_Toc438646471"/>
      <w:bookmarkStart w:id="176" w:name="_Toc512694311"/>
      <w:bookmarkStart w:id="177" w:name="m505"/>
      <w:bookmarkEnd w:id="167"/>
      <w:r>
        <w:rPr>
          <w:rFonts w:hAnsi="宋体" w:hint="eastAsia"/>
        </w:rPr>
        <w:t>报告期末按债券品种分类的债券投资组</w:t>
      </w:r>
      <w:r>
        <w:rPr>
          <w:rFonts w:hAnsi="宋体" w:hint="eastAsia"/>
        </w:rPr>
        <w:t>合</w:t>
      </w:r>
      <w:bookmarkEnd w:id="170"/>
      <w:bookmarkEnd w:id="171"/>
      <w:bookmarkEnd w:id="172"/>
      <w:bookmarkEnd w:id="173"/>
      <w:bookmarkEnd w:id="174"/>
      <w:bookmarkEnd w:id="175"/>
      <w:bookmarkEnd w:id="176"/>
      <w:r>
        <w:rPr>
          <w:rFonts w:hAnsi="宋体" w:hint="eastAsia"/>
        </w:rPr>
        <w:t xml:space="preserve"> </w:t>
      </w:r>
    </w:p>
    <w:p w:rsidR="00E364CF" w:rsidRDefault="00E364CF">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178" w:name="m08QD_06"/>
      <w:bookmarkEnd w:id="178"/>
      <w:r>
        <w:rPr>
          <w:rFonts w:ascii="宋体" w:hAnsi="宋体" w:hint="eastAsia"/>
        </w:rPr>
        <w:t xml:space="preserve"> </w:t>
      </w:r>
    </w:p>
    <w:p w:rsidR="00E364CF" w:rsidRDefault="00E364CF">
      <w:pPr>
        <w:pStyle w:val="XBRLTitle2"/>
        <w:spacing w:before="156"/>
        <w:ind w:left="454"/>
      </w:pPr>
      <w:bookmarkStart w:id="179" w:name="_Toc17881690"/>
      <w:bookmarkStart w:id="180" w:name="_Toc512627232"/>
      <w:bookmarkStart w:id="181" w:name="_Toc492299886"/>
      <w:bookmarkStart w:id="182" w:name="_Toc466644470"/>
      <w:bookmarkStart w:id="183" w:name="_Toc447872932"/>
      <w:bookmarkStart w:id="184" w:name="_Toc438646472"/>
      <w:bookmarkStart w:id="185" w:name="_Toc512694312"/>
      <w:bookmarkStart w:id="186" w:name="m506"/>
      <w:bookmarkEnd w:id="177"/>
      <w:r>
        <w:rPr>
          <w:rFonts w:hAnsi="宋体" w:hint="eastAsia"/>
        </w:rPr>
        <w:t>报告期末按公允价值占基金资产净值比例大小排序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179"/>
      <w:bookmarkEnd w:id="180"/>
      <w:bookmarkEnd w:id="181"/>
      <w:bookmarkEnd w:id="182"/>
      <w:bookmarkEnd w:id="183"/>
      <w:bookmarkEnd w:id="184"/>
      <w:bookmarkEnd w:id="185"/>
      <w:r>
        <w:rPr>
          <w:rFonts w:hAnsi="宋体" w:hint="eastAsia"/>
        </w:rPr>
        <w:t xml:space="preserve"> </w:t>
      </w:r>
    </w:p>
    <w:p w:rsidR="00E364CF" w:rsidRDefault="00E364CF">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E364CF" w:rsidRDefault="00E364CF">
      <w:pPr>
        <w:pStyle w:val="XBRLTitle2"/>
        <w:spacing w:before="156"/>
        <w:ind w:left="454"/>
      </w:pPr>
      <w:bookmarkStart w:id="187" w:name="_Toc17881691"/>
      <w:bookmarkStart w:id="188" w:name="_Toc512627233"/>
      <w:bookmarkStart w:id="189" w:name="_Toc492299887"/>
      <w:bookmarkStart w:id="190" w:name="_Toc466644471"/>
      <w:bookmarkStart w:id="191" w:name="_Toc447872933"/>
      <w:bookmarkStart w:id="192" w:name="_Toc438646473"/>
      <w:bookmarkStart w:id="193" w:name="_Toc512694313"/>
      <w:bookmarkStart w:id="194" w:name="m507"/>
      <w:bookmarkEnd w:id="186"/>
      <w:r>
        <w:rPr>
          <w:rFonts w:hAnsi="宋体" w:hint="eastAsia"/>
        </w:rPr>
        <w:t>报告期末按公允价值占基金资产净值比例大小排序的前十名资产支持证券投资明</w:t>
      </w:r>
      <w:r>
        <w:rPr>
          <w:rFonts w:hAnsi="宋体" w:hint="eastAsia"/>
        </w:rPr>
        <w:t>细</w:t>
      </w:r>
      <w:bookmarkEnd w:id="187"/>
      <w:bookmarkEnd w:id="188"/>
      <w:bookmarkEnd w:id="189"/>
      <w:bookmarkEnd w:id="190"/>
      <w:bookmarkEnd w:id="191"/>
      <w:bookmarkEnd w:id="192"/>
      <w:bookmarkEnd w:id="193"/>
      <w:r>
        <w:rPr>
          <w:rFonts w:hAnsi="宋体" w:hint="eastAsia"/>
        </w:rPr>
        <w:t xml:space="preserve"> </w:t>
      </w:r>
    </w:p>
    <w:p w:rsidR="00E364CF" w:rsidRDefault="00E364CF">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E364CF" w:rsidRDefault="00E364CF">
      <w:pPr>
        <w:pStyle w:val="XBRLTitle2"/>
        <w:spacing w:before="156"/>
        <w:ind w:left="454"/>
      </w:pPr>
      <w:bookmarkStart w:id="195" w:name="_Toc17881692"/>
      <w:bookmarkStart w:id="196" w:name="_Toc512627234"/>
      <w:bookmarkStart w:id="197" w:name="_Toc492299888"/>
      <w:bookmarkStart w:id="198" w:name="_Toc466644472"/>
      <w:bookmarkStart w:id="199" w:name="_Toc447872934"/>
      <w:bookmarkStart w:id="200" w:name="_Toc438646474"/>
      <w:bookmarkStart w:id="201" w:name="_Toc512694314"/>
      <w:bookmarkStart w:id="202" w:name="m508"/>
      <w:bookmarkEnd w:id="194"/>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195"/>
      <w:bookmarkEnd w:id="196"/>
      <w:bookmarkEnd w:id="197"/>
      <w:bookmarkEnd w:id="198"/>
      <w:bookmarkEnd w:id="199"/>
      <w:bookmarkEnd w:id="200"/>
      <w:bookmarkEnd w:id="201"/>
      <w:r>
        <w:rPr>
          <w:rFonts w:hAnsi="宋体" w:hint="eastAsia"/>
        </w:rPr>
        <w:t xml:space="preserve"> </w:t>
      </w:r>
    </w:p>
    <w:p w:rsidR="00E364CF" w:rsidRDefault="00E364CF">
      <w:pPr>
        <w:spacing w:line="360" w:lineRule="auto"/>
        <w:ind w:firstLineChars="200" w:firstLine="420"/>
        <w:divId w:val="1102646141"/>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E364CF" w:rsidRDefault="00E364CF">
      <w:pPr>
        <w:pStyle w:val="XBRLTitle2"/>
        <w:spacing w:before="156"/>
        <w:ind w:left="454"/>
      </w:pPr>
      <w:bookmarkStart w:id="203" w:name="_Toc17881693"/>
      <w:bookmarkStart w:id="204" w:name="_Toc512627235"/>
      <w:bookmarkStart w:id="205" w:name="_Toc492299889"/>
      <w:bookmarkStart w:id="206" w:name="_Toc466644473"/>
      <w:bookmarkStart w:id="207" w:name="_Toc447872935"/>
      <w:bookmarkStart w:id="208" w:name="_Toc438646475"/>
      <w:bookmarkStart w:id="209" w:name="_Toc512694315"/>
      <w:bookmarkStart w:id="210" w:name="m509"/>
      <w:bookmarkEnd w:id="202"/>
      <w:r>
        <w:rPr>
          <w:rFonts w:hAnsi="宋体" w:hint="eastAsia"/>
        </w:rPr>
        <w:t>报告期末按公允价值占基金资产净值比例大小排序的前</w:t>
      </w:r>
      <w:r>
        <w:rPr>
          <w:rFonts w:hAnsi="宋体" w:hint="eastAsia"/>
          <w:lang w:eastAsia="zh-CN"/>
        </w:rPr>
        <w:t>五</w:t>
      </w:r>
      <w:r>
        <w:rPr>
          <w:rFonts w:hAnsi="宋体" w:hint="eastAsia"/>
        </w:rPr>
        <w:t>名</w:t>
      </w:r>
      <w:r>
        <w:rPr>
          <w:rFonts w:hAnsi="宋体" w:hint="eastAsia"/>
          <w:lang w:eastAsia="zh-CN"/>
        </w:rPr>
        <w:t>权</w:t>
      </w:r>
      <w:r>
        <w:rPr>
          <w:rFonts w:hAnsi="宋体" w:hint="eastAsia"/>
          <w:lang w:eastAsia="zh-CN"/>
        </w:rPr>
        <w:t>证</w:t>
      </w:r>
      <w:r>
        <w:rPr>
          <w:rFonts w:hAnsi="宋体" w:hint="eastAsia"/>
        </w:rPr>
        <w:t>投资明</w:t>
      </w:r>
      <w:r>
        <w:rPr>
          <w:rFonts w:hAnsi="宋体" w:hint="eastAsia"/>
        </w:rPr>
        <w:t>细</w:t>
      </w:r>
      <w:bookmarkEnd w:id="203"/>
      <w:bookmarkEnd w:id="204"/>
      <w:bookmarkEnd w:id="205"/>
      <w:bookmarkEnd w:id="206"/>
      <w:bookmarkEnd w:id="207"/>
      <w:bookmarkEnd w:id="208"/>
      <w:bookmarkEnd w:id="209"/>
      <w:r>
        <w:rPr>
          <w:rFonts w:hAnsi="宋体" w:hint="eastAsia"/>
        </w:rPr>
        <w:t xml:space="preserve"> </w:t>
      </w:r>
    </w:p>
    <w:p w:rsidR="00E364CF" w:rsidRDefault="00E364CF">
      <w:pPr>
        <w:spacing w:line="360" w:lineRule="auto"/>
        <w:ind w:firstLineChars="200" w:firstLine="420"/>
        <w:divId w:val="123581734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E364CF" w:rsidRDefault="00E364CF">
      <w:pPr>
        <w:pStyle w:val="XBRLTitle2"/>
        <w:spacing w:before="156"/>
        <w:ind w:left="454"/>
      </w:pPr>
      <w:bookmarkStart w:id="211" w:name="_Toc17881694"/>
      <w:bookmarkStart w:id="212" w:name="_Toc512627236"/>
      <w:bookmarkStart w:id="213" w:name="_Toc492299890"/>
      <w:bookmarkStart w:id="214" w:name="_Toc466644474"/>
      <w:bookmarkStart w:id="215" w:name="_Toc512694316"/>
      <w:r>
        <w:rPr>
          <w:rFonts w:hAnsi="宋体" w:hint="eastAsia"/>
          <w:kern w:val="2"/>
        </w:rPr>
        <w:t>报告期末按公允价值占基金资产净值比例大小排序的前十名基金投资明</w:t>
      </w:r>
      <w:r>
        <w:rPr>
          <w:rFonts w:hAnsi="宋体" w:hint="eastAsia"/>
          <w:kern w:val="2"/>
        </w:rPr>
        <w:t>细</w:t>
      </w:r>
      <w:bookmarkEnd w:id="211"/>
      <w:bookmarkEnd w:id="212"/>
      <w:bookmarkEnd w:id="213"/>
      <w:bookmarkEnd w:id="214"/>
      <w:bookmarkEnd w:id="215"/>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1140"/>
        <w:gridCol w:w="1141"/>
        <w:gridCol w:w="1132"/>
        <w:gridCol w:w="1208"/>
        <w:gridCol w:w="1188"/>
        <w:gridCol w:w="1686"/>
        <w:gridCol w:w="1340"/>
      </w:tblGrid>
      <w:tr w:rsidR="00000000">
        <w:trPr>
          <w:divId w:val="1163280380"/>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E364CF" w:rsidRDefault="00E364CF">
            <w:pPr>
              <w:pStyle w:val="a5"/>
              <w:spacing w:before="0" w:beforeAutospacing="0" w:after="0" w:afterAutospacing="0"/>
              <w:ind w:firstLineChars="50" w:firstLine="105"/>
              <w:jc w:val="center"/>
              <w:rPr>
                <w:rFonts w:hint="eastAsia"/>
              </w:rPr>
            </w:pPr>
            <w:bookmarkStart w:id="216" w:name="OLE_LINK41"/>
            <w:bookmarkStart w:id="217" w:name="OLE_LINK42"/>
            <w:bookmarkStart w:id="218" w:name="OLE_LINK45"/>
            <w:bookmarkStart w:id="219" w:name="OLE_LINK46"/>
            <w:bookmarkStart w:id="220" w:name="m08QD_10"/>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E364CF" w:rsidRDefault="00E364CF">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E364CF" w:rsidRDefault="00E364CF">
            <w:pPr>
              <w:pStyle w:val="a5"/>
              <w:spacing w:before="0" w:beforeAutospacing="0" w:after="0" w:afterAutospacing="0"/>
              <w:jc w:val="center"/>
              <w:rPr>
                <w:rFonts w:hint="eastAsia"/>
              </w:rPr>
            </w:pPr>
            <w:r>
              <w:rPr>
                <w:rFonts w:hint="eastAsia"/>
                <w:kern w:val="2"/>
                <w:sz w:val="21"/>
              </w:rPr>
              <w:t>基金类型</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E364CF" w:rsidRDefault="00E364CF">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E364CF" w:rsidRDefault="00E364CF">
            <w:pPr>
              <w:pStyle w:val="a5"/>
              <w:spacing w:before="0" w:beforeAutospacing="0" w:after="0" w:afterAutospacing="0"/>
              <w:jc w:val="center"/>
              <w:rPr>
                <w:rFonts w:hint="eastAsia"/>
              </w:rPr>
            </w:pPr>
            <w:r>
              <w:rPr>
                <w:rFonts w:hint="eastAsia"/>
                <w:kern w:val="2"/>
                <w:sz w:val="21"/>
              </w:rPr>
              <w:t>管理人</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E364CF" w:rsidRDefault="00E364CF">
            <w:pPr>
              <w:pStyle w:val="a5"/>
              <w:spacing w:before="0" w:beforeAutospacing="0" w:after="0" w:afterAutospacing="0"/>
              <w:jc w:val="center"/>
              <w:rPr>
                <w:rFonts w:hint="eastAsia"/>
              </w:rPr>
            </w:pPr>
            <w:r>
              <w:rPr>
                <w:rFonts w:hint="eastAsia"/>
                <w:kern w:val="2"/>
                <w:sz w:val="21"/>
              </w:rPr>
              <w:t>公允价值（元</w:t>
            </w:r>
            <w:r>
              <w:rPr>
                <w:rFonts w:hint="eastAsia"/>
                <w:kern w:val="2"/>
                <w:sz w:val="21"/>
              </w:rPr>
              <w:t>）</w:t>
            </w:r>
            <w:r>
              <w:rPr>
                <w:rFonts w:hint="eastAsia"/>
                <w:kern w:val="2"/>
                <w:sz w:val="21"/>
                <w:lang w:eastAsia="zh-Hans"/>
              </w:rPr>
              <w:t xml:space="preserve"> </w:t>
            </w:r>
          </w:p>
        </w:tc>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E364CF" w:rsidRDefault="00E364CF">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rPr>
              <w:t>%</w:t>
            </w:r>
            <w:r>
              <w:rPr>
                <w:rFonts w:hint="eastAsia"/>
                <w:kern w:val="2"/>
                <w:sz w:val="21"/>
              </w:rPr>
              <w:t>）</w:t>
            </w:r>
            <w:r>
              <w:rPr>
                <w:rFonts w:hint="eastAsia"/>
                <w:kern w:val="2"/>
                <w:sz w:val="21"/>
                <w:lang w:eastAsia="zh-Hans"/>
              </w:rPr>
              <w:t xml:space="preserve"> </w:t>
            </w:r>
          </w:p>
        </w:tc>
      </w:tr>
      <w:tr w:rsidR="00000000">
        <w:trPr>
          <w:divId w:val="1163280380"/>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364CF" w:rsidRDefault="00E364CF">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364CF" w:rsidRDefault="00E364CF">
            <w:pPr>
              <w:pStyle w:val="a5"/>
              <w:spacing w:before="0" w:beforeAutospacing="0" w:after="0" w:afterAutospacing="0"/>
              <w:jc w:val="center"/>
              <w:rPr>
                <w:rFonts w:hint="eastAsia"/>
              </w:rPr>
            </w:pPr>
            <w:r>
              <w:rPr>
                <w:rFonts w:hint="eastAsia"/>
                <w:kern w:val="2"/>
                <w:sz w:val="21"/>
                <w:lang w:eastAsia="zh-Hans"/>
              </w:rPr>
              <w:t>摩根上证科创板新一代信息技术</w:t>
            </w:r>
            <w:r>
              <w:rPr>
                <w:rFonts w:hint="eastAsia"/>
                <w:kern w:val="2"/>
                <w:sz w:val="21"/>
                <w:lang w:eastAsia="zh-Hans"/>
              </w:rPr>
              <w:t>ET</w:t>
            </w:r>
            <w:r>
              <w:rPr>
                <w:rFonts w:hint="eastAsia"/>
                <w:kern w:val="2"/>
                <w:sz w:val="21"/>
                <w:lang w:eastAsia="zh-Hans"/>
              </w:rPr>
              <w:t>F</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364CF" w:rsidRDefault="00E364CF">
            <w:pPr>
              <w:pStyle w:val="a5"/>
              <w:spacing w:before="0" w:beforeAutospacing="0" w:after="0" w:afterAutospacing="0"/>
              <w:jc w:val="center"/>
              <w:rPr>
                <w:rFonts w:hint="eastAsia"/>
              </w:rPr>
            </w:pPr>
            <w:r>
              <w:rPr>
                <w:rFonts w:hint="eastAsia"/>
                <w:kern w:val="2"/>
                <w:sz w:val="21"/>
                <w:lang w:eastAsia="zh-Hans"/>
              </w:rPr>
              <w:t>股票</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364CF" w:rsidRDefault="00E364CF">
            <w:pPr>
              <w:pStyle w:val="a5"/>
              <w:spacing w:before="0" w:beforeAutospacing="0" w:after="0" w:afterAutospacing="0"/>
              <w:jc w:val="center"/>
              <w:rPr>
                <w:rFonts w:hint="eastAsia"/>
              </w:rPr>
            </w:pPr>
            <w:r>
              <w:rPr>
                <w:rFonts w:hint="eastAsia"/>
                <w:kern w:val="2"/>
                <w:sz w:val="21"/>
                <w:lang w:eastAsia="zh-Hans"/>
              </w:rPr>
              <w:t>交易型开放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364CF" w:rsidRDefault="00E364CF">
            <w:pPr>
              <w:pStyle w:val="a5"/>
              <w:spacing w:before="0" w:beforeAutospacing="0" w:after="0" w:afterAutospacing="0"/>
              <w:jc w:val="center"/>
              <w:rPr>
                <w:rFonts w:hint="eastAsia"/>
              </w:rPr>
            </w:pPr>
            <w:r>
              <w:rPr>
                <w:rFonts w:hint="eastAsia"/>
                <w:kern w:val="2"/>
                <w:sz w:val="21"/>
                <w:lang w:eastAsia="zh-Hans"/>
              </w:rPr>
              <w:t>摩根基金管理（中国）有限公</w:t>
            </w:r>
            <w:r>
              <w:rPr>
                <w:rFonts w:hint="eastAsia"/>
                <w:kern w:val="2"/>
                <w:sz w:val="21"/>
                <w:lang w:eastAsia="zh-Hans"/>
              </w:rPr>
              <w:t>司</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364CF" w:rsidRDefault="00E364CF">
            <w:pPr>
              <w:pStyle w:val="a5"/>
              <w:spacing w:before="0" w:beforeAutospacing="0" w:after="0" w:afterAutospacing="0"/>
              <w:jc w:val="right"/>
              <w:rPr>
                <w:rFonts w:hint="eastAsia"/>
              </w:rPr>
            </w:pPr>
            <w:r>
              <w:rPr>
                <w:rFonts w:hint="eastAsia"/>
                <w:kern w:val="2"/>
                <w:sz w:val="21"/>
                <w:lang w:eastAsia="zh-Hans"/>
              </w:rPr>
              <w:t>694,321,012.8</w:t>
            </w:r>
            <w:r>
              <w:rPr>
                <w:rFonts w:hint="eastAsia"/>
                <w:kern w:val="2"/>
                <w:sz w:val="21"/>
                <w:lang w:eastAsia="zh-Hans"/>
              </w:rPr>
              <w:t>0</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364CF" w:rsidRDefault="00E364CF">
            <w:pPr>
              <w:pStyle w:val="a5"/>
              <w:spacing w:before="0" w:beforeAutospacing="0" w:after="0" w:afterAutospacing="0"/>
              <w:jc w:val="right"/>
              <w:rPr>
                <w:rFonts w:hint="eastAsia"/>
              </w:rPr>
            </w:pPr>
            <w:r>
              <w:rPr>
                <w:rFonts w:hint="eastAsia"/>
                <w:kern w:val="2"/>
                <w:sz w:val="21"/>
                <w:lang w:eastAsia="zh-Hans"/>
              </w:rPr>
              <w:t>93.5</w:t>
            </w:r>
            <w:r>
              <w:rPr>
                <w:rFonts w:hint="eastAsia"/>
                <w:kern w:val="2"/>
                <w:sz w:val="21"/>
                <w:lang w:eastAsia="zh-Hans"/>
              </w:rPr>
              <w:t>3</w:t>
            </w:r>
            <w:bookmarkEnd w:id="216"/>
            <w:bookmarkEnd w:id="217"/>
            <w:bookmarkEnd w:id="218"/>
            <w:bookmarkEnd w:id="219"/>
            <w:bookmarkEnd w:id="220"/>
          </w:p>
        </w:tc>
      </w:tr>
    </w:tbl>
    <w:p w:rsidR="00E364CF" w:rsidRDefault="00E364CF">
      <w:pPr>
        <w:pStyle w:val="XBRLTitle2"/>
        <w:spacing w:before="156"/>
        <w:ind w:left="454"/>
        <w:rPr>
          <w:rFonts w:hint="eastAsia"/>
        </w:rPr>
      </w:pPr>
      <w:bookmarkStart w:id="221" w:name="_Toc17881695"/>
      <w:bookmarkStart w:id="222" w:name="_Toc492299891"/>
      <w:bookmarkStart w:id="223" w:name="_Toc466644475"/>
      <w:bookmarkStart w:id="224" w:name="_Toc447872936"/>
      <w:bookmarkStart w:id="225" w:name="_Toc512627237"/>
      <w:bookmarkStart w:id="226" w:name="_Toc512694317"/>
      <w:r>
        <w:rPr>
          <w:rFonts w:hAnsi="宋体" w:hint="eastAsia"/>
        </w:rPr>
        <w:t>报告期末本基金投资的股指期货交易情况说</w:t>
      </w:r>
      <w:r>
        <w:rPr>
          <w:rFonts w:hAnsi="宋体" w:hint="eastAsia"/>
        </w:rPr>
        <w:t>明</w:t>
      </w:r>
      <w:bookmarkEnd w:id="221"/>
      <w:bookmarkEnd w:id="222"/>
      <w:bookmarkEnd w:id="223"/>
      <w:bookmarkEnd w:id="224"/>
      <w:bookmarkEnd w:id="225"/>
      <w:bookmarkEnd w:id="226"/>
      <w:r>
        <w:rPr>
          <w:rFonts w:hAnsi="宋体" w:hint="eastAsia"/>
        </w:rPr>
        <w:t xml:space="preserve"> </w:t>
      </w:r>
      <w:bookmarkEnd w:id="210"/>
    </w:p>
    <w:p w:rsidR="00E364CF" w:rsidRDefault="00E364CF">
      <w:pPr>
        <w:spacing w:line="360" w:lineRule="auto"/>
        <w:ind w:firstLineChars="200" w:firstLine="420"/>
        <w:divId w:val="1127159227"/>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E364CF" w:rsidRDefault="00E364CF">
      <w:pPr>
        <w:pStyle w:val="XBRLTitle2"/>
        <w:spacing w:before="156"/>
        <w:ind w:left="454"/>
      </w:pPr>
      <w:bookmarkStart w:id="227" w:name="_Toc17881698"/>
      <w:bookmarkStart w:id="228" w:name="_Toc492299894"/>
      <w:bookmarkStart w:id="229" w:name="_Toc466644478"/>
      <w:bookmarkStart w:id="230" w:name="_Toc447872939"/>
      <w:bookmarkStart w:id="231" w:name="_Toc512627238"/>
      <w:bookmarkStart w:id="232" w:name="_Toc512694318"/>
      <w:bookmarkStart w:id="233" w:name="_Toc438646476"/>
      <w:r>
        <w:rPr>
          <w:rFonts w:hAnsi="宋体" w:hint="eastAsia"/>
        </w:rPr>
        <w:t>报告期末本基金投资的国债期货交易情况说</w:t>
      </w:r>
      <w:r>
        <w:rPr>
          <w:rFonts w:hAnsi="宋体" w:hint="eastAsia"/>
        </w:rPr>
        <w:t>明</w:t>
      </w:r>
      <w:bookmarkEnd w:id="227"/>
      <w:bookmarkEnd w:id="228"/>
      <w:bookmarkEnd w:id="229"/>
      <w:bookmarkEnd w:id="230"/>
      <w:bookmarkEnd w:id="231"/>
      <w:bookmarkEnd w:id="232"/>
      <w:bookmarkEnd w:id="233"/>
      <w:r>
        <w:rPr>
          <w:rFonts w:hAnsi="宋体" w:hint="eastAsia"/>
        </w:rPr>
        <w:t xml:space="preserve"> </w:t>
      </w:r>
    </w:p>
    <w:p w:rsidR="00E364CF" w:rsidRDefault="00E364CF">
      <w:pPr>
        <w:spacing w:line="360" w:lineRule="auto"/>
        <w:ind w:firstLineChars="200" w:firstLine="420"/>
        <w:divId w:val="766582783"/>
        <w:rPr>
          <w:rFonts w:hint="eastAsia"/>
        </w:rPr>
      </w:pPr>
      <w:bookmarkStart w:id="234" w:name="m510_01_1597"/>
      <w:bookmarkStart w:id="235" w:name="m510_01_1598"/>
      <w:bookmarkEnd w:id="234"/>
      <w:r>
        <w:rPr>
          <w:rFonts w:ascii="宋体" w:hAnsi="宋体" w:hint="eastAsia"/>
          <w:szCs w:val="21"/>
          <w:lang w:eastAsia="zh-Hans"/>
        </w:rPr>
        <w:t>本基金本报告期末未持有国债期货</w:t>
      </w:r>
      <w:r>
        <w:rPr>
          <w:rFonts w:ascii="宋体" w:hAnsi="宋体" w:hint="eastAsia"/>
          <w:szCs w:val="21"/>
          <w:lang w:eastAsia="zh-Hans"/>
        </w:rPr>
        <w:t>。</w:t>
      </w:r>
    </w:p>
    <w:p w:rsidR="00E364CF" w:rsidRDefault="00E364CF">
      <w:pPr>
        <w:pStyle w:val="XBRLTitle2"/>
        <w:spacing w:before="156"/>
        <w:ind w:left="454"/>
      </w:pPr>
      <w:bookmarkStart w:id="236" w:name="_Toc17881702"/>
      <w:bookmarkStart w:id="237" w:name="_Toc492299898"/>
      <w:bookmarkStart w:id="238" w:name="_Toc466644482"/>
      <w:bookmarkStart w:id="239" w:name="_Toc447872943"/>
      <w:bookmarkStart w:id="240" w:name="_Toc512627239"/>
      <w:bookmarkStart w:id="241" w:name="_Toc512694319"/>
      <w:r>
        <w:rPr>
          <w:rFonts w:hint="eastAsia"/>
        </w:rPr>
        <w:t>投资组合报告附</w:t>
      </w:r>
      <w:r>
        <w:rPr>
          <w:rFonts w:hint="eastAsia"/>
        </w:rPr>
        <w:t>注</w:t>
      </w:r>
      <w:bookmarkEnd w:id="236"/>
      <w:bookmarkEnd w:id="237"/>
      <w:bookmarkEnd w:id="238"/>
      <w:bookmarkEnd w:id="239"/>
      <w:bookmarkEnd w:id="240"/>
      <w:bookmarkEnd w:id="241"/>
    </w:p>
    <w:p w:rsidR="00E364CF" w:rsidRDefault="00E364CF">
      <w:pPr>
        <w:pStyle w:val="XBRLTitle3"/>
        <w:numPr>
          <w:ilvl w:val="2"/>
          <w:numId w:val="2"/>
        </w:numPr>
        <w:spacing w:before="156"/>
        <w:ind w:left="0" w:firstLine="0"/>
        <w:rPr>
          <w:rFonts w:hint="eastAsia"/>
        </w:rPr>
      </w:pPr>
      <w:bookmarkStart w:id="242" w:name="_Toc512519515"/>
      <w:bookmarkStart w:id="243" w:name="_Toc481075083"/>
      <w:bookmarkStart w:id="244" w:name="_Toc490050036"/>
      <w:bookmarkStart w:id="245" w:name="_Toc513295927"/>
      <w:bookmarkStart w:id="246" w:name="_Toc17881703"/>
      <w:r>
        <w:rPr>
          <w:rFonts w:hAnsi="宋体" w:hint="eastAsia"/>
        </w:rPr>
        <w:t> </w:t>
      </w:r>
      <w:r>
        <w:rPr>
          <w:rFonts w:hint="eastAsia"/>
          <w:lang w:eastAsia="zh-CN"/>
        </w:rPr>
        <w:t xml:space="preserve"> </w:t>
      </w:r>
      <w:bookmarkEnd w:id="242"/>
      <w:bookmarkEnd w:id="243"/>
      <w:bookmarkEnd w:id="244"/>
      <w:bookmarkEnd w:id="245"/>
      <w:bookmarkEnd w:id="246"/>
    </w:p>
    <w:p w:rsidR="00E364CF" w:rsidRDefault="00E364CF">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E364CF" w:rsidRDefault="00E364CF">
      <w:pPr>
        <w:pStyle w:val="XBRLTitle3"/>
        <w:numPr>
          <w:ilvl w:val="2"/>
          <w:numId w:val="2"/>
        </w:numPr>
        <w:spacing w:before="156"/>
        <w:ind w:left="0" w:firstLine="0"/>
      </w:pPr>
      <w:bookmarkStart w:id="247" w:name="_Toc512519516"/>
      <w:bookmarkStart w:id="248" w:name="_Toc481075084"/>
      <w:bookmarkStart w:id="249" w:name="_Toc490050037"/>
      <w:bookmarkStart w:id="250" w:name="_Toc513295928"/>
      <w:bookmarkStart w:id="251" w:name="_Toc17881704"/>
      <w:r>
        <w:rPr>
          <w:rFonts w:hAnsi="宋体" w:hint="eastAsia"/>
        </w:rPr>
        <w:t> </w:t>
      </w:r>
      <w:r>
        <w:rPr>
          <w:rFonts w:hint="eastAsia"/>
          <w:lang w:eastAsia="zh-CN"/>
        </w:rPr>
        <w:t xml:space="preserve"> </w:t>
      </w:r>
      <w:bookmarkEnd w:id="247"/>
      <w:bookmarkEnd w:id="248"/>
      <w:bookmarkEnd w:id="249"/>
      <w:bookmarkEnd w:id="250"/>
      <w:bookmarkEnd w:id="251"/>
    </w:p>
    <w:p w:rsidR="00E364CF" w:rsidRDefault="00E364CF">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E364CF" w:rsidRDefault="00E364CF">
      <w:pPr>
        <w:pStyle w:val="XBRLTitle3"/>
        <w:numPr>
          <w:ilvl w:val="2"/>
          <w:numId w:val="2"/>
        </w:numPr>
        <w:spacing w:before="156"/>
        <w:ind w:left="0" w:firstLine="0"/>
      </w:pPr>
      <w:bookmarkStart w:id="252" w:name="_Toc17881705"/>
      <w:bookmarkStart w:id="253" w:name="_Toc492299901"/>
      <w:bookmarkStart w:id="254" w:name="_Toc466644485"/>
      <w:bookmarkStart w:id="255" w:name="_Toc447872946"/>
      <w:bookmarkStart w:id="256" w:name="m510_02"/>
      <w:bookmarkEnd w:id="235"/>
      <w:r>
        <w:rPr>
          <w:rFonts w:hAnsi="宋体" w:hint="eastAsia"/>
        </w:rPr>
        <w:t>其他资产构</w:t>
      </w:r>
      <w:r>
        <w:rPr>
          <w:rFonts w:hAnsi="宋体" w:hint="eastAsia"/>
        </w:rPr>
        <w:t>成</w:t>
      </w:r>
      <w:bookmarkEnd w:id="252"/>
      <w:bookmarkEnd w:id="253"/>
      <w:bookmarkEnd w:id="254"/>
      <w:bookmarkEnd w:id="2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742947062"/>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64CF" w:rsidRDefault="00E364CF">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64CF" w:rsidRDefault="00E364CF">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64CF" w:rsidRDefault="00E364CF">
            <w:pPr>
              <w:jc w:val="center"/>
            </w:pPr>
            <w:r>
              <w:rPr>
                <w:rFonts w:ascii="宋体" w:hAnsi="宋体" w:hint="eastAsia"/>
              </w:rPr>
              <w:t>金额（元</w:t>
            </w:r>
            <w:r>
              <w:rPr>
                <w:rFonts w:ascii="宋体" w:hAnsi="宋体" w:hint="eastAsia"/>
              </w:rPr>
              <w:t>）</w:t>
            </w:r>
            <w:r>
              <w:t xml:space="preserve"> </w:t>
            </w:r>
          </w:p>
        </w:tc>
      </w:tr>
      <w:tr w:rsidR="00000000">
        <w:trPr>
          <w:divId w:val="74294706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right"/>
            </w:pPr>
            <w:r>
              <w:rPr>
                <w:rFonts w:ascii="宋体" w:hAnsi="宋体" w:hint="eastAsia"/>
              </w:rPr>
              <w:t>-</w:t>
            </w:r>
          </w:p>
        </w:tc>
      </w:tr>
      <w:tr w:rsidR="00000000">
        <w:trPr>
          <w:divId w:val="74294706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right"/>
            </w:pPr>
            <w:r>
              <w:rPr>
                <w:rFonts w:ascii="宋体" w:hAnsi="宋体" w:hint="eastAsia"/>
              </w:rPr>
              <w:t>-</w:t>
            </w:r>
          </w:p>
        </w:tc>
      </w:tr>
      <w:tr w:rsidR="00000000">
        <w:trPr>
          <w:divId w:val="74294706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right"/>
            </w:pPr>
            <w:r>
              <w:rPr>
                <w:rFonts w:ascii="宋体" w:hAnsi="宋体" w:hint="eastAsia"/>
              </w:rPr>
              <w:t>-</w:t>
            </w:r>
          </w:p>
        </w:tc>
      </w:tr>
      <w:tr w:rsidR="00000000">
        <w:trPr>
          <w:divId w:val="74294706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right"/>
            </w:pPr>
            <w:r>
              <w:rPr>
                <w:rFonts w:ascii="宋体" w:hAnsi="宋体" w:hint="eastAsia"/>
              </w:rPr>
              <w:t>-</w:t>
            </w:r>
          </w:p>
        </w:tc>
      </w:tr>
      <w:tr w:rsidR="00000000">
        <w:trPr>
          <w:divId w:val="74294706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right"/>
            </w:pPr>
            <w:r>
              <w:rPr>
                <w:rFonts w:ascii="宋体" w:hAnsi="宋体" w:hint="eastAsia"/>
              </w:rPr>
              <w:t>21,789,716.4</w:t>
            </w:r>
            <w:r>
              <w:rPr>
                <w:rFonts w:ascii="宋体" w:hAnsi="宋体" w:hint="eastAsia"/>
              </w:rPr>
              <w:t>3</w:t>
            </w:r>
          </w:p>
        </w:tc>
      </w:tr>
      <w:tr w:rsidR="00000000">
        <w:trPr>
          <w:divId w:val="74294706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right"/>
            </w:pPr>
            <w:r>
              <w:rPr>
                <w:rFonts w:ascii="宋体" w:hAnsi="宋体" w:hint="eastAsia"/>
              </w:rPr>
              <w:t>-</w:t>
            </w:r>
          </w:p>
        </w:tc>
      </w:tr>
      <w:tr w:rsidR="00000000">
        <w:trPr>
          <w:divId w:val="74294706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right"/>
            </w:pPr>
            <w:r>
              <w:rPr>
                <w:rFonts w:ascii="宋体" w:hAnsi="宋体" w:hint="eastAsia"/>
              </w:rPr>
              <w:t>-</w:t>
            </w:r>
          </w:p>
        </w:tc>
      </w:tr>
      <w:tr w:rsidR="00000000">
        <w:trPr>
          <w:divId w:val="74294706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364CF" w:rsidRDefault="00E364CF">
            <w:pPr>
              <w:jc w:val="right"/>
            </w:pPr>
            <w:r>
              <w:rPr>
                <w:rFonts w:ascii="宋体" w:hAnsi="宋体" w:hint="eastAsia"/>
              </w:rPr>
              <w:t>21,789,716.4</w:t>
            </w:r>
            <w:r>
              <w:rPr>
                <w:rFonts w:ascii="宋体" w:hAnsi="宋体" w:hint="eastAsia"/>
              </w:rPr>
              <w:t>3</w:t>
            </w:r>
          </w:p>
        </w:tc>
      </w:tr>
    </w:tbl>
    <w:p w:rsidR="00E364CF" w:rsidRDefault="00E364CF">
      <w:pPr>
        <w:pStyle w:val="XBRLTitle3"/>
        <w:numPr>
          <w:ilvl w:val="2"/>
          <w:numId w:val="2"/>
        </w:numPr>
        <w:spacing w:before="156"/>
        <w:ind w:left="0" w:firstLine="0"/>
      </w:pPr>
      <w:bookmarkStart w:id="257" w:name="_Toc17881706"/>
      <w:bookmarkStart w:id="258" w:name="_Toc492299902"/>
      <w:bookmarkStart w:id="259" w:name="_Toc466644486"/>
      <w:bookmarkStart w:id="260" w:name="_Toc447872947"/>
      <w:bookmarkStart w:id="261" w:name="m510_03"/>
      <w:bookmarkEnd w:id="256"/>
      <w:r>
        <w:rPr>
          <w:rFonts w:hAnsi="宋体" w:hint="eastAsia"/>
        </w:rPr>
        <w:t>报告期末持有的处于转股期的可转换债券明</w:t>
      </w:r>
      <w:r>
        <w:rPr>
          <w:rFonts w:hAnsi="宋体" w:hint="eastAsia"/>
        </w:rPr>
        <w:t>细</w:t>
      </w:r>
      <w:bookmarkEnd w:id="257"/>
      <w:bookmarkEnd w:id="258"/>
      <w:bookmarkEnd w:id="259"/>
      <w:bookmarkEnd w:id="260"/>
    </w:p>
    <w:p w:rsidR="00E364CF" w:rsidRDefault="00E364CF">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E364CF" w:rsidRDefault="00E364CF">
      <w:pPr>
        <w:pStyle w:val="XBRLTitle3"/>
        <w:numPr>
          <w:ilvl w:val="2"/>
          <w:numId w:val="2"/>
        </w:numPr>
        <w:spacing w:before="156"/>
        <w:ind w:left="0" w:firstLine="0"/>
      </w:pPr>
      <w:bookmarkStart w:id="262" w:name="_Toc17881707"/>
      <w:bookmarkStart w:id="263" w:name="_Toc492299903"/>
      <w:bookmarkStart w:id="264" w:name="_Toc466644487"/>
      <w:bookmarkStart w:id="265" w:name="_Toc447872948"/>
      <w:bookmarkStart w:id="266" w:name="m510_04"/>
      <w:bookmarkEnd w:id="261"/>
      <w:r>
        <w:rPr>
          <w:rFonts w:hAnsi="宋体" w:hint="eastAsia"/>
        </w:rPr>
        <w:t>报告期末前十名股票中存在流通受限情况的说</w:t>
      </w:r>
      <w:r>
        <w:rPr>
          <w:rFonts w:hAnsi="宋体" w:hint="eastAsia"/>
        </w:rPr>
        <w:t>明</w:t>
      </w:r>
      <w:bookmarkEnd w:id="262"/>
      <w:bookmarkEnd w:id="263"/>
      <w:bookmarkEnd w:id="264"/>
      <w:bookmarkEnd w:id="265"/>
    </w:p>
    <w:p w:rsidR="00E364CF" w:rsidRDefault="00E364CF">
      <w:pPr>
        <w:spacing w:line="360" w:lineRule="auto"/>
        <w:ind w:firstLineChars="200" w:firstLine="420"/>
        <w:jc w:val="left"/>
        <w:divId w:val="1503620488"/>
        <w:rPr>
          <w:rFonts w:hint="eastAsia"/>
        </w:rPr>
      </w:pPr>
      <w:r>
        <w:rPr>
          <w:rFonts w:ascii="宋体" w:hAnsi="宋体" w:hint="eastAsia"/>
        </w:rPr>
        <w:t>本基金本报告期末前十名股票中不存在流通受限情况</w:t>
      </w:r>
      <w:r>
        <w:rPr>
          <w:rFonts w:ascii="宋体" w:hAnsi="宋体" w:hint="eastAsia"/>
        </w:rPr>
        <w:t>。</w:t>
      </w:r>
      <w:bookmarkEnd w:id="16"/>
      <w:bookmarkEnd w:id="17"/>
      <w:bookmarkEnd w:id="18"/>
      <w:bookmarkEnd w:id="19"/>
      <w:bookmarkEnd w:id="20"/>
    </w:p>
    <w:p w:rsidR="00E364CF" w:rsidRDefault="00E364CF">
      <w:pPr>
        <w:pStyle w:val="XBRLTitle3"/>
        <w:numPr>
          <w:ilvl w:val="2"/>
          <w:numId w:val="2"/>
        </w:numPr>
        <w:spacing w:before="156"/>
        <w:ind w:left="0" w:firstLine="0"/>
      </w:pPr>
      <w:bookmarkStart w:id="267" w:name="_Toc17881708"/>
      <w:bookmarkStart w:id="268" w:name="_Toc492299904"/>
      <w:bookmarkStart w:id="269" w:name="_Toc466644488"/>
      <w:bookmarkStart w:id="270" w:name="_Toc447872949"/>
      <w:bookmarkStart w:id="271" w:name="m510_05_1678"/>
      <w:bookmarkEnd w:id="266"/>
      <w:r>
        <w:rPr>
          <w:rFonts w:hAnsi="宋体" w:hint="eastAsia"/>
        </w:rPr>
        <w:t>投资组合报告附注的其他文字描述部</w:t>
      </w:r>
      <w:r>
        <w:rPr>
          <w:rFonts w:hAnsi="宋体" w:hint="eastAsia"/>
        </w:rPr>
        <w:t>分</w:t>
      </w:r>
      <w:bookmarkEnd w:id="267"/>
      <w:bookmarkEnd w:id="268"/>
      <w:bookmarkEnd w:id="269"/>
      <w:bookmarkEnd w:id="270"/>
      <w:r>
        <w:rPr>
          <w:rFonts w:hint="eastAsia"/>
          <w:sz w:val="21"/>
        </w:rPr>
        <w:t xml:space="preserve"> </w:t>
      </w:r>
    </w:p>
    <w:p w:rsidR="00E364CF" w:rsidRDefault="00E364CF">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E364CF" w:rsidRDefault="00E364CF">
      <w:pPr>
        <w:pStyle w:val="XBRLTitle1"/>
        <w:spacing w:before="156"/>
        <w:ind w:left="425"/>
      </w:pPr>
      <w:bookmarkStart w:id="272" w:name="_Toc17881709"/>
      <w:bookmarkStart w:id="273" w:name="_Toc512627240"/>
      <w:bookmarkStart w:id="274" w:name="_Toc492299905"/>
      <w:bookmarkStart w:id="275" w:name="_Toc466644489"/>
      <w:bookmarkStart w:id="276" w:name="_Toc447872950"/>
      <w:bookmarkStart w:id="277" w:name="_Toc438646477"/>
      <w:bookmarkStart w:id="278" w:name="_Toc512694320"/>
      <w:bookmarkStart w:id="279" w:name="m601"/>
      <w:bookmarkEnd w:id="271"/>
      <w:r>
        <w:rPr>
          <w:rFonts w:hAnsi="宋体" w:hint="eastAsia"/>
        </w:rPr>
        <w:t>开放式基金份额变</w:t>
      </w:r>
      <w:r>
        <w:rPr>
          <w:rFonts w:hAnsi="宋体" w:hint="eastAsia"/>
        </w:rPr>
        <w:t>动</w:t>
      </w:r>
      <w:bookmarkEnd w:id="272"/>
      <w:bookmarkEnd w:id="273"/>
      <w:bookmarkEnd w:id="274"/>
      <w:bookmarkEnd w:id="275"/>
      <w:bookmarkEnd w:id="276"/>
      <w:bookmarkEnd w:id="277"/>
      <w:bookmarkEnd w:id="278"/>
      <w:r>
        <w:rPr>
          <w:rFonts w:hAnsi="宋体" w:hint="eastAsia"/>
        </w:rPr>
        <w:t xml:space="preserve"> </w:t>
      </w:r>
    </w:p>
    <w:p w:rsidR="00E364CF" w:rsidRDefault="00E364CF">
      <w:pPr>
        <w:jc w:val="right"/>
        <w:rPr>
          <w:rFonts w:hint="eastAsia"/>
        </w:rPr>
      </w:pPr>
      <w:bookmarkStart w:id="280" w:name="m601_tab"/>
      <w:r>
        <w:rPr>
          <w:rFonts w:ascii="宋体" w:hAnsi="宋体" w:hint="eastAsia"/>
        </w:rPr>
        <w:t xml:space="preserve">                                                                             </w:t>
      </w:r>
    </w:p>
    <w:p w:rsidR="00E364CF" w:rsidRDefault="00E364CF">
      <w:pPr>
        <w:wordWrap w:val="0"/>
        <w:spacing w:line="360" w:lineRule="auto"/>
        <w:jc w:val="right"/>
        <w:divId w:val="892934763"/>
      </w:pPr>
      <w:bookmarkStart w:id="281"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90"/>
        <w:gridCol w:w="2531"/>
      </w:tblGrid>
      <w:tr w:rsidR="00000000">
        <w:trPr>
          <w:divId w:val="892934763"/>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364CF" w:rsidRDefault="00E364CF">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bookmarkStart w:id="282" w:name="m10_01" w:colFirst="1" w:colLast="2"/>
            <w:bookmarkEnd w:id="281"/>
            <w:r>
              <w:rPr>
                <w:rFonts w:ascii="宋体" w:hAnsi="宋体" w:cs="Times New Roman" w:hint="eastAsia"/>
                <w:kern w:val="2"/>
                <w:sz w:val="21"/>
              </w:rPr>
              <w:t>项目</w:t>
            </w:r>
            <w:r>
              <w:rPr>
                <w:rFonts w:ascii="宋体" w:hAnsi="宋体" w:cs="Times New Roman"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364CF" w:rsidRDefault="00E364CF">
            <w:pPr>
              <w:ind w:right="3"/>
              <w:jc w:val="center"/>
            </w:pPr>
            <w:r>
              <w:rPr>
                <w:rFonts w:ascii="宋体" w:hAnsi="宋体" w:hint="eastAsia"/>
                <w:lang w:eastAsia="zh-Hans"/>
              </w:rPr>
              <w:t>摩根上证科创板新一代信息技术</w:t>
            </w:r>
            <w:r>
              <w:rPr>
                <w:rFonts w:ascii="宋体" w:hAnsi="宋体" w:hint="eastAsia"/>
                <w:lang w:eastAsia="zh-Hans"/>
              </w:rPr>
              <w:t>ETF</w:t>
            </w:r>
            <w:r>
              <w:rPr>
                <w:rFonts w:ascii="宋体" w:hAnsi="宋体" w:hint="eastAsia"/>
                <w:lang w:eastAsia="zh-Hans"/>
              </w:rPr>
              <w:t>联接</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364CF" w:rsidRDefault="00E364CF">
            <w:pPr>
              <w:ind w:right="3"/>
              <w:jc w:val="center"/>
            </w:pPr>
            <w:r>
              <w:rPr>
                <w:rFonts w:ascii="宋体" w:hAnsi="宋体" w:hint="eastAsia"/>
                <w:lang w:eastAsia="zh-Hans"/>
              </w:rPr>
              <w:t>摩根上证科创板新一代信息技术</w:t>
            </w:r>
            <w:r>
              <w:rPr>
                <w:rFonts w:ascii="宋体" w:hAnsi="宋体" w:hint="eastAsia"/>
                <w:lang w:eastAsia="zh-Hans"/>
              </w:rPr>
              <w:t>ETF</w:t>
            </w:r>
            <w:r>
              <w:rPr>
                <w:rFonts w:ascii="宋体" w:hAnsi="宋体" w:hint="eastAsia"/>
                <w:lang w:eastAsia="zh-Hans"/>
              </w:rPr>
              <w:t>联接</w:t>
            </w:r>
            <w:r>
              <w:rPr>
                <w:rFonts w:ascii="宋体" w:hAnsi="宋体" w:hint="eastAsia"/>
                <w:lang w:eastAsia="zh-Hans"/>
              </w:rPr>
              <w:t>C</w:t>
            </w:r>
            <w:r>
              <w:rPr>
                <w:rFonts w:ascii="宋体" w:hAnsi="宋体" w:hint="eastAsia"/>
                <w:kern w:val="0"/>
                <w:szCs w:val="24"/>
                <w:lang w:eastAsia="zh-Hans"/>
              </w:rPr>
              <w:t xml:space="preserve"> </w:t>
            </w:r>
          </w:p>
        </w:tc>
      </w:tr>
      <w:tr w:rsidR="00000000">
        <w:trPr>
          <w:divId w:val="89293476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初</w:t>
            </w:r>
            <w:r>
              <w:rPr>
                <w:rStyle w:val="grame"/>
                <w:rFonts w:ascii="宋体" w:hAnsi="宋体" w:cs="Times New Roman" w:hint="eastAsia"/>
                <w:kern w:val="2"/>
                <w:sz w:val="21"/>
              </w:rPr>
              <w:t>基金</w:t>
            </w:r>
            <w:r>
              <w:rPr>
                <w:rFonts w:ascii="宋体" w:hAnsi="宋体" w:cs="Times New Roman" w:hint="eastAsia"/>
                <w:kern w:val="2"/>
                <w:sz w:val="21"/>
              </w:rPr>
              <w:t>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jc w:val="right"/>
            </w:pPr>
            <w:r>
              <w:rPr>
                <w:rFonts w:ascii="宋体" w:hAnsi="宋体" w:hint="eastAsia"/>
              </w:rPr>
              <w:t>1,053,582,641.2</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jc w:val="right"/>
            </w:pPr>
            <w:r>
              <w:rPr>
                <w:rFonts w:ascii="宋体" w:hAnsi="宋体" w:hint="eastAsia"/>
              </w:rPr>
              <w:t>279,608,064.4</w:t>
            </w:r>
            <w:r>
              <w:rPr>
                <w:rFonts w:ascii="宋体" w:hAnsi="宋体" w:hint="eastAsia"/>
              </w:rPr>
              <w:t>6</w:t>
            </w:r>
          </w:p>
        </w:tc>
      </w:tr>
      <w:tr w:rsidR="00000000">
        <w:trPr>
          <w:divId w:val="89293476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基金总申购份额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jc w:val="right"/>
            </w:pPr>
            <w:r>
              <w:rPr>
                <w:rFonts w:ascii="宋体" w:hAnsi="宋体" w:hint="eastAsia"/>
              </w:rPr>
              <w:t>82,630,543.4</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jc w:val="right"/>
            </w:pPr>
            <w:r>
              <w:rPr>
                <w:rFonts w:ascii="宋体" w:hAnsi="宋体" w:hint="eastAsia"/>
              </w:rPr>
              <w:t>328,924,959.3</w:t>
            </w:r>
            <w:r>
              <w:rPr>
                <w:rFonts w:ascii="宋体" w:hAnsi="宋体" w:hint="eastAsia"/>
              </w:rPr>
              <w:t>1</w:t>
            </w:r>
          </w:p>
        </w:tc>
      </w:tr>
      <w:tr w:rsidR="00000000">
        <w:trPr>
          <w:divId w:val="89293476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减</w:t>
            </w:r>
            <w:r>
              <w:rPr>
                <w:rFonts w:ascii="宋体" w:hAnsi="宋体" w:cs="Times New Roman" w:hint="eastAsia"/>
                <w:kern w:val="2"/>
                <w:sz w:val="21"/>
              </w:rPr>
              <w:t>:</w:t>
            </w: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基金总赎回份额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jc w:val="right"/>
            </w:pPr>
            <w:r>
              <w:rPr>
                <w:rFonts w:ascii="宋体" w:hAnsi="宋体" w:hint="eastAsia"/>
              </w:rPr>
              <w:t>975,254,121.4</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jc w:val="right"/>
            </w:pPr>
            <w:r>
              <w:rPr>
                <w:rFonts w:ascii="宋体" w:hAnsi="宋体" w:hint="eastAsia"/>
              </w:rPr>
              <w:t>308,869,645.7</w:t>
            </w:r>
            <w:r>
              <w:rPr>
                <w:rFonts w:ascii="宋体" w:hAnsi="宋体" w:hint="eastAsia"/>
              </w:rPr>
              <w:t>0</w:t>
            </w:r>
          </w:p>
        </w:tc>
      </w:tr>
      <w:tr w:rsidR="00000000">
        <w:trPr>
          <w:divId w:val="89293476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基金拆分变动份额（份额减少以“</w:t>
            </w:r>
            <w:r>
              <w:rPr>
                <w:rFonts w:ascii="宋体" w:hAnsi="宋体" w:cs="Times New Roman" w:hint="eastAsia"/>
                <w:kern w:val="2"/>
                <w:sz w:val="21"/>
              </w:rPr>
              <w:t>-</w:t>
            </w:r>
            <w:r>
              <w:rPr>
                <w:rFonts w:ascii="宋体" w:hAnsi="宋体" w:cs="Times New Roman" w:hint="eastAsia"/>
                <w:kern w:val="2"/>
                <w:sz w:val="21"/>
              </w:rPr>
              <w:t>”填列）</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jc w:val="right"/>
            </w:pPr>
            <w:r>
              <w:rPr>
                <w:rFonts w:ascii="宋体" w:hAnsi="宋体" w:hint="eastAsia"/>
              </w:rPr>
              <w:t>-</w:t>
            </w:r>
          </w:p>
        </w:tc>
      </w:tr>
      <w:tr w:rsidR="00000000">
        <w:trPr>
          <w:divId w:val="89293476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报告期期末基金份额总额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jc w:val="right"/>
            </w:pPr>
            <w:r>
              <w:rPr>
                <w:rFonts w:ascii="宋体" w:hAnsi="宋体" w:hint="eastAsia"/>
              </w:rPr>
              <w:t>160,959,063.2</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64CF" w:rsidRDefault="00E364CF">
            <w:pPr>
              <w:jc w:val="right"/>
            </w:pPr>
            <w:r>
              <w:rPr>
                <w:rFonts w:ascii="宋体" w:hAnsi="宋体" w:hint="eastAsia"/>
              </w:rPr>
              <w:t>299,663,378.0</w:t>
            </w:r>
            <w:r>
              <w:rPr>
                <w:rFonts w:ascii="宋体" w:hAnsi="宋体" w:hint="eastAsia"/>
              </w:rPr>
              <w:t>7</w:t>
            </w:r>
          </w:p>
        </w:tc>
      </w:tr>
    </w:tbl>
    <w:p w:rsidR="00E364CF" w:rsidRDefault="00E364CF">
      <w:pPr>
        <w:spacing w:line="360" w:lineRule="auto"/>
        <w:jc w:val="left"/>
        <w:divId w:val="892934763"/>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282"/>
      <w:r>
        <w:rPr>
          <w:rFonts w:ascii="宋体" w:hAnsi="宋体" w:hint="eastAsia"/>
        </w:rPr>
        <w:t xml:space="preserve"> </w:t>
      </w:r>
    </w:p>
    <w:p w:rsidR="00E364CF" w:rsidRDefault="00E364CF">
      <w:pPr>
        <w:pStyle w:val="XBRLTitle1"/>
        <w:spacing w:before="156"/>
        <w:ind w:left="425"/>
      </w:pPr>
      <w:bookmarkStart w:id="283" w:name="_Toc17881710"/>
      <w:bookmarkStart w:id="284" w:name="_Toc492299906"/>
      <w:bookmarkStart w:id="285" w:name="_Toc466644490"/>
      <w:bookmarkStart w:id="286" w:name="_Toc447872951"/>
      <w:bookmarkStart w:id="287" w:name="_Toc438646478"/>
      <w:bookmarkStart w:id="288" w:name="_Toc512627241"/>
      <w:bookmarkStart w:id="289" w:name="_Toc512694321"/>
      <w:bookmarkStart w:id="290" w:name="m7manage01"/>
      <w:bookmarkEnd w:id="279"/>
      <w:bookmarkEnd w:id="280"/>
      <w:r>
        <w:rPr>
          <w:rFonts w:hint="eastAsia"/>
        </w:rPr>
        <w:t>基金管理人运用固有资金投资本基金情</w:t>
      </w:r>
      <w:r>
        <w:rPr>
          <w:rFonts w:hint="eastAsia"/>
        </w:rPr>
        <w:t>况</w:t>
      </w:r>
      <w:bookmarkEnd w:id="283"/>
      <w:bookmarkEnd w:id="284"/>
      <w:bookmarkEnd w:id="285"/>
      <w:bookmarkEnd w:id="286"/>
      <w:bookmarkEnd w:id="287"/>
      <w:bookmarkEnd w:id="288"/>
      <w:bookmarkEnd w:id="289"/>
      <w:bookmarkEnd w:id="290"/>
    </w:p>
    <w:p w:rsidR="00E364CF" w:rsidRDefault="00E364CF">
      <w:pPr>
        <w:pStyle w:val="XBRLTitle2"/>
        <w:spacing w:before="156"/>
        <w:ind w:left="454"/>
        <w:rPr>
          <w:rFonts w:hint="eastAsia"/>
        </w:rPr>
      </w:pPr>
      <w:bookmarkStart w:id="291" w:name="_Toc17881711"/>
      <w:bookmarkStart w:id="292" w:name="_Toc492299907"/>
      <w:bookmarkStart w:id="293" w:name="_Toc466644491"/>
      <w:bookmarkStart w:id="294" w:name="_Toc458599606"/>
      <w:bookmarkStart w:id="295" w:name="_Toc462325491"/>
      <w:bookmarkStart w:id="296" w:name="_Toc512627242"/>
      <w:bookmarkStart w:id="297" w:name="_Toc512694322"/>
      <w:r>
        <w:rPr>
          <w:rFonts w:hint="eastAsia"/>
        </w:rPr>
        <w:t>基金管理人持有本基金份额变动情</w:t>
      </w:r>
      <w:r>
        <w:rPr>
          <w:rFonts w:hint="eastAsia"/>
        </w:rPr>
        <w:t>况</w:t>
      </w:r>
      <w:bookmarkEnd w:id="291"/>
      <w:bookmarkEnd w:id="292"/>
      <w:bookmarkEnd w:id="293"/>
      <w:bookmarkEnd w:id="294"/>
      <w:bookmarkEnd w:id="295"/>
      <w:bookmarkEnd w:id="296"/>
      <w:bookmarkEnd w:id="297"/>
      <w:r>
        <w:rPr>
          <w:rFonts w:hint="eastAsia"/>
          <w:lang w:eastAsia="zh-CN"/>
        </w:rPr>
        <w:t xml:space="preserve"> </w:t>
      </w:r>
    </w:p>
    <w:p w:rsidR="00E364CF" w:rsidRDefault="00E364CF">
      <w:pPr>
        <w:spacing w:line="360" w:lineRule="auto"/>
        <w:ind w:firstLineChars="200" w:firstLine="420"/>
        <w:jc w:val="left"/>
        <w:divId w:val="448940543"/>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E364CF" w:rsidRDefault="00E364CF">
      <w:pPr>
        <w:pStyle w:val="XBRLTitle2"/>
        <w:spacing w:before="156"/>
        <w:ind w:left="454"/>
      </w:pPr>
      <w:bookmarkStart w:id="298" w:name="_Toc17881712"/>
      <w:bookmarkStart w:id="299" w:name="_Toc492299908"/>
      <w:bookmarkStart w:id="300" w:name="_Toc466644492"/>
      <w:bookmarkStart w:id="301" w:name="_Toc458599607"/>
      <w:bookmarkStart w:id="302" w:name="_Toc462325492"/>
      <w:bookmarkStart w:id="303" w:name="_Toc512627243"/>
      <w:bookmarkStart w:id="304" w:name="_Toc512694323"/>
      <w:r>
        <w:rPr>
          <w:rFonts w:hint="eastAsia"/>
        </w:rPr>
        <w:t>基金管理人运用固有资金投资本基金交易明</w:t>
      </w:r>
      <w:r>
        <w:rPr>
          <w:rFonts w:hint="eastAsia"/>
        </w:rPr>
        <w:t>细</w:t>
      </w:r>
      <w:bookmarkEnd w:id="298"/>
      <w:bookmarkEnd w:id="299"/>
      <w:bookmarkEnd w:id="300"/>
      <w:bookmarkEnd w:id="301"/>
      <w:bookmarkEnd w:id="302"/>
      <w:bookmarkEnd w:id="303"/>
      <w:bookmarkEnd w:id="304"/>
      <w:r>
        <w:rPr>
          <w:rFonts w:hint="eastAsia"/>
          <w:lang w:eastAsia="zh-CN"/>
        </w:rPr>
        <w:t xml:space="preserve"> </w:t>
      </w:r>
    </w:p>
    <w:p w:rsidR="00E364CF" w:rsidRDefault="00E364CF">
      <w:pPr>
        <w:spacing w:line="360" w:lineRule="auto"/>
        <w:ind w:firstLineChars="200" w:firstLine="420"/>
        <w:jc w:val="left"/>
        <w:divId w:val="1805003342"/>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E364CF" w:rsidRDefault="00E364CF">
      <w:pPr>
        <w:pStyle w:val="XBRLTitle1"/>
        <w:spacing w:before="156"/>
        <w:ind w:left="425"/>
      </w:pPr>
      <w:bookmarkStart w:id="305" w:name="_Toc17881714"/>
      <w:bookmarkStart w:id="306" w:name="_Toc479856294"/>
      <w:bookmarkStart w:id="307" w:name="_Toc492299909"/>
      <w:bookmarkStart w:id="308" w:name="_Toc512627244"/>
      <w:bookmarkStart w:id="309" w:name="_Toc512694324"/>
      <w:bookmarkStart w:id="310" w:name="m701"/>
      <w:r>
        <w:rPr>
          <w:rFonts w:hint="eastAsia"/>
        </w:rPr>
        <w:t>影响投资者决策的其他重要信</w:t>
      </w:r>
      <w:r>
        <w:rPr>
          <w:rFonts w:hint="eastAsia"/>
        </w:rPr>
        <w:t>息</w:t>
      </w:r>
      <w:bookmarkEnd w:id="305"/>
      <w:bookmarkEnd w:id="306"/>
      <w:bookmarkEnd w:id="307"/>
      <w:bookmarkEnd w:id="308"/>
      <w:bookmarkEnd w:id="309"/>
      <w:r>
        <w:rPr>
          <w:rFonts w:hint="eastAsia"/>
          <w:lang w:eastAsia="zh-CN"/>
        </w:rPr>
        <w:t xml:space="preserve"> </w:t>
      </w:r>
    </w:p>
    <w:p w:rsidR="00E364CF" w:rsidRDefault="00E364CF">
      <w:pPr>
        <w:pStyle w:val="XBRLTitle2"/>
        <w:spacing w:before="156"/>
        <w:ind w:left="454"/>
        <w:rPr>
          <w:rFonts w:hint="eastAsia"/>
        </w:rPr>
      </w:pPr>
      <w:bookmarkStart w:id="311" w:name="_Toc17881715"/>
      <w:bookmarkStart w:id="312" w:name="_Toc492299910"/>
      <w:bookmarkStart w:id="313" w:name="_Toc512627245"/>
      <w:bookmarkStart w:id="314" w:name="_Toc512694325"/>
      <w:r>
        <w:rPr>
          <w:rFonts w:hint="eastAsia"/>
          <w:kern w:val="0"/>
        </w:rPr>
        <w:t>报告期内单一投资者持有基金份额比例达到或超过</w:t>
      </w:r>
      <w:r>
        <w:rPr>
          <w:rFonts w:hint="eastAsia"/>
          <w:kern w:val="0"/>
        </w:rPr>
        <w:t>20%</w:t>
      </w:r>
      <w:r>
        <w:rPr>
          <w:rFonts w:hint="eastAsia"/>
          <w:kern w:val="0"/>
        </w:rPr>
        <w:t>的情</w:t>
      </w:r>
      <w:r>
        <w:rPr>
          <w:rFonts w:hint="eastAsia"/>
          <w:kern w:val="0"/>
        </w:rPr>
        <w:t>况</w:t>
      </w:r>
      <w:bookmarkEnd w:id="311"/>
      <w:bookmarkEnd w:id="312"/>
      <w:bookmarkEnd w:id="313"/>
      <w:bookmarkEnd w:id="314"/>
      <w:r>
        <w:rPr>
          <w:rFonts w:hint="eastAsia"/>
          <w:kern w:val="0"/>
          <w:lang w:eastAsia="zh-CN"/>
        </w:rPr>
        <w:t xml:space="preserve"> </w:t>
      </w:r>
    </w:p>
    <w:bookmarkEnd w:id="21"/>
    <w:bookmarkEnd w:id="37"/>
    <w:bookmarkEnd w:id="38"/>
    <w:p w:rsidR="00E364CF" w:rsidRDefault="00E364CF">
      <w:pPr>
        <w:spacing w:line="360" w:lineRule="auto"/>
        <w:ind w:firstLineChars="200" w:firstLine="420"/>
        <w:divId w:val="2046515178"/>
        <w:rPr>
          <w:rFonts w:ascii="宋体" w:hAnsi="宋体" w:hint="eastAsia"/>
          <w:szCs w:val="21"/>
          <w:lang w:eastAsia="zh-Hans"/>
        </w:rPr>
      </w:pPr>
      <w:r>
        <w:rPr>
          <w:rFonts w:ascii="宋体" w:hAnsi="宋体" w:hint="eastAsia"/>
          <w:szCs w:val="21"/>
          <w:lang w:eastAsia="zh-Hans"/>
        </w:rPr>
        <w:t>无。</w:t>
      </w:r>
    </w:p>
    <w:p w:rsidR="00E364CF" w:rsidRDefault="00E364CF">
      <w:pPr>
        <w:pStyle w:val="XBRLTitle1"/>
        <w:spacing w:before="156"/>
        <w:ind w:left="425"/>
        <w:rPr>
          <w:rFonts w:hint="eastAsia"/>
        </w:rPr>
      </w:pPr>
      <w:bookmarkStart w:id="315" w:name="_Toc17881717"/>
      <w:bookmarkStart w:id="316" w:name="_Toc466644495"/>
      <w:bookmarkStart w:id="317" w:name="_Toc447872955"/>
      <w:bookmarkStart w:id="318" w:name="_Toc438646481"/>
      <w:bookmarkStart w:id="319" w:name="_Toc492299912"/>
      <w:bookmarkStart w:id="320" w:name="_Toc512627247"/>
      <w:bookmarkStart w:id="321" w:name="_Toc512694327"/>
      <w:bookmarkEnd w:id="310"/>
      <w:r>
        <w:rPr>
          <w:rFonts w:hint="eastAsia"/>
        </w:rPr>
        <w:t>备查文件目</w:t>
      </w:r>
      <w:r>
        <w:rPr>
          <w:rFonts w:hint="eastAsia"/>
        </w:rPr>
        <w:t>录</w:t>
      </w:r>
      <w:bookmarkEnd w:id="315"/>
      <w:bookmarkEnd w:id="316"/>
      <w:bookmarkEnd w:id="317"/>
      <w:bookmarkEnd w:id="318"/>
      <w:bookmarkEnd w:id="319"/>
      <w:bookmarkEnd w:id="320"/>
      <w:bookmarkEnd w:id="321"/>
    </w:p>
    <w:p w:rsidR="00E364CF" w:rsidRDefault="00E364CF">
      <w:pPr>
        <w:pStyle w:val="XBRLTitle2"/>
        <w:spacing w:before="156"/>
        <w:ind w:left="454"/>
        <w:rPr>
          <w:rFonts w:hint="eastAsia"/>
        </w:rPr>
      </w:pPr>
      <w:bookmarkStart w:id="322" w:name="_Toc438646482"/>
      <w:bookmarkStart w:id="323" w:name="_Toc17881718"/>
      <w:bookmarkStart w:id="324" w:name="_Toc492299913"/>
      <w:bookmarkStart w:id="325" w:name="_Toc466644496"/>
      <w:bookmarkStart w:id="326" w:name="_Toc447872956"/>
      <w:bookmarkStart w:id="327" w:name="_Toc512627248"/>
      <w:bookmarkStart w:id="328" w:name="_Toc512694328"/>
      <w:bookmarkStart w:id="329" w:name="m801_01_1733"/>
      <w:r>
        <w:rPr>
          <w:rFonts w:hAnsi="宋体" w:hint="eastAsia"/>
        </w:rPr>
        <w:t>备查文件目</w:t>
      </w:r>
      <w:r>
        <w:rPr>
          <w:rFonts w:hAnsi="宋体" w:hint="eastAsia"/>
        </w:rPr>
        <w:t>录</w:t>
      </w:r>
      <w:bookmarkEnd w:id="322"/>
      <w:bookmarkEnd w:id="323"/>
      <w:bookmarkEnd w:id="324"/>
      <w:bookmarkEnd w:id="325"/>
      <w:bookmarkEnd w:id="326"/>
      <w:bookmarkEnd w:id="327"/>
      <w:bookmarkEnd w:id="328"/>
      <w:r>
        <w:rPr>
          <w:rFonts w:hAnsi="宋体" w:hint="eastAsia"/>
        </w:rPr>
        <w:t xml:space="preserve"> </w:t>
      </w:r>
    </w:p>
    <w:p w:rsidR="00E364CF" w:rsidRDefault="00E364CF">
      <w:pPr>
        <w:spacing w:line="360" w:lineRule="auto"/>
        <w:ind w:firstLineChars="200" w:firstLine="420"/>
        <w:jc w:val="left"/>
        <w:rPr>
          <w:rFonts w:hint="eastAsia"/>
        </w:rPr>
      </w:pPr>
      <w:r>
        <w:rPr>
          <w:rFonts w:ascii="宋体" w:hAnsi="宋体" w:cs="宋体" w:hint="eastAsia"/>
          <w:color w:val="000000"/>
          <w:kern w:val="0"/>
        </w:rPr>
        <w:t>（一）中国证监会准予摩根上证科创板新一代信息技术交易型开放式指数证券投资基金联接基金募集注册的文件</w:t>
      </w:r>
      <w:r>
        <w:rPr>
          <w:rFonts w:ascii="宋体" w:hAnsi="宋体" w:cs="宋体" w:hint="eastAsia"/>
          <w:color w:val="000000"/>
          <w:kern w:val="0"/>
        </w:rPr>
        <w:br/>
      </w:r>
      <w:r>
        <w:rPr>
          <w:rFonts w:ascii="宋体" w:hAnsi="宋体" w:cs="宋体" w:hint="eastAsia"/>
          <w:color w:val="000000"/>
          <w:kern w:val="0"/>
        </w:rPr>
        <w:t xml:space="preserve">　　（二）摩根上证科创板新一代信息技术交易型开放式指数证券投资基金联接基金基金合同</w:t>
      </w:r>
      <w:r>
        <w:rPr>
          <w:rFonts w:ascii="宋体" w:hAnsi="宋体" w:cs="宋体" w:hint="eastAsia"/>
          <w:color w:val="000000"/>
          <w:kern w:val="0"/>
        </w:rPr>
        <w:br/>
      </w:r>
      <w:r>
        <w:rPr>
          <w:rFonts w:ascii="宋体" w:hAnsi="宋体" w:cs="宋体" w:hint="eastAsia"/>
          <w:color w:val="000000"/>
          <w:kern w:val="0"/>
        </w:rPr>
        <w:t xml:space="preserve">　　（三）摩根上证科创板新一代信息技术交易型开放式指数证券投资基金联接基金托管协议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E364CF" w:rsidRDefault="00E364CF">
      <w:pPr>
        <w:pStyle w:val="XBRLTitle2"/>
        <w:spacing w:before="156"/>
        <w:ind w:left="454"/>
      </w:pPr>
      <w:bookmarkStart w:id="330" w:name="_Toc438646483"/>
      <w:bookmarkStart w:id="331" w:name="_Toc17881719"/>
      <w:bookmarkStart w:id="332" w:name="_Toc492299914"/>
      <w:bookmarkStart w:id="333" w:name="_Toc466644497"/>
      <w:bookmarkStart w:id="334" w:name="_Toc447872957"/>
      <w:bookmarkStart w:id="335" w:name="_Toc512627249"/>
      <w:bookmarkStart w:id="336" w:name="_Toc512694329"/>
      <w:bookmarkStart w:id="337" w:name="m801_01_1734"/>
      <w:bookmarkEnd w:id="329"/>
      <w:r>
        <w:rPr>
          <w:rFonts w:hAnsi="宋体" w:hint="eastAsia"/>
        </w:rPr>
        <w:t>存放地</w:t>
      </w:r>
      <w:r>
        <w:rPr>
          <w:rFonts w:hAnsi="宋体" w:hint="eastAsia"/>
        </w:rPr>
        <w:t>点</w:t>
      </w:r>
      <w:bookmarkEnd w:id="330"/>
      <w:bookmarkEnd w:id="331"/>
      <w:bookmarkEnd w:id="332"/>
      <w:bookmarkEnd w:id="333"/>
      <w:bookmarkEnd w:id="334"/>
      <w:bookmarkEnd w:id="335"/>
      <w:bookmarkEnd w:id="336"/>
      <w:r>
        <w:rPr>
          <w:rFonts w:hAnsi="宋体" w:hint="eastAsia"/>
        </w:rPr>
        <w:t xml:space="preserve"> </w:t>
      </w:r>
    </w:p>
    <w:p w:rsidR="00E364CF" w:rsidRDefault="00E364CF">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E364CF" w:rsidRDefault="00E364CF">
      <w:pPr>
        <w:pStyle w:val="XBRLTitle2"/>
        <w:spacing w:before="156"/>
        <w:ind w:left="454"/>
      </w:pPr>
      <w:bookmarkStart w:id="338" w:name="_Toc438646484"/>
      <w:bookmarkStart w:id="339" w:name="_Toc17881720"/>
      <w:bookmarkStart w:id="340" w:name="_Toc492299915"/>
      <w:bookmarkStart w:id="341" w:name="_Toc466644498"/>
      <w:bookmarkStart w:id="342" w:name="_Toc447872958"/>
      <w:bookmarkStart w:id="343" w:name="_Toc512627250"/>
      <w:bookmarkStart w:id="344" w:name="_Toc512694330"/>
      <w:bookmarkStart w:id="345" w:name="m801_01_1735"/>
      <w:bookmarkEnd w:id="337"/>
      <w:r>
        <w:rPr>
          <w:rFonts w:hAnsi="宋体" w:hint="eastAsia"/>
        </w:rPr>
        <w:t>查阅方</w:t>
      </w:r>
      <w:r>
        <w:rPr>
          <w:rFonts w:hAnsi="宋体" w:hint="eastAsia"/>
        </w:rPr>
        <w:t>式</w:t>
      </w:r>
      <w:bookmarkEnd w:id="338"/>
      <w:bookmarkEnd w:id="339"/>
      <w:bookmarkEnd w:id="340"/>
      <w:bookmarkEnd w:id="341"/>
      <w:bookmarkEnd w:id="342"/>
      <w:bookmarkEnd w:id="343"/>
      <w:bookmarkEnd w:id="344"/>
      <w:r>
        <w:rPr>
          <w:rFonts w:hAnsi="宋体" w:hint="eastAsia"/>
        </w:rPr>
        <w:t xml:space="preserve"> </w:t>
      </w:r>
    </w:p>
    <w:p w:rsidR="00E364CF" w:rsidRDefault="00E364CF">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bookmarkEnd w:id="22"/>
      <w:r>
        <w:rPr>
          <w:rFonts w:ascii="宋体" w:hAnsi="宋体" w:cs="宋体" w:hint="eastAsia"/>
          <w:color w:val="000000"/>
          <w:kern w:val="0"/>
        </w:rPr>
        <w:t xml:space="preserve"> </w:t>
      </w:r>
    </w:p>
    <w:bookmarkEnd w:id="345"/>
    <w:p w:rsidR="00E364CF" w:rsidRDefault="00E364CF">
      <w:pPr>
        <w:jc w:val="right"/>
        <w:rPr>
          <w:rFonts w:ascii="宋体" w:hAnsi="宋体"/>
          <w:sz w:val="24"/>
        </w:rPr>
      </w:pPr>
      <w:r>
        <w:rPr>
          <w:rFonts w:ascii="宋体" w:hAnsi="宋体" w:hint="eastAsia"/>
          <w:sz w:val="24"/>
        </w:rPr>
        <w:t xml:space="preserve">　</w:t>
      </w:r>
      <w:r>
        <w:rPr>
          <w:rFonts w:ascii="宋体" w:hAnsi="宋体" w:hint="eastAsia"/>
          <w:sz w:val="24"/>
        </w:rPr>
        <w:t xml:space="preserve"> </w:t>
      </w:r>
    </w:p>
    <w:p w:rsidR="00E364CF" w:rsidRDefault="00E364CF">
      <w:pPr>
        <w:ind w:firstLineChars="600" w:firstLine="1687"/>
        <w:jc w:val="left"/>
        <w:rPr>
          <w:rFonts w:hint="eastAsia"/>
        </w:rPr>
      </w:pPr>
      <w:r>
        <w:rPr>
          <w:rFonts w:ascii="宋体" w:hAnsi="宋体" w:hint="eastAsia"/>
          <w:b/>
          <w:bCs/>
          <w:sz w:val="28"/>
          <w:szCs w:val="30"/>
        </w:rPr>
        <w:t xml:space="preserve">　</w:t>
      </w:r>
      <w:r>
        <w:rPr>
          <w:rFonts w:ascii="宋体" w:hAnsi="宋体" w:hint="eastAsia"/>
          <w:b/>
          <w:bCs/>
          <w:sz w:val="28"/>
          <w:szCs w:val="30"/>
        </w:rPr>
        <w:t xml:space="preserve"> </w:t>
      </w:r>
    </w:p>
    <w:p w:rsidR="00E364CF" w:rsidRDefault="00E364CF">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E364CF" w:rsidRDefault="00E364CF">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p>
    <w:sectPr w:rsidR="00E364CF">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64CF" w:rsidRDefault="00E364CF">
      <w:pPr>
        <w:rPr>
          <w:szCs w:val="21"/>
        </w:rPr>
      </w:pPr>
      <w:r>
        <w:rPr>
          <w:szCs w:val="21"/>
        </w:rPr>
        <w:separator/>
      </w:r>
      <w:r>
        <w:rPr>
          <w:szCs w:val="21"/>
        </w:rPr>
        <w:t xml:space="preserve"> </w:t>
      </w:r>
    </w:p>
  </w:endnote>
  <w:endnote w:type="continuationSeparator" w:id="0">
    <w:p w:rsidR="00E364CF" w:rsidRDefault="00E364CF">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4CF" w:rsidRDefault="00E364CF">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64CF" w:rsidRDefault="00E364CF">
      <w:pPr>
        <w:rPr>
          <w:szCs w:val="21"/>
        </w:rPr>
      </w:pPr>
      <w:r>
        <w:rPr>
          <w:szCs w:val="21"/>
        </w:rPr>
        <w:separator/>
      </w:r>
      <w:r>
        <w:rPr>
          <w:szCs w:val="21"/>
        </w:rPr>
        <w:t xml:space="preserve"> </w:t>
      </w:r>
    </w:p>
  </w:footnote>
  <w:footnote w:type="continuationSeparator" w:id="0">
    <w:p w:rsidR="00E364CF" w:rsidRDefault="00E364CF">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4CF" w:rsidRDefault="00E364CF">
    <w:pPr>
      <w:pStyle w:val="aa"/>
      <w:jc w:val="right"/>
    </w:pPr>
    <w:r>
      <w:rPr>
        <w:rFonts w:ascii="宋体" w:hAnsi="宋体" w:hint="eastAsia"/>
      </w:rPr>
      <w:t>摩根上证科创板新一代信息技术交易型开放式指数证券投资基金联接基金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A332285A"/>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suff w:val="space"/>
      <w:lvlText w:val="%1.%2.%3"/>
      <w:lvlJc w:val="left"/>
      <w:pPr>
        <w:ind w:left="908"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82280169">
    <w:abstractNumId w:val="0"/>
  </w:num>
  <w:num w:numId="2" w16cid:durableId="796067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7"/>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61EB9"/>
    <w:rsid w:val="002F77AF"/>
    <w:rsid w:val="00561EB9"/>
    <w:rsid w:val="00E364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1B0E1E4-6F73-4B71-9BE3-958EAB4B7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link w:val="2"/>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link w:val="3"/>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link w:val="4"/>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rPr>
      <w:kern w:val="2"/>
      <w:sz w:val="18"/>
      <w:szCs w:val="18"/>
    </w:rPr>
  </w:style>
  <w:style w:type="paragraph" w:styleId="a8">
    <w:name w:val="annotation text"/>
    <w:basedOn w:val="a"/>
    <w:link w:val="13"/>
    <w:uiPriority w:val="99"/>
    <w:semiHidden/>
    <w:unhideWhenUsed/>
    <w:pPr>
      <w:jc w:val="left"/>
    </w:pPr>
  </w:style>
  <w:style w:type="character" w:customStyle="1" w:styleId="a9">
    <w:name w:val="批注文字 字符"/>
    <w:basedOn w:val="a0"/>
    <w:link w:val="a8"/>
    <w:uiPriority w:val="99"/>
    <w:semiHidden/>
    <w:rPr>
      <w:kern w:val="2"/>
      <w:sz w:val="21"/>
    </w:rPr>
  </w:style>
  <w:style w:type="paragraph" w:styleId="aa">
    <w:name w:val="header"/>
    <w:basedOn w:val="a"/>
    <w:link w:val="14"/>
    <w:uiPriority w:val="99"/>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Pr>
      <w:kern w:val="2"/>
      <w:sz w:val="18"/>
      <w:szCs w:val="18"/>
    </w:rPr>
  </w:style>
  <w:style w:type="paragraph" w:styleId="ac">
    <w:name w:val="footer"/>
    <w:basedOn w:val="a"/>
    <w:link w:val="15"/>
    <w:uiPriority w:val="99"/>
    <w:pPr>
      <w:tabs>
        <w:tab w:val="center" w:pos="4153"/>
        <w:tab w:val="right" w:pos="8306"/>
      </w:tabs>
      <w:snapToGrid w:val="0"/>
      <w:jc w:val="left"/>
    </w:pPr>
    <w:rPr>
      <w:sz w:val="18"/>
      <w:szCs w:val="18"/>
    </w:rPr>
  </w:style>
  <w:style w:type="character" w:customStyle="1" w:styleId="ad">
    <w:name w:val="页脚 字符"/>
    <w:basedOn w:val="a0"/>
    <w:link w:val="ac"/>
    <w:uiPriority w:val="99"/>
    <w:rPr>
      <w:kern w:val="2"/>
      <w:sz w:val="18"/>
      <w:szCs w:val="18"/>
    </w:rPr>
  </w:style>
  <w:style w:type="paragraph" w:styleId="ae">
    <w:name w:val="Title"/>
    <w:basedOn w:val="1"/>
    <w:next w:val="2"/>
    <w:link w:val="16"/>
    <w:uiPriority w:val="10"/>
    <w:qFormat/>
    <w:pPr>
      <w:keepNext w:val="0"/>
      <w:keepLines w:val="0"/>
      <w:spacing w:before="240" w:after="60" w:line="240" w:lineRule="auto"/>
      <w:jc w:val="center"/>
    </w:pPr>
    <w:rPr>
      <w:rFonts w:ascii="Cambria" w:hAnsi="Cambria"/>
      <w:kern w:val="0"/>
      <w:sz w:val="32"/>
      <w:szCs w:val="32"/>
    </w:rPr>
  </w:style>
  <w:style w:type="character" w:customStyle="1" w:styleId="af">
    <w:name w:val="标题 字符"/>
    <w:basedOn w:val="a0"/>
    <w:link w:val="ae"/>
    <w:uiPriority w:val="10"/>
    <w:rPr>
      <w:rFonts w:asciiTheme="majorHAnsi" w:eastAsiaTheme="majorEastAsia" w:hAnsiTheme="majorHAnsi" w:cstheme="majorBidi"/>
      <w:spacing w:val="-10"/>
      <w:kern w:val="28"/>
      <w:sz w:val="56"/>
      <w:szCs w:val="56"/>
    </w:rPr>
  </w:style>
  <w:style w:type="paragraph" w:styleId="af0">
    <w:name w:val="Subtitle"/>
    <w:basedOn w:val="2"/>
    <w:next w:val="3"/>
    <w:link w:val="17"/>
    <w:qFormat/>
    <w:pPr>
      <w:spacing w:before="240" w:after="60" w:line="312" w:lineRule="auto"/>
      <w:jc w:val="left"/>
    </w:pPr>
    <w:rPr>
      <w:rFonts w:cs="Times New Roman"/>
      <w:bCs w:val="0"/>
      <w:kern w:val="28"/>
      <w:sz w:val="24"/>
    </w:rPr>
  </w:style>
  <w:style w:type="character" w:customStyle="1" w:styleId="af1">
    <w:name w:val="副标题 字符"/>
    <w:basedOn w:val="a0"/>
    <w:link w:val="af0"/>
    <w:rPr>
      <w:rFonts w:asciiTheme="majorHAnsi" w:eastAsiaTheme="majorEastAsia" w:hAnsiTheme="majorHAnsi" w:cstheme="majorBidi"/>
      <w:color w:val="595959" w:themeColor="text1" w:themeTint="A6"/>
      <w:spacing w:val="15"/>
      <w:kern w:val="2"/>
      <w:sz w:val="28"/>
      <w:szCs w:val="28"/>
    </w:rPr>
  </w:style>
  <w:style w:type="paragraph" w:styleId="af2">
    <w:name w:val="Date"/>
    <w:basedOn w:val="a"/>
    <w:next w:val="a"/>
    <w:link w:val="18"/>
    <w:rPr>
      <w:rFonts w:ascii="宋体"/>
      <w:sz w:val="32"/>
      <w:lang w:val="x-none" w:eastAsia="x-none"/>
    </w:rPr>
  </w:style>
  <w:style w:type="character" w:customStyle="1" w:styleId="af3">
    <w:name w:val="日期 字符"/>
    <w:basedOn w:val="a0"/>
    <w:link w:val="af2"/>
    <w:rPr>
      <w:kern w:val="2"/>
      <w:sz w:val="21"/>
    </w:rPr>
  </w:style>
  <w:style w:type="paragraph" w:styleId="af4">
    <w:name w:val="Document Map"/>
    <w:basedOn w:val="a"/>
    <w:link w:val="19"/>
    <w:pPr>
      <w:shd w:val="clear" w:color="auto" w:fill="000080"/>
    </w:pPr>
  </w:style>
  <w:style w:type="character" w:customStyle="1" w:styleId="af5">
    <w:name w:val="文档结构图 字符"/>
    <w:basedOn w:val="a0"/>
    <w:link w:val="af4"/>
    <w:rPr>
      <w:rFonts w:ascii="Microsoft YaHei UI" w:eastAsia="Microsoft YaHei UI"/>
      <w:kern w:val="2"/>
      <w:sz w:val="18"/>
      <w:szCs w:val="18"/>
    </w:rPr>
  </w:style>
  <w:style w:type="paragraph" w:styleId="af6">
    <w:name w:val="Balloon Text"/>
    <w:basedOn w:val="a"/>
    <w:link w:val="1a"/>
    <w:uiPriority w:val="99"/>
    <w:semiHidden/>
    <w:unhideWhenUsed/>
    <w:rPr>
      <w:sz w:val="18"/>
      <w:szCs w:val="18"/>
    </w:rPr>
  </w:style>
  <w:style w:type="character" w:customStyle="1" w:styleId="af7">
    <w:name w:val="批注框文本 字符"/>
    <w:basedOn w:val="a0"/>
    <w:link w:val="af6"/>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f0"/>
    <w:next w:val="4"/>
    <w:qFormat/>
    <w:pPr>
      <w:numPr>
        <w:ilvl w:val="5"/>
        <w:numId w:val="2"/>
      </w:numPr>
      <w:spacing w:beforeLines="50" w:before="0" w:after="0" w:line="240" w:lineRule="auto"/>
      <w:ind w:left="2042"/>
      <w:outlineLvl w:val="9"/>
    </w:pPr>
    <w:rPr>
      <w:bCs/>
    </w:rPr>
  </w:style>
  <w:style w:type="paragraph" w:customStyle="1" w:styleId="af8">
    <w:name w:val="次标题"/>
    <w:basedOn w:val="3"/>
    <w:next w:val="a"/>
    <w:pPr>
      <w:spacing w:before="120" w:after="120"/>
      <w:jc w:val="left"/>
    </w:pPr>
    <w:rPr>
      <w:rFonts w:ascii="宋体" w:hAnsi="宋体"/>
      <w:sz w:val="21"/>
    </w:rPr>
  </w:style>
  <w:style w:type="paragraph" w:customStyle="1" w:styleId="XBRL6">
    <w:name w:val="XBRL标题6"/>
    <w:basedOn w:val="af0"/>
    <w:next w:val="4"/>
    <w:qFormat/>
    <w:pPr>
      <w:spacing w:beforeLines="50" w:before="0" w:after="0" w:line="240" w:lineRule="auto"/>
      <w:outlineLvl w:val="9"/>
    </w:pPr>
    <w:rPr>
      <w:bCs/>
    </w:rPr>
  </w:style>
  <w:style w:type="paragraph" w:customStyle="1" w:styleId="XBRL2">
    <w:name w:val="XBRL标题2"/>
    <w:basedOn w:val="af0"/>
    <w:next w:val="4"/>
    <w:qFormat/>
    <w:pPr>
      <w:spacing w:beforeLines="50" w:before="0" w:after="0" w:line="240" w:lineRule="auto"/>
    </w:pPr>
    <w:rPr>
      <w:bCs/>
    </w:rPr>
  </w:style>
  <w:style w:type="paragraph" w:customStyle="1" w:styleId="XBRL3">
    <w:name w:val="XBRL标题3"/>
    <w:basedOn w:val="af0"/>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f0"/>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f0"/>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f0"/>
    <w:next w:val="4"/>
    <w:qFormat/>
    <w:pPr>
      <w:spacing w:beforeLines="50" w:before="0" w:after="0" w:line="240" w:lineRule="auto"/>
      <w:outlineLvl w:val="9"/>
    </w:pPr>
    <w:rPr>
      <w:bCs/>
    </w:rPr>
  </w:style>
  <w:style w:type="paragraph" w:customStyle="1" w:styleId="XBRL4">
    <w:name w:val="XBRL标题4"/>
    <w:basedOn w:val="af0"/>
    <w:next w:val="4"/>
    <w:qFormat/>
    <w:pPr>
      <w:spacing w:beforeLines="50" w:before="0" w:after="0" w:line="240" w:lineRule="auto"/>
      <w:outlineLvl w:val="9"/>
    </w:pPr>
    <w:rPr>
      <w:bCs/>
    </w:rPr>
  </w:style>
  <w:style w:type="paragraph" w:customStyle="1" w:styleId="XBRLTitle4">
    <w:name w:val="XBRLTitle4"/>
    <w:basedOn w:val="af0"/>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f0"/>
    <w:next w:val="4"/>
    <w:autoRedefine/>
    <w:qFormat/>
    <w:pPr>
      <w:keepNext w:val="0"/>
      <w:keepLines w:val="0"/>
      <w:spacing w:beforeLines="50" w:before="0" w:after="0" w:line="240" w:lineRule="auto"/>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9">
    <w:name w:val="footnote reference"/>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批注文字 字符1"/>
    <w:basedOn w:val="a0"/>
    <w:link w:val="a8"/>
    <w:uiPriority w:val="99"/>
    <w:semiHidden/>
    <w:locked/>
    <w:rPr>
      <w:kern w:val="2"/>
      <w:sz w:val="21"/>
    </w:rPr>
  </w:style>
  <w:style w:type="character" w:customStyle="1" w:styleId="14">
    <w:name w:val="页眉 字符1"/>
    <w:basedOn w:val="a0"/>
    <w:link w:val="aa"/>
    <w:locked/>
    <w:rPr>
      <w:kern w:val="2"/>
      <w:sz w:val="18"/>
      <w:szCs w:val="18"/>
    </w:rPr>
  </w:style>
  <w:style w:type="character" w:customStyle="1" w:styleId="15">
    <w:name w:val="页脚 字符1"/>
    <w:basedOn w:val="a0"/>
    <w:link w:val="ac"/>
    <w:uiPriority w:val="99"/>
    <w:locked/>
    <w:rPr>
      <w:kern w:val="2"/>
      <w:sz w:val="18"/>
      <w:szCs w:val="18"/>
    </w:rPr>
  </w:style>
  <w:style w:type="character" w:customStyle="1" w:styleId="16">
    <w:name w:val="标题 字符1"/>
    <w:link w:val="ae"/>
    <w:uiPriority w:val="10"/>
    <w:locked/>
    <w:rPr>
      <w:rFonts w:ascii="Cambria" w:hAnsi="Cambria" w:cs="Times New Roman" w:hint="default"/>
      <w:b/>
      <w:bCs/>
      <w:sz w:val="32"/>
      <w:szCs w:val="32"/>
    </w:rPr>
  </w:style>
  <w:style w:type="character" w:customStyle="1" w:styleId="17">
    <w:name w:val="副标题 字符1"/>
    <w:link w:val="af0"/>
    <w:locked/>
    <w:rPr>
      <w:rFonts w:ascii="Cambria" w:eastAsia="宋体" w:hAnsi="Cambria" w:cs="Times New Roman" w:hint="default"/>
      <w:b/>
      <w:bCs w:val="0"/>
      <w:kern w:val="28"/>
      <w:sz w:val="24"/>
      <w:szCs w:val="32"/>
    </w:rPr>
  </w:style>
  <w:style w:type="character" w:customStyle="1" w:styleId="18">
    <w:name w:val="日期 字符1"/>
    <w:link w:val="af2"/>
    <w:locked/>
    <w:rPr>
      <w:rFonts w:ascii="宋体" w:eastAsia="宋体" w:hAnsi="宋体" w:hint="eastAsia"/>
      <w:kern w:val="2"/>
      <w:sz w:val="32"/>
    </w:rPr>
  </w:style>
  <w:style w:type="character" w:customStyle="1" w:styleId="19">
    <w:name w:val="文档结构图 字符1"/>
    <w:basedOn w:val="a0"/>
    <w:link w:val="af4"/>
    <w:locked/>
    <w:rPr>
      <w:rFonts w:ascii="宋体" w:eastAsia="宋体" w:hAnsi="宋体" w:hint="eastAsia"/>
      <w:kern w:val="2"/>
      <w:sz w:val="18"/>
      <w:szCs w:val="18"/>
    </w:rPr>
  </w:style>
  <w:style w:type="character" w:customStyle="1" w:styleId="1a">
    <w:name w:val="批注框文本 字符1"/>
    <w:basedOn w:val="a0"/>
    <w:link w:val="af6"/>
    <w:uiPriority w:val="99"/>
    <w:semiHidden/>
    <w:locked/>
    <w:rPr>
      <w:kern w:val="2"/>
      <w:sz w:val="18"/>
      <w:szCs w:val="18"/>
    </w:rPr>
  </w:style>
  <w:style w:type="table" w:styleId="afa">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spelle">
    <w:name w:val="spelle"/>
    <w:basedOn w:val="a0"/>
  </w:style>
  <w:style w:type="character" w:customStyle="1" w:styleId="grame">
    <w:name w:val="grame"/>
    <w:basedOn w:val="a0"/>
  </w:style>
  <w:style w:type="character" w:customStyle="1" w:styleId="Char0">
    <w:name w:val="页眉 Char"/>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2238">
      <w:marLeft w:val="0"/>
      <w:marRight w:val="0"/>
      <w:marTop w:val="0"/>
      <w:marBottom w:val="0"/>
      <w:divBdr>
        <w:top w:val="none" w:sz="0" w:space="0" w:color="auto"/>
        <w:left w:val="none" w:sz="0" w:space="0" w:color="auto"/>
        <w:bottom w:val="none" w:sz="0" w:space="0" w:color="auto"/>
        <w:right w:val="none" w:sz="0" w:space="0" w:color="auto"/>
      </w:divBdr>
      <w:divsChild>
        <w:div w:id="1413619320">
          <w:marLeft w:val="0"/>
          <w:marRight w:val="0"/>
          <w:marTop w:val="0"/>
          <w:marBottom w:val="0"/>
          <w:divBdr>
            <w:top w:val="none" w:sz="0" w:space="0" w:color="auto"/>
            <w:left w:val="none" w:sz="0" w:space="0" w:color="auto"/>
            <w:bottom w:val="none" w:sz="0" w:space="0" w:color="auto"/>
            <w:right w:val="none" w:sz="0" w:space="0" w:color="auto"/>
          </w:divBdr>
        </w:div>
      </w:divsChild>
    </w:div>
    <w:div w:id="70587729">
      <w:marLeft w:val="0"/>
      <w:marRight w:val="0"/>
      <w:marTop w:val="0"/>
      <w:marBottom w:val="0"/>
      <w:divBdr>
        <w:top w:val="none" w:sz="0" w:space="0" w:color="auto"/>
        <w:left w:val="none" w:sz="0" w:space="0" w:color="auto"/>
        <w:bottom w:val="none" w:sz="0" w:space="0" w:color="auto"/>
        <w:right w:val="none" w:sz="0" w:space="0" w:color="auto"/>
      </w:divBdr>
    </w:div>
    <w:div w:id="448940543">
      <w:marLeft w:val="0"/>
      <w:marRight w:val="0"/>
      <w:marTop w:val="0"/>
      <w:marBottom w:val="0"/>
      <w:divBdr>
        <w:top w:val="none" w:sz="0" w:space="0" w:color="auto"/>
        <w:left w:val="none" w:sz="0" w:space="0" w:color="auto"/>
        <w:bottom w:val="none" w:sz="0" w:space="0" w:color="auto"/>
        <w:right w:val="none" w:sz="0" w:space="0" w:color="auto"/>
      </w:divBdr>
    </w:div>
    <w:div w:id="528956372">
      <w:marLeft w:val="0"/>
      <w:marRight w:val="0"/>
      <w:marTop w:val="0"/>
      <w:marBottom w:val="0"/>
      <w:divBdr>
        <w:top w:val="none" w:sz="0" w:space="0" w:color="auto"/>
        <w:left w:val="none" w:sz="0" w:space="0" w:color="auto"/>
        <w:bottom w:val="none" w:sz="0" w:space="0" w:color="auto"/>
        <w:right w:val="none" w:sz="0" w:space="0" w:color="auto"/>
      </w:divBdr>
      <w:divsChild>
        <w:div w:id="742947062">
          <w:marLeft w:val="0"/>
          <w:marRight w:val="0"/>
          <w:marTop w:val="0"/>
          <w:marBottom w:val="0"/>
          <w:divBdr>
            <w:top w:val="none" w:sz="0" w:space="0" w:color="auto"/>
            <w:left w:val="none" w:sz="0" w:space="0" w:color="auto"/>
            <w:bottom w:val="none" w:sz="0" w:space="0" w:color="auto"/>
            <w:right w:val="none" w:sz="0" w:space="0" w:color="auto"/>
          </w:divBdr>
        </w:div>
      </w:divsChild>
    </w:div>
    <w:div w:id="701788571">
      <w:marLeft w:val="0"/>
      <w:marRight w:val="0"/>
      <w:marTop w:val="0"/>
      <w:marBottom w:val="0"/>
      <w:divBdr>
        <w:top w:val="none" w:sz="0" w:space="0" w:color="auto"/>
        <w:left w:val="none" w:sz="0" w:space="0" w:color="auto"/>
        <w:bottom w:val="none" w:sz="0" w:space="0" w:color="auto"/>
        <w:right w:val="none" w:sz="0" w:space="0" w:color="auto"/>
      </w:divBdr>
      <w:divsChild>
        <w:div w:id="1525242167">
          <w:marLeft w:val="0"/>
          <w:marRight w:val="0"/>
          <w:marTop w:val="0"/>
          <w:marBottom w:val="0"/>
          <w:divBdr>
            <w:top w:val="none" w:sz="0" w:space="0" w:color="auto"/>
            <w:left w:val="none" w:sz="0" w:space="0" w:color="auto"/>
            <w:bottom w:val="none" w:sz="0" w:space="0" w:color="auto"/>
            <w:right w:val="none" w:sz="0" w:space="0" w:color="auto"/>
          </w:divBdr>
        </w:div>
      </w:divsChild>
    </w:div>
    <w:div w:id="766582783">
      <w:marLeft w:val="0"/>
      <w:marRight w:val="0"/>
      <w:marTop w:val="0"/>
      <w:marBottom w:val="0"/>
      <w:divBdr>
        <w:top w:val="none" w:sz="0" w:space="0" w:color="auto"/>
        <w:left w:val="none" w:sz="0" w:space="0" w:color="auto"/>
        <w:bottom w:val="none" w:sz="0" w:space="0" w:color="auto"/>
        <w:right w:val="none" w:sz="0" w:space="0" w:color="auto"/>
      </w:divBdr>
    </w:div>
    <w:div w:id="892934763">
      <w:marLeft w:val="0"/>
      <w:marRight w:val="0"/>
      <w:marTop w:val="0"/>
      <w:marBottom w:val="0"/>
      <w:divBdr>
        <w:top w:val="none" w:sz="0" w:space="0" w:color="auto"/>
        <w:left w:val="none" w:sz="0" w:space="0" w:color="auto"/>
        <w:bottom w:val="none" w:sz="0" w:space="0" w:color="auto"/>
        <w:right w:val="none" w:sz="0" w:space="0" w:color="auto"/>
      </w:divBdr>
    </w:div>
    <w:div w:id="969481332">
      <w:marLeft w:val="0"/>
      <w:marRight w:val="0"/>
      <w:marTop w:val="0"/>
      <w:marBottom w:val="0"/>
      <w:divBdr>
        <w:top w:val="none" w:sz="0" w:space="0" w:color="auto"/>
        <w:left w:val="none" w:sz="0" w:space="0" w:color="auto"/>
        <w:bottom w:val="none" w:sz="0" w:space="0" w:color="auto"/>
        <w:right w:val="none" w:sz="0" w:space="0" w:color="auto"/>
      </w:divBdr>
    </w:div>
    <w:div w:id="995494562">
      <w:marLeft w:val="0"/>
      <w:marRight w:val="0"/>
      <w:marTop w:val="0"/>
      <w:marBottom w:val="0"/>
      <w:divBdr>
        <w:top w:val="none" w:sz="0" w:space="0" w:color="auto"/>
        <w:left w:val="none" w:sz="0" w:space="0" w:color="auto"/>
        <w:bottom w:val="none" w:sz="0" w:space="0" w:color="auto"/>
        <w:right w:val="none" w:sz="0" w:space="0" w:color="auto"/>
      </w:divBdr>
      <w:divsChild>
        <w:div w:id="194124276">
          <w:marLeft w:val="0"/>
          <w:marRight w:val="0"/>
          <w:marTop w:val="0"/>
          <w:marBottom w:val="0"/>
          <w:divBdr>
            <w:top w:val="none" w:sz="0" w:space="0" w:color="auto"/>
            <w:left w:val="none" w:sz="0" w:space="0" w:color="auto"/>
            <w:bottom w:val="none" w:sz="0" w:space="0" w:color="auto"/>
            <w:right w:val="none" w:sz="0" w:space="0" w:color="auto"/>
          </w:divBdr>
        </w:div>
      </w:divsChild>
    </w:div>
    <w:div w:id="1102646141">
      <w:marLeft w:val="0"/>
      <w:marRight w:val="0"/>
      <w:marTop w:val="0"/>
      <w:marBottom w:val="0"/>
      <w:divBdr>
        <w:top w:val="none" w:sz="0" w:space="0" w:color="auto"/>
        <w:left w:val="none" w:sz="0" w:space="0" w:color="auto"/>
        <w:bottom w:val="none" w:sz="0" w:space="0" w:color="auto"/>
        <w:right w:val="none" w:sz="0" w:space="0" w:color="auto"/>
      </w:divBdr>
    </w:div>
    <w:div w:id="1127159227">
      <w:marLeft w:val="0"/>
      <w:marRight w:val="0"/>
      <w:marTop w:val="0"/>
      <w:marBottom w:val="0"/>
      <w:divBdr>
        <w:top w:val="none" w:sz="0" w:space="0" w:color="auto"/>
        <w:left w:val="none" w:sz="0" w:space="0" w:color="auto"/>
        <w:bottom w:val="none" w:sz="0" w:space="0" w:color="auto"/>
        <w:right w:val="none" w:sz="0" w:space="0" w:color="auto"/>
      </w:divBdr>
    </w:div>
    <w:div w:id="1235817340">
      <w:marLeft w:val="0"/>
      <w:marRight w:val="0"/>
      <w:marTop w:val="0"/>
      <w:marBottom w:val="0"/>
      <w:divBdr>
        <w:top w:val="none" w:sz="0" w:space="0" w:color="auto"/>
        <w:left w:val="none" w:sz="0" w:space="0" w:color="auto"/>
        <w:bottom w:val="none" w:sz="0" w:space="0" w:color="auto"/>
        <w:right w:val="none" w:sz="0" w:space="0" w:color="auto"/>
      </w:divBdr>
    </w:div>
    <w:div w:id="1244753991">
      <w:marLeft w:val="0"/>
      <w:marRight w:val="0"/>
      <w:marTop w:val="0"/>
      <w:marBottom w:val="0"/>
      <w:divBdr>
        <w:top w:val="none" w:sz="0" w:space="0" w:color="auto"/>
        <w:left w:val="none" w:sz="0" w:space="0" w:color="auto"/>
        <w:bottom w:val="none" w:sz="0" w:space="0" w:color="auto"/>
        <w:right w:val="none" w:sz="0" w:space="0" w:color="auto"/>
      </w:divBdr>
      <w:divsChild>
        <w:div w:id="1433628490">
          <w:marLeft w:val="0"/>
          <w:marRight w:val="0"/>
          <w:marTop w:val="0"/>
          <w:marBottom w:val="0"/>
          <w:divBdr>
            <w:top w:val="none" w:sz="0" w:space="0" w:color="auto"/>
            <w:left w:val="none" w:sz="0" w:space="0" w:color="auto"/>
            <w:bottom w:val="none" w:sz="0" w:space="0" w:color="auto"/>
            <w:right w:val="none" w:sz="0" w:space="0" w:color="auto"/>
          </w:divBdr>
        </w:div>
        <w:div w:id="1558740022">
          <w:marLeft w:val="0"/>
          <w:marRight w:val="0"/>
          <w:marTop w:val="0"/>
          <w:marBottom w:val="0"/>
          <w:divBdr>
            <w:top w:val="none" w:sz="0" w:space="0" w:color="auto"/>
            <w:left w:val="none" w:sz="0" w:space="0" w:color="auto"/>
            <w:bottom w:val="none" w:sz="0" w:space="0" w:color="auto"/>
            <w:right w:val="none" w:sz="0" w:space="0" w:color="auto"/>
          </w:divBdr>
        </w:div>
      </w:divsChild>
    </w:div>
    <w:div w:id="1397243269">
      <w:marLeft w:val="0"/>
      <w:marRight w:val="0"/>
      <w:marTop w:val="0"/>
      <w:marBottom w:val="0"/>
      <w:divBdr>
        <w:top w:val="none" w:sz="0" w:space="0" w:color="auto"/>
        <w:left w:val="none" w:sz="0" w:space="0" w:color="auto"/>
        <w:bottom w:val="none" w:sz="0" w:space="0" w:color="auto"/>
        <w:right w:val="none" w:sz="0" w:space="0" w:color="auto"/>
      </w:divBdr>
      <w:divsChild>
        <w:div w:id="1163280380">
          <w:marLeft w:val="0"/>
          <w:marRight w:val="0"/>
          <w:marTop w:val="0"/>
          <w:marBottom w:val="0"/>
          <w:divBdr>
            <w:top w:val="none" w:sz="0" w:space="0" w:color="auto"/>
            <w:left w:val="none" w:sz="0" w:space="0" w:color="auto"/>
            <w:bottom w:val="none" w:sz="0" w:space="0" w:color="auto"/>
            <w:right w:val="none" w:sz="0" w:space="0" w:color="auto"/>
          </w:divBdr>
        </w:div>
      </w:divsChild>
    </w:div>
    <w:div w:id="1503620488">
      <w:marLeft w:val="0"/>
      <w:marRight w:val="0"/>
      <w:marTop w:val="0"/>
      <w:marBottom w:val="0"/>
      <w:divBdr>
        <w:top w:val="none" w:sz="0" w:space="0" w:color="auto"/>
        <w:left w:val="none" w:sz="0" w:space="0" w:color="auto"/>
        <w:bottom w:val="none" w:sz="0" w:space="0" w:color="auto"/>
        <w:right w:val="none" w:sz="0" w:space="0" w:color="auto"/>
      </w:divBdr>
    </w:div>
    <w:div w:id="1511987126">
      <w:marLeft w:val="0"/>
      <w:marRight w:val="0"/>
      <w:marTop w:val="0"/>
      <w:marBottom w:val="0"/>
      <w:divBdr>
        <w:top w:val="none" w:sz="0" w:space="0" w:color="auto"/>
        <w:left w:val="none" w:sz="0" w:space="0" w:color="auto"/>
        <w:bottom w:val="none" w:sz="0" w:space="0" w:color="auto"/>
        <w:right w:val="none" w:sz="0" w:space="0" w:color="auto"/>
      </w:divBdr>
    </w:div>
    <w:div w:id="1528833332">
      <w:marLeft w:val="0"/>
      <w:marRight w:val="0"/>
      <w:marTop w:val="0"/>
      <w:marBottom w:val="0"/>
      <w:divBdr>
        <w:top w:val="none" w:sz="0" w:space="0" w:color="auto"/>
        <w:left w:val="none" w:sz="0" w:space="0" w:color="auto"/>
        <w:bottom w:val="none" w:sz="0" w:space="0" w:color="auto"/>
        <w:right w:val="none" w:sz="0" w:space="0" w:color="auto"/>
      </w:divBdr>
      <w:divsChild>
        <w:div w:id="121658273">
          <w:marLeft w:val="0"/>
          <w:marRight w:val="0"/>
          <w:marTop w:val="0"/>
          <w:marBottom w:val="0"/>
          <w:divBdr>
            <w:top w:val="none" w:sz="0" w:space="0" w:color="auto"/>
            <w:left w:val="none" w:sz="0" w:space="0" w:color="auto"/>
            <w:bottom w:val="none" w:sz="0" w:space="0" w:color="auto"/>
            <w:right w:val="none" w:sz="0" w:space="0" w:color="auto"/>
          </w:divBdr>
        </w:div>
      </w:divsChild>
    </w:div>
    <w:div w:id="1805003342">
      <w:marLeft w:val="0"/>
      <w:marRight w:val="0"/>
      <w:marTop w:val="0"/>
      <w:marBottom w:val="0"/>
      <w:divBdr>
        <w:top w:val="none" w:sz="0" w:space="0" w:color="auto"/>
        <w:left w:val="none" w:sz="0" w:space="0" w:color="auto"/>
        <w:bottom w:val="none" w:sz="0" w:space="0" w:color="auto"/>
        <w:right w:val="none" w:sz="0" w:space="0" w:color="auto"/>
      </w:divBdr>
    </w:div>
    <w:div w:id="1816096614">
      <w:marLeft w:val="0"/>
      <w:marRight w:val="0"/>
      <w:marTop w:val="0"/>
      <w:marBottom w:val="0"/>
      <w:divBdr>
        <w:top w:val="none" w:sz="0" w:space="0" w:color="auto"/>
        <w:left w:val="none" w:sz="0" w:space="0" w:color="auto"/>
        <w:bottom w:val="none" w:sz="0" w:space="0" w:color="auto"/>
        <w:right w:val="none" w:sz="0" w:space="0" w:color="auto"/>
      </w:divBdr>
    </w:div>
    <w:div w:id="2046515178">
      <w:marLeft w:val="0"/>
      <w:marRight w:val="0"/>
      <w:marTop w:val="0"/>
      <w:marBottom w:val="0"/>
      <w:divBdr>
        <w:top w:val="none" w:sz="0" w:space="0" w:color="auto"/>
        <w:left w:val="none" w:sz="0" w:space="0" w:color="auto"/>
        <w:bottom w:val="none" w:sz="0" w:space="0" w:color="auto"/>
        <w:right w:val="none" w:sz="0" w:space="0" w:color="auto"/>
      </w:divBdr>
    </w:div>
    <w:div w:id="2064478355">
      <w:marLeft w:val="0"/>
      <w:marRight w:val="0"/>
      <w:marTop w:val="0"/>
      <w:marBottom w:val="0"/>
      <w:divBdr>
        <w:top w:val="none" w:sz="0" w:space="0" w:color="auto"/>
        <w:left w:val="none" w:sz="0" w:space="0" w:color="auto"/>
        <w:bottom w:val="none" w:sz="0" w:space="0" w:color="auto"/>
        <w:right w:val="none" w:sz="0" w:space="0" w:color="auto"/>
      </w:divBdr>
    </w:div>
    <w:div w:id="2085182022">
      <w:marLeft w:val="0"/>
      <w:marRight w:val="0"/>
      <w:marTop w:val="0"/>
      <w:marBottom w:val="0"/>
      <w:divBdr>
        <w:top w:val="none" w:sz="0" w:space="0" w:color="auto"/>
        <w:left w:val="none" w:sz="0" w:space="0" w:color="auto"/>
        <w:bottom w:val="none" w:sz="0" w:space="0" w:color="auto"/>
        <w:right w:val="none" w:sz="0" w:space="0" w:color="auto"/>
      </w:divBdr>
      <w:divsChild>
        <w:div w:id="197679361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2F255-8C29-4B5D-8D37-A49299DBB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1180</Words>
  <Characters>6729</Characters>
  <Application>Microsoft Office Word</Application>
  <DocSecurity>4</DocSecurity>
  <Lines>56</Lines>
  <Paragraphs>15</Paragraphs>
  <ScaleCrop>false</ScaleCrop>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2026-07-13T13:26:00Z</dcterms:created>
  <dcterms:modified xsi:type="dcterms:W3CDTF">2026-07-13T13:26:00Z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