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B78FE" w:rsidRDefault="008B78FE">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Pr>
          <w:rFonts w:ascii="宋体" w:hAnsi="宋体" w:hint="eastAsia"/>
          <w:sz w:val="48"/>
        </w:rPr>
        <w:t xml:space="preserve"> </w:t>
      </w:r>
    </w:p>
    <w:p w:rsidR="008B78FE" w:rsidRDefault="008B78FE">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8B78FE" w:rsidRDefault="008B78FE">
      <w:pPr>
        <w:spacing w:line="360" w:lineRule="auto"/>
        <w:jc w:val="center"/>
        <w:rPr>
          <w:rFonts w:hint="eastAsia"/>
        </w:rPr>
      </w:pPr>
      <w:r>
        <w:rPr>
          <w:rFonts w:ascii="宋体" w:hAnsi="宋体" w:hint="eastAsia"/>
          <w:b/>
          <w:bCs/>
          <w:color w:val="000000" w:themeColor="text1"/>
          <w:sz w:val="48"/>
          <w:szCs w:val="30"/>
        </w:rPr>
        <w:t>摩根均衡成长混合型证券投资基金</w:t>
      </w:r>
      <w:r>
        <w:rPr>
          <w:rFonts w:ascii="宋体" w:hAnsi="宋体" w:hint="eastAsia"/>
          <w:b/>
          <w:bCs/>
          <w:color w:val="000000" w:themeColor="text1"/>
          <w:sz w:val="48"/>
          <w:szCs w:val="30"/>
        </w:rPr>
        <w:br/>
        <w:t>2026</w:t>
      </w:r>
      <w:r>
        <w:rPr>
          <w:rFonts w:ascii="宋体" w:hAnsi="宋体" w:hint="eastAsia"/>
          <w:b/>
          <w:bCs/>
          <w:color w:val="000000" w:themeColor="text1"/>
          <w:sz w:val="48"/>
          <w:szCs w:val="30"/>
        </w:rPr>
        <w:t>年第</w:t>
      </w:r>
      <w:r>
        <w:rPr>
          <w:rFonts w:ascii="宋体" w:hAnsi="宋体" w:hint="eastAsia"/>
          <w:b/>
          <w:bCs/>
          <w:color w:val="000000" w:themeColor="text1"/>
          <w:sz w:val="48"/>
          <w:szCs w:val="30"/>
        </w:rPr>
        <w:t>2</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8B78FE" w:rsidRDefault="008B78FE">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hint="eastAsia"/>
        </w:rPr>
      </w:pPr>
      <w:r>
        <w:rPr>
          <w:rFonts w:ascii="宋体" w:hAnsi="宋体" w:hint="eastAsia"/>
          <w:b/>
          <w:bCs/>
          <w:sz w:val="28"/>
          <w:szCs w:val="30"/>
        </w:rPr>
        <w:t>2026</w:t>
      </w:r>
      <w:r>
        <w:rPr>
          <w:rFonts w:ascii="宋体" w:hAnsi="宋体" w:hint="eastAsia"/>
          <w:b/>
          <w:bCs/>
          <w:sz w:val="28"/>
          <w:szCs w:val="30"/>
        </w:rPr>
        <w:t>年</w:t>
      </w:r>
      <w:r>
        <w:rPr>
          <w:rFonts w:ascii="宋体" w:hAnsi="宋体" w:hint="eastAsia"/>
          <w:b/>
          <w:bCs/>
          <w:sz w:val="28"/>
          <w:szCs w:val="30"/>
        </w:rPr>
        <w:t>6</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8B78FE" w:rsidRDefault="008B78FE">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8B78FE" w:rsidRDefault="008B78FE">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摩根基金管理（中国）有限公</w:t>
      </w:r>
      <w:r>
        <w:rPr>
          <w:rFonts w:ascii="宋体" w:hAnsi="宋体" w:hint="eastAsia"/>
          <w:b/>
          <w:bCs/>
          <w:sz w:val="28"/>
          <w:szCs w:val="30"/>
        </w:rPr>
        <w:t>司</w:t>
      </w:r>
    </w:p>
    <w:p w:rsidR="008B78FE" w:rsidRDefault="008B78FE">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中泰证券股份有限公</w:t>
      </w:r>
      <w:r>
        <w:rPr>
          <w:rFonts w:ascii="宋体" w:hAnsi="宋体" w:hint="eastAsia"/>
          <w:b/>
          <w:bCs/>
          <w:sz w:val="28"/>
          <w:szCs w:val="30"/>
        </w:rPr>
        <w:t>司</w:t>
      </w:r>
    </w:p>
    <w:p w:rsidR="008B78FE" w:rsidRDefault="008B78FE">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2026</w:t>
      </w:r>
      <w:r>
        <w:rPr>
          <w:rFonts w:ascii="宋体" w:hAnsi="宋体" w:hint="eastAsia"/>
          <w:b/>
          <w:bCs/>
          <w:sz w:val="28"/>
          <w:szCs w:val="30"/>
        </w:rPr>
        <w:t>年</w:t>
      </w:r>
      <w:r>
        <w:rPr>
          <w:rFonts w:ascii="宋体" w:hAnsi="宋体" w:hint="eastAsia"/>
          <w:b/>
          <w:bCs/>
          <w:sz w:val="28"/>
          <w:szCs w:val="30"/>
        </w:rPr>
        <w:t>7</w:t>
      </w:r>
      <w:r>
        <w:rPr>
          <w:rFonts w:ascii="宋体" w:hAnsi="宋体" w:hint="eastAsia"/>
          <w:b/>
          <w:bCs/>
          <w:sz w:val="28"/>
          <w:szCs w:val="30"/>
        </w:rPr>
        <w:t>月</w:t>
      </w:r>
      <w:r>
        <w:rPr>
          <w:rFonts w:ascii="宋体" w:hAnsi="宋体" w:hint="eastAsia"/>
          <w:b/>
          <w:bCs/>
          <w:sz w:val="28"/>
          <w:szCs w:val="30"/>
        </w:rPr>
        <w:t>21</w:t>
      </w:r>
      <w:r>
        <w:rPr>
          <w:rFonts w:ascii="宋体" w:hAnsi="宋体" w:hint="eastAsia"/>
          <w:b/>
          <w:bCs/>
          <w:sz w:val="28"/>
          <w:szCs w:val="30"/>
        </w:rPr>
        <w:t>日</w:t>
      </w:r>
    </w:p>
    <w:p w:rsidR="008B78FE" w:rsidRDefault="008B78F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w:t>
      </w:r>
      <w:r>
        <w:rPr>
          <w:rFonts w:hAnsi="宋体" w:hint="eastAsia"/>
        </w:rPr>
        <w:t>示</w:t>
      </w:r>
      <w:bookmarkEnd w:id="7"/>
      <w:bookmarkEnd w:id="8"/>
      <w:bookmarkEnd w:id="9"/>
      <w:bookmarkEnd w:id="10"/>
      <w:bookmarkEnd w:id="11"/>
      <w:bookmarkEnd w:id="12"/>
      <w:bookmarkEnd w:id="13"/>
      <w:bookmarkEnd w:id="14"/>
      <w:r>
        <w:rPr>
          <w:rFonts w:hAnsi="宋体" w:hint="eastAsia"/>
        </w:rPr>
        <w:t xml:space="preserve"> </w:t>
      </w:r>
    </w:p>
    <w:p w:rsidR="008B78FE" w:rsidRDefault="008B78FE">
      <w:pPr>
        <w:spacing w:line="360" w:lineRule="auto"/>
        <w:ind w:firstLineChars="200" w:firstLine="420"/>
        <w:rPr>
          <w:rFonts w:hint="eastAsia"/>
        </w:rPr>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r>
      <w:r>
        <w:rPr>
          <w:rFonts w:ascii="宋体" w:hAnsi="宋体" w:hint="eastAsia"/>
        </w:rPr>
        <w:t xml:space="preserve">　　基金托管人中泰证券股份有限公司根据本基金合同约定，于</w:t>
      </w:r>
      <w:r>
        <w:rPr>
          <w:rFonts w:ascii="宋体" w:hAnsi="宋体" w:hint="eastAsia"/>
        </w:rPr>
        <w:t>2026</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20</w:t>
      </w:r>
      <w:r>
        <w:rPr>
          <w:rFonts w:ascii="宋体" w:hAnsi="宋体" w:hint="eastAsia"/>
        </w:rPr>
        <w:t xml:space="preserve">日复核了本报告中的财务指标、净值表现和投资组合报告等内容，保证复核内容不存在虚假记载、误导性陈述或者重大遗漏。　</w:t>
      </w:r>
      <w:r>
        <w:rPr>
          <w:rFonts w:ascii="宋体" w:hAnsi="宋体" w:hint="eastAsia"/>
        </w:rPr>
        <w:br/>
      </w:r>
      <w:r>
        <w:rPr>
          <w:rFonts w:ascii="宋体" w:hAnsi="宋体" w:hint="eastAsia"/>
        </w:rPr>
        <w:t xml:space="preserve">　　基金管理人承诺以诚实信用、勤勉尽责的原则管理和运用基金资产，但不保证基金一定盈利。　</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　</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14</w:t>
      </w:r>
      <w:r>
        <w:rPr>
          <w:rFonts w:ascii="宋体" w:hAnsi="宋体" w:hint="eastAsia"/>
        </w:rPr>
        <w:t>日起至</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8B78FE" w:rsidRDefault="008B78F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w:t>
      </w:r>
      <w:r>
        <w:rPr>
          <w:rFonts w:hAnsi="宋体" w:hint="eastAsia"/>
        </w:rPr>
        <w:t>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185710886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rsidR="008B78FE" w:rsidRDefault="008B78FE">
            <w:pPr>
              <w:jc w:val="left"/>
              <w:rPr>
                <w:rFonts w:hint="eastAsia"/>
              </w:rPr>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szCs w:val="24"/>
                <w:lang w:eastAsia="zh-Hans"/>
              </w:rPr>
              <w:t>摩根均衡成长混</w:t>
            </w:r>
            <w:r>
              <w:rPr>
                <w:rFonts w:ascii="宋体" w:hAnsi="宋体" w:hint="eastAsia"/>
                <w:szCs w:val="24"/>
                <w:lang w:eastAsia="zh-Hans"/>
              </w:rPr>
              <w:t>合</w:t>
            </w:r>
            <w:r>
              <w:rPr>
                <w:rFonts w:ascii="宋体" w:hAnsi="宋体" w:hint="eastAsia"/>
                <w:lang w:eastAsia="zh-Hans"/>
              </w:rPr>
              <w:t xml:space="preserve"> </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02655</w:t>
            </w:r>
            <w:r>
              <w:rPr>
                <w:rFonts w:ascii="宋体" w:hAnsi="宋体" w:hint="eastAsia"/>
                <w:lang w:eastAsia="zh-Hans"/>
              </w:rPr>
              <w:t>6</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契约型开放</w:t>
            </w:r>
            <w:r>
              <w:rPr>
                <w:rFonts w:ascii="宋体" w:hAnsi="宋体" w:hint="eastAsia"/>
                <w:lang w:eastAsia="zh-Hans"/>
              </w:rPr>
              <w:t>式</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2026</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14</w:t>
            </w:r>
            <w:r>
              <w:rPr>
                <w:rFonts w:ascii="宋体" w:hAnsi="宋体" w:hint="eastAsia"/>
                <w:lang w:eastAsia="zh-Hans"/>
              </w:rPr>
              <w:t>日</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348,114,169.2</w:t>
            </w:r>
            <w:r>
              <w:rPr>
                <w:rFonts w:ascii="宋体" w:hAnsi="宋体" w:hint="eastAsia"/>
                <w:lang w:eastAsia="zh-Hans"/>
              </w:rPr>
              <w:t>4</w:t>
            </w:r>
            <w:r>
              <w:rPr>
                <w:rFonts w:hint="eastAsia"/>
              </w:rPr>
              <w:t>份</w:t>
            </w:r>
            <w:r>
              <w:rPr>
                <w:rFonts w:ascii="宋体" w:hAnsi="宋体" w:hint="eastAsia"/>
                <w:lang w:eastAsia="zh-Hans"/>
              </w:rPr>
              <w:t xml:space="preserve"> </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本基金通过自上而下行业配置与自下而上精选个股相结合，基于严格的风险控制，力争实现超越业绩比较基准的回报和基金资产的长期增值</w:t>
            </w:r>
            <w:r>
              <w:rPr>
                <w:rFonts w:ascii="宋体" w:hAnsi="宋体" w:hint="eastAsia"/>
                <w:lang w:eastAsia="zh-Hans"/>
              </w:rPr>
              <w:t>。</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1.</w:t>
            </w:r>
            <w:r>
              <w:rPr>
                <w:rFonts w:ascii="宋体" w:hAnsi="宋体" w:hint="eastAsia"/>
                <w:lang w:eastAsia="zh-Hans"/>
              </w:rPr>
              <w:t>资产配置策略：本基金将综合分析和持续跟踪基本面、政策面、市场面等多方面因素，对宏观经济、国家政策、资金面和市场情绪等影响证券市场的重要因素进行深入分析，重点关注包括</w:t>
            </w:r>
            <w:r>
              <w:rPr>
                <w:rFonts w:ascii="宋体" w:hAnsi="宋体" w:hint="eastAsia"/>
                <w:lang w:eastAsia="zh-Hans"/>
              </w:rPr>
              <w:t>GDP</w:t>
            </w:r>
            <w:r>
              <w:rPr>
                <w:rFonts w:ascii="宋体" w:hAnsi="宋体" w:hint="eastAsia"/>
                <w:lang w:eastAsia="zh-Hans"/>
              </w:rPr>
              <w:t>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w:t>
            </w:r>
            <w:r>
              <w:rPr>
                <w:rFonts w:ascii="宋体" w:hAnsi="宋体" w:hint="eastAsia"/>
                <w:lang w:eastAsia="zh-Hans"/>
              </w:rPr>
              <w:t>60%-95%</w:t>
            </w:r>
            <w:r>
              <w:rPr>
                <w:rFonts w:ascii="宋体" w:hAnsi="宋体" w:hint="eastAsia"/>
                <w:lang w:eastAsia="zh-Hans"/>
              </w:rPr>
              <w:t>，其中港股通标的股票的投资比例不超过股票资产的</w:t>
            </w:r>
            <w:r>
              <w:rPr>
                <w:rFonts w:ascii="宋体" w:hAnsi="宋体" w:hint="eastAsia"/>
                <w:lang w:eastAsia="zh-Hans"/>
              </w:rPr>
              <w:t>50%</w:t>
            </w:r>
            <w:r>
              <w:rPr>
                <w:rFonts w:ascii="宋体" w:hAnsi="宋体" w:hint="eastAsia"/>
                <w:lang w:eastAsia="zh-Hans"/>
              </w:rPr>
              <w:t>。</w:t>
            </w:r>
            <w:r>
              <w:rPr>
                <w:rFonts w:ascii="宋体" w:hAnsi="宋体" w:hint="eastAsia"/>
                <w:lang w:eastAsia="zh-Hans"/>
              </w:rPr>
              <w:br/>
              <w:t>2.</w:t>
            </w:r>
            <w:r>
              <w:rPr>
                <w:rFonts w:ascii="宋体" w:hAnsi="宋体" w:hint="eastAsia"/>
                <w:lang w:eastAsia="zh-Hans"/>
              </w:rPr>
              <w:t>股票投资策略：（</w:t>
            </w:r>
            <w:r>
              <w:rPr>
                <w:rFonts w:ascii="宋体" w:hAnsi="宋体" w:hint="eastAsia"/>
                <w:lang w:eastAsia="zh-Hans"/>
              </w:rPr>
              <w:t>1</w:t>
            </w:r>
            <w:r>
              <w:rPr>
                <w:rFonts w:ascii="宋体" w:hAnsi="宋体" w:hint="eastAsia"/>
                <w:lang w:eastAsia="zh-Hans"/>
              </w:rPr>
              <w:t>）本基金坚持“以合理价格投资具有持续增长潜力股票”的选股理念，依托基金管理人的研究平台，重点通过自下而上的个股研究，挖掘</w:t>
            </w:r>
            <w:r>
              <w:rPr>
                <w:rFonts w:ascii="宋体" w:hAnsi="宋体" w:hint="eastAsia"/>
                <w:lang w:eastAsia="zh-Hans"/>
              </w:rPr>
              <w:lastRenderedPageBreak/>
              <w:t>并长期持有盈利能力与估值相匹配、估值水平合理、盈利稳定且具有较高成长潜力的公司，力争实现超越业绩比较基准的回报和基金资产的长期增值。（</w:t>
            </w:r>
            <w:r>
              <w:rPr>
                <w:rFonts w:ascii="宋体" w:hAnsi="宋体" w:hint="eastAsia"/>
                <w:lang w:eastAsia="zh-Hans"/>
              </w:rPr>
              <w:t>2</w:t>
            </w:r>
            <w:r>
              <w:rPr>
                <w:rFonts w:ascii="宋体" w:hAnsi="宋体" w:hint="eastAsia"/>
                <w:lang w:eastAsia="zh-Hans"/>
              </w:rPr>
              <w:t>）本基金可通过港股通机制投资于香港股票市场。对于港股通标的股票的投资，本基金将结合宏观基本面，包含资金流向等对香港上市公司进行初步判断，并结合产业趋势以及</w:t>
            </w:r>
            <w:r>
              <w:rPr>
                <w:rFonts w:ascii="宋体" w:hAnsi="宋体" w:hint="eastAsia"/>
                <w:lang w:eastAsia="zh-Hans"/>
              </w:rPr>
              <w:t>公司发展前景自下而上进行布局，从公司商业模式、产品创新及竞争力、主营业务收入来源和区域分布等多维度进行考量，挖掘优质企业。</w:t>
            </w:r>
            <w:r>
              <w:rPr>
                <w:rFonts w:ascii="宋体" w:hAnsi="宋体" w:hint="eastAsia"/>
                <w:lang w:eastAsia="zh-Hans"/>
              </w:rPr>
              <w:br/>
              <w:t>3.</w:t>
            </w:r>
            <w:r>
              <w:rPr>
                <w:rFonts w:ascii="宋体" w:hAnsi="宋体" w:hint="eastAsia"/>
                <w:lang w:eastAsia="zh-Hans"/>
              </w:rPr>
              <w:t>其它投资策略：包括：债券投资策略、股指期货投资策略、股票期权投资策略、国债期货投资策略、资产支持证券投资策略、存托凭证投资策略、融资业务策略</w:t>
            </w:r>
            <w:r>
              <w:rPr>
                <w:rFonts w:ascii="宋体" w:hAnsi="宋体" w:hint="eastAsia"/>
                <w:lang w:eastAsia="zh-Hans"/>
              </w:rPr>
              <w:t>。</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中证</w:t>
            </w:r>
            <w:r>
              <w:rPr>
                <w:rFonts w:ascii="宋体" w:hAnsi="宋体" w:hint="eastAsia"/>
                <w:lang w:eastAsia="zh-Hans"/>
              </w:rPr>
              <w:t>800</w:t>
            </w:r>
            <w:r>
              <w:rPr>
                <w:rFonts w:ascii="宋体" w:hAnsi="宋体" w:hint="eastAsia"/>
                <w:lang w:eastAsia="zh-Hans"/>
              </w:rPr>
              <w:t>指数收益率×</w:t>
            </w:r>
            <w:r>
              <w:rPr>
                <w:rFonts w:ascii="宋体" w:hAnsi="宋体" w:hint="eastAsia"/>
                <w:lang w:eastAsia="zh-Hans"/>
              </w:rPr>
              <w:t>70%+</w:t>
            </w:r>
            <w:r>
              <w:rPr>
                <w:rFonts w:ascii="宋体" w:hAnsi="宋体" w:hint="eastAsia"/>
                <w:lang w:eastAsia="zh-Hans"/>
              </w:rPr>
              <w:t>中证港股通综合指数收益率×</w:t>
            </w:r>
            <w:r>
              <w:rPr>
                <w:rFonts w:ascii="宋体" w:hAnsi="宋体" w:hint="eastAsia"/>
                <w:lang w:eastAsia="zh-Hans"/>
              </w:rPr>
              <w:t>10%+</w:t>
            </w:r>
            <w:r>
              <w:rPr>
                <w:rFonts w:ascii="宋体" w:hAnsi="宋体" w:hint="eastAsia"/>
                <w:lang w:eastAsia="zh-Hans"/>
              </w:rPr>
              <w:t>上证国债指数收益率×</w:t>
            </w:r>
            <w:r>
              <w:rPr>
                <w:rFonts w:ascii="宋体" w:hAnsi="宋体" w:hint="eastAsia"/>
                <w:lang w:eastAsia="zh-Hans"/>
              </w:rPr>
              <w:t>20</w:t>
            </w:r>
            <w:r>
              <w:rPr>
                <w:rFonts w:ascii="宋体" w:hAnsi="宋体" w:hint="eastAsia"/>
                <w:lang w:eastAsia="zh-Hans"/>
              </w:rPr>
              <w:t>%</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 xml:space="preserve">本基金属于混合型基金产品，预期风险和收益水平高于债券型基金和货币市场基金，低于股票型基金。　</w:t>
            </w:r>
            <w:r>
              <w:rPr>
                <w:rFonts w:ascii="宋体" w:hAnsi="宋体" w:hint="eastAsia"/>
                <w:lang w:eastAsia="zh-Hans"/>
              </w:rPr>
              <w:br/>
            </w:r>
            <w:r>
              <w:rPr>
                <w:rFonts w:ascii="宋体" w:hAnsi="宋体" w:hint="eastAsia"/>
                <w:lang w:eastAsia="zh-Hans"/>
              </w:rPr>
              <w:t>本基金若投资香港联合交易所上市的股票，将面临港股通机制下因投资环境、投资标的、市场制度以及交易规则等差异带来的特有风险</w:t>
            </w:r>
            <w:r>
              <w:rPr>
                <w:rFonts w:ascii="宋体" w:hAnsi="宋体" w:hint="eastAsia"/>
                <w:lang w:eastAsia="zh-Hans"/>
              </w:rPr>
              <w:t>。</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摩根基金管理（中国）有限公</w:t>
            </w:r>
            <w:r>
              <w:rPr>
                <w:rFonts w:ascii="宋体" w:hAnsi="宋体" w:hint="eastAsia"/>
                <w:lang w:eastAsia="zh-Hans"/>
              </w:rPr>
              <w:t>司</w:t>
            </w:r>
          </w:p>
        </w:tc>
      </w:tr>
      <w:tr w:rsidR="00000000">
        <w:trPr>
          <w:divId w:val="18571088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lang w:eastAsia="zh-Hans"/>
              </w:rPr>
              <w:t>中泰证券股份有限公</w:t>
            </w:r>
            <w:r>
              <w:rPr>
                <w:rFonts w:ascii="宋体" w:hAnsi="宋体" w:hint="eastAsia"/>
                <w:lang w:eastAsia="zh-Hans"/>
              </w:rPr>
              <w:t>司</w:t>
            </w:r>
          </w:p>
        </w:tc>
      </w:tr>
      <w:tr w:rsidR="00000000">
        <w:trPr>
          <w:divId w:val="18571088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lang w:eastAsia="zh-Hans"/>
              </w:rPr>
              <w:t>摩根均衡成长混合</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lang w:eastAsia="zh-Hans"/>
              </w:rPr>
              <w:t>摩根均衡成长混合</w:t>
            </w:r>
            <w:r>
              <w:rPr>
                <w:rFonts w:ascii="宋体" w:hAnsi="宋体" w:hint="eastAsia"/>
                <w:lang w:eastAsia="zh-Hans"/>
              </w:rPr>
              <w:t>C</w:t>
            </w:r>
            <w:r>
              <w:rPr>
                <w:rFonts w:ascii="宋体" w:hAnsi="宋体" w:hint="eastAsia"/>
                <w:kern w:val="0"/>
                <w:sz w:val="20"/>
                <w:lang w:eastAsia="zh-Hans"/>
              </w:rPr>
              <w:t xml:space="preserve"> </w:t>
            </w:r>
          </w:p>
        </w:tc>
      </w:tr>
      <w:tr w:rsidR="00000000">
        <w:trPr>
          <w:divId w:val="18571088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lang w:eastAsia="zh-Hans"/>
              </w:rPr>
              <w:t>02655</w:t>
            </w:r>
            <w:r>
              <w:rPr>
                <w:rFonts w:ascii="宋体" w:hAnsi="宋体" w:hint="eastAsia"/>
                <w:lang w:eastAsia="zh-Hans"/>
              </w:rPr>
              <w:t>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lang w:eastAsia="zh-Hans"/>
              </w:rPr>
              <w:t>02655</w:t>
            </w:r>
            <w:r>
              <w:rPr>
                <w:rFonts w:ascii="宋体" w:hAnsi="宋体" w:hint="eastAsia"/>
                <w:lang w:eastAsia="zh-Hans"/>
              </w:rPr>
              <w:t>7</w:t>
            </w:r>
            <w:r>
              <w:rPr>
                <w:rFonts w:ascii="宋体" w:hAnsi="宋体" w:hint="eastAsia"/>
                <w:kern w:val="0"/>
                <w:sz w:val="20"/>
                <w:lang w:eastAsia="zh-Hans"/>
              </w:rPr>
              <w:t xml:space="preserve"> </w:t>
            </w:r>
          </w:p>
        </w:tc>
      </w:tr>
      <w:bookmarkEnd w:id="32"/>
      <w:bookmarkEnd w:id="33"/>
      <w:tr w:rsidR="00000000">
        <w:trPr>
          <w:divId w:val="18571088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8B78FE" w:rsidRDefault="008B78F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lang w:eastAsia="zh-Hans"/>
              </w:rPr>
              <w:t>188,505,792.1</w:t>
            </w:r>
            <w:r>
              <w:rPr>
                <w:rFonts w:ascii="宋体" w:hAnsi="宋体" w:hint="eastAsia"/>
                <w:lang w:eastAsia="zh-Hans"/>
              </w:rPr>
              <w:t>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lang w:eastAsia="zh-Hans"/>
              </w:rPr>
              <w:t>159,608,377.1</w:t>
            </w:r>
            <w:r>
              <w:rPr>
                <w:rFonts w:ascii="宋体" w:hAnsi="宋体" w:hint="eastAsia"/>
                <w:lang w:eastAsia="zh-Hans"/>
              </w:rPr>
              <w:t>3</w:t>
            </w:r>
            <w:r>
              <w:rPr>
                <w:rFonts w:hint="eastAsia"/>
              </w:rPr>
              <w:t>份</w:t>
            </w:r>
            <w:r>
              <w:rPr>
                <w:rFonts w:ascii="宋体" w:hAnsi="宋体" w:hint="eastAsia"/>
                <w:lang w:eastAsia="zh-Hans"/>
              </w:rPr>
              <w:t xml:space="preserve"> </w:t>
            </w:r>
          </w:p>
        </w:tc>
      </w:tr>
    </w:tbl>
    <w:p w:rsidR="008B78FE" w:rsidRDefault="008B78F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w:t>
      </w:r>
      <w:r>
        <w:rPr>
          <w:rFonts w:hAnsi="宋体" w:hint="eastAsia"/>
        </w:rPr>
        <w:t>现</w:t>
      </w:r>
      <w:bookmarkEnd w:id="34"/>
      <w:bookmarkEnd w:id="35"/>
      <w:bookmarkEnd w:id="36"/>
      <w:bookmarkEnd w:id="37"/>
      <w:bookmarkEnd w:id="38"/>
      <w:bookmarkEnd w:id="39"/>
      <w:bookmarkEnd w:id="40"/>
      <w:bookmarkEnd w:id="41"/>
      <w:r>
        <w:rPr>
          <w:rFonts w:hAnsi="宋体" w:hint="eastAsia"/>
        </w:rPr>
        <w:t xml:space="preserve"> </w:t>
      </w:r>
    </w:p>
    <w:p w:rsidR="008B78FE" w:rsidRDefault="008B78FE">
      <w:pPr>
        <w:pStyle w:val="XBRLTitle2"/>
        <w:spacing w:before="156" w:line="360" w:lineRule="auto"/>
        <w:ind w:left="454"/>
        <w:rPr>
          <w:rFonts w:hint="eastAsia"/>
        </w:rPr>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w:t>
      </w:r>
      <w:r>
        <w:rPr>
          <w:rFonts w:hAnsi="宋体" w:hint="eastAsia"/>
        </w:rPr>
        <w:t>标</w:t>
      </w:r>
      <w:bookmarkEnd w:id="44"/>
      <w:bookmarkEnd w:id="45"/>
      <w:bookmarkEnd w:id="46"/>
      <w:bookmarkEnd w:id="47"/>
      <w:bookmarkEnd w:id="48"/>
      <w:bookmarkEnd w:id="49"/>
      <w:bookmarkEnd w:id="50"/>
      <w:bookmarkEnd w:id="51"/>
      <w:r>
        <w:rPr>
          <w:rFonts w:hAnsi="宋体" w:hint="eastAsia"/>
        </w:rPr>
        <w:t xml:space="preserve"> </w:t>
      </w:r>
    </w:p>
    <w:p w:rsidR="008B78FE" w:rsidRDefault="008B78FE">
      <w:pPr>
        <w:jc w:val="right"/>
        <w:divId w:val="124278577"/>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5"/>
        <w:gridCol w:w="2775"/>
        <w:gridCol w:w="2775"/>
      </w:tblGrid>
      <w:tr w:rsidR="00000000">
        <w:trPr>
          <w:divId w:val="12427857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8B78FE" w:rsidRDefault="008B78FE">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8B78FE" w:rsidRDefault="008B78FE">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2026</w:t>
            </w:r>
            <w:r>
              <w:rPr>
                <w:rFonts w:hint="eastAsia"/>
                <w:kern w:val="2"/>
                <w:sz w:val="21"/>
                <w:szCs w:val="24"/>
                <w:lang w:eastAsia="zh-Hans"/>
              </w:rPr>
              <w:t>年</w:t>
            </w:r>
            <w:r>
              <w:rPr>
                <w:rFonts w:hint="eastAsia"/>
                <w:kern w:val="2"/>
                <w:sz w:val="21"/>
                <w:szCs w:val="24"/>
                <w:lang w:eastAsia="zh-Hans"/>
              </w:rPr>
              <w:t>4</w:t>
            </w:r>
            <w:r>
              <w:rPr>
                <w:rFonts w:hint="eastAsia"/>
                <w:kern w:val="2"/>
                <w:sz w:val="21"/>
                <w:szCs w:val="24"/>
                <w:lang w:eastAsia="zh-Hans"/>
              </w:rPr>
              <w:t>月</w:t>
            </w:r>
            <w:r>
              <w:rPr>
                <w:rFonts w:hint="eastAsia"/>
                <w:kern w:val="2"/>
                <w:sz w:val="21"/>
                <w:szCs w:val="24"/>
                <w:lang w:eastAsia="zh-Hans"/>
              </w:rPr>
              <w:t>14</w:t>
            </w:r>
            <w:r>
              <w:rPr>
                <w:rFonts w:hint="eastAsia"/>
                <w:kern w:val="2"/>
                <w:sz w:val="21"/>
                <w:szCs w:val="24"/>
                <w:lang w:eastAsia="zh-Hans"/>
              </w:rPr>
              <w:t>日</w:t>
            </w:r>
            <w:r>
              <w:rPr>
                <w:rFonts w:hint="eastAsia"/>
                <w:kern w:val="2"/>
                <w:sz w:val="21"/>
                <w:szCs w:val="24"/>
                <w:lang w:eastAsia="zh-Hans"/>
              </w:rPr>
              <w:t xml:space="preserve"> - 2026</w:t>
            </w:r>
            <w:r>
              <w:rPr>
                <w:rFonts w:hint="eastAsia"/>
                <w:kern w:val="2"/>
                <w:sz w:val="21"/>
                <w:szCs w:val="24"/>
                <w:lang w:eastAsia="zh-Hans"/>
              </w:rPr>
              <w:t>年</w:t>
            </w:r>
            <w:r>
              <w:rPr>
                <w:rFonts w:hint="eastAsia"/>
                <w:kern w:val="2"/>
                <w:sz w:val="21"/>
                <w:szCs w:val="24"/>
                <w:lang w:eastAsia="zh-Hans"/>
              </w:rPr>
              <w:t>6</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12427857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78FE" w:rsidRDefault="008B78FE">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8B78FE" w:rsidRDefault="008B78FE">
            <w:pPr>
              <w:jc w:val="center"/>
              <w:rPr>
                <w:rFonts w:hint="eastAsia"/>
              </w:rPr>
            </w:pPr>
            <w:r>
              <w:rPr>
                <w:rFonts w:ascii="宋体" w:hAnsi="宋体" w:hint="eastAsia"/>
                <w:szCs w:val="24"/>
                <w:lang w:eastAsia="zh-Hans"/>
              </w:rPr>
              <w:t>摩根均衡成长混合</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8B78FE" w:rsidRDefault="008B78FE">
            <w:pPr>
              <w:jc w:val="center"/>
            </w:pPr>
            <w:r>
              <w:rPr>
                <w:rFonts w:ascii="宋体" w:hAnsi="宋体" w:hint="eastAsia"/>
                <w:szCs w:val="24"/>
                <w:lang w:eastAsia="zh-Hans"/>
              </w:rPr>
              <w:t>摩根均衡成长混合</w:t>
            </w:r>
            <w:r>
              <w:rPr>
                <w:rFonts w:ascii="宋体" w:hAnsi="宋体" w:hint="eastAsia"/>
                <w:szCs w:val="24"/>
                <w:lang w:eastAsia="zh-Hans"/>
              </w:rPr>
              <w:t>C</w:t>
            </w:r>
          </w:p>
        </w:tc>
      </w:tr>
      <w:tr w:rsidR="00000000">
        <w:trPr>
          <w:divId w:val="1242785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pStyle w:val="a5"/>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rPr>
                <w:rFonts w:hint="eastAsia"/>
              </w:rPr>
            </w:pPr>
            <w:r>
              <w:rPr>
                <w:rFonts w:ascii="宋体" w:hAnsi="宋体" w:hint="eastAsia"/>
                <w:szCs w:val="24"/>
                <w:lang w:eastAsia="zh-Hans"/>
              </w:rPr>
              <w:t>4,634,947.5</w:t>
            </w:r>
            <w:r>
              <w:rPr>
                <w:rFonts w:ascii="宋体" w:hAnsi="宋体" w:hint="eastAsia"/>
                <w:szCs w:val="24"/>
                <w:lang w:eastAsia="zh-Hans"/>
              </w:rPr>
              <w:t>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pPr>
            <w:r>
              <w:rPr>
                <w:rFonts w:ascii="宋体" w:hAnsi="宋体" w:hint="eastAsia"/>
                <w:szCs w:val="24"/>
                <w:lang w:eastAsia="zh-Hans"/>
              </w:rPr>
              <w:t>4,507,633.6</w:t>
            </w:r>
            <w:r>
              <w:rPr>
                <w:rFonts w:ascii="宋体" w:hAnsi="宋体" w:hint="eastAsia"/>
                <w:szCs w:val="24"/>
                <w:lang w:eastAsia="zh-Hans"/>
              </w:rPr>
              <w:t>5</w:t>
            </w:r>
          </w:p>
        </w:tc>
      </w:tr>
      <w:tr w:rsidR="00000000">
        <w:trPr>
          <w:divId w:val="1242785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rPr>
                <w:rFonts w:hint="eastAsia"/>
              </w:rPr>
            </w:pPr>
            <w:r>
              <w:rPr>
                <w:rFonts w:ascii="宋体" w:hAnsi="宋体" w:hint="eastAsia"/>
                <w:szCs w:val="24"/>
                <w:lang w:eastAsia="zh-Hans"/>
              </w:rPr>
              <w:t>-11,068,862.5</w:t>
            </w:r>
            <w:r>
              <w:rPr>
                <w:rFonts w:ascii="宋体" w:hAnsi="宋体" w:hint="eastAsia"/>
                <w:szCs w:val="24"/>
                <w:lang w:eastAsia="zh-Hans"/>
              </w:rPr>
              <w:t>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pPr>
            <w:r>
              <w:rPr>
                <w:rFonts w:ascii="宋体" w:hAnsi="宋体" w:hint="eastAsia"/>
                <w:szCs w:val="24"/>
                <w:lang w:eastAsia="zh-Hans"/>
              </w:rPr>
              <w:t>-10,965,520.4</w:t>
            </w:r>
            <w:r>
              <w:rPr>
                <w:rFonts w:ascii="宋体" w:hAnsi="宋体" w:hint="eastAsia"/>
                <w:szCs w:val="24"/>
                <w:lang w:eastAsia="zh-Hans"/>
              </w:rPr>
              <w:t>4</w:t>
            </w:r>
          </w:p>
        </w:tc>
      </w:tr>
      <w:tr w:rsidR="00000000">
        <w:trPr>
          <w:divId w:val="1242785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rPr>
                <w:rFonts w:hint="eastAsia"/>
              </w:rPr>
            </w:pPr>
            <w:r>
              <w:rPr>
                <w:rFonts w:ascii="宋体" w:hAnsi="宋体" w:hint="eastAsia"/>
                <w:szCs w:val="24"/>
                <w:lang w:eastAsia="zh-Hans"/>
              </w:rPr>
              <w:t>-0.048</w:t>
            </w:r>
            <w:r>
              <w:rPr>
                <w:rFonts w:ascii="宋体" w:hAnsi="宋体" w:hint="eastAsia"/>
                <w:szCs w:val="24"/>
                <w:lang w:eastAsia="zh-Hans"/>
              </w:rPr>
              <w:t>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pPr>
            <w:r>
              <w:rPr>
                <w:rFonts w:ascii="宋体" w:hAnsi="宋体" w:hint="eastAsia"/>
                <w:szCs w:val="24"/>
                <w:lang w:eastAsia="zh-Hans"/>
              </w:rPr>
              <w:t>-0.044</w:t>
            </w:r>
            <w:r>
              <w:rPr>
                <w:rFonts w:ascii="宋体" w:hAnsi="宋体" w:hint="eastAsia"/>
                <w:szCs w:val="24"/>
                <w:lang w:eastAsia="zh-Hans"/>
              </w:rPr>
              <w:t>2</w:t>
            </w:r>
          </w:p>
        </w:tc>
      </w:tr>
      <w:tr w:rsidR="00000000">
        <w:trPr>
          <w:divId w:val="1242785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rPr>
                <w:rFonts w:hint="eastAsia"/>
              </w:rPr>
            </w:pPr>
            <w:r>
              <w:rPr>
                <w:rFonts w:ascii="宋体" w:hAnsi="宋体" w:hint="eastAsia"/>
                <w:szCs w:val="24"/>
                <w:lang w:eastAsia="zh-Hans"/>
              </w:rPr>
              <w:t>178,323,083.7</w:t>
            </w:r>
            <w:r>
              <w:rPr>
                <w:rFonts w:ascii="宋体" w:hAnsi="宋体" w:hint="eastAsia"/>
                <w:szCs w:val="24"/>
                <w:lang w:eastAsia="zh-Hans"/>
              </w:rPr>
              <w:t>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pPr>
            <w:r>
              <w:rPr>
                <w:rFonts w:ascii="宋体" w:hAnsi="宋体" w:hint="eastAsia"/>
                <w:szCs w:val="24"/>
                <w:lang w:eastAsia="zh-Hans"/>
              </w:rPr>
              <w:t>150,853,843.8</w:t>
            </w:r>
            <w:r>
              <w:rPr>
                <w:rFonts w:ascii="宋体" w:hAnsi="宋体" w:hint="eastAsia"/>
                <w:szCs w:val="24"/>
                <w:lang w:eastAsia="zh-Hans"/>
              </w:rPr>
              <w:t>2</w:t>
            </w:r>
          </w:p>
        </w:tc>
      </w:tr>
      <w:tr w:rsidR="00000000">
        <w:trPr>
          <w:divId w:val="12427857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rPr>
                <w:rFonts w:hint="eastAsia"/>
              </w:rPr>
            </w:pPr>
            <w:r>
              <w:rPr>
                <w:rFonts w:ascii="宋体" w:hAnsi="宋体" w:hint="eastAsia"/>
                <w:szCs w:val="24"/>
                <w:lang w:eastAsia="zh-Hans"/>
              </w:rPr>
              <w:t>0.946</w:t>
            </w:r>
            <w:r>
              <w:rPr>
                <w:rFonts w:ascii="宋体" w:hAnsi="宋体" w:hint="eastAsia"/>
                <w:szCs w:val="24"/>
                <w:lang w:eastAsia="zh-Hans"/>
              </w:rPr>
              <w:t>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8B78FE" w:rsidRDefault="008B78FE">
            <w:pPr>
              <w:jc w:val="right"/>
            </w:pPr>
            <w:r>
              <w:rPr>
                <w:rFonts w:ascii="宋体" w:hAnsi="宋体" w:hint="eastAsia"/>
                <w:szCs w:val="24"/>
                <w:lang w:eastAsia="zh-Hans"/>
              </w:rPr>
              <w:t>0.945</w:t>
            </w:r>
            <w:r>
              <w:rPr>
                <w:rFonts w:ascii="宋体" w:hAnsi="宋体" w:hint="eastAsia"/>
                <w:szCs w:val="24"/>
                <w:lang w:eastAsia="zh-Hans"/>
              </w:rPr>
              <w:t>1</w:t>
            </w:r>
          </w:p>
        </w:tc>
      </w:tr>
    </w:tbl>
    <w:p w:rsidR="008B78FE" w:rsidRDefault="008B78FE">
      <w:pPr>
        <w:wordWrap w:val="0"/>
        <w:spacing w:line="360" w:lineRule="auto"/>
        <w:jc w:val="left"/>
        <w:divId w:val="231743725"/>
      </w:pPr>
      <w:r>
        <w:rPr>
          <w:rFonts w:ascii="宋体" w:hAnsi="宋体" w:hint="eastAsia"/>
          <w:szCs w:val="21"/>
        </w:rPr>
        <w:t>注</w:t>
      </w:r>
      <w:r>
        <w:rPr>
          <w:rFonts w:ascii="宋体" w:hAnsi="宋体" w:hint="eastAsia"/>
          <w:szCs w:val="21"/>
        </w:rPr>
        <w:t>：</w:t>
      </w:r>
      <w:r>
        <w:rPr>
          <w:rFonts w:ascii="宋体" w:hAnsi="宋体" w:hint="eastAsia"/>
          <w:szCs w:val="21"/>
        </w:rPr>
        <w:t>本期已实现收益指基金本期利息收入、投资收益、其他收入</w:t>
      </w:r>
      <w:r>
        <w:rPr>
          <w:rFonts w:ascii="宋体" w:hAnsi="宋体" w:hint="eastAsia"/>
          <w:szCs w:val="21"/>
        </w:rPr>
        <w:t>(</w:t>
      </w:r>
      <w:r>
        <w:rPr>
          <w:rFonts w:ascii="宋体" w:hAnsi="宋体" w:hint="eastAsia"/>
          <w:szCs w:val="21"/>
        </w:rPr>
        <w:t>不含公允价值变动收益</w:t>
      </w:r>
      <w:r>
        <w:rPr>
          <w:rFonts w:ascii="宋体" w:hAnsi="宋体" w:hint="eastAsia"/>
          <w:szCs w:val="21"/>
        </w:rPr>
        <w:t>)</w:t>
      </w:r>
      <w:r>
        <w:rPr>
          <w:rFonts w:ascii="宋体" w:hAnsi="宋体" w:hint="eastAsia"/>
          <w:szCs w:val="21"/>
        </w:rPr>
        <w:t>扣除相关费用后的余额</w:t>
      </w:r>
      <w:r>
        <w:rPr>
          <w:rFonts w:ascii="宋体" w:hAnsi="宋体" w:hint="eastAsia"/>
          <w:szCs w:val="21"/>
        </w:rPr>
        <w:t>,</w:t>
      </w:r>
      <w:r>
        <w:rPr>
          <w:rFonts w:ascii="宋体" w:hAnsi="宋体" w:hint="eastAsia"/>
          <w:szCs w:val="21"/>
        </w:rPr>
        <w:t>本期利润为本期已实现收益加上本期公允价值变动收益。</w:t>
      </w:r>
      <w:r>
        <w:rPr>
          <w:rFonts w:ascii="宋体" w:hAnsi="宋体" w:hint="eastAsia"/>
          <w:szCs w:val="21"/>
        </w:rPr>
        <w:br/>
      </w:r>
      <w:r>
        <w:rPr>
          <w:rFonts w:ascii="宋体" w:hAnsi="宋体" w:hint="eastAsia"/>
          <w:szCs w:val="21"/>
        </w:rP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r>
      <w:r>
        <w:rPr>
          <w:rFonts w:ascii="宋体" w:hAnsi="宋体" w:hint="eastAsia"/>
          <w:szCs w:val="21"/>
        </w:rPr>
        <w:lastRenderedPageBreak/>
        <w:t xml:space="preserve">　　</w:t>
      </w:r>
      <w:r>
        <w:rPr>
          <w:rFonts w:ascii="宋体" w:hAnsi="宋体" w:hint="eastAsia"/>
          <w:szCs w:val="21"/>
        </w:rPr>
        <w:t>2.</w:t>
      </w:r>
      <w:r>
        <w:rPr>
          <w:rFonts w:ascii="宋体" w:hAnsi="宋体" w:hint="eastAsia"/>
          <w:szCs w:val="21"/>
        </w:rPr>
        <w:t>基金合同在当期生效</w:t>
      </w:r>
      <w:r>
        <w:rPr>
          <w:rFonts w:ascii="宋体" w:hAnsi="宋体" w:hint="eastAsia"/>
          <w:szCs w:val="21"/>
        </w:rPr>
        <w:t>。</w:t>
      </w:r>
    </w:p>
    <w:p w:rsidR="008B78FE" w:rsidRDefault="008B78F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w:t>
      </w:r>
      <w:r>
        <w:rPr>
          <w:rFonts w:hAnsi="宋体" w:hint="eastAsia"/>
        </w:rPr>
        <w:t>现</w:t>
      </w:r>
      <w:bookmarkEnd w:id="52"/>
      <w:bookmarkEnd w:id="53"/>
      <w:bookmarkEnd w:id="54"/>
      <w:bookmarkEnd w:id="55"/>
      <w:bookmarkEnd w:id="56"/>
      <w:bookmarkEnd w:id="57"/>
      <w:bookmarkEnd w:id="58"/>
      <w:bookmarkEnd w:id="59"/>
      <w:r>
        <w:rPr>
          <w:rFonts w:hAnsi="宋体" w:hint="eastAsia"/>
        </w:rPr>
        <w:t xml:space="preserve"> </w:t>
      </w:r>
    </w:p>
    <w:p w:rsidR="008B78FE" w:rsidRDefault="008B78FE">
      <w:pPr>
        <w:pStyle w:val="XBRLTitle3"/>
        <w:spacing w:before="156"/>
        <w:ind w:left="0"/>
        <w:rPr>
          <w:rFonts w:hint="eastAsia"/>
        </w:rPr>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w:t>
      </w:r>
      <w:r>
        <w:rPr>
          <w:rFonts w:hint="eastAsia"/>
        </w:rPr>
        <w:t>较</w:t>
      </w:r>
      <w:bookmarkEnd w:id="60"/>
      <w:bookmarkEnd w:id="61"/>
      <w:bookmarkEnd w:id="62"/>
      <w:bookmarkEnd w:id="63"/>
      <w:bookmarkEnd w:id="64"/>
      <w:r>
        <w:rPr>
          <w:rFonts w:hint="eastAsia"/>
          <w:lang w:eastAsia="zh-CN"/>
        </w:rPr>
        <w:t xml:space="preserve"> </w:t>
      </w:r>
    </w:p>
    <w:p w:rsidR="008B78FE" w:rsidRDefault="008B78FE">
      <w:pPr>
        <w:spacing w:line="360" w:lineRule="auto"/>
        <w:jc w:val="center"/>
        <w:divId w:val="1176068037"/>
        <w:rPr>
          <w:rFonts w:hint="eastAsia"/>
        </w:rPr>
      </w:pPr>
      <w:r>
        <w:rPr>
          <w:rFonts w:ascii="宋体" w:hAnsi="宋体" w:hint="eastAsia"/>
        </w:rPr>
        <w:t>摩根均衡成长混合</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1760680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pacing w:line="360" w:lineRule="auto"/>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②－④</w:t>
            </w:r>
            <w:r>
              <w:rPr>
                <w:rFonts w:ascii="宋体" w:hAnsi="宋体" w:hint="eastAsia"/>
              </w:rPr>
              <w:t xml:space="preserve"> </w:t>
            </w:r>
          </w:p>
        </w:tc>
      </w:tr>
      <w:tr w:rsidR="00000000">
        <w:trPr>
          <w:divId w:val="11760680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-5.4</w:t>
            </w:r>
            <w:r>
              <w:rPr>
                <w:rFonts w:ascii="宋体" w:hAnsi="宋体" w:hint="eastAsia"/>
              </w:rPr>
              <w:t>0</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0.8</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5.1</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0.9</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8B78FE" w:rsidRDefault="008B78FE">
            <w:pPr>
              <w:spacing w:line="360" w:lineRule="auto"/>
              <w:jc w:val="right"/>
            </w:pPr>
            <w:r>
              <w:rPr>
                <w:rFonts w:ascii="宋体" w:hAnsi="宋体" w:hint="eastAsia"/>
              </w:rPr>
              <w:t>-10.5</w:t>
            </w:r>
            <w:r>
              <w:rPr>
                <w:rFonts w:ascii="宋体" w:hAnsi="宋体" w:hint="eastAsia"/>
              </w:rPr>
              <w:t>7</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-0.1</w:t>
            </w:r>
            <w:r>
              <w:rPr>
                <w:rFonts w:ascii="宋体" w:hAnsi="宋体" w:hint="eastAsia"/>
              </w:rPr>
              <w:t>3</w:t>
            </w:r>
            <w:r>
              <w:rPr>
                <w:rFonts w:ascii="宋体" w:hAnsi="宋体" w:hint="eastAsia"/>
              </w:rPr>
              <w:t xml:space="preserve">% </w:t>
            </w:r>
          </w:p>
        </w:tc>
      </w:tr>
    </w:tbl>
    <w:p w:rsidR="008B78FE" w:rsidRDefault="008B78FE">
      <w:pPr>
        <w:spacing w:line="360" w:lineRule="auto"/>
        <w:jc w:val="center"/>
        <w:divId w:val="130290492"/>
      </w:pPr>
      <w:r>
        <w:rPr>
          <w:rFonts w:ascii="宋体" w:hAnsi="宋体" w:hint="eastAsia"/>
        </w:rPr>
        <w:t>摩根均衡成长混合</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3029049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pacing w:line="360" w:lineRule="auto"/>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3029049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-5.4</w:t>
            </w:r>
            <w:r>
              <w:rPr>
                <w:rFonts w:ascii="宋体" w:hAnsi="宋体" w:hint="eastAsia"/>
              </w:rPr>
              <w:t>9</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0.8</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5.1</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0.9</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8B78FE" w:rsidRDefault="008B78FE">
            <w:pPr>
              <w:spacing w:line="360" w:lineRule="auto"/>
              <w:jc w:val="right"/>
            </w:pPr>
            <w:r>
              <w:rPr>
                <w:rFonts w:ascii="宋体" w:hAnsi="宋体" w:hint="eastAsia"/>
              </w:rPr>
              <w:t>-10.6</w:t>
            </w:r>
            <w:r>
              <w:rPr>
                <w:rFonts w:ascii="宋体" w:hAnsi="宋体" w:hint="eastAsia"/>
              </w:rPr>
              <w:t>6</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spacing w:line="360" w:lineRule="auto"/>
              <w:jc w:val="right"/>
            </w:pPr>
            <w:r>
              <w:rPr>
                <w:rFonts w:ascii="宋体" w:hAnsi="宋体" w:hint="eastAsia"/>
              </w:rPr>
              <w:t>-0.1</w:t>
            </w:r>
            <w:r>
              <w:rPr>
                <w:rFonts w:ascii="宋体" w:hAnsi="宋体" w:hint="eastAsia"/>
              </w:rPr>
              <w:t>3</w:t>
            </w:r>
            <w:r>
              <w:rPr>
                <w:rFonts w:ascii="宋体" w:hAnsi="宋体" w:hint="eastAsia"/>
              </w:rPr>
              <w:t>%</w:t>
            </w:r>
            <w:r>
              <w:rPr>
                <w:rFonts w:ascii="宋体" w:hAnsi="宋体" w:hint="eastAsia"/>
              </w:rPr>
              <w:t xml:space="preserve"> </w:t>
            </w:r>
          </w:p>
        </w:tc>
      </w:tr>
    </w:tbl>
    <w:p w:rsidR="008B78FE" w:rsidRDefault="008B78FE">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w:t>
      </w:r>
      <w:r>
        <w:rPr>
          <w:rFonts w:hint="eastAsia"/>
        </w:rPr>
        <w:t>来</w:t>
      </w:r>
      <w:r>
        <w:rPr>
          <w:rFonts w:hint="eastAsia"/>
        </w:rPr>
        <w:t>基金累计净值增长率变动及其与同期业绩比较基准收益率变动的比</w:t>
      </w:r>
      <w:r>
        <w:rPr>
          <w:rFonts w:hint="eastAsia"/>
        </w:rPr>
        <w:t>较</w:t>
      </w:r>
      <w:bookmarkEnd w:id="65"/>
      <w:bookmarkEnd w:id="66"/>
      <w:bookmarkEnd w:id="67"/>
      <w:bookmarkEnd w:id="68"/>
      <w:bookmarkEnd w:id="69"/>
    </w:p>
    <w:p w:rsidR="008B78FE" w:rsidRDefault="008B78FE">
      <w:pPr>
        <w:spacing w:line="360" w:lineRule="auto"/>
        <w:jc w:val="left"/>
        <w:divId w:val="1858811114"/>
        <w:rPr>
          <w:rFonts w:hint="eastAsia"/>
        </w:rPr>
      </w:pPr>
      <w:bookmarkStart w:id="70" w:name="m07_04_07_09"/>
      <w:bookmarkStart w:id="71" w:name="m07_04_07_09_tab"/>
      <w:r>
        <w:rPr>
          <w:rFonts w:ascii="宋体" w:hAnsi="宋体" w:hint="eastAsia"/>
          <w:noProof/>
        </w:rPr>
        <w:drawing>
          <wp:inline distT="0" distB="0" distL="0" distR="0">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8B78FE" w:rsidRDefault="008B78FE">
      <w:pPr>
        <w:spacing w:line="360" w:lineRule="auto"/>
        <w:jc w:val="left"/>
        <w:divId w:val="315955368"/>
      </w:pPr>
      <w:r>
        <w:rPr>
          <w:rFonts w:ascii="宋体" w:hAnsi="宋体" w:hint="eastAsia"/>
          <w:noProof/>
        </w:rPr>
        <w:lastRenderedPageBreak/>
        <w:drawing>
          <wp:inline distT="0" distB="0" distL="0" distR="0">
            <wp:extent cx="5229225" cy="30099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8B78FE" w:rsidRDefault="008B78FE">
      <w:pPr>
        <w:spacing w:line="360" w:lineRule="auto"/>
      </w:pPr>
      <w:r>
        <w:rPr>
          <w:rFonts w:ascii="宋体" w:hAnsi="宋体" w:hint="eastAsia"/>
        </w:rPr>
        <w:t>注</w:t>
      </w:r>
      <w:r>
        <w:rPr>
          <w:rFonts w:ascii="宋体" w:hAnsi="宋体" w:hint="eastAsia"/>
        </w:rPr>
        <w:t>：</w:t>
      </w:r>
      <w:r>
        <w:rPr>
          <w:rFonts w:ascii="宋体" w:hAnsi="宋体" w:hint="eastAsia"/>
          <w:lang w:eastAsia="zh-Hans"/>
        </w:rPr>
        <w:t>本基金合同生效日为</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14</w:t>
      </w:r>
      <w:r>
        <w:rPr>
          <w:rFonts w:ascii="宋体" w:hAnsi="宋体" w:hint="eastAsia"/>
          <w:lang w:eastAsia="zh-Hans"/>
        </w:rPr>
        <w:t>日，截至本报告期末本基金合同生效未满一年。</w:t>
      </w:r>
      <w:r>
        <w:rPr>
          <w:rFonts w:ascii="宋体" w:hAnsi="宋体" w:hint="eastAsia"/>
          <w:lang w:eastAsia="zh-Hans"/>
        </w:rPr>
        <w:br/>
      </w:r>
      <w:r>
        <w:rPr>
          <w:rFonts w:ascii="宋体" w:hAnsi="宋体" w:hint="eastAsia"/>
          <w:lang w:eastAsia="zh-Hans"/>
        </w:rPr>
        <w:t xml:space="preserve">本基金建仓期为本基金合同生效日起　</w:t>
      </w:r>
      <w:r>
        <w:rPr>
          <w:rFonts w:ascii="宋体" w:hAnsi="宋体" w:hint="eastAsia"/>
          <w:lang w:eastAsia="zh-Hans"/>
        </w:rPr>
        <w:t>6</w:t>
      </w:r>
      <w:r>
        <w:rPr>
          <w:rFonts w:ascii="宋体" w:hAnsi="宋体" w:hint="eastAsia"/>
          <w:lang w:eastAsia="zh-Hans"/>
        </w:rPr>
        <w:t xml:space="preserve">　个月，截至本报告期末本基金仍处于建仓期</w:t>
      </w:r>
      <w:r>
        <w:rPr>
          <w:rFonts w:ascii="宋体" w:hAnsi="宋体" w:hint="eastAsia"/>
          <w:lang w:eastAsia="zh-Hans"/>
        </w:rPr>
        <w:t>。</w:t>
      </w:r>
      <w:r>
        <w:rPr>
          <w:rFonts w:ascii="宋体" w:hAnsi="宋体" w:hint="eastAsia"/>
          <w:kern w:val="0"/>
          <w:lang w:eastAsia="zh-Hans"/>
        </w:rPr>
        <w:t xml:space="preserve"> </w:t>
      </w:r>
    </w:p>
    <w:p w:rsidR="008B78FE" w:rsidRDefault="008B78F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w:t>
      </w:r>
      <w:r>
        <w:rPr>
          <w:rFonts w:hAnsi="宋体" w:hint="eastAsia"/>
        </w:rPr>
        <w:t>告</w:t>
      </w:r>
      <w:bookmarkEnd w:id="72"/>
      <w:bookmarkEnd w:id="73"/>
      <w:bookmarkEnd w:id="74"/>
      <w:bookmarkEnd w:id="75"/>
      <w:bookmarkEnd w:id="76"/>
      <w:bookmarkEnd w:id="77"/>
      <w:bookmarkEnd w:id="78"/>
      <w:bookmarkEnd w:id="79"/>
      <w:r>
        <w:rPr>
          <w:rFonts w:hAnsi="宋体" w:hint="eastAsia"/>
        </w:rPr>
        <w:t xml:space="preserve"> </w:t>
      </w:r>
    </w:p>
    <w:p w:rsidR="008B78FE" w:rsidRDefault="008B78FE">
      <w:pPr>
        <w:pStyle w:val="XBRLTitle2"/>
        <w:spacing w:before="156" w:line="360" w:lineRule="auto"/>
        <w:ind w:left="454"/>
        <w:rPr>
          <w:rFonts w:hint="eastAsia"/>
        </w:rPr>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w:t>
      </w:r>
      <w:r>
        <w:rPr>
          <w:rFonts w:hAnsi="宋体" w:hint="eastAsia"/>
        </w:rPr>
        <w:t>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00000">
        <w:trPr>
          <w:divId w:val="165560204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jc w:val="center"/>
              <w:rPr>
                <w:rFonts w:hint="eastAsia"/>
              </w:rP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65560204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78FE" w:rsidRDefault="008B78F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78FE" w:rsidRDefault="008B78F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78FE" w:rsidRDefault="008B78F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78FE" w:rsidRDefault="008B78FE">
            <w:pPr>
              <w:widowControl/>
              <w:jc w:val="left"/>
            </w:pPr>
          </w:p>
        </w:tc>
      </w:tr>
      <w:tr w:rsidR="00000000">
        <w:trPr>
          <w:divId w:val="165560204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李</w:t>
            </w:r>
            <w:r>
              <w:rPr>
                <w:rFonts w:ascii="宋体" w:hAnsi="宋体" w:hint="eastAsia"/>
                <w:szCs w:val="24"/>
                <w:lang w:eastAsia="zh-Hans"/>
              </w:rPr>
              <w:t>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szCs w:val="24"/>
                <w:lang w:eastAsia="zh-Hans"/>
              </w:rPr>
              <w:t>-</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2026</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17</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szCs w:val="24"/>
                <w:lang w:eastAsia="zh-Hans"/>
              </w:rPr>
              <w:t>李博先生曾任中银国际证券有限公司研究员。</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月起加入摩根基金管理（中国）有限公司（原上投摩根基金管理有限公司），历任行业专家、基金经理，现任国内权益投资部均衡成长组组长兼资深基金经理</w:t>
            </w:r>
            <w:r>
              <w:rPr>
                <w:rFonts w:ascii="宋体" w:hAnsi="宋体" w:hint="eastAsia"/>
                <w:szCs w:val="24"/>
                <w:lang w:eastAsia="zh-Hans"/>
              </w:rPr>
              <w:t>。</w:t>
            </w:r>
          </w:p>
        </w:tc>
      </w:tr>
    </w:tbl>
    <w:p w:rsidR="008B78FE" w:rsidRDefault="008B78FE">
      <w:pPr>
        <w:wordWrap w:val="0"/>
        <w:spacing w:line="360" w:lineRule="auto"/>
        <w:jc w:val="left"/>
        <w:divId w:val="151991816"/>
      </w:pPr>
      <w:r>
        <w:rPr>
          <w:rFonts w:ascii="宋体" w:hAnsi="宋体" w:hint="eastAsia"/>
          <w:szCs w:val="21"/>
        </w:rPr>
        <w:t>注</w:t>
      </w:r>
      <w:r>
        <w:rPr>
          <w:rFonts w:ascii="宋体" w:hAnsi="宋体" w:hint="eastAsia"/>
          <w:szCs w:val="21"/>
        </w:rPr>
        <w:t>：</w:t>
      </w:r>
      <w:r>
        <w:rPr>
          <w:rFonts w:ascii="宋体" w:hAnsi="宋体" w:hint="eastAsia"/>
          <w:szCs w:val="21"/>
        </w:rPr>
        <w:t>1.</w:t>
      </w:r>
      <w:r>
        <w:rPr>
          <w:rFonts w:ascii="宋体" w:hAnsi="宋体" w:hint="eastAsia"/>
          <w:szCs w:val="21"/>
        </w:rPr>
        <w:t>对基金的首任基金经理，其</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为基金合同生效日，</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为根据公司决定确定的解聘日期；对非首任基金经理，</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和</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分别指根据公司决定确定的聘任日期和解聘日期。</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证券从业的含义遵从中国证监会及行业协会的相关规定</w:t>
      </w:r>
      <w:r>
        <w:rPr>
          <w:rFonts w:ascii="宋体" w:hAnsi="宋体" w:hint="eastAsia"/>
          <w:szCs w:val="21"/>
        </w:rPr>
        <w:t>。</w:t>
      </w:r>
    </w:p>
    <w:p w:rsidR="008B78FE" w:rsidRDefault="008B78F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w:t>
      </w:r>
      <w:r>
        <w:rPr>
          <w:rFonts w:hAnsi="宋体" w:hint="eastAsia"/>
        </w:rPr>
        <w:t>明</w:t>
      </w:r>
      <w:bookmarkEnd w:id="89"/>
      <w:bookmarkEnd w:id="90"/>
      <w:bookmarkEnd w:id="91"/>
      <w:bookmarkEnd w:id="92"/>
      <w:bookmarkEnd w:id="93"/>
      <w:bookmarkEnd w:id="94"/>
      <w:bookmarkEnd w:id="95"/>
      <w:bookmarkEnd w:id="96"/>
      <w:r>
        <w:rPr>
          <w:rFonts w:hAnsi="宋体" w:hint="eastAsia"/>
        </w:rPr>
        <w:t xml:space="preserve"> </w:t>
      </w:r>
    </w:p>
    <w:p w:rsidR="008B78FE" w:rsidRDefault="008B78FE">
      <w:pPr>
        <w:spacing w:line="360" w:lineRule="auto"/>
        <w:ind w:firstLineChars="200" w:firstLine="420"/>
        <w:jc w:val="left"/>
        <w:rPr>
          <w:rFonts w:hint="eastAsia"/>
        </w:rPr>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r>
        <w:rPr>
          <w:rFonts w:ascii="宋体" w:hAnsi="宋体" w:hint="eastAsia"/>
        </w:rPr>
        <w:t>。</w:t>
      </w:r>
    </w:p>
    <w:p w:rsidR="008B78FE" w:rsidRDefault="008B78F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lastRenderedPageBreak/>
        <w:t>公平交易专项说</w:t>
      </w:r>
      <w:r>
        <w:rPr>
          <w:rFonts w:hAnsi="宋体" w:hint="eastAsia"/>
        </w:rPr>
        <w:t>明</w:t>
      </w:r>
      <w:bookmarkEnd w:id="99"/>
      <w:bookmarkEnd w:id="100"/>
      <w:bookmarkEnd w:id="101"/>
      <w:bookmarkEnd w:id="102"/>
      <w:bookmarkEnd w:id="103"/>
      <w:bookmarkEnd w:id="104"/>
      <w:bookmarkEnd w:id="105"/>
      <w:bookmarkEnd w:id="106"/>
      <w:r>
        <w:rPr>
          <w:rFonts w:hAnsi="宋体" w:hint="eastAsia"/>
        </w:rPr>
        <w:t xml:space="preserve"> </w:t>
      </w:r>
    </w:p>
    <w:p w:rsidR="008B78FE" w:rsidRDefault="008B78FE">
      <w:pPr>
        <w:pStyle w:val="XBRLTitle3"/>
        <w:spacing w:before="156"/>
        <w:ind w:left="0"/>
        <w:rPr>
          <w:rFonts w:hint="eastAsia"/>
        </w:rPr>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w:t>
      </w:r>
      <w:r>
        <w:rPr>
          <w:rFonts w:hint="eastAsia"/>
        </w:rPr>
        <w:t>况</w:t>
      </w:r>
      <w:bookmarkEnd w:id="107"/>
      <w:bookmarkEnd w:id="108"/>
      <w:bookmarkEnd w:id="109"/>
      <w:bookmarkEnd w:id="110"/>
      <w:bookmarkEnd w:id="111"/>
    </w:p>
    <w:p w:rsidR="008B78FE" w:rsidRDefault="008B78FE">
      <w:pPr>
        <w:spacing w:line="360" w:lineRule="auto"/>
        <w:ind w:firstLineChars="200" w:firstLine="420"/>
        <w:jc w:val="left"/>
        <w:rPr>
          <w:rFonts w:hint="eastAsia"/>
        </w:rPr>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t xml:space="preserve">　　报告期内，通过对不同投资组合之间的收益率差异比较、对同向交易和反向交易的交易时机和交易价差监控分析，未发现整体公平交易执行出现异常的情况</w:t>
      </w:r>
      <w:r>
        <w:rPr>
          <w:rFonts w:ascii="宋体" w:hAnsi="宋体" w:cs="宋体" w:hint="eastAsia"/>
          <w:color w:val="000000"/>
          <w:kern w:val="0"/>
        </w:rPr>
        <w:t>。</w:t>
      </w:r>
    </w:p>
    <w:p w:rsidR="008B78FE" w:rsidRDefault="008B78F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w:t>
      </w:r>
      <w:r>
        <w:rPr>
          <w:rFonts w:hint="eastAsia"/>
        </w:rPr>
        <w:t>明</w:t>
      </w:r>
      <w:bookmarkEnd w:id="113"/>
      <w:bookmarkEnd w:id="114"/>
      <w:bookmarkEnd w:id="115"/>
      <w:bookmarkEnd w:id="116"/>
      <w:bookmarkEnd w:id="117"/>
    </w:p>
    <w:p w:rsidR="008B78FE" w:rsidRDefault="008B78FE">
      <w:pPr>
        <w:spacing w:line="360" w:lineRule="auto"/>
        <w:ind w:firstLineChars="200" w:firstLine="420"/>
        <w:jc w:val="left"/>
        <w:rPr>
          <w:rFonts w:hint="eastAsia"/>
        </w:rPr>
      </w:pPr>
      <w:r>
        <w:rPr>
          <w:rFonts w:ascii="宋体" w:hAnsi="宋体" w:cs="宋体" w:hint="eastAsia"/>
          <w:color w:val="000000"/>
          <w:kern w:val="0"/>
        </w:rPr>
        <w:t>报告期内，通过对交易价格、交易时间、交易方向等的分析，未发现有可能导致不公平交易和利益输送的异常交易行为。</w:t>
      </w:r>
      <w:r>
        <w:rPr>
          <w:rFonts w:ascii="宋体" w:hAnsi="宋体" w:cs="宋体" w:hint="eastAsia"/>
          <w:color w:val="000000"/>
          <w:kern w:val="0"/>
        </w:rPr>
        <w:br/>
      </w:r>
      <w:r>
        <w:rPr>
          <w:rFonts w:ascii="宋体" w:hAnsi="宋体" w:cs="宋体" w:hint="eastAsia"/>
          <w:color w:val="000000"/>
          <w:kern w:val="0"/>
        </w:rPr>
        <w:t xml:space="preserve">　　所有投资组合参与的交易所公开竞价同日反向交易成交较少的单边交易量超过该证券当日成交量的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的情形：无</w:t>
      </w:r>
      <w:r>
        <w:rPr>
          <w:rFonts w:ascii="宋体" w:hAnsi="宋体" w:cs="宋体" w:hint="eastAsia"/>
          <w:color w:val="000000"/>
          <w:kern w:val="0"/>
        </w:rPr>
        <w:t>。</w:t>
      </w:r>
    </w:p>
    <w:p w:rsidR="008B78FE" w:rsidRDefault="008B78F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w:t>
      </w:r>
      <w:r>
        <w:rPr>
          <w:rFonts w:hAnsi="宋体" w:hint="eastAsia"/>
        </w:rPr>
        <w:t>析</w:t>
      </w:r>
      <w:bookmarkEnd w:id="119"/>
      <w:bookmarkEnd w:id="120"/>
      <w:bookmarkEnd w:id="121"/>
      <w:bookmarkEnd w:id="122"/>
      <w:bookmarkEnd w:id="123"/>
      <w:bookmarkEnd w:id="124"/>
      <w:bookmarkEnd w:id="125"/>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cs="宋体" w:hint="eastAsia"/>
          <w:color w:val="000000"/>
          <w:kern w:val="0"/>
        </w:rPr>
        <w:t>二季度，市场大幅上涨，其中沪深</w:t>
      </w:r>
      <w:r>
        <w:rPr>
          <w:rFonts w:ascii="宋体" w:hAnsi="宋体" w:cs="宋体" w:hint="eastAsia"/>
          <w:color w:val="000000"/>
          <w:kern w:val="0"/>
        </w:rPr>
        <w:t>300</w:t>
      </w:r>
      <w:r>
        <w:rPr>
          <w:rFonts w:ascii="宋体" w:hAnsi="宋体" w:cs="宋体" w:hint="eastAsia"/>
          <w:color w:val="000000"/>
          <w:kern w:val="0"/>
        </w:rPr>
        <w:t>上涨</w:t>
      </w:r>
      <w:r>
        <w:rPr>
          <w:rFonts w:ascii="宋体" w:hAnsi="宋体" w:cs="宋体" w:hint="eastAsia"/>
          <w:color w:val="000000"/>
          <w:kern w:val="0"/>
        </w:rPr>
        <w:t>11.90%</w:t>
      </w:r>
      <w:r>
        <w:rPr>
          <w:rFonts w:ascii="宋体" w:hAnsi="宋体" w:cs="宋体" w:hint="eastAsia"/>
          <w:color w:val="000000"/>
          <w:kern w:val="0"/>
        </w:rPr>
        <w:t>，创业板大涨</w:t>
      </w:r>
      <w:r>
        <w:rPr>
          <w:rFonts w:ascii="宋体" w:hAnsi="宋体" w:cs="宋体" w:hint="eastAsia"/>
          <w:color w:val="000000"/>
          <w:kern w:val="0"/>
        </w:rPr>
        <w:t>36.35%</w:t>
      </w:r>
      <w:r>
        <w:rPr>
          <w:rFonts w:ascii="宋体" w:hAnsi="宋体" w:cs="宋体" w:hint="eastAsia"/>
          <w:color w:val="000000"/>
          <w:kern w:val="0"/>
        </w:rPr>
        <w:t>。板块方面，电子元器件、通信和建材领涨，餐饮旅游、农林牧渔和传媒领跌。今年</w:t>
      </w:r>
      <w:r>
        <w:rPr>
          <w:rFonts w:ascii="宋体" w:hAnsi="宋体" w:cs="宋体" w:hint="eastAsia"/>
          <w:color w:val="000000"/>
          <w:kern w:val="0"/>
        </w:rPr>
        <w:t>1-5</w:t>
      </w:r>
      <w:r>
        <w:rPr>
          <w:rFonts w:ascii="宋体" w:hAnsi="宋体" w:cs="宋体" w:hint="eastAsia"/>
          <w:color w:val="000000"/>
          <w:kern w:val="0"/>
        </w:rPr>
        <w:t>月，经济稳步增长，全国规模以上工业增加值同比增长</w:t>
      </w:r>
      <w:r>
        <w:rPr>
          <w:rFonts w:ascii="宋体" w:hAnsi="宋体" w:cs="宋体" w:hint="eastAsia"/>
          <w:color w:val="000000"/>
          <w:kern w:val="0"/>
        </w:rPr>
        <w:t>5.4%</w:t>
      </w:r>
      <w:r>
        <w:rPr>
          <w:rFonts w:ascii="宋体" w:hAnsi="宋体" w:cs="宋体" w:hint="eastAsia"/>
          <w:color w:val="000000"/>
          <w:kern w:val="0"/>
        </w:rPr>
        <w:t>，社会消费品零售总额同比增长</w:t>
      </w:r>
      <w:r>
        <w:rPr>
          <w:rFonts w:ascii="宋体" w:hAnsi="宋体" w:cs="宋体" w:hint="eastAsia"/>
          <w:color w:val="000000"/>
          <w:kern w:val="0"/>
        </w:rPr>
        <w:t>1.4%</w:t>
      </w:r>
      <w:r>
        <w:rPr>
          <w:rFonts w:ascii="宋体" w:hAnsi="宋体" w:cs="宋体" w:hint="eastAsia"/>
          <w:color w:val="000000"/>
          <w:kern w:val="0"/>
        </w:rPr>
        <w:t>，</w:t>
      </w:r>
      <w:r>
        <w:rPr>
          <w:rFonts w:ascii="宋体" w:hAnsi="宋体" w:cs="宋体" w:hint="eastAsia"/>
          <w:color w:val="000000"/>
          <w:kern w:val="0"/>
        </w:rPr>
        <w:t>3</w:t>
      </w:r>
      <w:r>
        <w:rPr>
          <w:rFonts w:ascii="宋体" w:hAnsi="宋体" w:cs="宋体" w:hint="eastAsia"/>
          <w:color w:val="000000"/>
          <w:kern w:val="0"/>
        </w:rPr>
        <w:t>月份制造业</w:t>
      </w:r>
      <w:r>
        <w:rPr>
          <w:rFonts w:ascii="宋体" w:hAnsi="宋体" w:cs="宋体" w:hint="eastAsia"/>
          <w:color w:val="000000"/>
          <w:kern w:val="0"/>
        </w:rPr>
        <w:t>PMI</w:t>
      </w:r>
      <w:r>
        <w:rPr>
          <w:rFonts w:ascii="宋体" w:hAnsi="宋体" w:cs="宋体" w:hint="eastAsia"/>
          <w:color w:val="000000"/>
          <w:kern w:val="0"/>
        </w:rPr>
        <w:t>（采购经理指数）为</w:t>
      </w:r>
      <w:r>
        <w:rPr>
          <w:rFonts w:ascii="宋体" w:hAnsi="宋体" w:cs="宋体" w:hint="eastAsia"/>
          <w:color w:val="000000"/>
          <w:kern w:val="0"/>
        </w:rPr>
        <w:t>50.0%</w:t>
      </w:r>
      <w:r>
        <w:rPr>
          <w:rFonts w:ascii="宋体" w:hAnsi="宋体" w:cs="宋体" w:hint="eastAsia"/>
          <w:color w:val="000000"/>
          <w:kern w:val="0"/>
        </w:rPr>
        <w:t>，企业生产经营状况总体保持稳定。本基金本季度处于建仓期，重点配置了估值和成长相匹配的个股，但由于本季度板块分化严重，</w:t>
      </w:r>
      <w:r>
        <w:rPr>
          <w:rFonts w:ascii="宋体" w:hAnsi="宋体" w:cs="宋体" w:hint="eastAsia"/>
          <w:color w:val="000000"/>
          <w:kern w:val="0"/>
        </w:rPr>
        <w:t>AI</w:t>
      </w:r>
      <w:r>
        <w:rPr>
          <w:rFonts w:ascii="宋体" w:hAnsi="宋体" w:cs="宋体" w:hint="eastAsia"/>
          <w:color w:val="000000"/>
          <w:kern w:val="0"/>
        </w:rPr>
        <w:t>相关主线本季度出现较大涨幅，本基金部分持仓未获得市场充分认可。</w:t>
      </w:r>
      <w:r>
        <w:rPr>
          <w:rFonts w:ascii="宋体" w:hAnsi="宋体" w:cs="宋体" w:hint="eastAsia"/>
          <w:color w:val="000000"/>
          <w:kern w:val="0"/>
        </w:rPr>
        <w:br/>
      </w:r>
      <w:r>
        <w:rPr>
          <w:rFonts w:ascii="宋体" w:hAnsi="宋体" w:cs="宋体" w:hint="eastAsia"/>
          <w:color w:val="000000"/>
          <w:kern w:val="0"/>
        </w:rPr>
        <w:t xml:space="preserve">　　进入下半年，我们判断市场机会将大于风险，</w:t>
      </w:r>
      <w:r>
        <w:rPr>
          <w:rFonts w:ascii="宋体" w:hAnsi="宋体" w:cs="宋体" w:hint="eastAsia"/>
          <w:color w:val="000000"/>
          <w:kern w:val="0"/>
        </w:rPr>
        <w:t>A</w:t>
      </w:r>
      <w:r>
        <w:rPr>
          <w:rFonts w:ascii="宋体" w:hAnsi="宋体" w:cs="宋体" w:hint="eastAsia"/>
          <w:color w:val="000000"/>
          <w:kern w:val="0"/>
        </w:rPr>
        <w:t>股有望呈现结构性的投资机会。尽管部分板块今年来出现较大幅度涨幅，市场整体估值仍处于历史较低水平，我们将继续以精选个股作为首要方向。首先，重点关注具备成长属性的个股，尤其是历史跌幅较大但业绩稳定增长的个股，这</w:t>
      </w:r>
      <w:r>
        <w:rPr>
          <w:rFonts w:ascii="宋体" w:hAnsi="宋体" w:cs="宋体" w:hint="eastAsia"/>
          <w:color w:val="000000"/>
          <w:kern w:val="0"/>
        </w:rPr>
        <w:lastRenderedPageBreak/>
        <w:t>些个股伴随业绩兑现有望获得超额收益；其次，关注经济转型带来的投资机会；最后，关注大消费领域，居民可支配收入仍处于稳步提升阶段，消费相关的领域存在投资机会</w:t>
      </w:r>
      <w:r>
        <w:rPr>
          <w:rFonts w:ascii="宋体" w:hAnsi="宋体" w:cs="宋体" w:hint="eastAsia"/>
          <w:color w:val="000000"/>
          <w:kern w:val="0"/>
        </w:rPr>
        <w:t>。</w:t>
      </w:r>
    </w:p>
    <w:p w:rsidR="008B78FE" w:rsidRDefault="008B78F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w:t>
      </w:r>
      <w:r>
        <w:rPr>
          <w:rFonts w:hAnsi="宋体" w:hint="eastAsia"/>
        </w:rPr>
        <w:t>现</w:t>
      </w:r>
      <w:bookmarkEnd w:id="127"/>
      <w:bookmarkEnd w:id="128"/>
      <w:bookmarkEnd w:id="129"/>
      <w:bookmarkEnd w:id="130"/>
      <w:bookmarkEnd w:id="131"/>
      <w:bookmarkEnd w:id="132"/>
      <w:bookmarkEnd w:id="133"/>
      <w:r>
        <w:rPr>
          <w:rFonts w:hAnsi="宋体" w:hint="eastAsia"/>
        </w:rPr>
        <w:t xml:space="preserve"> </w:t>
      </w:r>
      <w:bookmarkEnd w:id="134"/>
    </w:p>
    <w:p w:rsidR="008B78FE" w:rsidRDefault="008B78FE">
      <w:pPr>
        <w:spacing w:line="360" w:lineRule="auto"/>
        <w:ind w:firstLineChars="200" w:firstLine="420"/>
        <w:rPr>
          <w:rFonts w:hint="eastAsia"/>
        </w:rPr>
      </w:pPr>
      <w:r>
        <w:rPr>
          <w:rFonts w:ascii="宋体" w:hAnsi="宋体" w:hint="eastAsia"/>
        </w:rPr>
        <w:t>本报告期摩根均衡成长混合</w:t>
      </w:r>
      <w:r>
        <w:rPr>
          <w:rFonts w:ascii="宋体" w:hAnsi="宋体" w:hint="eastAsia"/>
        </w:rPr>
        <w:t>A</w:t>
      </w:r>
      <w:r>
        <w:rPr>
          <w:rFonts w:ascii="宋体" w:hAnsi="宋体" w:hint="eastAsia"/>
        </w:rPr>
        <w:t>份额净值增长率为：</w:t>
      </w:r>
      <w:r>
        <w:rPr>
          <w:rFonts w:ascii="宋体" w:hAnsi="宋体" w:hint="eastAsia"/>
        </w:rPr>
        <w:t>-5.40%</w:t>
      </w:r>
      <w:r>
        <w:rPr>
          <w:rFonts w:ascii="宋体" w:hAnsi="宋体" w:hint="eastAsia"/>
        </w:rPr>
        <w:t>，同期业绩比较基准收益率为：</w:t>
      </w:r>
      <w:r>
        <w:rPr>
          <w:rFonts w:ascii="宋体" w:hAnsi="宋体" w:hint="eastAsia"/>
        </w:rPr>
        <w:t>5.17%</w:t>
      </w:r>
      <w:r>
        <w:rPr>
          <w:rFonts w:ascii="宋体" w:hAnsi="宋体" w:hint="eastAsia"/>
        </w:rPr>
        <w:t>；</w:t>
      </w:r>
      <w:r>
        <w:rPr>
          <w:rFonts w:ascii="宋体" w:hAnsi="宋体" w:hint="eastAsia"/>
        </w:rPr>
        <w:br/>
      </w:r>
      <w:r>
        <w:rPr>
          <w:rFonts w:ascii="宋体" w:hAnsi="宋体" w:hint="eastAsia"/>
        </w:rPr>
        <w:t xml:space="preserve">　　摩根均衡成长混合</w:t>
      </w:r>
      <w:r>
        <w:rPr>
          <w:rFonts w:ascii="宋体" w:hAnsi="宋体" w:hint="eastAsia"/>
        </w:rPr>
        <w:t>C</w:t>
      </w:r>
      <w:r>
        <w:rPr>
          <w:rFonts w:ascii="宋体" w:hAnsi="宋体" w:hint="eastAsia"/>
        </w:rPr>
        <w:t>份额净值增长率为：</w:t>
      </w:r>
      <w:r>
        <w:rPr>
          <w:rFonts w:ascii="宋体" w:hAnsi="宋体" w:hint="eastAsia"/>
        </w:rPr>
        <w:t>-5.49%</w:t>
      </w:r>
      <w:r>
        <w:rPr>
          <w:rFonts w:ascii="宋体" w:hAnsi="宋体" w:hint="eastAsia"/>
        </w:rPr>
        <w:t>，同期业绩比较基准收益率为：</w:t>
      </w:r>
      <w:r>
        <w:rPr>
          <w:rFonts w:ascii="宋体" w:hAnsi="宋体" w:hint="eastAsia"/>
        </w:rPr>
        <w:t>5.17%</w:t>
      </w:r>
      <w:r>
        <w:rPr>
          <w:rFonts w:ascii="宋体" w:hAnsi="宋体" w:hint="eastAsia"/>
        </w:rPr>
        <w:t>。</w:t>
      </w:r>
    </w:p>
    <w:p w:rsidR="008B78FE" w:rsidRDefault="008B78F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w:t>
      </w:r>
      <w:r>
        <w:rPr>
          <w:rFonts w:hAnsi="宋体" w:hint="eastAsia"/>
        </w:rPr>
        <w:t>明</w:t>
      </w:r>
      <w:bookmarkEnd w:id="136"/>
      <w:bookmarkEnd w:id="137"/>
      <w:bookmarkEnd w:id="138"/>
      <w:bookmarkEnd w:id="139"/>
      <w:bookmarkEnd w:id="140"/>
      <w:bookmarkEnd w:id="141"/>
      <w:bookmarkEnd w:id="142"/>
      <w:bookmarkEnd w:id="143"/>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hint="eastAsia"/>
        </w:rPr>
        <w:t>无</w:t>
      </w:r>
      <w:r>
        <w:rPr>
          <w:rFonts w:ascii="宋体" w:hAnsi="宋体" w:hint="eastAsia"/>
        </w:rPr>
        <w:t>。</w:t>
      </w:r>
    </w:p>
    <w:p w:rsidR="008B78FE" w:rsidRDefault="008B78F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w:t>
      </w:r>
      <w:r>
        <w:rPr>
          <w:rFonts w:hAnsi="宋体" w:hint="eastAsia"/>
        </w:rPr>
        <w:t>告</w:t>
      </w:r>
      <w:bookmarkEnd w:id="145"/>
      <w:bookmarkEnd w:id="146"/>
      <w:bookmarkEnd w:id="147"/>
      <w:bookmarkEnd w:id="148"/>
      <w:bookmarkEnd w:id="149"/>
      <w:bookmarkEnd w:id="150"/>
      <w:bookmarkEnd w:id="151"/>
      <w:bookmarkEnd w:id="152"/>
      <w:r>
        <w:rPr>
          <w:rFonts w:hAnsi="宋体" w:hint="eastAsia"/>
        </w:rPr>
        <w:t xml:space="preserve"> </w:t>
      </w:r>
    </w:p>
    <w:p w:rsidR="008B78FE" w:rsidRDefault="008B78FE">
      <w:pPr>
        <w:pStyle w:val="XBRLTitle2"/>
        <w:spacing w:before="156" w:line="360" w:lineRule="auto"/>
        <w:ind w:left="454"/>
        <w:rPr>
          <w:rFonts w:hint="eastAsia"/>
        </w:rPr>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w:t>
      </w:r>
      <w:r>
        <w:rPr>
          <w:rFonts w:hAnsi="宋体" w:hint="eastAsia"/>
        </w:rPr>
        <w:t>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rPr>
                <w:rFonts w:hint="eastAsia"/>
              </w:rP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223,902,715.0</w:t>
            </w:r>
            <w:r>
              <w:rPr>
                <w:rFonts w:ascii="宋体" w:hAnsi="宋体" w:hint="eastAsia"/>
                <w:szCs w:val="24"/>
                <w:lang w:eastAsia="zh-Hans"/>
              </w:rPr>
              <w:t>9</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67.6</w:t>
            </w:r>
            <w:r>
              <w:rPr>
                <w:rFonts w:ascii="宋体" w:hAnsi="宋体" w:hint="eastAsia"/>
                <w:szCs w:val="24"/>
                <w:lang w:eastAsia="zh-Hans"/>
              </w:rPr>
              <w:t>0</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223,902,715.0</w:t>
            </w:r>
            <w:r>
              <w:rPr>
                <w:rFonts w:ascii="宋体" w:hAnsi="宋体" w:hint="eastAsia"/>
                <w:szCs w:val="24"/>
                <w:lang w:eastAsia="zh-Hans"/>
              </w:rPr>
              <w:t>9</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67.6</w:t>
            </w:r>
            <w:r>
              <w:rPr>
                <w:rFonts w:ascii="宋体" w:hAnsi="宋体" w:hint="eastAsia"/>
                <w:szCs w:val="24"/>
                <w:lang w:eastAsia="zh-Hans"/>
              </w:rPr>
              <w:t>0</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107,209,938.0</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32.3</w:t>
            </w:r>
            <w:r>
              <w:rPr>
                <w:rFonts w:ascii="宋体" w:hAnsi="宋体" w:hint="eastAsia"/>
                <w:szCs w:val="24"/>
                <w:lang w:eastAsia="zh-Hans"/>
              </w:rPr>
              <w:t>7</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118,722.8</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0.0</w:t>
            </w:r>
            <w:r>
              <w:rPr>
                <w:rFonts w:ascii="宋体" w:hAnsi="宋体" w:hint="eastAsia"/>
                <w:szCs w:val="24"/>
                <w:lang w:eastAsia="zh-Hans"/>
              </w:rPr>
              <w:t>4</w:t>
            </w:r>
          </w:p>
        </w:tc>
      </w:tr>
      <w:tr w:rsidR="00000000">
        <w:trPr>
          <w:divId w:val="64343576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8B78FE" w:rsidRDefault="008B78F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8B78FE" w:rsidRDefault="008B78F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331,231,375.8</w:t>
            </w:r>
            <w:r>
              <w:rPr>
                <w:rFonts w:ascii="宋体" w:hAnsi="宋体" w:hint="eastAsia"/>
                <w:szCs w:val="24"/>
                <w:lang w:eastAsia="zh-Hans"/>
              </w:rPr>
              <w:t>9</w:t>
            </w:r>
          </w:p>
        </w:tc>
        <w:tc>
          <w:tcPr>
            <w:tcW w:w="1333" w:type="pct"/>
            <w:tcBorders>
              <w:top w:val="single" w:sz="4" w:space="0" w:color="auto"/>
              <w:left w:val="nil"/>
              <w:bottom w:val="single" w:sz="4" w:space="0" w:color="auto"/>
              <w:right w:val="single" w:sz="4" w:space="0" w:color="auto"/>
            </w:tcBorders>
            <w:vAlign w:val="center"/>
            <w:hideMark/>
          </w:tcPr>
          <w:p w:rsidR="008B78FE" w:rsidRDefault="008B78FE">
            <w:pPr>
              <w:jc w:val="right"/>
            </w:pPr>
            <w:r>
              <w:rPr>
                <w:rFonts w:ascii="宋体" w:hAnsi="宋体" w:hint="eastAsia"/>
                <w:szCs w:val="24"/>
                <w:lang w:eastAsia="zh-Hans"/>
              </w:rPr>
              <w:t>100.0</w:t>
            </w:r>
            <w:r>
              <w:rPr>
                <w:rFonts w:ascii="宋体" w:hAnsi="宋体" w:hint="eastAsia"/>
                <w:szCs w:val="24"/>
                <w:lang w:eastAsia="zh-Hans"/>
              </w:rPr>
              <w:t>0</w:t>
            </w:r>
          </w:p>
        </w:tc>
      </w:tr>
    </w:tbl>
    <w:p w:rsidR="008B78FE" w:rsidRDefault="008B78F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w:t>
      </w:r>
      <w:r>
        <w:rPr>
          <w:rFonts w:hAnsi="宋体" w:hint="eastAsia"/>
        </w:rPr>
        <w:t>合</w:t>
      </w:r>
      <w:bookmarkEnd w:id="163"/>
      <w:bookmarkEnd w:id="164"/>
      <w:bookmarkEnd w:id="165"/>
      <w:bookmarkEnd w:id="166"/>
      <w:bookmarkEnd w:id="167"/>
      <w:bookmarkEnd w:id="168"/>
      <w:bookmarkEnd w:id="169"/>
      <w:bookmarkEnd w:id="170"/>
      <w:r>
        <w:rPr>
          <w:rFonts w:hAnsi="宋体" w:hint="eastAsia"/>
          <w:lang w:eastAsia="zh-CN"/>
        </w:rPr>
        <w:t xml:space="preserve"> </w:t>
      </w:r>
    </w:p>
    <w:p w:rsidR="008B78FE" w:rsidRDefault="008B78FE">
      <w:pPr>
        <w:pStyle w:val="XBRLTitle3"/>
        <w:spacing w:before="156"/>
        <w:ind w:left="0"/>
        <w:rPr>
          <w:rFonts w:hint="eastAsia"/>
        </w:rPr>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w:t>
      </w:r>
      <w:r>
        <w:rPr>
          <w:rFonts w:hint="eastAsia"/>
        </w:rPr>
        <w:t>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00000">
        <w:trPr>
          <w:divId w:val="60426384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8B78FE" w:rsidRDefault="008B78FE">
            <w:pPr>
              <w:jc w:val="center"/>
              <w:rPr>
                <w:rFonts w:hint="eastAsia"/>
              </w:rPr>
            </w:pPr>
            <w:r>
              <w:rPr>
                <w:rFonts w:ascii="宋体" w:hAnsi="宋体" w:hint="eastAsia"/>
                <w:color w:val="000000"/>
              </w:rPr>
              <w:t>代码</w:t>
            </w:r>
            <w:r>
              <w:rPr>
                <w:rFonts w:ascii="宋体" w:hAnsi="宋体" w:hint="eastAsia"/>
                <w:color w:val="000000"/>
              </w:rPr>
              <w:t xml:space="preserve">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rsidR="008B78FE" w:rsidRDefault="008B78FE">
            <w:pPr>
              <w:jc w:val="center"/>
            </w:pPr>
            <w:r>
              <w:rPr>
                <w:rFonts w:ascii="宋体" w:hAnsi="宋体" w:hint="eastAsia"/>
                <w:color w:val="000000"/>
              </w:rPr>
              <w:t>行业类别</w:t>
            </w:r>
            <w:r>
              <w:rPr>
                <w:rFonts w:ascii="宋体" w:hAnsi="宋体" w:hint="eastAsia"/>
                <w:color w:val="000000"/>
              </w:rPr>
              <w:t xml:space="preserve">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8B78FE" w:rsidRDefault="008B78FE">
            <w:pPr>
              <w:jc w:val="center"/>
            </w:pPr>
            <w:r>
              <w:rPr>
                <w:rFonts w:ascii="宋体" w:hAnsi="宋体" w:hint="eastAsia"/>
                <w:color w:val="000000"/>
              </w:rPr>
              <w:t>公允价值（元）</w:t>
            </w:r>
            <w:r>
              <w:rPr>
                <w:rFonts w:ascii="宋体" w:hAnsi="宋体" w:hint="eastAsia"/>
                <w:color w:val="000000"/>
              </w:rPr>
              <w:t xml:space="preserve">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8B78FE" w:rsidRDefault="008B78FE">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农、林、牧、渔业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采矿业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制造业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154,457,260.0</w:t>
            </w:r>
            <w:r>
              <w:rPr>
                <w:rFonts w:ascii="宋体" w:hAnsi="宋体" w:hint="eastAsia"/>
                <w:szCs w:val="24"/>
                <w:lang w:eastAsia="zh-Hans"/>
              </w:rPr>
              <w:t>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46.9</w:t>
            </w:r>
            <w:r>
              <w:rPr>
                <w:rFonts w:ascii="宋体" w:hAnsi="宋体" w:hint="eastAsia"/>
                <w:szCs w:val="24"/>
                <w:lang w:eastAsia="zh-Hans"/>
              </w:rPr>
              <w:t>2</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建筑业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lastRenderedPageBreak/>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批发和零售业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18,059,033.0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5.4</w:t>
            </w:r>
            <w:r>
              <w:rPr>
                <w:rFonts w:ascii="宋体" w:hAnsi="宋体" w:hint="eastAsia"/>
                <w:szCs w:val="24"/>
                <w:lang w:eastAsia="zh-Hans"/>
              </w:rPr>
              <w:t>9</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交通运输、仓储和邮政业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住宿和餐饮业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12,662,629.0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3.8</w:t>
            </w:r>
            <w:r>
              <w:rPr>
                <w:rFonts w:ascii="宋体" w:hAnsi="宋体" w:hint="eastAsia"/>
                <w:szCs w:val="24"/>
                <w:lang w:eastAsia="zh-Hans"/>
              </w:rPr>
              <w:t>5</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30,131,855.0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9.1</w:t>
            </w:r>
            <w:r>
              <w:rPr>
                <w:rFonts w:ascii="宋体" w:hAnsi="宋体" w:hint="eastAsia"/>
                <w:szCs w:val="24"/>
                <w:lang w:eastAsia="zh-Hans"/>
              </w:rPr>
              <w:t>5</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金融业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6,288,503.0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1.9</w:t>
            </w:r>
            <w:r>
              <w:rPr>
                <w:rFonts w:ascii="宋体" w:hAnsi="宋体" w:hint="eastAsia"/>
                <w:szCs w:val="24"/>
                <w:lang w:eastAsia="zh-Hans"/>
              </w:rPr>
              <w:t>1</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房地产业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租赁和商务服务业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科学研究和技术服务业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2,303,435.0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0.7</w:t>
            </w:r>
            <w:r>
              <w:rPr>
                <w:rFonts w:ascii="宋体" w:hAnsi="宋体" w:hint="eastAsia"/>
                <w:szCs w:val="24"/>
                <w:lang w:eastAsia="zh-Hans"/>
              </w:rPr>
              <w:t>0</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水利、环境和公共设施管理业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居民服务、修理和其他服务业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教育</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卫生和社会工作</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文化、体育和娱乐业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pPr>
            <w:r>
              <w:rPr>
                <w:rFonts w:ascii="宋体" w:hAnsi="宋体" w:hint="eastAsia"/>
                <w:color w:val="000000"/>
              </w:rPr>
              <w:t>综合</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w:t>
            </w:r>
          </w:p>
        </w:tc>
      </w:tr>
      <w:tr w:rsidR="00000000">
        <w:trPr>
          <w:divId w:val="6042638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8B78FE" w:rsidRDefault="008B78FE">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8B78FE" w:rsidRDefault="008B78FE">
            <w:pPr>
              <w:jc w:val="left"/>
              <w:rPr>
                <w:rFonts w:hint="eastAsia"/>
              </w:rPr>
            </w:pPr>
            <w:r>
              <w:rPr>
                <w:rFonts w:ascii="宋体" w:hAnsi="宋体" w:hint="eastAsia"/>
                <w:color w:val="000000"/>
              </w:rPr>
              <w:t>合计</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8B78FE" w:rsidRDefault="008B78FE">
            <w:pPr>
              <w:jc w:val="right"/>
            </w:pPr>
            <w:r>
              <w:rPr>
                <w:rFonts w:ascii="宋体" w:hAnsi="宋体" w:hint="eastAsia"/>
                <w:szCs w:val="24"/>
                <w:lang w:eastAsia="zh-Hans"/>
              </w:rPr>
              <w:t>223,902,715.0</w:t>
            </w:r>
            <w:r>
              <w:rPr>
                <w:rFonts w:ascii="宋体" w:hAnsi="宋体" w:hint="eastAsia"/>
                <w:szCs w:val="24"/>
                <w:lang w:eastAsia="zh-Hans"/>
              </w:rPr>
              <w:t>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8B78FE" w:rsidRDefault="008B78FE">
            <w:pPr>
              <w:jc w:val="right"/>
            </w:pPr>
            <w:r>
              <w:rPr>
                <w:rFonts w:ascii="宋体" w:hAnsi="宋体" w:hint="eastAsia"/>
                <w:szCs w:val="24"/>
                <w:lang w:eastAsia="zh-Hans"/>
              </w:rPr>
              <w:t>68.0</w:t>
            </w:r>
            <w:r>
              <w:rPr>
                <w:rFonts w:ascii="宋体" w:hAnsi="宋体" w:hint="eastAsia"/>
                <w:szCs w:val="24"/>
                <w:lang w:eastAsia="zh-Hans"/>
              </w:rPr>
              <w:t>2</w:t>
            </w:r>
          </w:p>
        </w:tc>
      </w:tr>
    </w:tbl>
    <w:p w:rsidR="008B78FE" w:rsidRDefault="008B78F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w:t>
      </w:r>
      <w:r>
        <w:rPr>
          <w:rFonts w:hint="eastAsia"/>
        </w:rPr>
        <w:t>合</w:t>
      </w:r>
      <w:bookmarkEnd w:id="176"/>
      <w:bookmarkEnd w:id="177"/>
      <w:bookmarkEnd w:id="178"/>
      <w:bookmarkEnd w:id="179"/>
      <w:bookmarkEnd w:id="180"/>
      <w:r>
        <w:rPr>
          <w:rFonts w:hint="eastAsia"/>
          <w:szCs w:val="24"/>
        </w:rPr>
        <w:t xml:space="preserve"> </w:t>
      </w:r>
    </w:p>
    <w:p w:rsidR="008B78FE" w:rsidRDefault="008B78FE">
      <w:pPr>
        <w:spacing w:line="360" w:lineRule="auto"/>
        <w:ind w:firstLineChars="200" w:firstLine="420"/>
        <w:divId w:val="939678649"/>
        <w:rPr>
          <w:rFonts w:hint="eastAsia"/>
        </w:rPr>
      </w:pPr>
      <w:r>
        <w:rPr>
          <w:rFonts w:ascii="宋体" w:hAnsi="宋体" w:hint="eastAsia"/>
          <w:szCs w:val="21"/>
          <w:lang w:eastAsia="zh-Hans"/>
        </w:rPr>
        <w:t xml:space="preserve">本基金本报告期末未持有港股通股票　</w:t>
      </w:r>
      <w:r>
        <w:rPr>
          <w:rFonts w:ascii="宋体" w:hAnsi="宋体" w:hint="eastAsia"/>
          <w:szCs w:val="21"/>
          <w:lang w:eastAsia="zh-Hans"/>
        </w:rPr>
        <w:t>。</w:t>
      </w:r>
    </w:p>
    <w:p w:rsidR="008B78FE" w:rsidRDefault="008B78F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w:t>
      </w:r>
      <w:r>
        <w:rPr>
          <w:rFonts w:hint="eastAsia"/>
        </w:rPr>
        <w:t>细</w:t>
      </w:r>
      <w:bookmarkEnd w:id="182"/>
    </w:p>
    <w:p w:rsidR="008B78FE" w:rsidRDefault="008B78FE">
      <w:pPr>
        <w:pStyle w:val="XBRLTitle3"/>
        <w:spacing w:before="156"/>
        <w:ind w:left="0"/>
        <w:rPr>
          <w:rFonts w:hint="eastAsia"/>
        </w:rPr>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w:t>
      </w:r>
      <w:r>
        <w:rPr>
          <w:rFonts w:hAnsi="宋体" w:hint="eastAsia"/>
        </w:rPr>
        <w:t>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13641168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30075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宁德时</w:t>
            </w:r>
            <w:r>
              <w:rPr>
                <w:rFonts w:ascii="宋体" w:hAnsi="宋体" w:hint="eastAsia"/>
                <w:szCs w:val="24"/>
                <w:lang w:eastAsia="zh-Hans"/>
              </w:rPr>
              <w:t>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80,50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31,637,305.0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9.6</w:t>
            </w:r>
            <w:r>
              <w:rPr>
                <w:rFonts w:ascii="宋体" w:hAnsi="宋体" w:hint="eastAsia"/>
                <w:szCs w:val="24"/>
                <w:lang w:eastAsia="zh-Hans"/>
              </w:rPr>
              <w:t>1</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60379</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华友钴</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363,10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17,523,206.0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5.3</w:t>
            </w:r>
            <w:r>
              <w:rPr>
                <w:rFonts w:ascii="宋体" w:hAnsi="宋体" w:hint="eastAsia"/>
                <w:szCs w:val="24"/>
                <w:lang w:eastAsia="zh-Hans"/>
              </w:rPr>
              <w:t>2</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30097</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万辰集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83,30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14,445,053.0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4.3</w:t>
            </w:r>
            <w:r>
              <w:rPr>
                <w:rFonts w:ascii="宋体" w:hAnsi="宋体" w:hint="eastAsia"/>
                <w:szCs w:val="24"/>
                <w:lang w:eastAsia="zh-Hans"/>
              </w:rPr>
              <w:t>9</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60334</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安井食</w:t>
            </w:r>
            <w:r>
              <w:rPr>
                <w:rFonts w:ascii="宋体" w:hAnsi="宋体" w:hint="eastAsia"/>
                <w:szCs w:val="24"/>
                <w:lang w:eastAsia="zh-Hans"/>
              </w:rPr>
              <w:t>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151,10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12,116,709.0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3.6</w:t>
            </w:r>
            <w:r>
              <w:rPr>
                <w:rFonts w:ascii="宋体" w:hAnsi="宋体" w:hint="eastAsia"/>
                <w:szCs w:val="24"/>
                <w:lang w:eastAsia="zh-Hans"/>
              </w:rPr>
              <w:t>8</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60075</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锦江酒</w:t>
            </w:r>
            <w:r>
              <w:rPr>
                <w:rFonts w:ascii="宋体" w:hAnsi="宋体" w:hint="eastAsia"/>
                <w:szCs w:val="24"/>
                <w:lang w:eastAsia="zh-Hans"/>
              </w:rPr>
              <w:t>店</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637,10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11,461,429.0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3.4</w:t>
            </w:r>
            <w:r>
              <w:rPr>
                <w:rFonts w:ascii="宋体" w:hAnsi="宋体" w:hint="eastAsia"/>
                <w:szCs w:val="24"/>
                <w:lang w:eastAsia="zh-Hans"/>
              </w:rPr>
              <w:t>8</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00259</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比亚</w:t>
            </w:r>
            <w:r>
              <w:rPr>
                <w:rFonts w:ascii="宋体" w:hAnsi="宋体" w:hint="eastAsia"/>
                <w:szCs w:val="24"/>
                <w:lang w:eastAsia="zh-Hans"/>
              </w:rPr>
              <w:t>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140,70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11,213,790.0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3.4</w:t>
            </w:r>
            <w:r>
              <w:rPr>
                <w:rFonts w:ascii="宋体" w:hAnsi="宋体" w:hint="eastAsia"/>
                <w:szCs w:val="24"/>
                <w:lang w:eastAsia="zh-Hans"/>
              </w:rPr>
              <w:t>1</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00260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世纪华</w:t>
            </w:r>
            <w:r>
              <w:rPr>
                <w:rFonts w:ascii="宋体" w:hAnsi="宋体" w:hint="eastAsia"/>
                <w:szCs w:val="24"/>
                <w:lang w:eastAsia="zh-Hans"/>
              </w:rPr>
              <w:t>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793,90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11,193,990.0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3.4</w:t>
            </w:r>
            <w:r>
              <w:rPr>
                <w:rFonts w:ascii="宋体" w:hAnsi="宋体" w:hint="eastAsia"/>
                <w:szCs w:val="24"/>
                <w:lang w:eastAsia="zh-Hans"/>
              </w:rPr>
              <w:t>0</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30001</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亿纬锂</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169,60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11,029,088.0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3.3</w:t>
            </w:r>
            <w:r>
              <w:rPr>
                <w:rFonts w:ascii="宋体" w:hAnsi="宋体" w:hint="eastAsia"/>
                <w:szCs w:val="24"/>
                <w:lang w:eastAsia="zh-Hans"/>
              </w:rPr>
              <w:t>5</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60003</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三一重</w:t>
            </w:r>
            <w:r>
              <w:rPr>
                <w:rFonts w:ascii="宋体" w:hAnsi="宋体" w:hint="eastAsia"/>
                <w:szCs w:val="24"/>
                <w:lang w:eastAsia="zh-Hans"/>
              </w:rPr>
              <w:t>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625,20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10,803,456.0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3.2</w:t>
            </w:r>
            <w:r>
              <w:rPr>
                <w:rFonts w:ascii="宋体" w:hAnsi="宋体" w:hint="eastAsia"/>
                <w:szCs w:val="24"/>
                <w:lang w:eastAsia="zh-Hans"/>
              </w:rPr>
              <w:t>8</w:t>
            </w:r>
          </w:p>
        </w:tc>
      </w:tr>
      <w:tr w:rsidR="00000000">
        <w:trPr>
          <w:divId w:val="13641168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00262</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szCs w:val="24"/>
                <w:lang w:eastAsia="zh-Hans"/>
              </w:rPr>
              <w:t>完美世</w:t>
            </w:r>
            <w:r>
              <w:rPr>
                <w:rFonts w:ascii="宋体" w:hAnsi="宋体" w:hint="eastAsia"/>
                <w:szCs w:val="24"/>
                <w:lang w:eastAsia="zh-Hans"/>
              </w:rPr>
              <w:t>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836,80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10,393,056.0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szCs w:val="24"/>
                <w:lang w:eastAsia="zh-Hans"/>
              </w:rPr>
              <w:t>3.1</w:t>
            </w:r>
            <w:r>
              <w:rPr>
                <w:rFonts w:ascii="宋体" w:hAnsi="宋体" w:hint="eastAsia"/>
                <w:szCs w:val="24"/>
                <w:lang w:eastAsia="zh-Hans"/>
              </w:rPr>
              <w:t>6</w:t>
            </w:r>
          </w:p>
        </w:tc>
      </w:tr>
    </w:tbl>
    <w:p w:rsidR="008B78FE" w:rsidRDefault="008B78F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w:t>
      </w:r>
      <w:r>
        <w:rPr>
          <w:rFonts w:hAnsi="宋体" w:hint="eastAsia"/>
        </w:rPr>
        <w:t>合</w:t>
      </w:r>
      <w:bookmarkEnd w:id="196"/>
      <w:bookmarkEnd w:id="197"/>
      <w:bookmarkEnd w:id="198"/>
      <w:bookmarkEnd w:id="199"/>
      <w:bookmarkEnd w:id="200"/>
      <w:bookmarkEnd w:id="201"/>
      <w:bookmarkEnd w:id="202"/>
      <w:bookmarkEnd w:id="203"/>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hint="eastAsia"/>
        </w:rPr>
        <w:t>本基金本报告期末未持有债券</w:t>
      </w:r>
      <w:r>
        <w:rPr>
          <w:rFonts w:ascii="宋体" w:hAnsi="宋体" w:hint="eastAsia"/>
        </w:rPr>
        <w:t>。</w:t>
      </w:r>
      <w:bookmarkStart w:id="205" w:name="m08QD_06"/>
      <w:bookmarkEnd w:id="205"/>
      <w:r>
        <w:rPr>
          <w:rFonts w:ascii="宋体" w:hAnsi="宋体" w:hint="eastAsia"/>
        </w:rPr>
        <w:t xml:space="preserve"> </w:t>
      </w:r>
    </w:p>
    <w:p w:rsidR="008B78FE" w:rsidRDefault="008B78FE">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w:t>
      </w:r>
      <w:r>
        <w:rPr>
          <w:rFonts w:hAnsi="宋体" w:hint="eastAsia"/>
        </w:rPr>
        <w:t>按</w:t>
      </w:r>
      <w:r>
        <w:rPr>
          <w:rFonts w:hAnsi="宋体" w:hint="eastAsia"/>
        </w:rPr>
        <w:t>公允价</w:t>
      </w:r>
      <w:r>
        <w:rPr>
          <w:rFonts w:hAnsi="宋体" w:hint="eastAsia"/>
        </w:rPr>
        <w:t>值</w:t>
      </w:r>
      <w:r>
        <w:rPr>
          <w:rFonts w:hAnsi="宋体" w:hint="eastAsia"/>
        </w:rPr>
        <w:t>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6"/>
      <w:bookmarkEnd w:id="207"/>
      <w:bookmarkEnd w:id="208"/>
      <w:bookmarkEnd w:id="209"/>
      <w:bookmarkEnd w:id="210"/>
      <w:bookmarkEnd w:id="211"/>
      <w:bookmarkEnd w:id="212"/>
      <w:bookmarkEnd w:id="213"/>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hint="eastAsia"/>
          <w:color w:val="000000"/>
          <w:szCs w:val="21"/>
          <w:lang w:eastAsia="zh-Hans"/>
        </w:rPr>
        <w:t>本基金本报告期末未持有债券</w:t>
      </w:r>
      <w:r>
        <w:rPr>
          <w:rFonts w:ascii="宋体" w:hAnsi="宋体" w:hint="eastAsia"/>
          <w:color w:val="000000"/>
          <w:szCs w:val="21"/>
          <w:lang w:eastAsia="zh-Hans"/>
        </w:rPr>
        <w:t>。</w:t>
      </w:r>
    </w:p>
    <w:p w:rsidR="008B78FE" w:rsidRDefault="008B78FE">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w:t>
      </w:r>
      <w:r>
        <w:rPr>
          <w:rFonts w:hAnsi="宋体" w:hint="eastAsia"/>
        </w:rPr>
        <w:t>细</w:t>
      </w:r>
      <w:bookmarkEnd w:id="215"/>
      <w:bookmarkEnd w:id="216"/>
      <w:bookmarkEnd w:id="217"/>
      <w:bookmarkEnd w:id="218"/>
      <w:bookmarkEnd w:id="219"/>
      <w:bookmarkEnd w:id="220"/>
      <w:bookmarkEnd w:id="221"/>
      <w:bookmarkEnd w:id="222"/>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8B78FE" w:rsidRDefault="008B78FE">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4"/>
      <w:bookmarkEnd w:id="225"/>
      <w:bookmarkEnd w:id="226"/>
      <w:bookmarkEnd w:id="227"/>
      <w:bookmarkEnd w:id="228"/>
      <w:bookmarkEnd w:id="229"/>
      <w:bookmarkEnd w:id="230"/>
      <w:bookmarkEnd w:id="231"/>
      <w:r>
        <w:rPr>
          <w:rFonts w:hAnsi="宋体" w:hint="eastAsia"/>
        </w:rPr>
        <w:t xml:space="preserve"> </w:t>
      </w:r>
    </w:p>
    <w:p w:rsidR="008B78FE" w:rsidRDefault="008B78FE">
      <w:pPr>
        <w:spacing w:line="360" w:lineRule="auto"/>
        <w:ind w:firstLineChars="200" w:firstLine="420"/>
        <w:divId w:val="1898976651"/>
        <w:rPr>
          <w:rFonts w:hint="eastAsia"/>
        </w:rPr>
      </w:pPr>
      <w:r>
        <w:rPr>
          <w:rFonts w:ascii="宋体" w:hAnsi="宋体" w:hint="eastAsia"/>
          <w:szCs w:val="21"/>
          <w:lang w:eastAsia="zh-Hans"/>
        </w:rPr>
        <w:t>本基金本报告期末未持有贵金属</w:t>
      </w:r>
      <w:r>
        <w:rPr>
          <w:rFonts w:ascii="宋体" w:hAnsi="宋体" w:hint="eastAsia"/>
          <w:szCs w:val="21"/>
          <w:lang w:eastAsia="zh-Hans"/>
        </w:rPr>
        <w:t>。</w:t>
      </w:r>
    </w:p>
    <w:p w:rsidR="008B78FE" w:rsidRDefault="008B78FE">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w:t>
      </w:r>
      <w:r>
        <w:rPr>
          <w:rFonts w:hAnsi="宋体" w:hint="eastAsia"/>
        </w:rPr>
        <w:t>细</w:t>
      </w:r>
      <w:bookmarkEnd w:id="233"/>
      <w:bookmarkEnd w:id="234"/>
      <w:bookmarkEnd w:id="235"/>
      <w:bookmarkEnd w:id="236"/>
      <w:bookmarkEnd w:id="237"/>
      <w:bookmarkEnd w:id="238"/>
      <w:bookmarkEnd w:id="239"/>
      <w:bookmarkEnd w:id="240"/>
      <w:r>
        <w:rPr>
          <w:rFonts w:hAnsi="宋体" w:hint="eastAsia"/>
        </w:rPr>
        <w:t xml:space="preserve"> </w:t>
      </w:r>
      <w:bookmarkEnd w:id="241"/>
    </w:p>
    <w:p w:rsidR="008B78FE" w:rsidRDefault="008B78FE">
      <w:pPr>
        <w:spacing w:line="360" w:lineRule="auto"/>
        <w:ind w:firstLineChars="200" w:firstLine="420"/>
        <w:divId w:val="50931922"/>
        <w:rPr>
          <w:rFonts w:hint="eastAsia"/>
        </w:rPr>
      </w:pPr>
      <w:r>
        <w:rPr>
          <w:rFonts w:ascii="宋体" w:hAnsi="宋体" w:hint="eastAsia"/>
          <w:szCs w:val="21"/>
          <w:lang w:eastAsia="zh-Hans"/>
        </w:rPr>
        <w:t>本基金本报告期末未持有权证</w:t>
      </w:r>
      <w:r>
        <w:rPr>
          <w:rFonts w:ascii="宋体" w:hAnsi="宋体" w:hint="eastAsia"/>
          <w:szCs w:val="21"/>
          <w:lang w:eastAsia="zh-Hans"/>
        </w:rPr>
        <w:t>。</w:t>
      </w:r>
    </w:p>
    <w:p w:rsidR="008B78FE" w:rsidRDefault="008B78FE">
      <w:pPr>
        <w:pStyle w:val="XBRLTitle2"/>
        <w:spacing w:before="156"/>
        <w:ind w:left="454"/>
      </w:pPr>
      <w:bookmarkStart w:id="242" w:name="_Toc17898206"/>
      <w:r>
        <w:rPr>
          <w:rFonts w:hint="eastAsia"/>
        </w:rPr>
        <w:t>报告期末本基金投资的股指期货交易情况说</w:t>
      </w:r>
      <w:r>
        <w:rPr>
          <w:rFonts w:hint="eastAsia"/>
        </w:rPr>
        <w:t>明</w:t>
      </w:r>
      <w:bookmarkEnd w:id="16"/>
      <w:bookmarkEnd w:id="70"/>
      <w:bookmarkEnd w:id="71"/>
      <w:bookmarkEnd w:id="183"/>
      <w:bookmarkEnd w:id="184"/>
      <w:bookmarkEnd w:id="185"/>
      <w:bookmarkEnd w:id="186"/>
      <w:bookmarkEnd w:id="187"/>
      <w:bookmarkEnd w:id="188"/>
      <w:bookmarkEnd w:id="189"/>
      <w:bookmarkEnd w:id="190"/>
      <w:bookmarkEnd w:id="242"/>
    </w:p>
    <w:p w:rsidR="008B78FE" w:rsidRDefault="008B78FE">
      <w:pPr>
        <w:spacing w:line="360" w:lineRule="auto"/>
        <w:ind w:firstLineChars="200" w:firstLine="420"/>
        <w:divId w:val="460852377"/>
        <w:rPr>
          <w:rFonts w:hint="eastAsia"/>
        </w:rPr>
      </w:pPr>
      <w:r>
        <w:rPr>
          <w:rFonts w:ascii="宋体" w:hAnsi="宋体" w:hint="eastAsia"/>
          <w:szCs w:val="21"/>
          <w:lang w:eastAsia="zh-Hans"/>
        </w:rPr>
        <w:t>本基金本报告期末未持有股指期货</w:t>
      </w:r>
      <w:r>
        <w:rPr>
          <w:rFonts w:ascii="宋体" w:hAnsi="宋体" w:hint="eastAsia"/>
          <w:szCs w:val="21"/>
          <w:lang w:eastAsia="zh-Hans"/>
        </w:rPr>
        <w:t>。</w:t>
      </w:r>
    </w:p>
    <w:p w:rsidR="008B78FE" w:rsidRDefault="008B78FE">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w:t>
      </w:r>
      <w:r>
        <w:rPr>
          <w:rFonts w:hAnsi="宋体" w:hint="eastAsia"/>
        </w:rPr>
        <w:t>明</w:t>
      </w:r>
      <w:bookmarkEnd w:id="243"/>
      <w:bookmarkEnd w:id="244"/>
      <w:bookmarkEnd w:id="245"/>
      <w:bookmarkEnd w:id="246"/>
      <w:bookmarkEnd w:id="247"/>
      <w:bookmarkEnd w:id="248"/>
      <w:bookmarkEnd w:id="249"/>
      <w:r>
        <w:rPr>
          <w:rFonts w:hAnsi="宋体" w:hint="eastAsia"/>
        </w:rPr>
        <w:t xml:space="preserve"> </w:t>
      </w:r>
      <w:bookmarkEnd w:id="250"/>
    </w:p>
    <w:p w:rsidR="008B78FE" w:rsidRDefault="008B78FE">
      <w:pPr>
        <w:spacing w:line="360" w:lineRule="auto"/>
        <w:ind w:firstLineChars="200" w:firstLine="420"/>
        <w:divId w:val="1200776598"/>
        <w:rPr>
          <w:rFonts w:hint="eastAsia"/>
        </w:rPr>
      </w:pPr>
      <w:bookmarkStart w:id="251" w:name="m510_01_1597"/>
      <w:bookmarkStart w:id="252" w:name="m510_01_1598"/>
      <w:bookmarkEnd w:id="251"/>
      <w:r>
        <w:rPr>
          <w:rFonts w:ascii="宋体" w:hAnsi="宋体" w:hint="eastAsia"/>
          <w:szCs w:val="21"/>
          <w:lang w:eastAsia="zh-Hans"/>
        </w:rPr>
        <w:t>本基金本报告期末未持有国债期货</w:t>
      </w:r>
      <w:r>
        <w:rPr>
          <w:rFonts w:ascii="宋体" w:hAnsi="宋体" w:hint="eastAsia"/>
          <w:szCs w:val="21"/>
          <w:lang w:eastAsia="zh-Hans"/>
        </w:rPr>
        <w:t>。</w:t>
      </w:r>
    </w:p>
    <w:p w:rsidR="008B78FE" w:rsidRDefault="008B78FE">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w:t>
      </w:r>
      <w:r>
        <w:rPr>
          <w:rFonts w:hAnsi="宋体" w:hint="eastAsia"/>
        </w:rPr>
        <w:t>注</w:t>
      </w:r>
      <w:bookmarkEnd w:id="253"/>
      <w:bookmarkEnd w:id="254"/>
      <w:bookmarkEnd w:id="255"/>
      <w:bookmarkEnd w:id="256"/>
      <w:bookmarkEnd w:id="257"/>
      <w:bookmarkEnd w:id="258"/>
      <w:bookmarkEnd w:id="259"/>
      <w:r>
        <w:rPr>
          <w:rFonts w:hAnsi="宋体" w:hint="eastAsia"/>
        </w:rPr>
        <w:t xml:space="preserve"> </w:t>
      </w:r>
    </w:p>
    <w:p w:rsidR="008B78FE" w:rsidRDefault="008B78FE">
      <w:pPr>
        <w:pStyle w:val="XBRLTitle3"/>
        <w:spacing w:before="156"/>
        <w:ind w:left="0"/>
        <w:rPr>
          <w:rFonts w:hint="eastAsia"/>
        </w:rPr>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bookmarkEnd w:id="264"/>
    </w:p>
    <w:p w:rsidR="008B78FE" w:rsidRDefault="008B78FE">
      <w:pPr>
        <w:spacing w:line="360" w:lineRule="auto"/>
        <w:ind w:firstLineChars="200" w:firstLine="420"/>
        <w:rPr>
          <w:rFonts w:hint="eastAsia"/>
        </w:rPr>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r>
        <w:rPr>
          <w:rFonts w:ascii="宋体" w:hAnsi="宋体" w:hint="eastAsia"/>
        </w:rPr>
        <w:t>。</w:t>
      </w:r>
    </w:p>
    <w:p w:rsidR="008B78FE" w:rsidRDefault="008B78FE">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bookmarkEnd w:id="269"/>
    </w:p>
    <w:p w:rsidR="008B78FE" w:rsidRDefault="008B78FE">
      <w:pPr>
        <w:spacing w:line="360" w:lineRule="auto"/>
        <w:ind w:firstLineChars="200" w:firstLine="420"/>
        <w:rPr>
          <w:rFonts w:hint="eastAsia"/>
        </w:rPr>
      </w:pPr>
      <w:r>
        <w:rPr>
          <w:rFonts w:ascii="宋体" w:hAnsi="宋体" w:hint="eastAsia"/>
        </w:rPr>
        <w:t>报告期内本基金投资的前十名股票中没有在基金合同规定备选股票库之外的股票</w:t>
      </w:r>
      <w:r>
        <w:rPr>
          <w:rFonts w:ascii="宋体" w:hAnsi="宋体" w:hint="eastAsia"/>
        </w:rPr>
        <w:t>。</w:t>
      </w:r>
    </w:p>
    <w:p w:rsidR="008B78FE" w:rsidRDefault="008B78FE">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w:t>
      </w:r>
      <w:r>
        <w:rPr>
          <w:rFonts w:hint="eastAsia"/>
        </w:rPr>
        <w:t>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00000">
        <w:trPr>
          <w:divId w:val="150840122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B78FE" w:rsidRDefault="008B78FE">
            <w:pPr>
              <w:jc w:val="center"/>
            </w:pPr>
            <w:r>
              <w:rPr>
                <w:rFonts w:ascii="宋体" w:hAnsi="宋体" w:hint="eastAsia"/>
              </w:rPr>
              <w:t>金额（元</w:t>
            </w:r>
            <w:r>
              <w:rPr>
                <w:rFonts w:ascii="宋体" w:hAnsi="宋体" w:hint="eastAsia"/>
              </w:rPr>
              <w:t>）</w:t>
            </w:r>
            <w:r>
              <w:t xml:space="preserve"> </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118,722.8</w:t>
            </w:r>
            <w:r>
              <w:rPr>
                <w:rFonts w:ascii="宋体" w:hAnsi="宋体" w:hint="eastAsia"/>
              </w:rPr>
              <w:t>0</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w:t>
            </w:r>
          </w:p>
        </w:tc>
      </w:tr>
      <w:tr w:rsidR="00000000">
        <w:trPr>
          <w:divId w:val="150840122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8B78FE" w:rsidRDefault="008B78FE">
            <w:pPr>
              <w:jc w:val="right"/>
            </w:pPr>
            <w:r>
              <w:rPr>
                <w:rFonts w:ascii="宋体" w:hAnsi="宋体" w:hint="eastAsia"/>
              </w:rPr>
              <w:t>118,722.8</w:t>
            </w:r>
            <w:r>
              <w:rPr>
                <w:rFonts w:ascii="宋体" w:hAnsi="宋体" w:hint="eastAsia"/>
              </w:rPr>
              <w:t>0</w:t>
            </w:r>
          </w:p>
        </w:tc>
      </w:tr>
    </w:tbl>
    <w:p w:rsidR="008B78FE" w:rsidRDefault="008B78FE">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w:t>
      </w:r>
      <w:r>
        <w:rPr>
          <w:rFonts w:hint="eastAsia"/>
        </w:rPr>
        <w:t>细</w:t>
      </w:r>
      <w:bookmarkEnd w:id="276"/>
      <w:bookmarkEnd w:id="277"/>
      <w:bookmarkEnd w:id="278"/>
      <w:bookmarkEnd w:id="279"/>
      <w:bookmarkEnd w:id="280"/>
    </w:p>
    <w:p w:rsidR="008B78FE" w:rsidRDefault="008B78FE">
      <w:pPr>
        <w:spacing w:line="360" w:lineRule="auto"/>
        <w:ind w:firstLineChars="200" w:firstLine="420"/>
        <w:jc w:val="left"/>
        <w:rPr>
          <w:rFonts w:hint="eastAsia"/>
        </w:rPr>
      </w:pPr>
      <w:r>
        <w:rPr>
          <w:rFonts w:ascii="宋体" w:hAnsi="宋体" w:hint="eastAsia"/>
        </w:rPr>
        <w:t>本基金本报告期末未持有处于转股期的可转换债券</w:t>
      </w:r>
      <w:r>
        <w:rPr>
          <w:rFonts w:ascii="宋体" w:hAnsi="宋体" w:hint="eastAsia"/>
        </w:rPr>
        <w:t>。</w:t>
      </w:r>
      <w:r>
        <w:rPr>
          <w:rFonts w:ascii="宋体" w:hAnsi="宋体" w:hint="eastAsia"/>
        </w:rPr>
        <w:t xml:space="preserve"> </w:t>
      </w:r>
    </w:p>
    <w:p w:rsidR="008B78FE" w:rsidRDefault="008B78FE">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w:t>
      </w:r>
      <w:r>
        <w:rPr>
          <w:rFonts w:hint="eastAsia"/>
        </w:rPr>
        <w:t>明</w:t>
      </w:r>
      <w:bookmarkEnd w:id="282"/>
      <w:bookmarkEnd w:id="283"/>
      <w:bookmarkEnd w:id="284"/>
      <w:bookmarkEnd w:id="285"/>
      <w:bookmarkEnd w:id="286"/>
    </w:p>
    <w:p w:rsidR="008B78FE" w:rsidRDefault="008B78FE">
      <w:pPr>
        <w:spacing w:line="360" w:lineRule="auto"/>
        <w:ind w:firstLineChars="200" w:firstLine="420"/>
        <w:jc w:val="left"/>
        <w:divId w:val="1799646589"/>
        <w:rPr>
          <w:rFonts w:hint="eastAsia"/>
        </w:rPr>
      </w:pPr>
      <w:r>
        <w:rPr>
          <w:rFonts w:ascii="宋体" w:hAnsi="宋体" w:hint="eastAsia"/>
        </w:rPr>
        <w:t>本基金本报告期末前十名股票中不存在流通受限情况</w:t>
      </w:r>
      <w:r>
        <w:rPr>
          <w:rFonts w:ascii="宋体" w:hAnsi="宋体" w:hint="eastAsia"/>
        </w:rPr>
        <w:t>。</w:t>
      </w:r>
      <w:bookmarkEnd w:id="17"/>
      <w:bookmarkEnd w:id="18"/>
      <w:bookmarkEnd w:id="19"/>
      <w:bookmarkEnd w:id="20"/>
      <w:bookmarkEnd w:id="21"/>
    </w:p>
    <w:p w:rsidR="008B78FE" w:rsidRDefault="008B78FE">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w:t>
      </w:r>
      <w:r>
        <w:rPr>
          <w:rFonts w:hint="eastAsia"/>
        </w:rPr>
        <w:t>分</w:t>
      </w:r>
      <w:bookmarkEnd w:id="288"/>
      <w:bookmarkEnd w:id="289"/>
      <w:bookmarkEnd w:id="290"/>
      <w:bookmarkEnd w:id="291"/>
      <w:bookmarkEnd w:id="292"/>
      <w:r>
        <w:rPr>
          <w:rFonts w:hint="eastAsia"/>
          <w:sz w:val="21"/>
        </w:rPr>
        <w:t xml:space="preserve"> </w:t>
      </w:r>
    </w:p>
    <w:p w:rsidR="008B78FE" w:rsidRDefault="008B78FE">
      <w:pPr>
        <w:spacing w:line="360" w:lineRule="auto"/>
        <w:ind w:firstLineChars="200" w:firstLine="420"/>
        <w:jc w:val="left"/>
        <w:rPr>
          <w:rFonts w:hint="eastAsia"/>
        </w:rPr>
      </w:pPr>
      <w:r>
        <w:rPr>
          <w:rFonts w:ascii="宋体" w:hAnsi="宋体" w:hint="eastAsia"/>
        </w:rPr>
        <w:t>因四舍五入原因，投资组合报告中分项之和与合计可能存在尾差</w:t>
      </w:r>
      <w:r>
        <w:rPr>
          <w:rFonts w:ascii="宋体" w:hAnsi="宋体" w:hint="eastAsia"/>
        </w:rPr>
        <w:t>。</w:t>
      </w:r>
      <w:bookmarkEnd w:id="293"/>
      <w:r>
        <w:rPr>
          <w:rFonts w:ascii="宋体" w:hAnsi="宋体" w:hint="eastAsia"/>
        </w:rPr>
        <w:t xml:space="preserve"> </w:t>
      </w:r>
    </w:p>
    <w:p w:rsidR="008B78FE" w:rsidRDefault="008B78FE">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w:t>
      </w:r>
      <w:r>
        <w:rPr>
          <w:rFonts w:hAnsi="宋体" w:hint="eastAsia"/>
        </w:rPr>
        <w:t>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rsidR="008B78FE" w:rsidRDefault="008B78FE">
      <w:pPr>
        <w:wordWrap w:val="0"/>
        <w:spacing w:line="360" w:lineRule="auto"/>
        <w:jc w:val="right"/>
        <w:divId w:val="1476676857"/>
        <w:rPr>
          <w:rFonts w:hint="eastAsia"/>
        </w:rPr>
      </w:pPr>
      <w:bookmarkStart w:id="304"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000000">
        <w:trPr>
          <w:divId w:val="147667685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8B78FE" w:rsidRDefault="008B78FE">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ind w:right="3"/>
              <w:jc w:val="center"/>
            </w:pPr>
            <w:r>
              <w:rPr>
                <w:rFonts w:ascii="宋体" w:hAnsi="宋体" w:hint="eastAsia"/>
                <w:lang w:eastAsia="zh-Hans"/>
              </w:rPr>
              <w:t>摩根均衡成长混合</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78FE" w:rsidRDefault="008B78FE">
            <w:pPr>
              <w:ind w:right="3"/>
              <w:jc w:val="center"/>
            </w:pPr>
            <w:r>
              <w:rPr>
                <w:rFonts w:ascii="宋体" w:hAnsi="宋体" w:hint="eastAsia"/>
                <w:lang w:eastAsia="zh-Hans"/>
              </w:rPr>
              <w:t>摩根均衡成长混合</w:t>
            </w:r>
            <w:r>
              <w:rPr>
                <w:rFonts w:ascii="宋体" w:hAnsi="宋体" w:hint="eastAsia"/>
                <w:lang w:eastAsia="zh-Hans"/>
              </w:rPr>
              <w:t>C</w:t>
            </w:r>
            <w:r>
              <w:rPr>
                <w:rFonts w:ascii="宋体" w:hAnsi="宋体" w:hint="eastAsia"/>
                <w:kern w:val="0"/>
                <w:szCs w:val="24"/>
                <w:lang w:eastAsia="zh-Hans"/>
              </w:rPr>
              <w:t xml:space="preserve"> </w:t>
            </w:r>
          </w:p>
        </w:tc>
      </w:tr>
      <w:tr w:rsidR="00000000">
        <w:trPr>
          <w:divId w:val="147667685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w:t>
            </w:r>
            <w:r>
              <w:rPr>
                <w:rFonts w:ascii="宋体" w:hAnsi="宋体" w:hint="eastAsia"/>
                <w:kern w:val="2"/>
                <w:sz w:val="21"/>
              </w:rPr>
              <w:t>(2026</w:t>
            </w:r>
            <w:r>
              <w:rPr>
                <w:rFonts w:ascii="宋体" w:hAnsi="宋体" w:hint="eastAsia"/>
                <w:kern w:val="2"/>
                <w:sz w:val="21"/>
              </w:rPr>
              <w:t>年</w:t>
            </w:r>
            <w:r>
              <w:rPr>
                <w:rFonts w:ascii="宋体" w:hAnsi="宋体" w:hint="eastAsia"/>
                <w:kern w:val="2"/>
                <w:sz w:val="21"/>
              </w:rPr>
              <w:t>4</w:t>
            </w:r>
            <w:r>
              <w:rPr>
                <w:rFonts w:ascii="宋体" w:hAnsi="宋体" w:hint="eastAsia"/>
                <w:kern w:val="2"/>
                <w:sz w:val="21"/>
              </w:rPr>
              <w:t>月</w:t>
            </w:r>
            <w:r>
              <w:rPr>
                <w:rFonts w:ascii="宋体" w:hAnsi="宋体" w:hint="eastAsia"/>
                <w:kern w:val="2"/>
                <w:sz w:val="21"/>
              </w:rPr>
              <w:t>14</w:t>
            </w:r>
            <w:r>
              <w:rPr>
                <w:rFonts w:ascii="宋体" w:hAnsi="宋体" w:hint="eastAsia"/>
                <w:kern w:val="2"/>
                <w:sz w:val="21"/>
              </w:rPr>
              <w:t>日</w:t>
            </w:r>
            <w:r>
              <w:rPr>
                <w:rFonts w:ascii="宋体" w:hAnsi="宋体" w:hint="eastAsia"/>
                <w:kern w:val="2"/>
                <w:sz w:val="21"/>
              </w:rPr>
              <w:t>)</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260,708,929.3</w:t>
            </w:r>
            <w:r>
              <w:rPr>
                <w:rFonts w:ascii="宋体" w:hAnsi="宋体" w:hint="eastAsia"/>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322,549,900.6</w:t>
            </w:r>
            <w:r>
              <w:rPr>
                <w:rFonts w:ascii="宋体" w:hAnsi="宋体" w:hint="eastAsia"/>
              </w:rPr>
              <w:t>9</w:t>
            </w:r>
          </w:p>
        </w:tc>
      </w:tr>
      <w:tr w:rsidR="00000000">
        <w:trPr>
          <w:divId w:val="147667685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基金合同生效日起至报告期期</w:t>
            </w:r>
            <w:r>
              <w:rPr>
                <w:rFonts w:ascii="宋体" w:hAnsi="宋体" w:hint="eastAsia"/>
                <w:kern w:val="2"/>
                <w:sz w:val="21"/>
              </w:rPr>
              <w:t>末</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6,357,927.6</w:t>
            </w: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4,792,027.3</w:t>
            </w:r>
            <w:r>
              <w:rPr>
                <w:rFonts w:ascii="宋体" w:hAnsi="宋体" w:hint="eastAsia"/>
              </w:rPr>
              <w:t>0</w:t>
            </w:r>
          </w:p>
        </w:tc>
      </w:tr>
      <w:tr w:rsidR="00000000">
        <w:trPr>
          <w:divId w:val="147667685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基金合同生效日起至报告期期</w:t>
            </w:r>
            <w:r>
              <w:rPr>
                <w:rFonts w:ascii="宋体" w:hAnsi="宋体" w:hint="eastAsia"/>
                <w:kern w:val="2"/>
                <w:sz w:val="21"/>
              </w:rPr>
              <w:t>末</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78,561,064.8</w:t>
            </w:r>
            <w:r>
              <w:rPr>
                <w:rFonts w:ascii="宋体" w:hAnsi="宋体" w:hint="eastAsia"/>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167,733,550.8</w:t>
            </w:r>
            <w:r>
              <w:rPr>
                <w:rFonts w:ascii="宋体" w:hAnsi="宋体" w:hint="eastAsia"/>
              </w:rPr>
              <w:t>6</w:t>
            </w:r>
          </w:p>
        </w:tc>
      </w:tr>
      <w:tr w:rsidR="00000000">
        <w:trPr>
          <w:divId w:val="147667685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基金合同生效日起至报告期期</w:t>
            </w:r>
            <w:r>
              <w:rPr>
                <w:rFonts w:ascii="宋体" w:hAnsi="宋体" w:hint="eastAsia"/>
                <w:kern w:val="2"/>
                <w:sz w:val="21"/>
              </w:rPr>
              <w:t>末</w:t>
            </w:r>
            <w:r>
              <w:rPr>
                <w:rFonts w:ascii="宋体" w:hAnsi="宋体" w:hint="eastAsia"/>
                <w:kern w:val="2"/>
                <w:sz w:val="21"/>
              </w:rPr>
              <w:t>基金拆分变动份额（份额减少以“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w:t>
            </w:r>
          </w:p>
        </w:tc>
      </w:tr>
      <w:tr w:rsidR="00000000">
        <w:trPr>
          <w:divId w:val="147667685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188,505,792.1</w:t>
            </w: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B78FE" w:rsidRDefault="008B78FE">
            <w:pPr>
              <w:jc w:val="right"/>
            </w:pPr>
            <w:r>
              <w:rPr>
                <w:rFonts w:ascii="宋体" w:hAnsi="宋体" w:hint="eastAsia"/>
              </w:rPr>
              <w:t>159,608,377.1</w:t>
            </w:r>
            <w:r>
              <w:rPr>
                <w:rFonts w:ascii="宋体" w:hAnsi="宋体" w:hint="eastAsia"/>
              </w:rPr>
              <w:t>3</w:t>
            </w:r>
          </w:p>
        </w:tc>
      </w:tr>
    </w:tbl>
    <w:p w:rsidR="008B78FE" w:rsidRDefault="008B78FE">
      <w:pPr>
        <w:spacing w:line="360" w:lineRule="auto"/>
        <w:jc w:val="left"/>
        <w:divId w:val="1476676857"/>
      </w:pPr>
      <w:r>
        <w:rPr>
          <w:rFonts w:ascii="宋体" w:hAnsi="宋体" w:hint="eastAsia"/>
          <w:szCs w:val="21"/>
        </w:rPr>
        <w:t>注</w:t>
      </w:r>
      <w:r>
        <w:rPr>
          <w:rFonts w:ascii="宋体" w:hAnsi="宋体" w:hint="eastAsia"/>
          <w:szCs w:val="21"/>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bookmarkEnd w:id="305"/>
      <w:r>
        <w:rPr>
          <w:rFonts w:ascii="宋体" w:hAnsi="宋体" w:hint="eastAsia"/>
        </w:rPr>
        <w:t xml:space="preserve"> </w:t>
      </w:r>
    </w:p>
    <w:p w:rsidR="008B78FE" w:rsidRDefault="008B78FE">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w:t>
      </w:r>
      <w:r>
        <w:rPr>
          <w:rFonts w:hAnsi="宋体" w:hint="eastAsia"/>
        </w:rPr>
        <w:t>况</w:t>
      </w:r>
      <w:bookmarkEnd w:id="306"/>
      <w:bookmarkEnd w:id="307"/>
      <w:bookmarkEnd w:id="308"/>
      <w:bookmarkEnd w:id="309"/>
      <w:bookmarkEnd w:id="310"/>
      <w:bookmarkEnd w:id="311"/>
      <w:bookmarkEnd w:id="312"/>
      <w:bookmarkEnd w:id="313"/>
      <w:bookmarkEnd w:id="314"/>
      <w:r>
        <w:rPr>
          <w:rFonts w:hAnsi="宋体" w:hint="eastAsia"/>
        </w:rPr>
        <w:t xml:space="preserve"> </w:t>
      </w:r>
    </w:p>
    <w:p w:rsidR="008B78FE" w:rsidRDefault="008B78FE">
      <w:pPr>
        <w:pStyle w:val="XBRLTitle2"/>
        <w:spacing w:before="156" w:line="360" w:lineRule="auto"/>
        <w:ind w:left="454"/>
        <w:rPr>
          <w:rFonts w:hint="eastAsia"/>
        </w:rPr>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w:t>
      </w:r>
      <w:r>
        <w:rPr>
          <w:rFonts w:hAnsi="宋体" w:hint="eastAsia"/>
        </w:rPr>
        <w:t>况</w:t>
      </w:r>
      <w:bookmarkEnd w:id="315"/>
      <w:bookmarkEnd w:id="316"/>
      <w:bookmarkEnd w:id="317"/>
      <w:bookmarkEnd w:id="318"/>
      <w:bookmarkEnd w:id="319"/>
      <w:bookmarkEnd w:id="320"/>
      <w:bookmarkEnd w:id="321"/>
      <w:bookmarkEnd w:id="322"/>
      <w:r>
        <w:rPr>
          <w:rFonts w:hAnsi="宋体" w:hint="eastAsia"/>
          <w:lang w:eastAsia="zh-CN"/>
        </w:rPr>
        <w:t xml:space="preserve"> </w:t>
      </w:r>
    </w:p>
    <w:p w:rsidR="008B78FE" w:rsidRDefault="008B78FE">
      <w:pPr>
        <w:spacing w:line="360" w:lineRule="auto"/>
        <w:ind w:firstLineChars="200" w:firstLine="420"/>
        <w:jc w:val="left"/>
        <w:divId w:val="317266267"/>
        <w:rPr>
          <w:rFonts w:hint="eastAsia"/>
        </w:rPr>
      </w:pPr>
      <w:r>
        <w:rPr>
          <w:rFonts w:ascii="宋体" w:hAnsi="宋体" w:hint="eastAsia"/>
          <w:szCs w:val="21"/>
          <w:lang w:eastAsia="zh-Hans"/>
        </w:rPr>
        <w:t>无</w:t>
      </w:r>
      <w:r>
        <w:rPr>
          <w:rFonts w:ascii="宋体" w:hAnsi="宋体" w:hint="eastAsia"/>
          <w:szCs w:val="21"/>
          <w:lang w:eastAsia="zh-Hans"/>
        </w:rPr>
        <w:t>。</w:t>
      </w:r>
      <w:r>
        <w:rPr>
          <w:rFonts w:ascii="宋体" w:hAnsi="宋体" w:hint="eastAsia"/>
          <w:szCs w:val="21"/>
        </w:rPr>
        <w:t xml:space="preserve"> </w:t>
      </w:r>
    </w:p>
    <w:p w:rsidR="008B78FE" w:rsidRDefault="008B78FE">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w:t>
      </w:r>
      <w:r>
        <w:rPr>
          <w:rFonts w:hAnsi="宋体" w:hint="eastAsia"/>
        </w:rPr>
        <w:t>细</w:t>
      </w:r>
      <w:bookmarkEnd w:id="323"/>
      <w:bookmarkEnd w:id="324"/>
      <w:bookmarkEnd w:id="325"/>
      <w:bookmarkEnd w:id="326"/>
      <w:bookmarkEnd w:id="327"/>
      <w:bookmarkEnd w:id="328"/>
      <w:bookmarkEnd w:id="329"/>
      <w:bookmarkEnd w:id="330"/>
      <w:r>
        <w:rPr>
          <w:rFonts w:hAnsi="宋体" w:hint="eastAsia"/>
          <w:lang w:eastAsia="zh-CN"/>
        </w:rPr>
        <w:t xml:space="preserve"> </w:t>
      </w:r>
    </w:p>
    <w:p w:rsidR="008B78FE" w:rsidRDefault="008B78FE">
      <w:pPr>
        <w:spacing w:line="360" w:lineRule="auto"/>
        <w:ind w:firstLineChars="200" w:firstLine="420"/>
        <w:jc w:val="left"/>
        <w:divId w:val="1232081024"/>
        <w:rPr>
          <w:rFonts w:hint="eastAsia"/>
        </w:rPr>
      </w:pPr>
      <w:r>
        <w:rPr>
          <w:rFonts w:ascii="宋体" w:hAnsi="宋体" w:hint="eastAsia"/>
          <w:lang w:eastAsia="zh-Hans"/>
        </w:rPr>
        <w:t>无</w:t>
      </w:r>
      <w:r>
        <w:rPr>
          <w:rFonts w:ascii="宋体" w:hAnsi="宋体" w:hint="eastAsia"/>
          <w:lang w:eastAsia="zh-Hans"/>
        </w:rPr>
        <w:t>。</w:t>
      </w:r>
      <w:r>
        <w:rPr>
          <w:rFonts w:ascii="宋体" w:hAnsi="宋体" w:hint="eastAsia"/>
        </w:rPr>
        <w:t xml:space="preserve"> </w:t>
      </w:r>
    </w:p>
    <w:p w:rsidR="008B78FE" w:rsidRDefault="008B78FE">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w:t>
      </w:r>
      <w:r>
        <w:rPr>
          <w:rFonts w:hAnsi="宋体" w:hint="eastAsia"/>
        </w:rPr>
        <w:t>息</w:t>
      </w:r>
      <w:bookmarkEnd w:id="331"/>
      <w:bookmarkEnd w:id="332"/>
      <w:bookmarkEnd w:id="333"/>
      <w:bookmarkEnd w:id="334"/>
      <w:bookmarkEnd w:id="335"/>
      <w:bookmarkEnd w:id="336"/>
      <w:bookmarkEnd w:id="337"/>
      <w:bookmarkEnd w:id="338"/>
      <w:r>
        <w:rPr>
          <w:rFonts w:hAnsi="宋体" w:hint="eastAsia"/>
          <w:lang w:eastAsia="zh-CN"/>
        </w:rPr>
        <w:t xml:space="preserve"> </w:t>
      </w:r>
    </w:p>
    <w:p w:rsidR="008B78FE" w:rsidRDefault="008B78FE">
      <w:pPr>
        <w:pStyle w:val="XBRLTitle2"/>
        <w:spacing w:before="156" w:line="360" w:lineRule="auto"/>
        <w:ind w:left="454"/>
        <w:rPr>
          <w:rFonts w:hint="eastAsia"/>
        </w:rPr>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rsidR="008B78FE" w:rsidRDefault="008B78FE">
      <w:pPr>
        <w:spacing w:line="360" w:lineRule="auto"/>
        <w:ind w:firstLineChars="200" w:firstLine="420"/>
        <w:divId w:val="356783116"/>
        <w:rPr>
          <w:rFonts w:ascii="宋体" w:hAnsi="宋体" w:hint="eastAsia"/>
          <w:szCs w:val="21"/>
          <w:lang w:eastAsia="zh-Hans"/>
        </w:rPr>
      </w:pPr>
      <w:r>
        <w:rPr>
          <w:rFonts w:ascii="宋体" w:hAnsi="宋体" w:hint="eastAsia"/>
          <w:szCs w:val="21"/>
          <w:lang w:eastAsia="zh-Hans"/>
        </w:rPr>
        <w:t>无。</w:t>
      </w:r>
    </w:p>
    <w:p w:rsidR="008B78FE" w:rsidRDefault="008B78FE">
      <w:pPr>
        <w:pStyle w:val="XBRLTitle1"/>
        <w:spacing w:before="156" w:line="360" w:lineRule="auto"/>
        <w:ind w:left="425"/>
        <w:rPr>
          <w:rFonts w:hint="eastAsia"/>
        </w:rPr>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w:t>
      </w:r>
      <w:r>
        <w:rPr>
          <w:rFonts w:hAnsi="宋体" w:hint="eastAsia"/>
        </w:rPr>
        <w:t>录</w:t>
      </w:r>
      <w:bookmarkEnd w:id="347"/>
      <w:bookmarkEnd w:id="348"/>
      <w:bookmarkEnd w:id="349"/>
      <w:bookmarkEnd w:id="350"/>
      <w:bookmarkEnd w:id="351"/>
      <w:bookmarkEnd w:id="352"/>
      <w:bookmarkEnd w:id="353"/>
      <w:bookmarkEnd w:id="354"/>
      <w:r>
        <w:rPr>
          <w:rFonts w:hAnsi="宋体" w:hint="eastAsia"/>
        </w:rPr>
        <w:t xml:space="preserve"> </w:t>
      </w:r>
    </w:p>
    <w:p w:rsidR="008B78FE" w:rsidRDefault="008B78FE">
      <w:pPr>
        <w:pStyle w:val="XBRLTitle2"/>
        <w:spacing w:before="156" w:line="360" w:lineRule="auto"/>
        <w:ind w:left="454"/>
        <w:rPr>
          <w:rFonts w:hint="eastAsia"/>
        </w:rPr>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w:t>
      </w:r>
      <w:r>
        <w:rPr>
          <w:rFonts w:hAnsi="宋体" w:hint="eastAsia"/>
        </w:rPr>
        <w:t>录</w:t>
      </w:r>
      <w:bookmarkEnd w:id="355"/>
      <w:bookmarkEnd w:id="356"/>
      <w:bookmarkEnd w:id="357"/>
      <w:bookmarkEnd w:id="358"/>
      <w:bookmarkEnd w:id="359"/>
      <w:bookmarkEnd w:id="360"/>
      <w:bookmarkEnd w:id="361"/>
      <w:bookmarkEnd w:id="362"/>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cs="宋体" w:hint="eastAsia"/>
          <w:color w:val="000000"/>
          <w:kern w:val="0"/>
        </w:rPr>
        <w:t>（一）中国证监会准予摩根均衡成长混合型证券投资基金募集注册的文件</w:t>
      </w:r>
      <w:r>
        <w:rPr>
          <w:rFonts w:ascii="宋体" w:hAnsi="宋体" w:cs="宋体" w:hint="eastAsia"/>
          <w:color w:val="000000"/>
          <w:kern w:val="0"/>
        </w:rPr>
        <w:br/>
      </w:r>
      <w:r>
        <w:rPr>
          <w:rFonts w:ascii="宋体" w:hAnsi="宋体" w:cs="宋体" w:hint="eastAsia"/>
          <w:color w:val="000000"/>
          <w:kern w:val="0"/>
        </w:rPr>
        <w:t xml:space="preserve">　　（二）摩根均衡成长混合型证券投资基金基金合同</w:t>
      </w:r>
      <w:r>
        <w:rPr>
          <w:rFonts w:ascii="宋体" w:hAnsi="宋体" w:cs="宋体" w:hint="eastAsia"/>
          <w:color w:val="000000"/>
          <w:kern w:val="0"/>
        </w:rPr>
        <w:br/>
      </w:r>
      <w:r>
        <w:rPr>
          <w:rFonts w:ascii="宋体" w:hAnsi="宋体" w:cs="宋体" w:hint="eastAsia"/>
          <w:color w:val="000000"/>
          <w:kern w:val="0"/>
        </w:rPr>
        <w:t xml:space="preserve">　　（三）摩根均衡成长混合型证券投资基金托管协议</w:t>
      </w:r>
      <w:r>
        <w:rPr>
          <w:rFonts w:ascii="宋体" w:hAnsi="宋体" w:cs="宋体" w:hint="eastAsia"/>
          <w:color w:val="000000"/>
          <w:kern w:val="0"/>
        </w:rPr>
        <w:br/>
      </w:r>
      <w:r>
        <w:rPr>
          <w:rFonts w:ascii="宋体" w:hAnsi="宋体" w:cs="宋体" w:hint="eastAsia"/>
          <w:color w:val="000000"/>
          <w:kern w:val="0"/>
        </w:rPr>
        <w:t xml:space="preserve">　　（四）法律意见书</w:t>
      </w:r>
      <w:r>
        <w:rPr>
          <w:rFonts w:ascii="宋体" w:hAnsi="宋体" w:cs="宋体" w:hint="eastAsia"/>
          <w:color w:val="000000"/>
          <w:kern w:val="0"/>
        </w:rPr>
        <w:br/>
      </w:r>
      <w:r>
        <w:rPr>
          <w:rFonts w:ascii="宋体" w:hAnsi="宋体" w:cs="宋体" w:hint="eastAsia"/>
          <w:color w:val="000000"/>
          <w:kern w:val="0"/>
        </w:rPr>
        <w:t xml:space="preserve">　　（五）基金管理人业务资格批件、营业执照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t xml:space="preserve">　　（八）中国证监会要求的其他文</w:t>
      </w:r>
      <w:r>
        <w:rPr>
          <w:rFonts w:ascii="宋体" w:hAnsi="宋体" w:cs="宋体" w:hint="eastAsia"/>
          <w:color w:val="000000"/>
          <w:kern w:val="0"/>
        </w:rPr>
        <w:t>件</w:t>
      </w:r>
    </w:p>
    <w:p w:rsidR="008B78FE" w:rsidRDefault="008B78FE">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w:t>
      </w:r>
      <w:r>
        <w:rPr>
          <w:rFonts w:hAnsi="宋体" w:hint="eastAsia"/>
        </w:rPr>
        <w:t>点</w:t>
      </w:r>
      <w:bookmarkEnd w:id="364"/>
      <w:bookmarkEnd w:id="365"/>
      <w:bookmarkEnd w:id="366"/>
      <w:bookmarkEnd w:id="367"/>
      <w:bookmarkEnd w:id="368"/>
      <w:bookmarkEnd w:id="369"/>
      <w:bookmarkEnd w:id="370"/>
      <w:bookmarkEnd w:id="371"/>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cs="宋体" w:hint="eastAsia"/>
          <w:color w:val="000000"/>
          <w:kern w:val="0"/>
        </w:rPr>
        <w:t>基金管理人或基金托管人住所</w:t>
      </w:r>
      <w:r>
        <w:rPr>
          <w:rFonts w:ascii="宋体" w:hAnsi="宋体" w:cs="宋体" w:hint="eastAsia"/>
          <w:color w:val="000000"/>
          <w:kern w:val="0"/>
        </w:rPr>
        <w:t>。</w:t>
      </w:r>
    </w:p>
    <w:p w:rsidR="008B78FE" w:rsidRDefault="008B78FE">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w:t>
      </w:r>
      <w:r>
        <w:rPr>
          <w:rFonts w:hAnsi="宋体" w:hint="eastAsia"/>
        </w:rPr>
        <w:t>式</w:t>
      </w:r>
      <w:bookmarkEnd w:id="373"/>
      <w:bookmarkEnd w:id="374"/>
      <w:bookmarkEnd w:id="375"/>
      <w:bookmarkEnd w:id="376"/>
      <w:bookmarkEnd w:id="377"/>
      <w:bookmarkEnd w:id="378"/>
      <w:bookmarkEnd w:id="379"/>
      <w:bookmarkEnd w:id="380"/>
      <w:r>
        <w:rPr>
          <w:rFonts w:hAnsi="宋体" w:hint="eastAsia"/>
        </w:rPr>
        <w:t xml:space="preserve"> </w:t>
      </w:r>
    </w:p>
    <w:p w:rsidR="008B78FE" w:rsidRDefault="008B78FE">
      <w:pPr>
        <w:spacing w:line="360" w:lineRule="auto"/>
        <w:ind w:firstLineChars="200" w:firstLine="420"/>
        <w:jc w:val="left"/>
        <w:rPr>
          <w:rFonts w:hint="eastAsia"/>
        </w:rPr>
      </w:pPr>
      <w:r>
        <w:rPr>
          <w:rFonts w:ascii="宋体" w:hAnsi="宋体" w:cs="宋体" w:hint="eastAsia"/>
          <w:color w:val="000000"/>
          <w:kern w:val="0"/>
        </w:rPr>
        <w:t>投资者可在营业时间免费查阅，也可按工本费购买复印件</w:t>
      </w:r>
      <w:r>
        <w:rPr>
          <w:rFonts w:ascii="宋体" w:hAnsi="宋体" w:cs="宋体" w:hint="eastAsia"/>
          <w:color w:val="000000"/>
          <w:kern w:val="0"/>
        </w:rPr>
        <w:t>。</w:t>
      </w:r>
    </w:p>
    <w:bookmarkEnd w:id="381"/>
    <w:p w:rsidR="008B78FE" w:rsidRDefault="008B78FE">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8B78FE" w:rsidRDefault="008B78FE">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8B78FE" w:rsidRDefault="008B78FE">
      <w:pPr>
        <w:spacing w:line="360" w:lineRule="auto"/>
        <w:ind w:firstLineChars="600" w:firstLine="1446"/>
        <w:jc w:val="right"/>
      </w:pPr>
      <w:r>
        <w:rPr>
          <w:rFonts w:ascii="宋体" w:hAnsi="宋体" w:hint="eastAsia"/>
          <w:b/>
          <w:bCs/>
          <w:sz w:val="24"/>
          <w:szCs w:val="24"/>
        </w:rPr>
        <w:t>摩根基金管理（中国）有限公</w:t>
      </w:r>
      <w:r>
        <w:rPr>
          <w:rFonts w:ascii="宋体" w:hAnsi="宋体" w:hint="eastAsia"/>
          <w:b/>
          <w:bCs/>
          <w:sz w:val="24"/>
          <w:szCs w:val="24"/>
        </w:rPr>
        <w:t>司</w:t>
      </w:r>
    </w:p>
    <w:p w:rsidR="008B78FE" w:rsidRDefault="008B78FE">
      <w:pPr>
        <w:spacing w:line="360" w:lineRule="auto"/>
        <w:ind w:firstLineChars="600" w:firstLine="1446"/>
        <w:jc w:val="right"/>
      </w:pPr>
      <w:r>
        <w:rPr>
          <w:rFonts w:ascii="宋体" w:hAnsi="宋体" w:hint="eastAsia"/>
          <w:b/>
          <w:bCs/>
          <w:sz w:val="24"/>
          <w:szCs w:val="24"/>
        </w:rPr>
        <w:t>2026</w:t>
      </w:r>
      <w:r>
        <w:rPr>
          <w:rFonts w:ascii="宋体" w:hAnsi="宋体" w:hint="eastAsia"/>
          <w:b/>
          <w:bCs/>
          <w:sz w:val="24"/>
          <w:szCs w:val="24"/>
        </w:rPr>
        <w:t>年</w:t>
      </w:r>
      <w:r>
        <w:rPr>
          <w:rFonts w:ascii="宋体" w:hAnsi="宋体" w:hint="eastAsia"/>
          <w:b/>
          <w:bCs/>
          <w:sz w:val="24"/>
          <w:szCs w:val="24"/>
        </w:rPr>
        <w:t>7</w:t>
      </w:r>
      <w:r>
        <w:rPr>
          <w:rFonts w:ascii="宋体" w:hAnsi="宋体" w:hint="eastAsia"/>
          <w:b/>
          <w:bCs/>
          <w:sz w:val="24"/>
          <w:szCs w:val="24"/>
        </w:rPr>
        <w:t>月</w:t>
      </w:r>
      <w:r>
        <w:rPr>
          <w:rFonts w:ascii="宋体" w:hAnsi="宋体" w:hint="eastAsia"/>
          <w:b/>
          <w:bCs/>
          <w:sz w:val="24"/>
          <w:szCs w:val="24"/>
        </w:rPr>
        <w:t>21</w:t>
      </w:r>
      <w:r>
        <w:rPr>
          <w:rFonts w:ascii="宋体" w:hAnsi="宋体" w:hint="eastAsia"/>
          <w:b/>
          <w:bCs/>
          <w:sz w:val="24"/>
          <w:szCs w:val="24"/>
        </w:rPr>
        <w:t>日</w:t>
      </w:r>
      <w:bookmarkEnd w:id="23"/>
    </w:p>
    <w:sectPr w:rsidR="008B78F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8FE" w:rsidRDefault="008B78FE">
      <w:pPr>
        <w:rPr>
          <w:szCs w:val="21"/>
        </w:rPr>
      </w:pPr>
      <w:r>
        <w:rPr>
          <w:szCs w:val="21"/>
        </w:rPr>
        <w:separator/>
      </w:r>
      <w:r>
        <w:rPr>
          <w:szCs w:val="21"/>
        </w:rPr>
        <w:t xml:space="preserve"> </w:t>
      </w:r>
    </w:p>
  </w:endnote>
  <w:endnote w:type="continuationSeparator" w:id="0">
    <w:p w:rsidR="008B78FE" w:rsidRDefault="008B78F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8FE" w:rsidRDefault="008B78F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8FE" w:rsidRDefault="008B78FE">
      <w:pPr>
        <w:rPr>
          <w:szCs w:val="21"/>
        </w:rPr>
      </w:pPr>
      <w:r>
        <w:rPr>
          <w:szCs w:val="21"/>
        </w:rPr>
        <w:separator/>
      </w:r>
      <w:r>
        <w:rPr>
          <w:szCs w:val="21"/>
        </w:rPr>
        <w:t xml:space="preserve"> </w:t>
      </w:r>
    </w:p>
  </w:footnote>
  <w:footnote w:type="continuationSeparator" w:id="0">
    <w:p w:rsidR="008B78FE" w:rsidRDefault="008B78F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8FE" w:rsidRDefault="008B78FE">
    <w:pPr>
      <w:pStyle w:val="a8"/>
      <w:jc w:val="right"/>
    </w:pPr>
    <w:r>
      <w:rPr>
        <w:rFonts w:ascii="宋体" w:hAnsi="宋体" w:hint="eastAsia"/>
      </w:rPr>
      <w:t>摩根均衡成长混合型证券投资基金</w:t>
    </w:r>
    <w:r>
      <w:rPr>
        <w:rFonts w:ascii="宋体" w:hAnsi="宋体" w:hint="eastAsia"/>
      </w:rPr>
      <w:t>2026</w:t>
    </w:r>
    <w:r>
      <w:rPr>
        <w:rFonts w:ascii="宋体" w:hAnsi="宋体" w:hint="eastAsia"/>
      </w:rPr>
      <w:t>年第</w:t>
    </w:r>
    <w:r>
      <w:rPr>
        <w:rFonts w:ascii="宋体" w:hAnsi="宋体" w:hint="eastAsia"/>
      </w:rPr>
      <w:t>2</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30982860">
    <w:abstractNumId w:val="0"/>
  </w:num>
  <w:num w:numId="2" w16cid:durableId="1361317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3850"/>
    <w:rsid w:val="008B78FE"/>
    <w:rsid w:val="009E3850"/>
    <w:rsid w:val="00CE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chartTrackingRefBased/>
  <w15:docId w15:val="{DE723FB3-697E-4619-96AB-2AEA5DB8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ink w:val="ae"/>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8"/>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1922">
      <w:marLeft w:val="0"/>
      <w:marRight w:val="0"/>
      <w:marTop w:val="0"/>
      <w:marBottom w:val="0"/>
      <w:divBdr>
        <w:top w:val="none" w:sz="0" w:space="0" w:color="auto"/>
        <w:left w:val="none" w:sz="0" w:space="0" w:color="auto"/>
        <w:bottom w:val="none" w:sz="0" w:space="0" w:color="auto"/>
        <w:right w:val="none" w:sz="0" w:space="0" w:color="auto"/>
      </w:divBdr>
    </w:div>
    <w:div w:id="136411684">
      <w:marLeft w:val="0"/>
      <w:marRight w:val="0"/>
      <w:marTop w:val="0"/>
      <w:marBottom w:val="0"/>
      <w:divBdr>
        <w:top w:val="none" w:sz="0" w:space="0" w:color="auto"/>
        <w:left w:val="none" w:sz="0" w:space="0" w:color="auto"/>
        <w:bottom w:val="none" w:sz="0" w:space="0" w:color="auto"/>
        <w:right w:val="none" w:sz="0" w:space="0" w:color="auto"/>
      </w:divBdr>
    </w:div>
    <w:div w:id="151991816">
      <w:marLeft w:val="0"/>
      <w:marRight w:val="0"/>
      <w:marTop w:val="0"/>
      <w:marBottom w:val="0"/>
      <w:divBdr>
        <w:top w:val="none" w:sz="0" w:space="0" w:color="auto"/>
        <w:left w:val="none" w:sz="0" w:space="0" w:color="auto"/>
        <w:bottom w:val="none" w:sz="0" w:space="0" w:color="auto"/>
        <w:right w:val="none" w:sz="0" w:space="0" w:color="auto"/>
      </w:divBdr>
      <w:divsChild>
        <w:div w:id="1655602048">
          <w:marLeft w:val="0"/>
          <w:marRight w:val="0"/>
          <w:marTop w:val="0"/>
          <w:marBottom w:val="0"/>
          <w:divBdr>
            <w:top w:val="none" w:sz="0" w:space="0" w:color="auto"/>
            <w:left w:val="none" w:sz="0" w:space="0" w:color="auto"/>
            <w:bottom w:val="none" w:sz="0" w:space="0" w:color="auto"/>
            <w:right w:val="none" w:sz="0" w:space="0" w:color="auto"/>
          </w:divBdr>
        </w:div>
      </w:divsChild>
    </w:div>
    <w:div w:id="231743725">
      <w:marLeft w:val="0"/>
      <w:marRight w:val="0"/>
      <w:marTop w:val="0"/>
      <w:marBottom w:val="0"/>
      <w:divBdr>
        <w:top w:val="none" w:sz="0" w:space="0" w:color="auto"/>
        <w:left w:val="none" w:sz="0" w:space="0" w:color="auto"/>
        <w:bottom w:val="none" w:sz="0" w:space="0" w:color="auto"/>
        <w:right w:val="none" w:sz="0" w:space="0" w:color="auto"/>
      </w:divBdr>
      <w:divsChild>
        <w:div w:id="124278577">
          <w:marLeft w:val="0"/>
          <w:marRight w:val="0"/>
          <w:marTop w:val="0"/>
          <w:marBottom w:val="0"/>
          <w:divBdr>
            <w:top w:val="none" w:sz="0" w:space="0" w:color="auto"/>
            <w:left w:val="none" w:sz="0" w:space="0" w:color="auto"/>
            <w:bottom w:val="none" w:sz="0" w:space="0" w:color="auto"/>
            <w:right w:val="none" w:sz="0" w:space="0" w:color="auto"/>
          </w:divBdr>
        </w:div>
      </w:divsChild>
    </w:div>
    <w:div w:id="315955368">
      <w:marLeft w:val="0"/>
      <w:marRight w:val="0"/>
      <w:marTop w:val="0"/>
      <w:marBottom w:val="0"/>
      <w:divBdr>
        <w:top w:val="none" w:sz="0" w:space="0" w:color="auto"/>
        <w:left w:val="none" w:sz="0" w:space="0" w:color="auto"/>
        <w:bottom w:val="none" w:sz="0" w:space="0" w:color="auto"/>
        <w:right w:val="none" w:sz="0" w:space="0" w:color="auto"/>
      </w:divBdr>
    </w:div>
    <w:div w:id="317266267">
      <w:marLeft w:val="0"/>
      <w:marRight w:val="0"/>
      <w:marTop w:val="0"/>
      <w:marBottom w:val="0"/>
      <w:divBdr>
        <w:top w:val="none" w:sz="0" w:space="0" w:color="auto"/>
        <w:left w:val="none" w:sz="0" w:space="0" w:color="auto"/>
        <w:bottom w:val="none" w:sz="0" w:space="0" w:color="auto"/>
        <w:right w:val="none" w:sz="0" w:space="0" w:color="auto"/>
      </w:divBdr>
    </w:div>
    <w:div w:id="356783116">
      <w:marLeft w:val="0"/>
      <w:marRight w:val="0"/>
      <w:marTop w:val="0"/>
      <w:marBottom w:val="0"/>
      <w:divBdr>
        <w:top w:val="none" w:sz="0" w:space="0" w:color="auto"/>
        <w:left w:val="none" w:sz="0" w:space="0" w:color="auto"/>
        <w:bottom w:val="none" w:sz="0" w:space="0" w:color="auto"/>
        <w:right w:val="none" w:sz="0" w:space="0" w:color="auto"/>
      </w:divBdr>
    </w:div>
    <w:div w:id="460852377">
      <w:marLeft w:val="0"/>
      <w:marRight w:val="0"/>
      <w:marTop w:val="0"/>
      <w:marBottom w:val="0"/>
      <w:divBdr>
        <w:top w:val="none" w:sz="0" w:space="0" w:color="auto"/>
        <w:left w:val="none" w:sz="0" w:space="0" w:color="auto"/>
        <w:bottom w:val="none" w:sz="0" w:space="0" w:color="auto"/>
        <w:right w:val="none" w:sz="0" w:space="0" w:color="auto"/>
      </w:divBdr>
    </w:div>
    <w:div w:id="520702899">
      <w:marLeft w:val="0"/>
      <w:marRight w:val="0"/>
      <w:marTop w:val="0"/>
      <w:marBottom w:val="0"/>
      <w:divBdr>
        <w:top w:val="none" w:sz="0" w:space="0" w:color="auto"/>
        <w:left w:val="none" w:sz="0" w:space="0" w:color="auto"/>
        <w:bottom w:val="none" w:sz="0" w:space="0" w:color="auto"/>
        <w:right w:val="none" w:sz="0" w:space="0" w:color="auto"/>
      </w:divBdr>
      <w:divsChild>
        <w:div w:id="604263841">
          <w:marLeft w:val="0"/>
          <w:marRight w:val="0"/>
          <w:marTop w:val="0"/>
          <w:marBottom w:val="0"/>
          <w:divBdr>
            <w:top w:val="none" w:sz="0" w:space="0" w:color="auto"/>
            <w:left w:val="none" w:sz="0" w:space="0" w:color="auto"/>
            <w:bottom w:val="none" w:sz="0" w:space="0" w:color="auto"/>
            <w:right w:val="none" w:sz="0" w:space="0" w:color="auto"/>
          </w:divBdr>
        </w:div>
      </w:divsChild>
    </w:div>
    <w:div w:id="884298944">
      <w:marLeft w:val="0"/>
      <w:marRight w:val="0"/>
      <w:marTop w:val="0"/>
      <w:marBottom w:val="0"/>
      <w:divBdr>
        <w:top w:val="none" w:sz="0" w:space="0" w:color="auto"/>
        <w:left w:val="none" w:sz="0" w:space="0" w:color="auto"/>
        <w:bottom w:val="none" w:sz="0" w:space="0" w:color="auto"/>
        <w:right w:val="none" w:sz="0" w:space="0" w:color="auto"/>
      </w:divBdr>
      <w:divsChild>
        <w:div w:id="643435762">
          <w:marLeft w:val="0"/>
          <w:marRight w:val="0"/>
          <w:marTop w:val="0"/>
          <w:marBottom w:val="0"/>
          <w:divBdr>
            <w:top w:val="none" w:sz="0" w:space="0" w:color="auto"/>
            <w:left w:val="none" w:sz="0" w:space="0" w:color="auto"/>
            <w:bottom w:val="none" w:sz="0" w:space="0" w:color="auto"/>
            <w:right w:val="none" w:sz="0" w:space="0" w:color="auto"/>
          </w:divBdr>
        </w:div>
      </w:divsChild>
    </w:div>
    <w:div w:id="939678649">
      <w:marLeft w:val="0"/>
      <w:marRight w:val="0"/>
      <w:marTop w:val="0"/>
      <w:marBottom w:val="0"/>
      <w:divBdr>
        <w:top w:val="none" w:sz="0" w:space="0" w:color="auto"/>
        <w:left w:val="none" w:sz="0" w:space="0" w:color="auto"/>
        <w:bottom w:val="none" w:sz="0" w:space="0" w:color="auto"/>
        <w:right w:val="none" w:sz="0" w:space="0" w:color="auto"/>
      </w:divBdr>
    </w:div>
    <w:div w:id="1200776598">
      <w:marLeft w:val="0"/>
      <w:marRight w:val="0"/>
      <w:marTop w:val="0"/>
      <w:marBottom w:val="0"/>
      <w:divBdr>
        <w:top w:val="none" w:sz="0" w:space="0" w:color="auto"/>
        <w:left w:val="none" w:sz="0" w:space="0" w:color="auto"/>
        <w:bottom w:val="none" w:sz="0" w:space="0" w:color="auto"/>
        <w:right w:val="none" w:sz="0" w:space="0" w:color="auto"/>
      </w:divBdr>
    </w:div>
    <w:div w:id="1232081024">
      <w:marLeft w:val="0"/>
      <w:marRight w:val="0"/>
      <w:marTop w:val="0"/>
      <w:marBottom w:val="0"/>
      <w:divBdr>
        <w:top w:val="none" w:sz="0" w:space="0" w:color="auto"/>
        <w:left w:val="none" w:sz="0" w:space="0" w:color="auto"/>
        <w:bottom w:val="none" w:sz="0" w:space="0" w:color="auto"/>
        <w:right w:val="none" w:sz="0" w:space="0" w:color="auto"/>
      </w:divBdr>
    </w:div>
    <w:div w:id="1476676857">
      <w:marLeft w:val="0"/>
      <w:marRight w:val="0"/>
      <w:marTop w:val="0"/>
      <w:marBottom w:val="0"/>
      <w:divBdr>
        <w:top w:val="none" w:sz="0" w:space="0" w:color="auto"/>
        <w:left w:val="none" w:sz="0" w:space="0" w:color="auto"/>
        <w:bottom w:val="none" w:sz="0" w:space="0" w:color="auto"/>
        <w:right w:val="none" w:sz="0" w:space="0" w:color="auto"/>
      </w:divBdr>
    </w:div>
    <w:div w:id="1627394495">
      <w:marLeft w:val="0"/>
      <w:marRight w:val="0"/>
      <w:marTop w:val="0"/>
      <w:marBottom w:val="0"/>
      <w:divBdr>
        <w:top w:val="none" w:sz="0" w:space="0" w:color="auto"/>
        <w:left w:val="none" w:sz="0" w:space="0" w:color="auto"/>
        <w:bottom w:val="none" w:sz="0" w:space="0" w:color="auto"/>
        <w:right w:val="none" w:sz="0" w:space="0" w:color="auto"/>
      </w:divBdr>
      <w:divsChild>
        <w:div w:id="1508401221">
          <w:marLeft w:val="0"/>
          <w:marRight w:val="0"/>
          <w:marTop w:val="0"/>
          <w:marBottom w:val="0"/>
          <w:divBdr>
            <w:top w:val="none" w:sz="0" w:space="0" w:color="auto"/>
            <w:left w:val="none" w:sz="0" w:space="0" w:color="auto"/>
            <w:bottom w:val="none" w:sz="0" w:space="0" w:color="auto"/>
            <w:right w:val="none" w:sz="0" w:space="0" w:color="auto"/>
          </w:divBdr>
        </w:div>
      </w:divsChild>
    </w:div>
    <w:div w:id="1672951004">
      <w:marLeft w:val="0"/>
      <w:marRight w:val="0"/>
      <w:marTop w:val="0"/>
      <w:marBottom w:val="0"/>
      <w:divBdr>
        <w:top w:val="none" w:sz="0" w:space="0" w:color="auto"/>
        <w:left w:val="none" w:sz="0" w:space="0" w:color="auto"/>
        <w:bottom w:val="none" w:sz="0" w:space="0" w:color="auto"/>
        <w:right w:val="none" w:sz="0" w:space="0" w:color="auto"/>
      </w:divBdr>
      <w:divsChild>
        <w:div w:id="1176068037">
          <w:marLeft w:val="0"/>
          <w:marRight w:val="0"/>
          <w:marTop w:val="0"/>
          <w:marBottom w:val="0"/>
          <w:divBdr>
            <w:top w:val="none" w:sz="0" w:space="0" w:color="auto"/>
            <w:left w:val="none" w:sz="0" w:space="0" w:color="auto"/>
            <w:bottom w:val="none" w:sz="0" w:space="0" w:color="auto"/>
            <w:right w:val="none" w:sz="0" w:space="0" w:color="auto"/>
          </w:divBdr>
        </w:div>
        <w:div w:id="130290492">
          <w:marLeft w:val="0"/>
          <w:marRight w:val="0"/>
          <w:marTop w:val="0"/>
          <w:marBottom w:val="0"/>
          <w:divBdr>
            <w:top w:val="none" w:sz="0" w:space="0" w:color="auto"/>
            <w:left w:val="none" w:sz="0" w:space="0" w:color="auto"/>
            <w:bottom w:val="none" w:sz="0" w:space="0" w:color="auto"/>
            <w:right w:val="none" w:sz="0" w:space="0" w:color="auto"/>
          </w:divBdr>
        </w:div>
      </w:divsChild>
    </w:div>
    <w:div w:id="1799646589">
      <w:marLeft w:val="0"/>
      <w:marRight w:val="0"/>
      <w:marTop w:val="0"/>
      <w:marBottom w:val="0"/>
      <w:divBdr>
        <w:top w:val="none" w:sz="0" w:space="0" w:color="auto"/>
        <w:left w:val="none" w:sz="0" w:space="0" w:color="auto"/>
        <w:bottom w:val="none" w:sz="0" w:space="0" w:color="auto"/>
        <w:right w:val="none" w:sz="0" w:space="0" w:color="auto"/>
      </w:divBdr>
    </w:div>
    <w:div w:id="1857108863">
      <w:marLeft w:val="0"/>
      <w:marRight w:val="0"/>
      <w:marTop w:val="0"/>
      <w:marBottom w:val="0"/>
      <w:divBdr>
        <w:top w:val="none" w:sz="0" w:space="0" w:color="auto"/>
        <w:left w:val="none" w:sz="0" w:space="0" w:color="auto"/>
        <w:bottom w:val="none" w:sz="0" w:space="0" w:color="auto"/>
        <w:right w:val="none" w:sz="0" w:space="0" w:color="auto"/>
      </w:divBdr>
    </w:div>
    <w:div w:id="1858811114">
      <w:marLeft w:val="0"/>
      <w:marRight w:val="0"/>
      <w:marTop w:val="0"/>
      <w:marBottom w:val="0"/>
      <w:divBdr>
        <w:top w:val="none" w:sz="0" w:space="0" w:color="auto"/>
        <w:left w:val="none" w:sz="0" w:space="0" w:color="auto"/>
        <w:bottom w:val="none" w:sz="0" w:space="0" w:color="auto"/>
        <w:right w:val="none" w:sz="0" w:space="0" w:color="auto"/>
      </w:divBdr>
    </w:div>
    <w:div w:id="18989766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3189</Words>
  <Characters>3795</Characters>
  <Application>Microsoft Office Word</Application>
  <DocSecurity>4</DocSecurity>
  <Lines>345</Lines>
  <Paragraphs>465</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2</cp:revision>
  <dcterms:created xsi:type="dcterms:W3CDTF">2026-07-14T09:19:00Z</dcterms:created>
  <dcterms:modified xsi:type="dcterms:W3CDTF">2026-07-14T09:19:00Z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