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2024年第3季度报告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2024年9月30日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bookmarkStart w:id="0" w:name="_GoBack"/>
      <w:bookmarkEnd w:id="0"/>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摩根基金管理（中国）有限公司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二〇二四年十月二十五日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B431F4" w:rsidRDefault="00F0496C">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B431F4" w:rsidRDefault="00F0496C">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基金托管人中国建设银行股份有限公司根据本基金合同规定，于</w:t>
      </w:r>
      <w:r>
        <w:rPr>
          <w:rFonts w:asciiTheme="minorEastAsia" w:eastAsiaTheme="minorEastAsia" w:hAnsiTheme="minorEastAsia"/>
          <w:color w:val="000000" w:themeColor="text1"/>
          <w:szCs w:val="21"/>
        </w:rPr>
        <w:t>2024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24</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B431F4" w:rsidRDefault="00F0496C">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B431F4" w:rsidRDefault="00F0496C">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w:t>
      </w:r>
      <w:r>
        <w:rPr>
          <w:rFonts w:asciiTheme="minorEastAsia" w:eastAsiaTheme="minorEastAsia" w:hAnsiTheme="minorEastAsia"/>
          <w:color w:val="000000" w:themeColor="text1"/>
          <w:szCs w:val="21"/>
        </w:rPr>
        <w:t>募说明书。</w:t>
      </w:r>
      <w:r>
        <w:rPr>
          <w:rFonts w:asciiTheme="minorEastAsia" w:eastAsiaTheme="minorEastAsia" w:hAnsiTheme="minorEastAsia"/>
          <w:color w:val="000000" w:themeColor="text1"/>
          <w:szCs w:val="21"/>
        </w:rPr>
        <w:t xml:space="preserve"> </w:t>
      </w:r>
    </w:p>
    <w:p w:rsidR="00B431F4" w:rsidRDefault="00F0496C">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本报告期自2024年7月1日起至9月30日止。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55,350,688,032.14</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B431F4" w:rsidRDefault="00F0496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B431F4" w:rsidRDefault="00F0496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w:t>
            </w:r>
            <w:r>
              <w:rPr>
                <w:rFonts w:asciiTheme="minorEastAsia" w:eastAsiaTheme="minorEastAsia" w:hAnsiTheme="minorEastAsia"/>
                <w:color w:val="000000" w:themeColor="text1"/>
                <w:kern w:val="0"/>
                <w:szCs w:val="21"/>
              </w:rPr>
              <w:t>( Money-supply E</w:t>
            </w:r>
            <w:r>
              <w:rPr>
                <w:rFonts w:asciiTheme="minorEastAsia" w:eastAsiaTheme="minorEastAsia" w:hAnsiTheme="minorEastAsia"/>
                <w:color w:val="000000" w:themeColor="text1"/>
                <w:kern w:val="0"/>
                <w:szCs w:val="21"/>
              </w:rPr>
              <w:t>xpectations Effect)</w:t>
            </w:r>
            <w:r>
              <w:rPr>
                <w:rFonts w:asciiTheme="minorEastAsia" w:eastAsiaTheme="minorEastAsia" w:hAnsiTheme="minorEastAsia"/>
                <w:color w:val="000000" w:themeColor="text1"/>
                <w:kern w:val="0"/>
                <w:szCs w:val="21"/>
              </w:rPr>
              <w:t>、通货膨胀与费雪效应</w:t>
            </w:r>
            <w:r>
              <w:rPr>
                <w:rFonts w:asciiTheme="minorEastAsia" w:eastAsiaTheme="minorEastAsia" w:hAnsiTheme="minorEastAsia"/>
                <w:color w:val="000000" w:themeColor="text1"/>
                <w:kern w:val="0"/>
                <w:szCs w:val="21"/>
              </w:rPr>
              <w:t>(Fisher Effect)</w:t>
            </w:r>
            <w:r>
              <w:rPr>
                <w:rFonts w:asciiTheme="minorEastAsia" w:eastAsiaTheme="minorEastAsia" w:hAnsiTheme="minorEastAsia"/>
                <w:color w:val="000000" w:themeColor="text1"/>
                <w:kern w:val="0"/>
                <w:szCs w:val="21"/>
              </w:rPr>
              <w:t>以及资金流量变化</w:t>
            </w:r>
            <w:r>
              <w:rPr>
                <w:rFonts w:asciiTheme="minorEastAsia" w:eastAsiaTheme="minorEastAsia" w:hAnsiTheme="minorEastAsia"/>
                <w:color w:val="000000" w:themeColor="text1"/>
                <w:kern w:val="0"/>
                <w:szCs w:val="21"/>
              </w:rPr>
              <w:t>(Flow of Funds)</w:t>
            </w:r>
            <w:r>
              <w:rPr>
                <w:rFonts w:asciiTheme="minorEastAsia" w:eastAsiaTheme="minorEastAsia" w:hAnsiTheme="minorEastAsia"/>
                <w:color w:val="000000" w:themeColor="text1"/>
                <w:kern w:val="0"/>
                <w:szCs w:val="21"/>
              </w:rPr>
              <w:t>等，全面分析宏观经济、货币政策与财政政策、债券市场政策趋势、物价水平变化趋势等因素，对利率走势形成合理预期，从而做出各类资产配置的决策。</w:t>
            </w:r>
          </w:p>
          <w:p w:rsidR="00B431F4" w:rsidRDefault="00F0496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B431F4" w:rsidRDefault="00F0496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w:t>
            </w:r>
            <w:r>
              <w:rPr>
                <w:rFonts w:asciiTheme="minorEastAsia" w:eastAsiaTheme="minorEastAsia" w:hAnsiTheme="minorEastAsia"/>
                <w:color w:val="000000" w:themeColor="text1"/>
                <w:kern w:val="0"/>
                <w:szCs w:val="21"/>
              </w:rPr>
              <w:t>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B431F4" w:rsidRDefault="00F0496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赎回现金流情况、季节性资金流动、日历效应等，建立组合流动性预警指标，实现对基金资产的结构化管理，并结合持续性投资的方法，将回购</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债券到期日进行均衡等量配置，以确保基金资产的整体变现能力</w:t>
            </w:r>
            <w:r>
              <w:rPr>
                <w:rFonts w:asciiTheme="minorEastAsia" w:eastAsiaTheme="minorEastAsia" w:hAnsiTheme="minorEastAsia"/>
                <w:color w:val="000000" w:themeColor="text1"/>
                <w:kern w:val="0"/>
                <w:szCs w:val="21"/>
              </w:rPr>
              <w:t>。</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B431F4" w:rsidRDefault="00F0496C">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摩根基金管理（中国）有限公司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46,311,758.76</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55,304,376,273.38</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2024年7月1日-2024年9月30日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170,837.22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226,433,303.18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170,837.22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226,433,303.18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46,311,758.76</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55,304,376,273.38</w:t>
            </w:r>
          </w:p>
        </w:tc>
      </w:tr>
    </w:tbl>
    <w:p w:rsidR="00B431F4" w:rsidRDefault="00F0496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过去三个月</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0.3456%</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0.0007%</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0.3393%</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0.0063%</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0.0007%</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过去六个月</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0.6932%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0.0006%</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0.6750%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0.0182%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0.0006%</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过去一年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1.5532%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1.3509%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0.2023%</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过去三年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4.8816%</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4.0509%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0.8307%</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过去五年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8.8680%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6.7509%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2.1171%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0.0009%</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54.1877%</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0.0031%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29.2111%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0.0012%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24.9766%</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0.0019%</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过去三个月</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0.4061%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0.0007%</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0.3393%</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0.0668%</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0.0007%</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过去六个月</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0.8141%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0.0006%</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0.6750%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0.1391%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0.0006%</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过去一年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1.7971%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1.3509%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0.4462%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过去三年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5.6389%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4.0509%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1.5880%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0.0008%</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过去五年</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10.1811%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6.7509%</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0.0000%</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3.4302%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0.0009%</w:t>
            </w:r>
          </w:p>
        </w:tc>
      </w:tr>
      <w:tr w:rsidR="00B431F4">
        <w:tc>
          <w:tcPr>
            <w:tcW w:w="1328" w:type="dxa"/>
            <w:vAlign w:val="center"/>
          </w:tcPr>
          <w:p w:rsidR="00B431F4" w:rsidRDefault="00F0496C">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61.5523%</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0.0031%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29.2111%</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0.0012%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32.3412%</w:t>
            </w:r>
          </w:p>
        </w:tc>
        <w:tc>
          <w:tcPr>
            <w:tcW w:w="1329" w:type="dxa"/>
            <w:vAlign w:val="center"/>
          </w:tcPr>
          <w:p w:rsidR="00B431F4" w:rsidRDefault="00F0496C">
            <w:pPr>
              <w:jc w:val="center"/>
            </w:pPr>
            <w:r>
              <w:rPr>
                <w:rFonts w:asciiTheme="minorEastAsia" w:eastAsiaTheme="minorEastAsia" w:hAnsiTheme="minorEastAsia"/>
                <w:color w:val="000000" w:themeColor="text1"/>
                <w:szCs w:val="21"/>
              </w:rPr>
              <w:t>0.0019%</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至2024年9月30日)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B431F4" w:rsidRDefault="00F0496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w:t>
      </w:r>
      <w:r>
        <w:rPr>
          <w:rFonts w:asciiTheme="minorEastAsia" w:eastAsiaTheme="minorEastAsia" w:hAnsiTheme="minorEastAsia" w:hint="eastAsia"/>
          <w:color w:val="000000" w:themeColor="text1"/>
          <w:szCs w:val="21"/>
        </w:rPr>
        <w:t>2005</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04</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13</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图示的时间段为合同生效日至本报告期末。</w:t>
      </w:r>
    </w:p>
    <w:p w:rsidR="00B431F4" w:rsidRDefault="00F0496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按照基金合同的约定，本基金自基金合同生效日起不超过三个月内完成建仓。</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B431F4">
        <w:tc>
          <w:tcPr>
            <w:tcW w:w="952" w:type="dxa"/>
            <w:vAlign w:val="center"/>
          </w:tcPr>
          <w:p w:rsidR="00B431F4" w:rsidRDefault="00F0496C">
            <w:pPr>
              <w:jc w:val="center"/>
            </w:pPr>
            <w:r>
              <w:rPr>
                <w:rFonts w:asciiTheme="minorEastAsia" w:eastAsiaTheme="minorEastAsia" w:hAnsiTheme="minorEastAsia"/>
                <w:color w:val="000000" w:themeColor="text1"/>
                <w:szCs w:val="21"/>
              </w:rPr>
              <w:t>鞠婷</w:t>
            </w:r>
          </w:p>
        </w:tc>
        <w:tc>
          <w:tcPr>
            <w:tcW w:w="1600" w:type="dxa"/>
            <w:vAlign w:val="center"/>
          </w:tcPr>
          <w:p w:rsidR="00B431F4" w:rsidRDefault="00F0496C">
            <w:pPr>
              <w:jc w:val="center"/>
            </w:pPr>
            <w:r>
              <w:rPr>
                <w:rFonts w:asciiTheme="minorEastAsia" w:eastAsiaTheme="minorEastAsia" w:hAnsiTheme="minorEastAsia"/>
                <w:color w:val="000000" w:themeColor="text1"/>
                <w:szCs w:val="21"/>
              </w:rPr>
              <w:t>本基金基金经理</w:t>
            </w:r>
          </w:p>
        </w:tc>
        <w:tc>
          <w:tcPr>
            <w:tcW w:w="1488" w:type="dxa"/>
            <w:vAlign w:val="center"/>
          </w:tcPr>
          <w:p w:rsidR="00B431F4" w:rsidRDefault="00F0496C">
            <w:pPr>
              <w:jc w:val="center"/>
            </w:pPr>
            <w:r>
              <w:rPr>
                <w:rFonts w:asciiTheme="minorEastAsia" w:eastAsiaTheme="minorEastAsia" w:hAnsiTheme="minorEastAsia"/>
                <w:color w:val="000000" w:themeColor="text1"/>
                <w:szCs w:val="21"/>
              </w:rPr>
              <w:t>2020-03-20</w:t>
            </w:r>
          </w:p>
        </w:tc>
        <w:tc>
          <w:tcPr>
            <w:tcW w:w="1489" w:type="dxa"/>
            <w:vAlign w:val="center"/>
          </w:tcPr>
          <w:p w:rsidR="00B431F4" w:rsidRDefault="00F0496C">
            <w:pPr>
              <w:jc w:val="center"/>
            </w:pPr>
            <w:r>
              <w:rPr>
                <w:rFonts w:asciiTheme="minorEastAsia" w:eastAsiaTheme="minorEastAsia" w:hAnsiTheme="minorEastAsia"/>
                <w:color w:val="000000" w:themeColor="text1"/>
                <w:szCs w:val="21"/>
              </w:rPr>
              <w:t>-</w:t>
            </w:r>
          </w:p>
        </w:tc>
        <w:tc>
          <w:tcPr>
            <w:tcW w:w="992" w:type="dxa"/>
            <w:vAlign w:val="center"/>
          </w:tcPr>
          <w:p w:rsidR="00B431F4" w:rsidRDefault="00F0496C">
            <w:pPr>
              <w:jc w:val="center"/>
            </w:pPr>
            <w:r>
              <w:rPr>
                <w:rFonts w:asciiTheme="minorEastAsia" w:eastAsiaTheme="minorEastAsia" w:hAnsiTheme="minorEastAsia"/>
                <w:color w:val="000000" w:themeColor="text1"/>
                <w:szCs w:val="21"/>
              </w:rPr>
              <w:t>19</w:t>
            </w:r>
            <w:r>
              <w:rPr>
                <w:rFonts w:asciiTheme="minorEastAsia" w:eastAsiaTheme="minorEastAsia" w:hAnsiTheme="minorEastAsia"/>
                <w:color w:val="000000" w:themeColor="text1"/>
                <w:szCs w:val="21"/>
              </w:rPr>
              <w:t>年</w:t>
            </w:r>
          </w:p>
        </w:tc>
        <w:tc>
          <w:tcPr>
            <w:tcW w:w="2410" w:type="dxa"/>
            <w:vAlign w:val="center"/>
          </w:tcPr>
          <w:p w:rsidR="00B431F4" w:rsidRDefault="00F0496C">
            <w:r>
              <w:rPr>
                <w:rFonts w:asciiTheme="minorEastAsia" w:eastAsiaTheme="minorEastAsia" w:hAnsiTheme="minorEastAsia"/>
                <w:color w:val="000000" w:themeColor="text1"/>
                <w:szCs w:val="21"/>
              </w:rPr>
              <w:t>鞠婷女士曾任中国建设银行第一支行助理经济师，瑞穗银行总行总经理助理。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B431F4">
        <w:tc>
          <w:tcPr>
            <w:tcW w:w="952" w:type="dxa"/>
            <w:vAlign w:val="center"/>
          </w:tcPr>
          <w:p w:rsidR="00B431F4" w:rsidRDefault="00F0496C">
            <w:pPr>
              <w:jc w:val="center"/>
            </w:pPr>
            <w:r>
              <w:rPr>
                <w:rFonts w:asciiTheme="minorEastAsia" w:eastAsiaTheme="minorEastAsia" w:hAnsiTheme="minorEastAsia"/>
                <w:color w:val="000000" w:themeColor="text1"/>
                <w:szCs w:val="21"/>
              </w:rPr>
              <w:t>忻佳华</w:t>
            </w:r>
          </w:p>
        </w:tc>
        <w:tc>
          <w:tcPr>
            <w:tcW w:w="1600" w:type="dxa"/>
            <w:vAlign w:val="center"/>
          </w:tcPr>
          <w:p w:rsidR="00B431F4" w:rsidRDefault="00F0496C">
            <w:pPr>
              <w:jc w:val="center"/>
            </w:pPr>
            <w:r>
              <w:rPr>
                <w:rFonts w:asciiTheme="minorEastAsia" w:eastAsiaTheme="minorEastAsia" w:hAnsiTheme="minorEastAsia"/>
                <w:color w:val="000000" w:themeColor="text1"/>
                <w:szCs w:val="21"/>
              </w:rPr>
              <w:t>本基金基金经理</w:t>
            </w:r>
          </w:p>
        </w:tc>
        <w:tc>
          <w:tcPr>
            <w:tcW w:w="1488" w:type="dxa"/>
            <w:vAlign w:val="center"/>
          </w:tcPr>
          <w:p w:rsidR="00B431F4" w:rsidRDefault="00F0496C">
            <w:pPr>
              <w:jc w:val="center"/>
            </w:pPr>
            <w:r>
              <w:rPr>
                <w:rFonts w:asciiTheme="minorEastAsia" w:eastAsiaTheme="minorEastAsia" w:hAnsiTheme="minorEastAsia"/>
                <w:color w:val="000000" w:themeColor="text1"/>
                <w:szCs w:val="21"/>
              </w:rPr>
              <w:t>2020-08-07</w:t>
            </w:r>
          </w:p>
        </w:tc>
        <w:tc>
          <w:tcPr>
            <w:tcW w:w="1489" w:type="dxa"/>
            <w:vAlign w:val="center"/>
          </w:tcPr>
          <w:p w:rsidR="00B431F4" w:rsidRDefault="00F0496C">
            <w:pPr>
              <w:jc w:val="center"/>
            </w:pPr>
            <w:r>
              <w:rPr>
                <w:rFonts w:asciiTheme="minorEastAsia" w:eastAsiaTheme="minorEastAsia" w:hAnsiTheme="minorEastAsia"/>
                <w:color w:val="000000" w:themeColor="text1"/>
                <w:szCs w:val="21"/>
              </w:rPr>
              <w:t>-</w:t>
            </w:r>
          </w:p>
        </w:tc>
        <w:tc>
          <w:tcPr>
            <w:tcW w:w="992" w:type="dxa"/>
            <w:vAlign w:val="center"/>
          </w:tcPr>
          <w:p w:rsidR="00B431F4" w:rsidRDefault="00F0496C">
            <w:pPr>
              <w:jc w:val="center"/>
            </w:pP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年</w:t>
            </w:r>
          </w:p>
        </w:tc>
        <w:tc>
          <w:tcPr>
            <w:tcW w:w="2410" w:type="dxa"/>
            <w:vAlign w:val="center"/>
          </w:tcPr>
          <w:p w:rsidR="00B431F4" w:rsidRDefault="00F0496C">
            <w:r>
              <w:rPr>
                <w:rFonts w:asciiTheme="minorEastAsia" w:eastAsiaTheme="minorEastAsia" w:hAnsiTheme="minorEastAsia"/>
                <w:color w:val="000000" w:themeColor="text1"/>
                <w:szCs w:val="21"/>
              </w:rPr>
              <w:t>忻佳华先生曾任中国建设银行股份有限公司上海市分行个人客户经理，上海农村商业银行股份有限公司投资交易岗。</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6</w:t>
            </w:r>
            <w:r>
              <w:rPr>
                <w:rFonts w:asciiTheme="minorEastAsia" w:eastAsiaTheme="minorEastAsia" w:hAnsiTheme="minorEastAsia"/>
                <w:color w:val="000000" w:themeColor="text1"/>
                <w:szCs w:val="21"/>
              </w:rPr>
              <w:t>月起加入摩根基金管理（中国）有限公司（原上投摩根基金管理有限公司），曾任基金经理助理、基金经理，现任高级基金经理。</w:t>
            </w:r>
          </w:p>
        </w:tc>
      </w:tr>
      <w:tr w:rsidR="00B431F4">
        <w:tc>
          <w:tcPr>
            <w:tcW w:w="952" w:type="dxa"/>
            <w:vAlign w:val="center"/>
          </w:tcPr>
          <w:p w:rsidR="00B431F4" w:rsidRDefault="00F0496C">
            <w:pPr>
              <w:jc w:val="center"/>
            </w:pPr>
            <w:r>
              <w:rPr>
                <w:rFonts w:asciiTheme="minorEastAsia" w:eastAsiaTheme="minorEastAsia" w:hAnsiTheme="minorEastAsia"/>
                <w:color w:val="000000" w:themeColor="text1"/>
                <w:szCs w:val="21"/>
              </w:rPr>
              <w:t>孟晨波</w:t>
            </w:r>
          </w:p>
        </w:tc>
        <w:tc>
          <w:tcPr>
            <w:tcW w:w="1600" w:type="dxa"/>
            <w:vAlign w:val="center"/>
          </w:tcPr>
          <w:p w:rsidR="00B431F4" w:rsidRDefault="00F0496C">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B431F4" w:rsidRDefault="00F0496C">
            <w:pPr>
              <w:jc w:val="center"/>
            </w:pPr>
            <w:r>
              <w:rPr>
                <w:rFonts w:asciiTheme="minorEastAsia" w:eastAsiaTheme="minorEastAsia" w:hAnsiTheme="minorEastAsia"/>
                <w:color w:val="000000" w:themeColor="text1"/>
                <w:szCs w:val="21"/>
              </w:rPr>
              <w:t>2009-09-17</w:t>
            </w:r>
          </w:p>
        </w:tc>
        <w:tc>
          <w:tcPr>
            <w:tcW w:w="1489" w:type="dxa"/>
            <w:vAlign w:val="center"/>
          </w:tcPr>
          <w:p w:rsidR="00B431F4" w:rsidRDefault="00F0496C">
            <w:pPr>
              <w:jc w:val="center"/>
            </w:pPr>
            <w:r>
              <w:rPr>
                <w:rFonts w:asciiTheme="minorEastAsia" w:eastAsiaTheme="minorEastAsia" w:hAnsiTheme="minorEastAsia"/>
                <w:color w:val="000000" w:themeColor="text1"/>
                <w:szCs w:val="21"/>
              </w:rPr>
              <w:t>-</w:t>
            </w:r>
          </w:p>
        </w:tc>
        <w:tc>
          <w:tcPr>
            <w:tcW w:w="992" w:type="dxa"/>
            <w:vAlign w:val="center"/>
          </w:tcPr>
          <w:p w:rsidR="00B431F4" w:rsidRDefault="00F0496C">
            <w:pPr>
              <w:jc w:val="center"/>
            </w:pPr>
            <w:r>
              <w:rPr>
                <w:rFonts w:asciiTheme="minorEastAsia" w:eastAsiaTheme="minorEastAsia" w:hAnsiTheme="minorEastAsia"/>
                <w:color w:val="000000" w:themeColor="text1"/>
                <w:szCs w:val="21"/>
              </w:rPr>
              <w:t>19</w:t>
            </w:r>
            <w:r>
              <w:rPr>
                <w:rFonts w:asciiTheme="minorEastAsia" w:eastAsiaTheme="minorEastAsia" w:hAnsiTheme="minorEastAsia"/>
                <w:color w:val="000000" w:themeColor="text1"/>
                <w:szCs w:val="21"/>
              </w:rPr>
              <w:t>年（金融领域从业经验</w:t>
            </w:r>
            <w:r>
              <w:rPr>
                <w:rFonts w:asciiTheme="minorEastAsia" w:eastAsiaTheme="minorEastAsia" w:hAnsiTheme="minorEastAsia"/>
                <w:color w:val="000000" w:themeColor="text1"/>
                <w:szCs w:val="21"/>
              </w:rPr>
              <w:t>29</w:t>
            </w:r>
            <w:r>
              <w:rPr>
                <w:rFonts w:asciiTheme="minorEastAsia" w:eastAsiaTheme="minorEastAsia" w:hAnsiTheme="minorEastAsia"/>
                <w:color w:val="000000" w:themeColor="text1"/>
                <w:szCs w:val="21"/>
              </w:rPr>
              <w:t>年）</w:t>
            </w:r>
          </w:p>
        </w:tc>
        <w:tc>
          <w:tcPr>
            <w:tcW w:w="2410" w:type="dxa"/>
            <w:vAlign w:val="center"/>
          </w:tcPr>
          <w:p w:rsidR="00B431F4" w:rsidRDefault="00F0496C">
            <w:r>
              <w:rPr>
                <w:rFonts w:asciiTheme="minorEastAsia" w:eastAsiaTheme="minorEastAsia" w:hAnsiTheme="minorEastAsia"/>
                <w:color w:val="000000" w:themeColor="text1"/>
                <w:szCs w:val="21"/>
              </w:rPr>
              <w:t>孟晨波女士曾任荷兰银行资金部高级交易员，星展银行上海分行资金部经理，比利时富通银行资金部联席董事，花旗银行金融市场部副总监。</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月加入摩根基金管理（中国）有</w:t>
            </w:r>
            <w:r>
              <w:rPr>
                <w:rFonts w:asciiTheme="minorEastAsia" w:eastAsiaTheme="minorEastAsia" w:hAnsiTheme="minorEastAsia"/>
                <w:color w:val="000000" w:themeColor="text1"/>
                <w:szCs w:val="21"/>
              </w:rPr>
              <w:t>限公司（原上投摩根基金管理有限公司）担任固定收益部总监，现任总经理助理</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货币市场投资部总监兼资深基金经理。</w:t>
            </w:r>
          </w:p>
        </w:tc>
      </w:tr>
    </w:tbl>
    <w:p w:rsidR="00B431F4" w:rsidRDefault="00F0496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 xml:space="preserve">1. </w:t>
      </w:r>
      <w:r>
        <w:rPr>
          <w:rFonts w:asciiTheme="minorEastAsia" w:eastAsiaTheme="minorEastAsia" w:hAnsiTheme="minorEastAsia"/>
          <w:color w:val="000000" w:themeColor="text1"/>
          <w:szCs w:val="21"/>
        </w:rPr>
        <w:t>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w:t>
      </w:r>
      <w:r>
        <w:rPr>
          <w:rFonts w:asciiTheme="minorEastAsia" w:eastAsiaTheme="minorEastAsia" w:hAnsiTheme="minorEastAsia"/>
          <w:color w:val="000000" w:themeColor="text1"/>
          <w:szCs w:val="21"/>
        </w:rPr>
        <w:t>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2024</w:t>
      </w:r>
      <w:r>
        <w:rPr>
          <w:rFonts w:asciiTheme="minorEastAsia" w:eastAsiaTheme="minorEastAsia" w:hAnsiTheme="minorEastAsia"/>
          <w:color w:val="000000" w:themeColor="text1"/>
          <w:szCs w:val="21"/>
        </w:rPr>
        <w:t>年三季度，我国经济呈现总体平稳、稳中有进的发展态势，高质量发展持续推进。</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月份，全国规模以上工业增加值同比增长</w:t>
      </w:r>
      <w:r>
        <w:rPr>
          <w:rFonts w:asciiTheme="minorEastAsia" w:eastAsiaTheme="minorEastAsia" w:hAnsiTheme="minorEastAsia"/>
          <w:color w:val="000000" w:themeColor="text1"/>
          <w:szCs w:val="21"/>
        </w:rPr>
        <w:t>4.5%</w:t>
      </w:r>
      <w:r>
        <w:rPr>
          <w:rFonts w:asciiTheme="minorEastAsia" w:eastAsiaTheme="minorEastAsia" w:hAnsiTheme="minorEastAsia"/>
          <w:color w:val="000000" w:themeColor="text1"/>
          <w:szCs w:val="21"/>
        </w:rPr>
        <w:t>，环比增长</w:t>
      </w:r>
      <w:r>
        <w:rPr>
          <w:rFonts w:asciiTheme="minorEastAsia" w:eastAsiaTheme="minorEastAsia" w:hAnsiTheme="minorEastAsia"/>
          <w:color w:val="000000" w:themeColor="text1"/>
          <w:szCs w:val="21"/>
        </w:rPr>
        <w:t>0.32%</w:t>
      </w:r>
      <w:r>
        <w:rPr>
          <w:rFonts w:asciiTheme="minorEastAsia" w:eastAsiaTheme="minorEastAsia" w:hAnsiTheme="minorEastAsia"/>
          <w:color w:val="000000" w:themeColor="text1"/>
          <w:szCs w:val="21"/>
        </w:rPr>
        <w:t>，其中装备制造业和高技术制造业继续保持良好的增长势头。同时，固定资产投资规模扩大，高技术产业投资增长较快。</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月我国货物进出口总额同比增长</w:t>
      </w:r>
      <w:r>
        <w:rPr>
          <w:rFonts w:asciiTheme="minorEastAsia" w:eastAsiaTheme="minorEastAsia" w:hAnsiTheme="minorEastAsia"/>
          <w:color w:val="000000" w:themeColor="text1"/>
          <w:szCs w:val="21"/>
        </w:rPr>
        <w:t>4.8%</w:t>
      </w:r>
      <w:r>
        <w:rPr>
          <w:rFonts w:asciiTheme="minorEastAsia" w:eastAsiaTheme="minorEastAsia" w:hAnsiTheme="minorEastAsia"/>
          <w:color w:val="000000" w:themeColor="text1"/>
          <w:szCs w:val="21"/>
        </w:rPr>
        <w:t>，月度规模创历史同期新高。</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月制造业采购经理指数（</w:t>
      </w:r>
      <w:r>
        <w:rPr>
          <w:rFonts w:asciiTheme="minorEastAsia" w:eastAsiaTheme="minorEastAsia" w:hAnsiTheme="minorEastAsia"/>
          <w:color w:val="000000" w:themeColor="text1"/>
          <w:szCs w:val="21"/>
        </w:rPr>
        <w:t>PMI</w:t>
      </w:r>
      <w:r>
        <w:rPr>
          <w:rFonts w:asciiTheme="minorEastAsia" w:eastAsiaTheme="minorEastAsia" w:hAnsiTheme="minorEastAsia"/>
          <w:color w:val="000000" w:themeColor="text1"/>
          <w:szCs w:val="21"/>
        </w:rPr>
        <w:t>）为</w:t>
      </w:r>
      <w:r>
        <w:rPr>
          <w:rFonts w:asciiTheme="minorEastAsia" w:eastAsiaTheme="minorEastAsia" w:hAnsiTheme="minorEastAsia"/>
          <w:color w:val="000000" w:themeColor="text1"/>
          <w:szCs w:val="21"/>
        </w:rPr>
        <w:t>49.8%</w:t>
      </w:r>
      <w:r>
        <w:rPr>
          <w:rFonts w:asciiTheme="minorEastAsia" w:eastAsiaTheme="minorEastAsia" w:hAnsiTheme="minorEastAsia"/>
          <w:color w:val="000000" w:themeColor="text1"/>
          <w:szCs w:val="21"/>
        </w:rPr>
        <w:t>，比上月上升</w:t>
      </w:r>
      <w:r>
        <w:rPr>
          <w:rFonts w:asciiTheme="minorEastAsia" w:eastAsiaTheme="minorEastAsia" w:hAnsiTheme="minorEastAsia"/>
          <w:color w:val="000000" w:themeColor="text1"/>
          <w:szCs w:val="21"/>
        </w:rPr>
        <w:t>0.7</w:t>
      </w:r>
      <w:r>
        <w:rPr>
          <w:rFonts w:asciiTheme="minorEastAsia" w:eastAsiaTheme="minorEastAsia" w:hAnsiTheme="minorEastAsia"/>
          <w:color w:val="000000" w:themeColor="text1"/>
          <w:szCs w:val="21"/>
        </w:rPr>
        <w:t>个百分点，制造业景气度有所回升，且表现明显强于季节性。</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当前，外部环境不确定性依然较多，世界经济增长动能不强，主要经济体货币政策进入降</w:t>
      </w:r>
      <w:r>
        <w:rPr>
          <w:rFonts w:asciiTheme="minorEastAsia" w:eastAsiaTheme="minorEastAsia" w:hAnsiTheme="minorEastAsia"/>
          <w:color w:val="000000" w:themeColor="text1"/>
          <w:szCs w:val="21"/>
        </w:rPr>
        <w:t>息周期，一定程度上为我国央行的支持性货币政策创造了有利条件。三季度以来，央行开展了国债买卖业务，并累计净买入债券面值为</w:t>
      </w:r>
      <w:r>
        <w:rPr>
          <w:rFonts w:asciiTheme="minorEastAsia" w:eastAsiaTheme="minorEastAsia" w:hAnsiTheme="minorEastAsia"/>
          <w:color w:val="000000" w:themeColor="text1"/>
          <w:szCs w:val="21"/>
        </w:rPr>
        <w:t>3000</w:t>
      </w:r>
      <w:r>
        <w:rPr>
          <w:rFonts w:asciiTheme="minorEastAsia" w:eastAsiaTheme="minorEastAsia" w:hAnsiTheme="minorEastAsia"/>
          <w:color w:val="000000" w:themeColor="text1"/>
          <w:szCs w:val="21"/>
        </w:rPr>
        <w:t>亿元。另外，央行在</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月份创设了临时正、逆回购，提升了公开市场操作的精准性和有效性的同时，也进一步丰富了其政策工具箱。在价格型工具方面，央行进一步明确了公开市场</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天期逆回购利率为主要政策利率，同时淡化中期借贷便利（</w:t>
      </w:r>
      <w:r>
        <w:rPr>
          <w:rFonts w:asciiTheme="minorEastAsia" w:eastAsiaTheme="minorEastAsia" w:hAnsiTheme="minorEastAsia"/>
          <w:color w:val="000000" w:themeColor="text1"/>
          <w:szCs w:val="21"/>
        </w:rPr>
        <w:t>MLF</w:t>
      </w:r>
      <w:r>
        <w:rPr>
          <w:rFonts w:asciiTheme="minorEastAsia" w:eastAsiaTheme="minorEastAsia" w:hAnsiTheme="minorEastAsia"/>
          <w:color w:val="000000" w:themeColor="text1"/>
          <w:szCs w:val="21"/>
        </w:rPr>
        <w:t>）等政策利率的色彩。在此基础上，央行于</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月和</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月分别调降了公开市场</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天期逆回购利率</w:t>
      </w:r>
      <w:r>
        <w:rPr>
          <w:rFonts w:asciiTheme="minorEastAsia" w:eastAsiaTheme="minorEastAsia" w:hAnsiTheme="minorEastAsia"/>
          <w:color w:val="000000" w:themeColor="text1"/>
          <w:szCs w:val="21"/>
        </w:rPr>
        <w:t>10BP</w:t>
      </w:r>
      <w:r>
        <w:rPr>
          <w:rFonts w:asciiTheme="minorEastAsia" w:eastAsiaTheme="minorEastAsia" w:hAnsiTheme="minorEastAsia"/>
          <w:color w:val="000000" w:themeColor="text1"/>
          <w:szCs w:val="21"/>
        </w:rPr>
        <w:t>和</w:t>
      </w:r>
      <w:r>
        <w:rPr>
          <w:rFonts w:asciiTheme="minorEastAsia" w:eastAsiaTheme="minorEastAsia" w:hAnsiTheme="minorEastAsia"/>
          <w:color w:val="000000" w:themeColor="text1"/>
          <w:szCs w:val="21"/>
        </w:rPr>
        <w:t>20BP</w:t>
      </w:r>
      <w:r>
        <w:rPr>
          <w:rFonts w:asciiTheme="minorEastAsia" w:eastAsiaTheme="minorEastAsia" w:hAnsiTheme="minorEastAsia"/>
          <w:color w:val="000000" w:themeColor="text1"/>
          <w:szCs w:val="21"/>
        </w:rPr>
        <w:t>，并在</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月同步引导贷款市场报价利率（</w:t>
      </w:r>
      <w:r>
        <w:rPr>
          <w:rFonts w:asciiTheme="minorEastAsia" w:eastAsiaTheme="minorEastAsia" w:hAnsiTheme="minorEastAsia"/>
          <w:color w:val="000000" w:themeColor="text1"/>
          <w:szCs w:val="21"/>
        </w:rPr>
        <w:t>LPR</w:t>
      </w:r>
      <w:r>
        <w:rPr>
          <w:rFonts w:asciiTheme="minorEastAsia" w:eastAsiaTheme="minorEastAsia" w:hAnsiTheme="minorEastAsia"/>
          <w:color w:val="000000" w:themeColor="text1"/>
          <w:szCs w:val="21"/>
        </w:rPr>
        <w:t>）下行</w:t>
      </w:r>
      <w:r>
        <w:rPr>
          <w:rFonts w:asciiTheme="minorEastAsia" w:eastAsiaTheme="minorEastAsia" w:hAnsiTheme="minorEastAsia"/>
          <w:color w:val="000000" w:themeColor="text1"/>
          <w:szCs w:val="21"/>
        </w:rPr>
        <w:t>10BP</w:t>
      </w:r>
      <w:r>
        <w:rPr>
          <w:rFonts w:asciiTheme="minorEastAsia" w:eastAsiaTheme="minorEastAsia" w:hAnsiTheme="minorEastAsia"/>
          <w:color w:val="000000" w:themeColor="text1"/>
          <w:szCs w:val="21"/>
        </w:rPr>
        <w:t>。在数量型工</w:t>
      </w:r>
      <w:r>
        <w:rPr>
          <w:rFonts w:asciiTheme="minorEastAsia" w:eastAsiaTheme="minorEastAsia" w:hAnsiTheme="minorEastAsia"/>
          <w:color w:val="000000" w:themeColor="text1"/>
          <w:szCs w:val="21"/>
        </w:rPr>
        <w:t>具方面，央行在</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月末下调金融机构存款准备金率</w:t>
      </w:r>
      <w:r>
        <w:rPr>
          <w:rFonts w:asciiTheme="minorEastAsia" w:eastAsiaTheme="minorEastAsia" w:hAnsiTheme="minorEastAsia"/>
          <w:color w:val="000000" w:themeColor="text1"/>
          <w:szCs w:val="21"/>
        </w:rPr>
        <w:t>0.5</w:t>
      </w:r>
      <w:r>
        <w:rPr>
          <w:rFonts w:asciiTheme="minorEastAsia" w:eastAsiaTheme="minorEastAsia" w:hAnsiTheme="minorEastAsia"/>
          <w:color w:val="000000" w:themeColor="text1"/>
          <w:szCs w:val="21"/>
        </w:rPr>
        <w:t>个百分点，释放长期流动性约</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万亿元。三季度，</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年期国股行同业存单收益率累计下行约</w:t>
      </w:r>
      <w:r>
        <w:rPr>
          <w:rFonts w:asciiTheme="minorEastAsia" w:eastAsiaTheme="minorEastAsia" w:hAnsiTheme="minorEastAsia"/>
          <w:color w:val="000000" w:themeColor="text1"/>
          <w:szCs w:val="21"/>
        </w:rPr>
        <w:t>5BP</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年期国债和</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年期国开债收益率在本季度则分别累计下行约</w:t>
      </w:r>
      <w:r>
        <w:rPr>
          <w:rFonts w:asciiTheme="minorEastAsia" w:eastAsiaTheme="minorEastAsia" w:hAnsiTheme="minorEastAsia"/>
          <w:color w:val="000000" w:themeColor="text1"/>
          <w:szCs w:val="21"/>
        </w:rPr>
        <w:t>17BP</w:t>
      </w:r>
      <w:r>
        <w:rPr>
          <w:rFonts w:asciiTheme="minorEastAsia" w:eastAsiaTheme="minorEastAsia" w:hAnsiTheme="minorEastAsia"/>
          <w:color w:val="000000" w:themeColor="text1"/>
          <w:szCs w:val="21"/>
        </w:rPr>
        <w:t>和</w:t>
      </w:r>
      <w:r>
        <w:rPr>
          <w:rFonts w:asciiTheme="minorEastAsia" w:eastAsiaTheme="minorEastAsia" w:hAnsiTheme="minorEastAsia"/>
          <w:color w:val="000000" w:themeColor="text1"/>
          <w:szCs w:val="21"/>
        </w:rPr>
        <w:t>4BP</w:t>
      </w:r>
      <w:r>
        <w:rPr>
          <w:rFonts w:asciiTheme="minorEastAsia" w:eastAsiaTheme="minorEastAsia" w:hAnsiTheme="minorEastAsia"/>
          <w:color w:val="000000" w:themeColor="text1"/>
          <w:szCs w:val="21"/>
        </w:rPr>
        <w:t>。</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操作层面，本基金仍然以安全性和流动性为首要目标，根据组合现金流的情况，合理布局到期资产，有效应对客户的赎回。在市场利率波动的阶段，我们动态调整组合久期，并不断比较各类资产的价格，甄选合适的资产进行配置。</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2024年四季度，一揽子增量政策仍将不断落地见效，以扎实推动经济发展态势持续向好。在此过程中，权益市场的企稳回升将提升投资者的风险偏好，从而对固定收益类资产的表现形成一定的压制。另一方面，央行将会综合运用公开市场操作、MLF和国债买卖等工具，保持银行间市场流动性合理充裕。在这种背景下，货币市场利率或将面临一定的波动。本基金将继续做好流动性管理，严格控制各种风险，密切关注市场动态，积极把握投资机会，努力为投资者创造稳定的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本报告期摩根货币</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份额净值增长率为</w:t>
      </w:r>
      <w:r>
        <w:rPr>
          <w:rFonts w:asciiTheme="minorEastAsia" w:eastAsiaTheme="minorEastAsia" w:hAnsiTheme="minorEastAsia"/>
          <w:color w:val="000000" w:themeColor="text1"/>
          <w:szCs w:val="21"/>
        </w:rPr>
        <w:t>:0.3456%</w:t>
      </w:r>
      <w:r>
        <w:rPr>
          <w:rFonts w:asciiTheme="minorEastAsia" w:eastAsiaTheme="minorEastAsia" w:hAnsiTheme="minorEastAsia"/>
          <w:color w:val="000000" w:themeColor="text1"/>
          <w:szCs w:val="21"/>
        </w:rPr>
        <w:t>，同期业绩比较基准收益率为</w:t>
      </w:r>
      <w:r>
        <w:rPr>
          <w:rFonts w:asciiTheme="minorEastAsia" w:eastAsiaTheme="minorEastAsia" w:hAnsiTheme="minorEastAsia"/>
          <w:color w:val="000000" w:themeColor="text1"/>
          <w:szCs w:val="21"/>
        </w:rPr>
        <w:t>:0.3393%</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摩根货币B份额净值增长率为:0.4061%，同期业绩比较基准收益率为:0.3393%。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15,801,610,404.79</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28.49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15,801,610,404.79</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28.49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21,343,358,767.10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38.48</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18,243,083,350.38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32.89</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80,165,027.18</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0.14</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55,468,217,549.45</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B431F4" w:rsidRDefault="00F0496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银行存款和结算备付金合计其中银行存款</w:t>
      </w:r>
      <w:r>
        <w:rPr>
          <w:rFonts w:asciiTheme="minorEastAsia" w:eastAsiaTheme="minorEastAsia" w:hAnsiTheme="minorEastAsia" w:hint="eastAsia"/>
          <w:color w:val="000000" w:themeColor="text1"/>
          <w:szCs w:val="21"/>
        </w:rPr>
        <w:t>17,347,040,967.22</w:t>
      </w:r>
      <w:r>
        <w:rPr>
          <w:rFonts w:asciiTheme="minorEastAsia" w:eastAsiaTheme="minorEastAsia" w:hAnsiTheme="minorEastAsia" w:hint="eastAsia"/>
          <w:color w:val="000000" w:themeColor="text1"/>
          <w:szCs w:val="21"/>
        </w:rPr>
        <w:t>元。</w:t>
      </w:r>
    </w:p>
    <w:p w:rsidR="00B4354A" w:rsidRPr="00221340" w:rsidRDefault="00B4354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2.买入返售金融资产其中买入返售金融资产（交易所）为 21,343,358,767.10元。</w:t>
      </w:r>
    </w:p>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注：报告期无债券回购融资。</w:t>
      </w:r>
    </w:p>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69</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70</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52</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46.57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0.15</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9.51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11.44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7.17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25.22</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99.91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0.15</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F761E3" w:rsidP="00182D82">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w:t>
            </w:r>
            <w:r w:rsidR="00AB0A2B" w:rsidRPr="003025FA">
              <w:rPr>
                <w:rFonts w:asciiTheme="minorEastAsia" w:eastAsiaTheme="minorEastAsia" w:hAnsiTheme="minorEastAsia" w:cs="宋体" w:hint="eastAsia"/>
                <w:color w:val="000000" w:themeColor="text1"/>
                <w:sz w:val="24"/>
              </w:rPr>
              <w:t>(元)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2,289,957,789.23</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2,289,957,789.23</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3,770,500,929.42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6.81</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153,638,505.05</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0.28</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9,587,513,181.09</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17.32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15,801,610,404.79</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28.55</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63"/>
        <w:gridCol w:w="1435"/>
        <w:gridCol w:w="1597"/>
        <w:gridCol w:w="1776"/>
        <w:gridCol w:w="2136"/>
        <w:gridCol w:w="1280"/>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1</w:t>
            </w:r>
          </w:p>
        </w:tc>
        <w:tc>
          <w:tcPr>
            <w:tcW w:w="0" w:type="auto"/>
            <w:vAlign w:val="center"/>
          </w:tcPr>
          <w:p w:rsidR="00B431F4" w:rsidRDefault="00F0496C">
            <w:pPr>
              <w:jc w:val="center"/>
            </w:pPr>
            <w:r>
              <w:rPr>
                <w:rFonts w:asciiTheme="minorEastAsia" w:eastAsiaTheme="minorEastAsia" w:hAnsiTheme="minorEastAsia"/>
                <w:color w:val="000000" w:themeColor="text1"/>
                <w:sz w:val="24"/>
              </w:rPr>
              <w:t>112402040</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CD040</w:t>
            </w:r>
          </w:p>
        </w:tc>
        <w:tc>
          <w:tcPr>
            <w:tcW w:w="0" w:type="auto"/>
            <w:vAlign w:val="center"/>
          </w:tcPr>
          <w:p w:rsidR="00B431F4" w:rsidRDefault="00F0496C">
            <w:pPr>
              <w:jc w:val="right"/>
            </w:pPr>
            <w:r>
              <w:rPr>
                <w:rFonts w:asciiTheme="minorEastAsia" w:eastAsiaTheme="minorEastAsia" w:hAnsiTheme="minorEastAsia"/>
                <w:color w:val="000000" w:themeColor="text1"/>
                <w:sz w:val="24"/>
              </w:rPr>
              <w:t>11,500,000.00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1,147,568,698.05</w:t>
            </w:r>
          </w:p>
        </w:tc>
        <w:tc>
          <w:tcPr>
            <w:tcW w:w="0" w:type="auto"/>
            <w:vAlign w:val="center"/>
          </w:tcPr>
          <w:p w:rsidR="00B431F4" w:rsidRDefault="00F0496C">
            <w:pPr>
              <w:jc w:val="right"/>
            </w:pPr>
            <w:r>
              <w:rPr>
                <w:rFonts w:asciiTheme="minorEastAsia" w:eastAsiaTheme="minorEastAsia" w:hAnsiTheme="minorEastAsia"/>
                <w:color w:val="000000" w:themeColor="text1"/>
                <w:sz w:val="24"/>
              </w:rPr>
              <w:t>2.07</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2</w:t>
            </w:r>
          </w:p>
        </w:tc>
        <w:tc>
          <w:tcPr>
            <w:tcW w:w="0" w:type="auto"/>
            <w:vAlign w:val="center"/>
          </w:tcPr>
          <w:p w:rsidR="00B431F4" w:rsidRDefault="00F0496C">
            <w:pPr>
              <w:jc w:val="center"/>
            </w:pPr>
            <w:r>
              <w:rPr>
                <w:rFonts w:asciiTheme="minorEastAsia" w:eastAsiaTheme="minorEastAsia" w:hAnsiTheme="minorEastAsia"/>
                <w:color w:val="000000" w:themeColor="text1"/>
                <w:sz w:val="24"/>
              </w:rPr>
              <w:t>012480785</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中石化</w:t>
            </w:r>
            <w:r>
              <w:rPr>
                <w:rFonts w:asciiTheme="minorEastAsia" w:eastAsiaTheme="minorEastAsia" w:hAnsiTheme="minorEastAsia"/>
                <w:color w:val="000000" w:themeColor="text1"/>
                <w:sz w:val="24"/>
              </w:rPr>
              <w:t>SCP001</w:t>
            </w:r>
          </w:p>
        </w:tc>
        <w:tc>
          <w:tcPr>
            <w:tcW w:w="0" w:type="auto"/>
            <w:vAlign w:val="center"/>
          </w:tcPr>
          <w:p w:rsidR="00B431F4" w:rsidRDefault="00F0496C">
            <w:pPr>
              <w:jc w:val="right"/>
            </w:pPr>
            <w:r>
              <w:rPr>
                <w:rFonts w:asciiTheme="minorEastAsia" w:eastAsiaTheme="minorEastAsia" w:hAnsiTheme="minorEastAsia"/>
                <w:color w:val="000000" w:themeColor="text1"/>
                <w:sz w:val="24"/>
              </w:rPr>
              <w:t>11,000,000.00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1,110,461,376.13</w:t>
            </w:r>
          </w:p>
        </w:tc>
        <w:tc>
          <w:tcPr>
            <w:tcW w:w="0" w:type="auto"/>
            <w:vAlign w:val="center"/>
          </w:tcPr>
          <w:p w:rsidR="00B431F4" w:rsidRDefault="00F0496C">
            <w:pPr>
              <w:jc w:val="right"/>
            </w:pPr>
            <w:r>
              <w:rPr>
                <w:rFonts w:asciiTheme="minorEastAsia" w:eastAsiaTheme="minorEastAsia" w:hAnsiTheme="minorEastAsia"/>
                <w:color w:val="000000" w:themeColor="text1"/>
                <w:sz w:val="24"/>
              </w:rPr>
              <w:t>2.01</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3</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240401</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01</w:t>
            </w:r>
          </w:p>
        </w:tc>
        <w:tc>
          <w:tcPr>
            <w:tcW w:w="0" w:type="auto"/>
            <w:vAlign w:val="center"/>
          </w:tcPr>
          <w:p w:rsidR="00B431F4" w:rsidRDefault="00F0496C">
            <w:pPr>
              <w:jc w:val="right"/>
            </w:pPr>
            <w:r>
              <w:rPr>
                <w:rFonts w:asciiTheme="minorEastAsia" w:eastAsiaTheme="minorEastAsia" w:hAnsiTheme="minorEastAsia"/>
                <w:color w:val="000000" w:themeColor="text1"/>
                <w:sz w:val="24"/>
              </w:rPr>
              <w:t>5,400,000.00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545,439,878.30</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0.99</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4</w:t>
            </w:r>
          </w:p>
        </w:tc>
        <w:tc>
          <w:tcPr>
            <w:tcW w:w="0" w:type="auto"/>
            <w:vAlign w:val="center"/>
          </w:tcPr>
          <w:p w:rsidR="00B431F4" w:rsidRDefault="00F0496C">
            <w:pPr>
              <w:jc w:val="center"/>
            </w:pPr>
            <w:r>
              <w:rPr>
                <w:rFonts w:asciiTheme="minorEastAsia" w:eastAsiaTheme="minorEastAsia" w:hAnsiTheme="minorEastAsia"/>
                <w:color w:val="000000" w:themeColor="text1"/>
                <w:sz w:val="24"/>
              </w:rPr>
              <w:t>012481605</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电网</w:t>
            </w:r>
            <w:r>
              <w:rPr>
                <w:rFonts w:asciiTheme="minorEastAsia" w:eastAsiaTheme="minorEastAsia" w:hAnsiTheme="minorEastAsia"/>
                <w:color w:val="000000" w:themeColor="text1"/>
                <w:sz w:val="24"/>
              </w:rPr>
              <w:t>SCP023</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502,605,303.13</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0.91</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5</w:t>
            </w:r>
          </w:p>
        </w:tc>
        <w:tc>
          <w:tcPr>
            <w:tcW w:w="0" w:type="auto"/>
            <w:vAlign w:val="center"/>
          </w:tcPr>
          <w:p w:rsidR="00B431F4" w:rsidRDefault="00F0496C">
            <w:pPr>
              <w:jc w:val="center"/>
            </w:pPr>
            <w:r>
              <w:rPr>
                <w:rFonts w:asciiTheme="minorEastAsia" w:eastAsiaTheme="minorEastAsia" w:hAnsiTheme="minorEastAsia"/>
                <w:color w:val="000000" w:themeColor="text1"/>
                <w:sz w:val="24"/>
              </w:rPr>
              <w:t>042480483</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电网</w:t>
            </w:r>
            <w:r>
              <w:rPr>
                <w:rFonts w:asciiTheme="minorEastAsia" w:eastAsiaTheme="minorEastAsia" w:hAnsiTheme="minorEastAsia"/>
                <w:color w:val="000000" w:themeColor="text1"/>
                <w:sz w:val="24"/>
              </w:rPr>
              <w:t>CP020</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500,187,875.45</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0.90</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6</w:t>
            </w:r>
          </w:p>
        </w:tc>
        <w:tc>
          <w:tcPr>
            <w:tcW w:w="0" w:type="auto"/>
            <w:vAlign w:val="center"/>
          </w:tcPr>
          <w:p w:rsidR="00B431F4" w:rsidRDefault="00F0496C">
            <w:pPr>
              <w:jc w:val="center"/>
            </w:pPr>
            <w:r>
              <w:rPr>
                <w:rFonts w:asciiTheme="minorEastAsia" w:eastAsiaTheme="minorEastAsia" w:hAnsiTheme="minorEastAsia"/>
                <w:color w:val="000000" w:themeColor="text1"/>
                <w:sz w:val="24"/>
              </w:rPr>
              <w:t>112402024</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CD024</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499,107,300.75</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0.90</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7</w:t>
            </w:r>
          </w:p>
        </w:tc>
        <w:tc>
          <w:tcPr>
            <w:tcW w:w="0" w:type="auto"/>
            <w:vAlign w:val="center"/>
          </w:tcPr>
          <w:p w:rsidR="00B431F4" w:rsidRDefault="00F0496C">
            <w:pPr>
              <w:jc w:val="center"/>
            </w:pPr>
            <w:r>
              <w:rPr>
                <w:rFonts w:asciiTheme="minorEastAsia" w:eastAsiaTheme="minorEastAsia" w:hAnsiTheme="minorEastAsia"/>
                <w:color w:val="000000" w:themeColor="text1"/>
                <w:sz w:val="24"/>
              </w:rPr>
              <w:t>112403107</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农业银行</w:t>
            </w:r>
            <w:r>
              <w:rPr>
                <w:rFonts w:asciiTheme="minorEastAsia" w:eastAsiaTheme="minorEastAsia" w:hAnsiTheme="minorEastAsia"/>
                <w:color w:val="000000" w:themeColor="text1"/>
                <w:sz w:val="24"/>
              </w:rPr>
              <w:t>CD107</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498,832,824.09</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0.90</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8</w:t>
            </w:r>
          </w:p>
        </w:tc>
        <w:tc>
          <w:tcPr>
            <w:tcW w:w="0" w:type="auto"/>
            <w:vAlign w:val="center"/>
          </w:tcPr>
          <w:p w:rsidR="00B431F4" w:rsidRDefault="00F0496C">
            <w:pPr>
              <w:jc w:val="center"/>
            </w:pPr>
            <w:r>
              <w:rPr>
                <w:rFonts w:asciiTheme="minorEastAsia" w:eastAsiaTheme="minorEastAsia" w:hAnsiTheme="minorEastAsia"/>
                <w:color w:val="000000" w:themeColor="text1"/>
                <w:sz w:val="24"/>
              </w:rPr>
              <w:t>112405206</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建设银行</w:t>
            </w:r>
            <w:r>
              <w:rPr>
                <w:rFonts w:asciiTheme="minorEastAsia" w:eastAsiaTheme="minorEastAsia" w:hAnsiTheme="minorEastAsia"/>
                <w:color w:val="000000" w:themeColor="text1"/>
                <w:sz w:val="24"/>
              </w:rPr>
              <w:t>CD206</w:t>
            </w:r>
          </w:p>
        </w:tc>
        <w:tc>
          <w:tcPr>
            <w:tcW w:w="0" w:type="auto"/>
            <w:vAlign w:val="center"/>
          </w:tcPr>
          <w:p w:rsidR="00B431F4" w:rsidRDefault="00F0496C">
            <w:pPr>
              <w:jc w:val="right"/>
            </w:pPr>
            <w:r>
              <w:rPr>
                <w:rFonts w:asciiTheme="minorEastAsia" w:eastAsiaTheme="minorEastAsia" w:hAnsiTheme="minorEastAsia"/>
                <w:color w:val="000000" w:themeColor="text1"/>
                <w:sz w:val="24"/>
              </w:rPr>
              <w:t>5,000,000.00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495,432,840.89</w:t>
            </w:r>
          </w:p>
        </w:tc>
        <w:tc>
          <w:tcPr>
            <w:tcW w:w="0" w:type="auto"/>
            <w:vAlign w:val="center"/>
          </w:tcPr>
          <w:p w:rsidR="00B431F4" w:rsidRDefault="00F0496C">
            <w:pPr>
              <w:jc w:val="right"/>
            </w:pPr>
            <w:r>
              <w:rPr>
                <w:rFonts w:asciiTheme="minorEastAsia" w:eastAsiaTheme="minorEastAsia" w:hAnsiTheme="minorEastAsia"/>
                <w:color w:val="000000" w:themeColor="text1"/>
                <w:sz w:val="24"/>
              </w:rPr>
              <w:t>0.90</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9</w:t>
            </w:r>
          </w:p>
        </w:tc>
        <w:tc>
          <w:tcPr>
            <w:tcW w:w="0" w:type="auto"/>
            <w:vAlign w:val="center"/>
          </w:tcPr>
          <w:p w:rsidR="00B431F4" w:rsidRDefault="00F0496C">
            <w:pPr>
              <w:jc w:val="center"/>
            </w:pPr>
            <w:r>
              <w:rPr>
                <w:rFonts w:asciiTheme="minorEastAsia" w:eastAsiaTheme="minorEastAsia" w:hAnsiTheme="minorEastAsia"/>
                <w:color w:val="000000" w:themeColor="text1"/>
                <w:sz w:val="24"/>
              </w:rPr>
              <w:t>092318002</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23</w:t>
            </w:r>
            <w:r>
              <w:rPr>
                <w:rFonts w:asciiTheme="minorEastAsia" w:eastAsiaTheme="minorEastAsia" w:hAnsiTheme="minorEastAsia"/>
                <w:color w:val="000000" w:themeColor="text1"/>
                <w:sz w:val="24"/>
              </w:rPr>
              <w:t>农发清发</w:t>
            </w:r>
            <w:r>
              <w:rPr>
                <w:rFonts w:asciiTheme="minorEastAsia" w:eastAsiaTheme="minorEastAsia" w:hAnsiTheme="minorEastAsia"/>
                <w:color w:val="000000" w:themeColor="text1"/>
                <w:sz w:val="24"/>
              </w:rPr>
              <w:t>02</w:t>
            </w:r>
          </w:p>
        </w:tc>
        <w:tc>
          <w:tcPr>
            <w:tcW w:w="0" w:type="auto"/>
            <w:vAlign w:val="center"/>
          </w:tcPr>
          <w:p w:rsidR="00B431F4" w:rsidRDefault="00F0496C">
            <w:pPr>
              <w:jc w:val="right"/>
            </w:pPr>
            <w:r>
              <w:rPr>
                <w:rFonts w:asciiTheme="minorEastAsia" w:eastAsiaTheme="minorEastAsia" w:hAnsiTheme="minorEastAsia"/>
                <w:color w:val="000000" w:themeColor="text1"/>
                <w:sz w:val="24"/>
              </w:rPr>
              <w:t>4,000,000.00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406,830,070.69</w:t>
            </w:r>
          </w:p>
        </w:tc>
        <w:tc>
          <w:tcPr>
            <w:tcW w:w="0" w:type="auto"/>
            <w:vAlign w:val="center"/>
          </w:tcPr>
          <w:p w:rsidR="00B431F4" w:rsidRDefault="00F0496C">
            <w:pPr>
              <w:jc w:val="right"/>
            </w:pPr>
            <w:r>
              <w:rPr>
                <w:rFonts w:asciiTheme="minorEastAsia" w:eastAsiaTheme="minorEastAsia" w:hAnsiTheme="minorEastAsia"/>
                <w:color w:val="000000" w:themeColor="text1"/>
                <w:sz w:val="24"/>
              </w:rPr>
              <w:t>0.74</w:t>
            </w:r>
          </w:p>
        </w:tc>
      </w:tr>
      <w:tr w:rsidR="00B431F4">
        <w:tc>
          <w:tcPr>
            <w:tcW w:w="0" w:type="auto"/>
            <w:vAlign w:val="center"/>
          </w:tcPr>
          <w:p w:rsidR="00B431F4" w:rsidRDefault="00F0496C">
            <w:pPr>
              <w:jc w:val="center"/>
            </w:pPr>
            <w:r>
              <w:rPr>
                <w:rFonts w:asciiTheme="minorEastAsia" w:eastAsiaTheme="minorEastAsia" w:hAnsiTheme="minorEastAsia"/>
                <w:color w:val="000000" w:themeColor="text1"/>
                <w:sz w:val="24"/>
              </w:rPr>
              <w:t>10</w:t>
            </w:r>
          </w:p>
        </w:tc>
        <w:tc>
          <w:tcPr>
            <w:tcW w:w="0" w:type="auto"/>
            <w:vAlign w:val="center"/>
          </w:tcPr>
          <w:p w:rsidR="00B431F4" w:rsidRDefault="00F0496C">
            <w:pPr>
              <w:jc w:val="center"/>
            </w:pPr>
            <w:r>
              <w:rPr>
                <w:rFonts w:asciiTheme="minorEastAsia" w:eastAsiaTheme="minorEastAsia" w:hAnsiTheme="minorEastAsia"/>
                <w:color w:val="000000" w:themeColor="text1"/>
                <w:sz w:val="24"/>
              </w:rPr>
              <w:t>112402047</w:t>
            </w:r>
          </w:p>
        </w:tc>
        <w:tc>
          <w:tcPr>
            <w:tcW w:w="0" w:type="auto"/>
            <w:vAlign w:val="center"/>
          </w:tcPr>
          <w:p w:rsidR="00B431F4" w:rsidRDefault="00F0496C">
            <w:pPr>
              <w:jc w:val="center"/>
            </w:pPr>
            <w:r>
              <w:rPr>
                <w:rFonts w:asciiTheme="minorEastAsia" w:eastAsiaTheme="minorEastAsia" w:hAnsiTheme="minorEastAsia"/>
                <w:color w:val="000000" w:themeColor="text1"/>
                <w:sz w:val="24"/>
              </w:rPr>
              <w:t>24</w:t>
            </w:r>
            <w:r>
              <w:rPr>
                <w:rFonts w:asciiTheme="minorEastAsia" w:eastAsiaTheme="minorEastAsia" w:hAnsiTheme="minorEastAsia"/>
                <w:color w:val="000000" w:themeColor="text1"/>
                <w:sz w:val="24"/>
              </w:rPr>
              <w:t>工商银行</w:t>
            </w:r>
            <w:r>
              <w:rPr>
                <w:rFonts w:asciiTheme="minorEastAsia" w:eastAsiaTheme="minorEastAsia" w:hAnsiTheme="minorEastAsia"/>
                <w:color w:val="000000" w:themeColor="text1"/>
                <w:sz w:val="24"/>
              </w:rPr>
              <w:t>CD047</w:t>
            </w:r>
          </w:p>
        </w:tc>
        <w:tc>
          <w:tcPr>
            <w:tcW w:w="0" w:type="auto"/>
            <w:vAlign w:val="center"/>
          </w:tcPr>
          <w:p w:rsidR="00B431F4" w:rsidRDefault="00F0496C">
            <w:pPr>
              <w:jc w:val="right"/>
            </w:pPr>
            <w:r>
              <w:rPr>
                <w:rFonts w:asciiTheme="minorEastAsia" w:eastAsiaTheme="minorEastAsia" w:hAnsiTheme="minorEastAsia"/>
                <w:color w:val="000000" w:themeColor="text1"/>
                <w:sz w:val="24"/>
              </w:rPr>
              <w:t>4,000,000.00</w:t>
            </w:r>
          </w:p>
        </w:tc>
        <w:tc>
          <w:tcPr>
            <w:tcW w:w="0" w:type="auto"/>
            <w:vAlign w:val="center"/>
          </w:tcPr>
          <w:p w:rsidR="00B431F4" w:rsidRDefault="00F0496C">
            <w:pPr>
              <w:jc w:val="right"/>
            </w:pPr>
            <w:r>
              <w:rPr>
                <w:rFonts w:asciiTheme="minorEastAsia" w:eastAsiaTheme="minorEastAsia" w:hAnsiTheme="minorEastAsia"/>
                <w:color w:val="000000" w:themeColor="text1"/>
                <w:sz w:val="24"/>
              </w:rPr>
              <w:t>397,069,367.60</w:t>
            </w:r>
          </w:p>
        </w:tc>
        <w:tc>
          <w:tcPr>
            <w:tcW w:w="0" w:type="auto"/>
            <w:vAlign w:val="center"/>
          </w:tcPr>
          <w:p w:rsidR="00B431F4" w:rsidRDefault="00F0496C">
            <w:pPr>
              <w:jc w:val="right"/>
            </w:pPr>
            <w:r>
              <w:rPr>
                <w:rFonts w:asciiTheme="minorEastAsia" w:eastAsiaTheme="minorEastAsia" w:hAnsiTheme="minorEastAsia"/>
                <w:color w:val="000000" w:themeColor="text1"/>
                <w:sz w:val="24"/>
              </w:rPr>
              <w:t>0.72</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0.0375%</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0.0067%</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0.0219%</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中，中国农业银行股份有限公司报告编制日前一年内曾受到国家外汇管理局北京市分局、国家金融监督管理总局的处罚，中国建设银行股份有限公司报告编制日前一年内曾受到国家金融监督管理总局的处罚。</w:t>
      </w:r>
    </w:p>
    <w:p w:rsidR="00B431F4" w:rsidRDefault="00F0496C">
      <w:pPr>
        <w:widowControl/>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 w:val="24"/>
        </w:rPr>
        <w:t>本基金对上述主体发行的相关证券的投资决策程序符合相关</w:t>
      </w:r>
      <w:r>
        <w:rPr>
          <w:rFonts w:asciiTheme="minorEastAsia" w:eastAsiaTheme="minorEastAsia" w:hAnsiTheme="minorEastAsia"/>
          <w:color w:val="000000" w:themeColor="text1"/>
          <w:sz w:val="24"/>
        </w:rPr>
        <w:t>法律法规及基金合同的要求。</w:t>
      </w:r>
    </w:p>
    <w:p w:rsidR="00B431F4" w:rsidRDefault="00F0496C">
      <w:pPr>
        <w:widowControl/>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 w:val="24"/>
        </w:rPr>
        <w:t>除上述主体外，本基金投资的其他前十名证券的发行主体本期没有出现被监管部门立案调查，或在报告编制日前一年内受到公开谴责、处罚的情形。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80,164,927.18</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100.00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80,165,027.18</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43,144,509.32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49,695,898,922.72</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24,273,169,099.35</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83,862,813,557.50</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24,270,001,849.91</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78,254,336,206.84</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46,311,758.76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55,304,376,273.38</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一</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中国证监会批准本基金募集的文件</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二</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摩根货币市场基金基金合同</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摩根货币市场基金托管协议</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四</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法律意见书</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五</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基金管理人业务资格批件、营业执照</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六</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基金托管人业务资格批件和营业执照</w:t>
      </w:r>
    </w:p>
    <w:p w:rsidR="00B431F4" w:rsidRDefault="00F0496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七</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摩根基金管理（中国）有限公司开放式基金业务规则</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(八) 中国证监会要求的其他文件</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摩根基金管理（中国）有限公司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二〇二四年十月二十五日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0E" w:rsidRDefault="00E84C0E">
      <w:r>
        <w:separator/>
      </w:r>
    </w:p>
  </w:endnote>
  <w:endnote w:type="continuationSeparator" w:id="0">
    <w:p w:rsidR="00E84C0E" w:rsidRDefault="00E8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等线"/>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F0496C">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F0496C">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0E" w:rsidRDefault="00E84C0E">
      <w:r>
        <w:separator/>
      </w:r>
    </w:p>
  </w:footnote>
  <w:footnote w:type="continuationSeparator" w:id="0">
    <w:p w:rsidR="00E84C0E" w:rsidRDefault="00E8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摩根货币市场基金</w:t>
    </w:r>
    <w:r w:rsidRPr="000C5A36">
      <w:t>2024</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1E74"/>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1F4"/>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84C0E"/>
    <w:rsid w:val="00E90A9C"/>
    <w:rsid w:val="00E92BEC"/>
    <w:rsid w:val="00E95356"/>
    <w:rsid w:val="00E966E5"/>
    <w:rsid w:val="00EA3D96"/>
    <w:rsid w:val="00EA6B69"/>
    <w:rsid w:val="00EA6B7B"/>
    <w:rsid w:val="00EA6EC8"/>
    <w:rsid w:val="00EB1F78"/>
    <w:rsid w:val="00EB25E4"/>
    <w:rsid w:val="00EB3D8B"/>
    <w:rsid w:val="00ED1B77"/>
    <w:rsid w:val="00ED5511"/>
    <w:rsid w:val="00ED57D1"/>
    <w:rsid w:val="00EF3B7C"/>
    <w:rsid w:val="00EF56FA"/>
    <w:rsid w:val="00EF6216"/>
    <w:rsid w:val="00EF6E42"/>
    <w:rsid w:val="00F0496C"/>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61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16</Pages>
  <Words>1396</Words>
  <Characters>7962</Characters>
  <Application>Microsoft Office Word</Application>
  <DocSecurity>0</DocSecurity>
  <Lines>66</Lines>
  <Paragraphs>18</Paragraphs>
  <ScaleCrop>false</ScaleCrop>
  <Company>jysld</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217</cp:revision>
  <cp:lastPrinted>2009-01-22T10:11:00Z</cp:lastPrinted>
  <dcterms:created xsi:type="dcterms:W3CDTF">2012-11-21T05:49:00Z</dcterms:created>
  <dcterms:modified xsi:type="dcterms:W3CDTF">2024-10-24T06:04:00Z</dcterms:modified>
</cp:coreProperties>
</file>