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摩根货币市场基金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2024年第4季度报告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2024年12月31日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bookmarkStart w:id="0" w:name="_GoBack"/>
      <w:bookmarkEnd w:id="0"/>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摩根基金管理（中国）有限公司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二〇二五年一月二十二日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86324E" w:rsidRDefault="00F60CAD">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Cs w:val="21"/>
        </w:rPr>
        <w:t xml:space="preserve"> </w:t>
      </w:r>
    </w:p>
    <w:p w:rsidR="0086324E" w:rsidRDefault="00F60CAD">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基金托管人中国建设银行股份有限公司根据本基金合同规定，于</w:t>
      </w:r>
      <w:r>
        <w:rPr>
          <w:rFonts w:asciiTheme="minorEastAsia" w:eastAsiaTheme="minorEastAsia" w:hAnsiTheme="minorEastAsia"/>
          <w:color w:val="000000" w:themeColor="text1"/>
          <w:szCs w:val="21"/>
        </w:rPr>
        <w:t>2025</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21</w:t>
      </w:r>
      <w:r>
        <w:rPr>
          <w:rFonts w:asciiTheme="minorEastAsia" w:eastAsiaTheme="minorEastAsia" w:hAnsiTheme="minorEastAsia"/>
          <w:color w:val="000000" w:themeColor="text1"/>
          <w:szCs w:val="2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Cs w:val="21"/>
        </w:rPr>
        <w:t xml:space="preserve"> </w:t>
      </w:r>
    </w:p>
    <w:p w:rsidR="0086324E" w:rsidRDefault="00F60CAD">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基金管理人承诺以诚实信用、勤勉尽责的原则管理和运用基金资产，但不保证基金一定盈利。</w:t>
      </w:r>
      <w:r>
        <w:rPr>
          <w:rFonts w:asciiTheme="minorEastAsia" w:eastAsiaTheme="minorEastAsia" w:hAnsiTheme="minorEastAsia"/>
          <w:color w:val="000000" w:themeColor="text1"/>
          <w:szCs w:val="21"/>
        </w:rPr>
        <w:t xml:space="preserve"> </w:t>
      </w:r>
    </w:p>
    <w:p w:rsidR="0086324E" w:rsidRDefault="00F60CAD">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基金的过往业绩并不代表其未来表现。投资有风险，投资者在作出投资决策前应仔细阅读本基金的招募</w:t>
      </w:r>
      <w:r>
        <w:rPr>
          <w:rFonts w:asciiTheme="minorEastAsia" w:eastAsiaTheme="minorEastAsia" w:hAnsiTheme="minorEastAsia"/>
          <w:color w:val="000000" w:themeColor="text1"/>
          <w:szCs w:val="21"/>
        </w:rPr>
        <w:t>说明书。</w:t>
      </w:r>
      <w:r>
        <w:rPr>
          <w:rFonts w:asciiTheme="minorEastAsia" w:eastAsiaTheme="minorEastAsia" w:hAnsiTheme="minorEastAsia"/>
          <w:color w:val="000000" w:themeColor="text1"/>
          <w:szCs w:val="21"/>
        </w:rPr>
        <w:t xml:space="preserve"> </w:t>
      </w:r>
    </w:p>
    <w:p w:rsidR="0086324E" w:rsidRDefault="00F60CAD">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本报告期自2024年10月1日起至12月31日止。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摩根货币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2005年4月13日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64,853,607,116.28</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通过合理的资产选择，在有效控制投资风险和保持较高流动性的前提下，为投资者提供资金的流动性储备，进一步优化现金管理，并力求获得高于业绩比较基准的稳定回报。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86324E" w:rsidRDefault="00F60CAD">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rsidR="0086324E" w:rsidRDefault="00F60CAD">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利率预期策略：市场利率因应景气循环、季节因素或货币政策变动而产生波动，本基金将首先根据对国内外经济形势的预测，分析市场投资环境的变化趋势，重点关注利率趋势变化；其次，在判断利率变动趋势时，我们将重点考虑货币供给的预期效应</w:t>
            </w:r>
            <w:r>
              <w:rPr>
                <w:rFonts w:asciiTheme="minorEastAsia" w:eastAsiaTheme="minorEastAsia" w:hAnsiTheme="minorEastAsia"/>
                <w:color w:val="000000" w:themeColor="text1"/>
                <w:kern w:val="0"/>
                <w:szCs w:val="21"/>
              </w:rPr>
              <w:t>( Money-supply E</w:t>
            </w:r>
            <w:r>
              <w:rPr>
                <w:rFonts w:asciiTheme="minorEastAsia" w:eastAsiaTheme="minorEastAsia" w:hAnsiTheme="minorEastAsia"/>
                <w:color w:val="000000" w:themeColor="text1"/>
                <w:kern w:val="0"/>
                <w:szCs w:val="21"/>
              </w:rPr>
              <w:t>xpectations Effect)</w:t>
            </w:r>
            <w:r>
              <w:rPr>
                <w:rFonts w:asciiTheme="minorEastAsia" w:eastAsiaTheme="minorEastAsia" w:hAnsiTheme="minorEastAsia"/>
                <w:color w:val="000000" w:themeColor="text1"/>
                <w:kern w:val="0"/>
                <w:szCs w:val="21"/>
              </w:rPr>
              <w:t>、通货膨胀与费雪效应</w:t>
            </w:r>
            <w:r>
              <w:rPr>
                <w:rFonts w:asciiTheme="minorEastAsia" w:eastAsiaTheme="minorEastAsia" w:hAnsiTheme="minorEastAsia"/>
                <w:color w:val="000000" w:themeColor="text1"/>
                <w:kern w:val="0"/>
                <w:szCs w:val="21"/>
              </w:rPr>
              <w:t>(Fisher Effect)</w:t>
            </w:r>
            <w:r>
              <w:rPr>
                <w:rFonts w:asciiTheme="minorEastAsia" w:eastAsiaTheme="minorEastAsia" w:hAnsiTheme="minorEastAsia"/>
                <w:color w:val="000000" w:themeColor="text1"/>
                <w:kern w:val="0"/>
                <w:szCs w:val="21"/>
              </w:rPr>
              <w:t>以及资金流量变化</w:t>
            </w:r>
            <w:r>
              <w:rPr>
                <w:rFonts w:asciiTheme="minorEastAsia" w:eastAsiaTheme="minorEastAsia" w:hAnsiTheme="minorEastAsia"/>
                <w:color w:val="000000" w:themeColor="text1"/>
                <w:kern w:val="0"/>
                <w:szCs w:val="21"/>
              </w:rPr>
              <w:t>(Flow of Funds)</w:t>
            </w:r>
            <w:r>
              <w:rPr>
                <w:rFonts w:asciiTheme="minorEastAsia" w:eastAsiaTheme="minorEastAsia" w:hAnsiTheme="minorEastAsia"/>
                <w:color w:val="000000" w:themeColor="text1"/>
                <w:kern w:val="0"/>
                <w:szCs w:val="21"/>
              </w:rPr>
              <w:t>等，全面分析宏观经济、货币政策与财政政策、债券市场政策趋势、物价水平变化趋势等因素，对利率走势形成合理预期，从而做出各类资产配置的决策。</w:t>
            </w:r>
          </w:p>
          <w:p w:rsidR="0086324E" w:rsidRDefault="00F60CAD">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86324E" w:rsidRDefault="00F60CAD">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久期管理：久期作</w:t>
            </w:r>
            <w:r>
              <w:rPr>
                <w:rFonts w:asciiTheme="minorEastAsia" w:eastAsiaTheme="minorEastAsia" w:hAnsiTheme="minorEastAsia"/>
                <w:color w:val="000000" w:themeColor="text1"/>
                <w:kern w:val="0"/>
                <w:szCs w:val="21"/>
              </w:rPr>
              <w:t>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rsidR="0086324E" w:rsidRDefault="00F60CAD">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流动性管理：由于货币市场基金要保持高流动性的特性，本基金会紧密关注申购</w:t>
            </w: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赎回现金流情况、季节性资金流动、日历效应等，建立组合流动性预警指标，实现对基金资产的结构化管理，并结合持续性投资的方法，将回购</w:t>
            </w: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债券到期日进行均衡等量配置，以确保基金资产的整体变现能力</w:t>
            </w:r>
            <w:r>
              <w:rPr>
                <w:rFonts w:asciiTheme="minorEastAsia" w:eastAsiaTheme="minorEastAsia" w:hAnsiTheme="minorEastAsia"/>
                <w:color w:val="000000" w:themeColor="text1"/>
                <w:kern w:val="0"/>
                <w:szCs w:val="21"/>
              </w:rPr>
              <w:t>。</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本基金业绩比较基准为同期七天通知存款利率（税后）。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86324E" w:rsidRDefault="00F60CAD">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本基金属于证券投资基金中高流动性、低风险品种，其预期风险和预期收益率都低于股票基金、债券基金和混合基金。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摩根基金管理（中国）有限公司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49,740,426.09</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64,803,866,690.19</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2024年10月1日-2024年12月31日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155,117.33</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242,749,162.98</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155,117.33</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242,749,162.98</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49,740,426.09</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64,803,866,690.19</w:t>
            </w:r>
          </w:p>
        </w:tc>
      </w:tr>
    </w:tbl>
    <w:p w:rsidR="0086324E" w:rsidRDefault="00F60CAD">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摩根货币A: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过去三个月</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0.3240%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0.0006%</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0.3393%</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-0.0153%</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0.0006%</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过去六个月</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0.6707%</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0.0007%</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0.6787%</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-0.0080%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0.0007%</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过去一年</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1.4335%</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0.0007%</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1.3500%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0.0835%</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0.0007%</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过去三年</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4.7190%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0.0008%</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4.0500%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0.6690%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0.0008%</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过去五年</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8.6265%</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0.0009%</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6.7500%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1.8765%</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0.0009%</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54.6873%</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0.0031%</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29.5504%</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0.0012%</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25.1369%</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0.0019%</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摩根货币B：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过去三个月</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0.3845%</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0.0006%</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0.3393%</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0.0452%</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0.0006%</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过去六个月</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0.7921%</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0.0007%</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0.6787%</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0.1134%</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0.0007%</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过去一年</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1.6770%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0.0007%</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1.3500%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0.3270%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0.0007%</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过去三年</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5.4749%</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0.0008%</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4.0500%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1.4249%</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0.0008%</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过去五年</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9.9365%</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0.0009%</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6.7500%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0.0000%</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3.1865%</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0.0009%</w:t>
            </w:r>
          </w:p>
        </w:tc>
      </w:tr>
      <w:tr w:rsidR="0086324E">
        <w:tc>
          <w:tcPr>
            <w:tcW w:w="1328" w:type="dxa"/>
            <w:vAlign w:val="center"/>
          </w:tcPr>
          <w:p w:rsidR="0086324E" w:rsidRDefault="00F60CAD">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62.1733%</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0.0031%</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29.5504%</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0.0012%</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32.6229%</w:t>
            </w:r>
          </w:p>
        </w:tc>
        <w:tc>
          <w:tcPr>
            <w:tcW w:w="1329" w:type="dxa"/>
            <w:vAlign w:val="center"/>
          </w:tcPr>
          <w:p w:rsidR="0086324E" w:rsidRDefault="00F60CAD">
            <w:pPr>
              <w:jc w:val="center"/>
            </w:pPr>
            <w:r>
              <w:rPr>
                <w:rFonts w:asciiTheme="minorEastAsia" w:eastAsiaTheme="minorEastAsia" w:hAnsiTheme="minorEastAsia"/>
                <w:color w:val="000000" w:themeColor="text1"/>
                <w:szCs w:val="21"/>
              </w:rPr>
              <w:t>0.0019%</w:t>
            </w:r>
          </w:p>
        </w:tc>
      </w:tr>
    </w:tbl>
    <w:p w:rsidR="000B2044" w:rsidRPr="00221340" w:rsidRDefault="000B2044"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注：本基金收益分配按月结转份额。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摩根货币市场基金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2005年4月13日</w:t>
      </w:r>
      <w:r w:rsidRPr="00221340">
        <w:rPr>
          <w:rFonts w:asciiTheme="minorEastAsia" w:eastAsiaTheme="minorEastAsia" w:hAnsiTheme="minorEastAsia" w:hint="eastAsia"/>
          <w:color w:val="000000" w:themeColor="text1"/>
          <w:kern w:val="0"/>
          <w:szCs w:val="21"/>
        </w:rPr>
        <w:t>至2024年12月31日)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6324E" w:rsidRDefault="00F60CAD">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注：本基金合同生效日为</w:t>
      </w:r>
      <w:r>
        <w:rPr>
          <w:rFonts w:asciiTheme="minorEastAsia" w:eastAsiaTheme="minorEastAsia" w:hAnsiTheme="minorEastAsia" w:hint="eastAsia"/>
          <w:color w:val="000000" w:themeColor="text1"/>
          <w:szCs w:val="21"/>
        </w:rPr>
        <w:t>2005</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04</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13</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图示的时间段为合同生效日至本报告期末。</w:t>
      </w:r>
    </w:p>
    <w:p w:rsidR="0086324E" w:rsidRDefault="00F60CAD">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按照基金合同的约定，本基金自基金合同生效日起不超过三个月内完成建仓。</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截止2005年07月13日，本基金已根据基金合同完成建仓且资产配置比例符合本基金基金合同规定。</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86324E">
        <w:tc>
          <w:tcPr>
            <w:tcW w:w="952" w:type="dxa"/>
            <w:vAlign w:val="center"/>
          </w:tcPr>
          <w:p w:rsidR="0086324E" w:rsidRDefault="00F60CAD">
            <w:pPr>
              <w:jc w:val="center"/>
            </w:pPr>
            <w:r>
              <w:rPr>
                <w:rFonts w:asciiTheme="minorEastAsia" w:eastAsiaTheme="minorEastAsia" w:hAnsiTheme="minorEastAsia"/>
                <w:color w:val="000000" w:themeColor="text1"/>
                <w:szCs w:val="21"/>
              </w:rPr>
              <w:t>鞠婷</w:t>
            </w:r>
          </w:p>
        </w:tc>
        <w:tc>
          <w:tcPr>
            <w:tcW w:w="1600" w:type="dxa"/>
            <w:vAlign w:val="center"/>
          </w:tcPr>
          <w:p w:rsidR="0086324E" w:rsidRDefault="00F60CAD">
            <w:pPr>
              <w:jc w:val="center"/>
            </w:pPr>
            <w:r>
              <w:rPr>
                <w:rFonts w:asciiTheme="minorEastAsia" w:eastAsiaTheme="minorEastAsia" w:hAnsiTheme="minorEastAsia"/>
                <w:color w:val="000000" w:themeColor="text1"/>
                <w:szCs w:val="21"/>
              </w:rPr>
              <w:t>本基金基金经理</w:t>
            </w:r>
          </w:p>
        </w:tc>
        <w:tc>
          <w:tcPr>
            <w:tcW w:w="1488" w:type="dxa"/>
            <w:vAlign w:val="center"/>
          </w:tcPr>
          <w:p w:rsidR="0086324E" w:rsidRDefault="00F60CAD">
            <w:pPr>
              <w:jc w:val="center"/>
            </w:pPr>
            <w:r>
              <w:rPr>
                <w:rFonts w:asciiTheme="minorEastAsia" w:eastAsiaTheme="minorEastAsia" w:hAnsiTheme="minorEastAsia"/>
                <w:color w:val="000000" w:themeColor="text1"/>
                <w:szCs w:val="21"/>
              </w:rPr>
              <w:t>2020-03-20</w:t>
            </w:r>
          </w:p>
        </w:tc>
        <w:tc>
          <w:tcPr>
            <w:tcW w:w="1489" w:type="dxa"/>
            <w:vAlign w:val="center"/>
          </w:tcPr>
          <w:p w:rsidR="0086324E" w:rsidRDefault="00F60CAD">
            <w:pPr>
              <w:jc w:val="center"/>
            </w:pPr>
            <w:r>
              <w:rPr>
                <w:rFonts w:asciiTheme="minorEastAsia" w:eastAsiaTheme="minorEastAsia" w:hAnsiTheme="minorEastAsia"/>
                <w:color w:val="000000" w:themeColor="text1"/>
                <w:szCs w:val="21"/>
              </w:rPr>
              <w:t>-</w:t>
            </w:r>
          </w:p>
        </w:tc>
        <w:tc>
          <w:tcPr>
            <w:tcW w:w="992" w:type="dxa"/>
            <w:vAlign w:val="center"/>
          </w:tcPr>
          <w:p w:rsidR="0086324E" w:rsidRDefault="00F60CAD">
            <w:pPr>
              <w:jc w:val="center"/>
            </w:pPr>
            <w:r>
              <w:rPr>
                <w:rFonts w:asciiTheme="minorEastAsia" w:eastAsiaTheme="minorEastAsia" w:hAnsiTheme="minorEastAsia"/>
                <w:color w:val="000000" w:themeColor="text1"/>
                <w:szCs w:val="21"/>
              </w:rPr>
              <w:t>19</w:t>
            </w:r>
            <w:r>
              <w:rPr>
                <w:rFonts w:asciiTheme="minorEastAsia" w:eastAsiaTheme="minorEastAsia" w:hAnsiTheme="minorEastAsia"/>
                <w:color w:val="000000" w:themeColor="text1"/>
                <w:szCs w:val="21"/>
              </w:rPr>
              <w:t>年</w:t>
            </w:r>
          </w:p>
        </w:tc>
        <w:tc>
          <w:tcPr>
            <w:tcW w:w="2410" w:type="dxa"/>
            <w:vAlign w:val="center"/>
          </w:tcPr>
          <w:p w:rsidR="0086324E" w:rsidRDefault="00F60CAD">
            <w:r>
              <w:rPr>
                <w:rFonts w:asciiTheme="minorEastAsia" w:eastAsiaTheme="minorEastAsia" w:hAnsiTheme="minorEastAsia"/>
                <w:color w:val="000000" w:themeColor="text1"/>
                <w:szCs w:val="21"/>
              </w:rPr>
              <w:t>鞠婷女士曾任中国建设银行第一支行助理经济师，瑞穗银行总行总经理助理。</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月起加入摩根基金管理（中国）有限公司（原上投摩根基金管理有限公司），历任基金经理助理、基金经理，高级基金经理，现任货币市场投资部副总监兼资深基金经理。</w:t>
            </w:r>
          </w:p>
        </w:tc>
      </w:tr>
      <w:tr w:rsidR="0086324E">
        <w:tc>
          <w:tcPr>
            <w:tcW w:w="952" w:type="dxa"/>
            <w:vAlign w:val="center"/>
          </w:tcPr>
          <w:p w:rsidR="0086324E" w:rsidRDefault="00F60CAD">
            <w:pPr>
              <w:jc w:val="center"/>
            </w:pPr>
            <w:r>
              <w:rPr>
                <w:rFonts w:asciiTheme="minorEastAsia" w:eastAsiaTheme="minorEastAsia" w:hAnsiTheme="minorEastAsia"/>
                <w:color w:val="000000" w:themeColor="text1"/>
                <w:szCs w:val="21"/>
              </w:rPr>
              <w:t>忻佳华</w:t>
            </w:r>
          </w:p>
        </w:tc>
        <w:tc>
          <w:tcPr>
            <w:tcW w:w="1600" w:type="dxa"/>
            <w:vAlign w:val="center"/>
          </w:tcPr>
          <w:p w:rsidR="0086324E" w:rsidRDefault="00F60CAD">
            <w:pPr>
              <w:jc w:val="center"/>
            </w:pPr>
            <w:r>
              <w:rPr>
                <w:rFonts w:asciiTheme="minorEastAsia" w:eastAsiaTheme="minorEastAsia" w:hAnsiTheme="minorEastAsia"/>
                <w:color w:val="000000" w:themeColor="text1"/>
                <w:szCs w:val="21"/>
              </w:rPr>
              <w:t>本基金基金经理</w:t>
            </w:r>
          </w:p>
        </w:tc>
        <w:tc>
          <w:tcPr>
            <w:tcW w:w="1488" w:type="dxa"/>
            <w:vAlign w:val="center"/>
          </w:tcPr>
          <w:p w:rsidR="0086324E" w:rsidRDefault="00F60CAD">
            <w:pPr>
              <w:jc w:val="center"/>
            </w:pPr>
            <w:r>
              <w:rPr>
                <w:rFonts w:asciiTheme="minorEastAsia" w:eastAsiaTheme="minorEastAsia" w:hAnsiTheme="minorEastAsia"/>
                <w:color w:val="000000" w:themeColor="text1"/>
                <w:szCs w:val="21"/>
              </w:rPr>
              <w:t>2020-08-07</w:t>
            </w:r>
          </w:p>
        </w:tc>
        <w:tc>
          <w:tcPr>
            <w:tcW w:w="1489" w:type="dxa"/>
            <w:vAlign w:val="center"/>
          </w:tcPr>
          <w:p w:rsidR="0086324E" w:rsidRDefault="00F60CAD">
            <w:pPr>
              <w:jc w:val="center"/>
            </w:pPr>
            <w:r>
              <w:rPr>
                <w:rFonts w:asciiTheme="minorEastAsia" w:eastAsiaTheme="minorEastAsia" w:hAnsiTheme="minorEastAsia"/>
                <w:color w:val="000000" w:themeColor="text1"/>
                <w:szCs w:val="21"/>
              </w:rPr>
              <w:t>-</w:t>
            </w:r>
          </w:p>
        </w:tc>
        <w:tc>
          <w:tcPr>
            <w:tcW w:w="992" w:type="dxa"/>
            <w:vAlign w:val="center"/>
          </w:tcPr>
          <w:p w:rsidR="0086324E" w:rsidRDefault="00F60CAD">
            <w:pPr>
              <w:jc w:val="center"/>
            </w:pP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年</w:t>
            </w:r>
          </w:p>
        </w:tc>
        <w:tc>
          <w:tcPr>
            <w:tcW w:w="2410" w:type="dxa"/>
            <w:vAlign w:val="center"/>
          </w:tcPr>
          <w:p w:rsidR="0086324E" w:rsidRDefault="00F60CAD">
            <w:r>
              <w:rPr>
                <w:rFonts w:asciiTheme="minorEastAsia" w:eastAsiaTheme="minorEastAsia" w:hAnsiTheme="minorEastAsia"/>
                <w:color w:val="000000" w:themeColor="text1"/>
                <w:szCs w:val="21"/>
              </w:rPr>
              <w:t>忻佳华先生曾任中国建设银行股份有限公司上海市分行个人客户经理，上海农村商业银行股份有限公司投资交易岗。</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6</w:t>
            </w:r>
            <w:r>
              <w:rPr>
                <w:rFonts w:asciiTheme="minorEastAsia" w:eastAsiaTheme="minorEastAsia" w:hAnsiTheme="minorEastAsia"/>
                <w:color w:val="000000" w:themeColor="text1"/>
                <w:szCs w:val="21"/>
              </w:rPr>
              <w:t>月起加入摩根基金管理（中国）有限公司（原上投摩根基金管理有限公司），曾任基金经理助理、基金经理，现任高级基金经理。</w:t>
            </w:r>
          </w:p>
        </w:tc>
      </w:tr>
      <w:tr w:rsidR="0086324E">
        <w:tc>
          <w:tcPr>
            <w:tcW w:w="952" w:type="dxa"/>
            <w:vAlign w:val="center"/>
          </w:tcPr>
          <w:p w:rsidR="0086324E" w:rsidRDefault="00F60CAD">
            <w:pPr>
              <w:jc w:val="center"/>
            </w:pPr>
            <w:r>
              <w:rPr>
                <w:rFonts w:asciiTheme="minorEastAsia" w:eastAsiaTheme="minorEastAsia" w:hAnsiTheme="minorEastAsia"/>
                <w:color w:val="000000" w:themeColor="text1"/>
                <w:szCs w:val="21"/>
              </w:rPr>
              <w:t>孟晨波</w:t>
            </w:r>
          </w:p>
        </w:tc>
        <w:tc>
          <w:tcPr>
            <w:tcW w:w="1600" w:type="dxa"/>
            <w:vAlign w:val="center"/>
          </w:tcPr>
          <w:p w:rsidR="0086324E" w:rsidRDefault="00F60CAD">
            <w:pPr>
              <w:jc w:val="center"/>
            </w:pPr>
            <w:r>
              <w:rPr>
                <w:rFonts w:asciiTheme="minorEastAsia" w:eastAsiaTheme="minorEastAsia" w:hAnsiTheme="minorEastAsia"/>
                <w:color w:val="000000" w:themeColor="text1"/>
                <w:szCs w:val="21"/>
              </w:rPr>
              <w:t>本基金基金经理、货币市场投资部总监、总经理助理</w:t>
            </w:r>
          </w:p>
        </w:tc>
        <w:tc>
          <w:tcPr>
            <w:tcW w:w="1488" w:type="dxa"/>
            <w:vAlign w:val="center"/>
          </w:tcPr>
          <w:p w:rsidR="0086324E" w:rsidRDefault="00F60CAD">
            <w:pPr>
              <w:jc w:val="center"/>
            </w:pPr>
            <w:r>
              <w:rPr>
                <w:rFonts w:asciiTheme="minorEastAsia" w:eastAsiaTheme="minorEastAsia" w:hAnsiTheme="minorEastAsia"/>
                <w:color w:val="000000" w:themeColor="text1"/>
                <w:szCs w:val="21"/>
              </w:rPr>
              <w:t>2009-09-17</w:t>
            </w:r>
          </w:p>
        </w:tc>
        <w:tc>
          <w:tcPr>
            <w:tcW w:w="1489" w:type="dxa"/>
            <w:vAlign w:val="center"/>
          </w:tcPr>
          <w:p w:rsidR="0086324E" w:rsidRDefault="00F60CAD">
            <w:pPr>
              <w:jc w:val="center"/>
            </w:pPr>
            <w:r>
              <w:rPr>
                <w:rFonts w:asciiTheme="minorEastAsia" w:eastAsiaTheme="minorEastAsia" w:hAnsiTheme="minorEastAsia"/>
                <w:color w:val="000000" w:themeColor="text1"/>
                <w:szCs w:val="21"/>
              </w:rPr>
              <w:t>-</w:t>
            </w:r>
          </w:p>
        </w:tc>
        <w:tc>
          <w:tcPr>
            <w:tcW w:w="992" w:type="dxa"/>
            <w:vAlign w:val="center"/>
          </w:tcPr>
          <w:p w:rsidR="0086324E" w:rsidRDefault="00F60CAD">
            <w:pPr>
              <w:jc w:val="center"/>
            </w:pPr>
            <w:r>
              <w:rPr>
                <w:rFonts w:asciiTheme="minorEastAsia" w:eastAsiaTheme="minorEastAsia" w:hAnsiTheme="minorEastAsia"/>
                <w:color w:val="000000" w:themeColor="text1"/>
                <w:szCs w:val="21"/>
              </w:rPr>
              <w:t>20</w:t>
            </w:r>
            <w:r>
              <w:rPr>
                <w:rFonts w:asciiTheme="minorEastAsia" w:eastAsiaTheme="minorEastAsia" w:hAnsiTheme="minorEastAsia"/>
                <w:color w:val="000000" w:themeColor="text1"/>
                <w:szCs w:val="21"/>
              </w:rPr>
              <w:t>年（金融领域从业经验</w:t>
            </w:r>
            <w:r>
              <w:rPr>
                <w:rFonts w:asciiTheme="minorEastAsia" w:eastAsiaTheme="minorEastAsia" w:hAnsiTheme="minorEastAsia"/>
                <w:color w:val="000000" w:themeColor="text1"/>
                <w:szCs w:val="21"/>
              </w:rPr>
              <w:t>30</w:t>
            </w:r>
            <w:r>
              <w:rPr>
                <w:rFonts w:asciiTheme="minorEastAsia" w:eastAsiaTheme="minorEastAsia" w:hAnsiTheme="minorEastAsia"/>
                <w:color w:val="000000" w:themeColor="text1"/>
                <w:szCs w:val="21"/>
              </w:rPr>
              <w:t>年）</w:t>
            </w:r>
          </w:p>
        </w:tc>
        <w:tc>
          <w:tcPr>
            <w:tcW w:w="2410" w:type="dxa"/>
            <w:vAlign w:val="center"/>
          </w:tcPr>
          <w:p w:rsidR="0086324E" w:rsidRDefault="00F60CAD">
            <w:r>
              <w:rPr>
                <w:rFonts w:asciiTheme="minorEastAsia" w:eastAsiaTheme="minorEastAsia" w:hAnsiTheme="minorEastAsia"/>
                <w:color w:val="000000" w:themeColor="text1"/>
                <w:szCs w:val="21"/>
              </w:rPr>
              <w:t>孟晨波女士曾任荷兰银行资金部高级交易员，星展银行上海分行资金部经理，比利时富通银行资金部联席董事，花旗银行金融市场部副总监。</w:t>
            </w:r>
            <w:r>
              <w:rPr>
                <w:rFonts w:asciiTheme="minorEastAsia" w:eastAsiaTheme="minorEastAsia" w:hAnsiTheme="minorEastAsia"/>
                <w:color w:val="000000" w:themeColor="text1"/>
                <w:szCs w:val="21"/>
              </w:rPr>
              <w:t>2009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月加入摩根基金管理（中国）有</w:t>
            </w:r>
            <w:r>
              <w:rPr>
                <w:rFonts w:asciiTheme="minorEastAsia" w:eastAsiaTheme="minorEastAsia" w:hAnsiTheme="minorEastAsia"/>
                <w:color w:val="000000" w:themeColor="text1"/>
                <w:szCs w:val="21"/>
              </w:rPr>
              <w:t>限公司（原上投摩根基金管理有限公司）担任固定收益部总监，现任总经理助理</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货币市场投资部总监兼资深基金经理。</w:t>
            </w:r>
          </w:p>
        </w:tc>
      </w:tr>
    </w:tbl>
    <w:p w:rsidR="0086324E" w:rsidRDefault="00F60CAD">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w:t>
      </w:r>
      <w:r>
        <w:rPr>
          <w:rFonts w:asciiTheme="minorEastAsia" w:eastAsiaTheme="minorEastAsia" w:hAnsiTheme="minorEastAsia"/>
          <w:color w:val="000000" w:themeColor="text1"/>
          <w:szCs w:val="21"/>
        </w:rPr>
        <w:t xml:space="preserve">1. </w:t>
      </w:r>
      <w:r>
        <w:rPr>
          <w:rFonts w:asciiTheme="minorEastAsia" w:eastAsiaTheme="minorEastAsia" w:hAnsiTheme="minorEastAsia"/>
          <w:color w:val="000000" w:themeColor="text1"/>
          <w:szCs w:val="21"/>
        </w:rPr>
        <w:t>任职日期和离任日期均指根据公司决定确定的聘任日期和解聘日期。</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 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w:t>
      </w:r>
      <w:r>
        <w:rPr>
          <w:rFonts w:asciiTheme="minorEastAsia" w:eastAsiaTheme="minorEastAsia" w:hAnsiTheme="minorEastAsia"/>
          <w:color w:val="000000" w:themeColor="text1"/>
          <w:szCs w:val="21"/>
        </w:rPr>
        <w:t>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2024</w:t>
      </w:r>
      <w:r>
        <w:rPr>
          <w:rFonts w:asciiTheme="minorEastAsia" w:eastAsiaTheme="minorEastAsia" w:hAnsiTheme="minorEastAsia"/>
          <w:color w:val="000000" w:themeColor="text1"/>
          <w:szCs w:val="21"/>
        </w:rPr>
        <w:t>年四季度，一系列宏观政策组合效应继续显现，我国经济延续了回升向好的发展态势，高质量发展稳步推进。</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月份制造业采购经理指数（</w:t>
      </w:r>
      <w:r>
        <w:rPr>
          <w:rFonts w:asciiTheme="minorEastAsia" w:eastAsiaTheme="minorEastAsia" w:hAnsiTheme="minorEastAsia"/>
          <w:color w:val="000000" w:themeColor="text1"/>
          <w:szCs w:val="21"/>
        </w:rPr>
        <w:t>PMI</w:t>
      </w:r>
      <w:r>
        <w:rPr>
          <w:rFonts w:asciiTheme="minorEastAsia" w:eastAsiaTheme="minorEastAsia" w:hAnsiTheme="minorEastAsia"/>
          <w:color w:val="000000" w:themeColor="text1"/>
          <w:szCs w:val="21"/>
        </w:rPr>
        <w:t>）为</w:t>
      </w:r>
      <w:r>
        <w:rPr>
          <w:rFonts w:asciiTheme="minorEastAsia" w:eastAsiaTheme="minorEastAsia" w:hAnsiTheme="minorEastAsia"/>
          <w:color w:val="000000" w:themeColor="text1"/>
          <w:szCs w:val="21"/>
        </w:rPr>
        <w:t>50.1%</w:t>
      </w:r>
      <w:r>
        <w:rPr>
          <w:rFonts w:asciiTheme="minorEastAsia" w:eastAsiaTheme="minorEastAsia" w:hAnsiTheme="minorEastAsia"/>
          <w:color w:val="000000" w:themeColor="text1"/>
          <w:szCs w:val="21"/>
        </w:rPr>
        <w:t>，连续</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个月稳定在扩张区间。综合来看，四季度</w:t>
      </w:r>
      <w:r>
        <w:rPr>
          <w:rFonts w:asciiTheme="minorEastAsia" w:eastAsiaTheme="minorEastAsia" w:hAnsiTheme="minorEastAsia"/>
          <w:color w:val="000000" w:themeColor="text1"/>
          <w:szCs w:val="21"/>
        </w:rPr>
        <w:t>PMI</w:t>
      </w:r>
      <w:r>
        <w:rPr>
          <w:rFonts w:asciiTheme="minorEastAsia" w:eastAsiaTheme="minorEastAsia" w:hAnsiTheme="minorEastAsia"/>
          <w:color w:val="000000" w:themeColor="text1"/>
          <w:szCs w:val="21"/>
        </w:rPr>
        <w:t>均值为</w:t>
      </w:r>
      <w:r>
        <w:rPr>
          <w:rFonts w:asciiTheme="minorEastAsia" w:eastAsiaTheme="minorEastAsia" w:hAnsiTheme="minorEastAsia"/>
          <w:color w:val="000000" w:themeColor="text1"/>
          <w:szCs w:val="21"/>
        </w:rPr>
        <w:t>50.2%</w:t>
      </w:r>
      <w:r>
        <w:rPr>
          <w:rFonts w:asciiTheme="minorEastAsia" w:eastAsiaTheme="minorEastAsia" w:hAnsiTheme="minorEastAsia"/>
          <w:color w:val="000000" w:themeColor="text1"/>
          <w:szCs w:val="21"/>
        </w:rPr>
        <w:t>，明显高于三季度的</w:t>
      </w:r>
      <w:r>
        <w:rPr>
          <w:rFonts w:asciiTheme="minorEastAsia" w:eastAsiaTheme="minorEastAsia" w:hAnsiTheme="minorEastAsia"/>
          <w:color w:val="000000" w:themeColor="text1"/>
          <w:szCs w:val="21"/>
        </w:rPr>
        <w:t>49.4%</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月份，全国规模以上工业增加值同比增长</w:t>
      </w:r>
      <w:r>
        <w:rPr>
          <w:rFonts w:asciiTheme="minorEastAsia" w:eastAsiaTheme="minorEastAsia" w:hAnsiTheme="minorEastAsia"/>
          <w:color w:val="000000" w:themeColor="text1"/>
          <w:szCs w:val="21"/>
        </w:rPr>
        <w:t>5.4%</w:t>
      </w:r>
      <w:r>
        <w:rPr>
          <w:rFonts w:asciiTheme="minorEastAsia" w:eastAsiaTheme="minorEastAsia" w:hAnsiTheme="minorEastAsia"/>
          <w:color w:val="000000" w:themeColor="text1"/>
          <w:szCs w:val="21"/>
        </w:rPr>
        <w:t>，环比增长</w:t>
      </w:r>
      <w:r>
        <w:rPr>
          <w:rFonts w:asciiTheme="minorEastAsia" w:eastAsiaTheme="minorEastAsia" w:hAnsiTheme="minorEastAsia"/>
          <w:color w:val="000000" w:themeColor="text1"/>
          <w:szCs w:val="21"/>
        </w:rPr>
        <w:t>0.46%</w:t>
      </w:r>
      <w:r>
        <w:rPr>
          <w:rFonts w:asciiTheme="minorEastAsia" w:eastAsiaTheme="minorEastAsia" w:hAnsiTheme="minorEastAsia"/>
          <w:color w:val="000000" w:themeColor="text1"/>
          <w:szCs w:val="21"/>
        </w:rPr>
        <w:t>。四季度以来，消费品以旧换新政策持续显效，带动国内需求扩大。从</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月份和</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月份两个月社会消费品零售额整体情况看，明显快于三季度增长。</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月份居民消费价格总体平稳，在需求改善带动下，市场供求关系出</w:t>
      </w:r>
      <w:r>
        <w:rPr>
          <w:rFonts w:asciiTheme="minorEastAsia" w:eastAsiaTheme="minorEastAsia" w:hAnsiTheme="minorEastAsia"/>
          <w:color w:val="000000" w:themeColor="text1"/>
          <w:szCs w:val="21"/>
        </w:rPr>
        <w:t>现了改善迹象。</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今年四季度，央行启用了公开市场买断式逆回购操作工具，进一步丰富了其政策工具箱。央行本季度累计开展了</w:t>
      </w:r>
      <w:r>
        <w:rPr>
          <w:rFonts w:asciiTheme="minorEastAsia" w:eastAsiaTheme="minorEastAsia" w:hAnsiTheme="minorEastAsia"/>
          <w:color w:val="000000" w:themeColor="text1"/>
          <w:szCs w:val="21"/>
        </w:rPr>
        <w:t>2.7</w:t>
      </w:r>
      <w:r>
        <w:rPr>
          <w:rFonts w:asciiTheme="minorEastAsia" w:eastAsiaTheme="minorEastAsia" w:hAnsiTheme="minorEastAsia"/>
          <w:color w:val="000000" w:themeColor="text1"/>
          <w:szCs w:val="21"/>
        </w:rPr>
        <w:t>万亿元买断式逆回购操作，其中</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个月期和</w:t>
      </w:r>
      <w:r>
        <w:rPr>
          <w:rFonts w:asciiTheme="minorEastAsia" w:eastAsiaTheme="minorEastAsia" w:hAnsiTheme="minorEastAsia"/>
          <w:color w:val="000000" w:themeColor="text1"/>
          <w:szCs w:val="21"/>
        </w:rPr>
        <w:t>6</w:t>
      </w:r>
      <w:r>
        <w:rPr>
          <w:rFonts w:asciiTheme="minorEastAsia" w:eastAsiaTheme="minorEastAsia" w:hAnsiTheme="minorEastAsia"/>
          <w:color w:val="000000" w:themeColor="text1"/>
          <w:szCs w:val="21"/>
        </w:rPr>
        <w:t>个月期的操作量分别为</w:t>
      </w:r>
      <w:r>
        <w:rPr>
          <w:rFonts w:asciiTheme="minorEastAsia" w:eastAsiaTheme="minorEastAsia" w:hAnsiTheme="minorEastAsia"/>
          <w:color w:val="000000" w:themeColor="text1"/>
          <w:szCs w:val="21"/>
        </w:rPr>
        <w:t>1.5</w:t>
      </w:r>
      <w:r>
        <w:rPr>
          <w:rFonts w:asciiTheme="minorEastAsia" w:eastAsiaTheme="minorEastAsia" w:hAnsiTheme="minorEastAsia"/>
          <w:color w:val="000000" w:themeColor="text1"/>
          <w:szCs w:val="21"/>
        </w:rPr>
        <w:t>万亿元和</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万亿元，操作期限较中期借贷便利（</w:t>
      </w:r>
      <w:r>
        <w:rPr>
          <w:rFonts w:asciiTheme="minorEastAsia" w:eastAsiaTheme="minorEastAsia" w:hAnsiTheme="minorEastAsia"/>
          <w:color w:val="000000" w:themeColor="text1"/>
          <w:szCs w:val="21"/>
        </w:rPr>
        <w:t>MLF</w:t>
      </w:r>
      <w:r>
        <w:rPr>
          <w:rFonts w:asciiTheme="minorEastAsia" w:eastAsiaTheme="minorEastAsia" w:hAnsiTheme="minorEastAsia"/>
          <w:color w:val="000000" w:themeColor="text1"/>
          <w:szCs w:val="21"/>
        </w:rPr>
        <w:t>）更为灵活。同时，央行本季度累计净买入国债</w:t>
      </w:r>
      <w:r>
        <w:rPr>
          <w:rFonts w:asciiTheme="minorEastAsia" w:eastAsiaTheme="minorEastAsia" w:hAnsiTheme="minorEastAsia"/>
          <w:color w:val="000000" w:themeColor="text1"/>
          <w:szCs w:val="21"/>
        </w:rPr>
        <w:t>7000</w:t>
      </w:r>
      <w:r>
        <w:rPr>
          <w:rFonts w:asciiTheme="minorEastAsia" w:eastAsiaTheme="minorEastAsia" w:hAnsiTheme="minorEastAsia"/>
          <w:color w:val="000000" w:themeColor="text1"/>
          <w:szCs w:val="21"/>
        </w:rPr>
        <w:t>亿元。结合每个交易日的逆回购投放，央行在本季度中综合运用公开市场各种操作工具，有效对冲了因大幅缩量续做</w:t>
      </w:r>
      <w:r>
        <w:rPr>
          <w:rFonts w:asciiTheme="minorEastAsia" w:eastAsiaTheme="minorEastAsia" w:hAnsiTheme="minorEastAsia"/>
          <w:color w:val="000000" w:themeColor="text1"/>
          <w:szCs w:val="21"/>
        </w:rPr>
        <w:t>MLF</w:t>
      </w:r>
      <w:r>
        <w:rPr>
          <w:rFonts w:asciiTheme="minorEastAsia" w:eastAsiaTheme="minorEastAsia" w:hAnsiTheme="minorEastAsia"/>
          <w:color w:val="000000" w:themeColor="text1"/>
          <w:szCs w:val="21"/>
        </w:rPr>
        <w:t>对流动性的影响，使银行间市场流动性始终处于合理充裕的状态。本季度中，货币市场收益率有较大的下行幅度，尤其在货币政策基</w:t>
      </w:r>
      <w:r>
        <w:rPr>
          <w:rFonts w:asciiTheme="minorEastAsia" w:eastAsiaTheme="minorEastAsia" w:hAnsiTheme="minorEastAsia"/>
          <w:color w:val="000000" w:themeColor="text1"/>
          <w:szCs w:val="21"/>
        </w:rPr>
        <w:t>调由</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稳健</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转向</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适度宽松</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以后，市场收益率迎来了加速下行。</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年期国股行同业存单收益率累计下行</w:t>
      </w:r>
      <w:r>
        <w:rPr>
          <w:rFonts w:asciiTheme="minorEastAsia" w:eastAsiaTheme="minorEastAsia" w:hAnsiTheme="minorEastAsia"/>
          <w:color w:val="000000" w:themeColor="text1"/>
          <w:szCs w:val="21"/>
        </w:rPr>
        <w:t>33bps</w:t>
      </w:r>
      <w:r>
        <w:rPr>
          <w:rFonts w:asciiTheme="minorEastAsia" w:eastAsiaTheme="minorEastAsia" w:hAnsiTheme="minorEastAsia"/>
          <w:color w:val="000000" w:themeColor="text1"/>
          <w:szCs w:val="21"/>
        </w:rPr>
        <w:t>至</w:t>
      </w:r>
      <w:r>
        <w:rPr>
          <w:rFonts w:asciiTheme="minorEastAsia" w:eastAsiaTheme="minorEastAsia" w:hAnsiTheme="minorEastAsia"/>
          <w:color w:val="000000" w:themeColor="text1"/>
          <w:szCs w:val="21"/>
        </w:rPr>
        <w:t>1.58%</w:t>
      </w:r>
      <w:r>
        <w:rPr>
          <w:rFonts w:asciiTheme="minorEastAsia" w:eastAsiaTheme="minorEastAsia" w:hAnsiTheme="minorEastAsia"/>
          <w:color w:val="000000" w:themeColor="text1"/>
          <w:szCs w:val="21"/>
        </w:rPr>
        <w:t>，接近历史低点；</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年期国债收益率累计下行</w:t>
      </w:r>
      <w:r>
        <w:rPr>
          <w:rFonts w:asciiTheme="minorEastAsia" w:eastAsiaTheme="minorEastAsia" w:hAnsiTheme="minorEastAsia"/>
          <w:color w:val="000000" w:themeColor="text1"/>
          <w:szCs w:val="21"/>
        </w:rPr>
        <w:t>28bps</w:t>
      </w:r>
      <w:r>
        <w:rPr>
          <w:rFonts w:asciiTheme="minorEastAsia" w:eastAsiaTheme="minorEastAsia" w:hAnsiTheme="minorEastAsia"/>
          <w:color w:val="000000" w:themeColor="text1"/>
          <w:szCs w:val="21"/>
        </w:rPr>
        <w:t>至</w:t>
      </w:r>
      <w:r>
        <w:rPr>
          <w:rFonts w:asciiTheme="minorEastAsia" w:eastAsiaTheme="minorEastAsia" w:hAnsiTheme="minorEastAsia"/>
          <w:color w:val="000000" w:themeColor="text1"/>
          <w:szCs w:val="21"/>
        </w:rPr>
        <w:t>1.08%</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年期国开债收益率累计下行</w:t>
      </w:r>
      <w:r>
        <w:rPr>
          <w:rFonts w:asciiTheme="minorEastAsia" w:eastAsiaTheme="minorEastAsia" w:hAnsiTheme="minorEastAsia"/>
          <w:color w:val="000000" w:themeColor="text1"/>
          <w:szCs w:val="21"/>
        </w:rPr>
        <w:t>45bps</w:t>
      </w:r>
      <w:r>
        <w:rPr>
          <w:rFonts w:asciiTheme="minorEastAsia" w:eastAsiaTheme="minorEastAsia" w:hAnsiTheme="minorEastAsia"/>
          <w:color w:val="000000" w:themeColor="text1"/>
          <w:szCs w:val="21"/>
        </w:rPr>
        <w:t>至</w:t>
      </w:r>
      <w:r>
        <w:rPr>
          <w:rFonts w:asciiTheme="minorEastAsia" w:eastAsiaTheme="minorEastAsia" w:hAnsiTheme="minorEastAsia"/>
          <w:color w:val="000000" w:themeColor="text1"/>
          <w:szCs w:val="21"/>
        </w:rPr>
        <w:t>1.20%</w:t>
      </w:r>
      <w:r>
        <w:rPr>
          <w:rFonts w:asciiTheme="minorEastAsia" w:eastAsiaTheme="minorEastAsia" w:hAnsiTheme="minorEastAsia"/>
          <w:color w:val="000000" w:themeColor="text1"/>
          <w:szCs w:val="21"/>
        </w:rPr>
        <w:t>。</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在操作层面，本基金以安全性和流动性为首要目标，合理布局到期资产。同时，我们结合市场情况，动态调整组合久期，在相对合适的时点进行积极配置。</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2025年一季度，在适度宽松的货币政策环境下，降准降息仍有较大的概率和一定的空间，货币市场利率在相关宽松政策落地后或将打开进一步下行空间。而政府债券的发行节奏、税期和春节前的取现压力可能会对资金面形成一定的扰动，届时央行或将会综合运用各种政策工具，以保持银行间市场流动性合理充裕。本基金将继续做好流动性管理，严格控制各种风险，密切关注市场动态，积极把握投资机会，努力为投资者创造稳定的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本报告期摩根货币</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份额净值增长率为</w:t>
      </w:r>
      <w:r>
        <w:rPr>
          <w:rFonts w:asciiTheme="minorEastAsia" w:eastAsiaTheme="minorEastAsia" w:hAnsiTheme="minorEastAsia"/>
          <w:color w:val="000000" w:themeColor="text1"/>
          <w:szCs w:val="21"/>
        </w:rPr>
        <w:t>:0.3240%</w:t>
      </w:r>
      <w:r>
        <w:rPr>
          <w:rFonts w:asciiTheme="minorEastAsia" w:eastAsiaTheme="minorEastAsia" w:hAnsiTheme="minorEastAsia"/>
          <w:color w:val="000000" w:themeColor="text1"/>
          <w:szCs w:val="21"/>
        </w:rPr>
        <w:t>，同期业绩比较基准收益率为</w:t>
      </w:r>
      <w:r>
        <w:rPr>
          <w:rFonts w:asciiTheme="minorEastAsia" w:eastAsiaTheme="minorEastAsia" w:hAnsiTheme="minorEastAsia"/>
          <w:color w:val="000000" w:themeColor="text1"/>
          <w:szCs w:val="21"/>
        </w:rPr>
        <w:t>:0.3393%</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摩根货币B份额净值增长率为:0.3845%，同期业绩比较基准收益率为:0.3393%。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25,401,921,686.48</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38.13</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25,401,921,686.48</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38.13</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22,172,449,596.67</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33.29</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17,320,691,047.88</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26.00</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1,716,407,435.34</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2.58</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66,611,469,766.37</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86324E" w:rsidRDefault="00F60CAD">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银行存款和结算备付金合计其中银行存款</w:t>
      </w:r>
      <w:r>
        <w:rPr>
          <w:rFonts w:asciiTheme="minorEastAsia" w:eastAsiaTheme="minorEastAsia" w:hAnsiTheme="minorEastAsia" w:hint="eastAsia"/>
          <w:color w:val="000000" w:themeColor="text1"/>
          <w:szCs w:val="21"/>
        </w:rPr>
        <w:t>16,420,097,250.70</w:t>
      </w:r>
      <w:r>
        <w:rPr>
          <w:rFonts w:asciiTheme="minorEastAsia" w:eastAsiaTheme="minorEastAsia" w:hAnsiTheme="minorEastAsia" w:hint="eastAsia"/>
          <w:color w:val="000000" w:themeColor="text1"/>
          <w:szCs w:val="21"/>
        </w:rPr>
        <w:t>元。</w:t>
      </w:r>
    </w:p>
    <w:p w:rsidR="00B4354A" w:rsidRPr="00221340" w:rsidRDefault="00B4354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2.买入返售金融资产其中买入返售金融资产（交易所）为21,472,408,128.79元。</w:t>
      </w:r>
    </w:p>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注：报告期无债券回购融资。</w:t>
      </w:r>
    </w:p>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68</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69</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54</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51.23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2.65</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11.04</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12.19</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5.07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22.96</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102.49</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2.65</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F761E3" w:rsidP="00182D82">
            <w:pPr>
              <w:spacing w:before="29" w:line="360" w:lineRule="auto"/>
              <w:ind w:left="17"/>
              <w:jc w:val="center"/>
              <w:rPr>
                <w:rFonts w:asciiTheme="minorEastAsia" w:eastAsiaTheme="minorEastAsia" w:hAnsiTheme="minorEastAsia" w:cs="宋体"/>
                <w:color w:val="000000" w:themeColor="text1"/>
                <w:sz w:val="24"/>
              </w:rPr>
            </w:pPr>
            <w:r>
              <w:rPr>
                <w:rFonts w:ascii="宋体" w:hAnsi="宋体" w:hint="eastAsia"/>
                <w:color w:val="000000" w:themeColor="text1"/>
                <w:sz w:val="24"/>
              </w:rPr>
              <w:t>摊余成本</w:t>
            </w:r>
            <w:r w:rsidR="00AB0A2B" w:rsidRPr="003025FA">
              <w:rPr>
                <w:rFonts w:asciiTheme="minorEastAsia" w:eastAsiaTheme="minorEastAsia" w:hAnsiTheme="minorEastAsia" w:cs="宋体" w:hint="eastAsia"/>
                <w:color w:val="000000" w:themeColor="text1"/>
                <w:sz w:val="24"/>
              </w:rPr>
              <w:t>(元)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2,021,351,295.11</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3.12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2,021,351,295.11</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3.12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6,213,809,875.01</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9.58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20,398,111.87</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0.03</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17,146,362,404.49</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26.44</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25,401,921,686.48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39.17</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201"/>
        <w:gridCol w:w="1467"/>
        <w:gridCol w:w="1711"/>
        <w:gridCol w:w="1656"/>
        <w:gridCol w:w="1896"/>
        <w:gridCol w:w="1356"/>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1</w:t>
            </w:r>
          </w:p>
        </w:tc>
        <w:tc>
          <w:tcPr>
            <w:tcW w:w="0" w:type="auto"/>
            <w:vAlign w:val="center"/>
          </w:tcPr>
          <w:p w:rsidR="0086324E" w:rsidRDefault="00F60CAD">
            <w:pPr>
              <w:jc w:val="center"/>
            </w:pPr>
            <w:r>
              <w:rPr>
                <w:rFonts w:asciiTheme="minorEastAsia" w:eastAsiaTheme="minorEastAsia" w:hAnsiTheme="minorEastAsia"/>
                <w:color w:val="000000" w:themeColor="text1"/>
                <w:sz w:val="24"/>
              </w:rPr>
              <w:t>042480235</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南电</w:t>
            </w:r>
            <w:r>
              <w:rPr>
                <w:rFonts w:asciiTheme="minorEastAsia" w:eastAsiaTheme="minorEastAsia" w:hAnsiTheme="minorEastAsia"/>
                <w:color w:val="000000" w:themeColor="text1"/>
                <w:sz w:val="24"/>
              </w:rPr>
              <w:t>CP005</w:t>
            </w:r>
          </w:p>
        </w:tc>
        <w:tc>
          <w:tcPr>
            <w:tcW w:w="0" w:type="auto"/>
            <w:vAlign w:val="center"/>
          </w:tcPr>
          <w:p w:rsidR="0086324E" w:rsidRDefault="00F60CAD">
            <w:pPr>
              <w:jc w:val="right"/>
            </w:pPr>
            <w:r>
              <w:rPr>
                <w:rFonts w:asciiTheme="minorEastAsia" w:eastAsiaTheme="minorEastAsia" w:hAnsiTheme="minorEastAsia"/>
                <w:color w:val="000000" w:themeColor="text1"/>
                <w:sz w:val="24"/>
              </w:rPr>
              <w:t>6,000,000.00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606,030,917.71</w:t>
            </w:r>
          </w:p>
        </w:tc>
        <w:tc>
          <w:tcPr>
            <w:tcW w:w="0" w:type="auto"/>
            <w:vAlign w:val="center"/>
          </w:tcPr>
          <w:p w:rsidR="0086324E" w:rsidRDefault="00F60CAD">
            <w:pPr>
              <w:jc w:val="right"/>
            </w:pPr>
            <w:r>
              <w:rPr>
                <w:rFonts w:asciiTheme="minorEastAsia" w:eastAsiaTheme="minorEastAsia" w:hAnsiTheme="minorEastAsia"/>
                <w:color w:val="000000" w:themeColor="text1"/>
                <w:sz w:val="24"/>
              </w:rPr>
              <w:t>0.93</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2</w:t>
            </w:r>
          </w:p>
        </w:tc>
        <w:tc>
          <w:tcPr>
            <w:tcW w:w="0" w:type="auto"/>
            <w:vAlign w:val="center"/>
          </w:tcPr>
          <w:p w:rsidR="0086324E" w:rsidRDefault="00F60CAD">
            <w:pPr>
              <w:jc w:val="center"/>
            </w:pPr>
            <w:r>
              <w:rPr>
                <w:rFonts w:asciiTheme="minorEastAsia" w:eastAsiaTheme="minorEastAsia" w:hAnsiTheme="minorEastAsia"/>
                <w:color w:val="000000" w:themeColor="text1"/>
                <w:sz w:val="24"/>
              </w:rPr>
              <w:t>112402142</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工商银行</w:t>
            </w:r>
            <w:r>
              <w:rPr>
                <w:rFonts w:asciiTheme="minorEastAsia" w:eastAsiaTheme="minorEastAsia" w:hAnsiTheme="minorEastAsia"/>
                <w:color w:val="000000" w:themeColor="text1"/>
                <w:sz w:val="24"/>
              </w:rPr>
              <w:t>CD142</w:t>
            </w:r>
          </w:p>
        </w:tc>
        <w:tc>
          <w:tcPr>
            <w:tcW w:w="0" w:type="auto"/>
            <w:vAlign w:val="center"/>
          </w:tcPr>
          <w:p w:rsidR="0086324E" w:rsidRDefault="00F60CAD">
            <w:pPr>
              <w:jc w:val="right"/>
            </w:pPr>
            <w:r>
              <w:rPr>
                <w:rFonts w:asciiTheme="minorEastAsia" w:eastAsiaTheme="minorEastAsia" w:hAnsiTheme="minorEastAsia"/>
                <w:color w:val="000000" w:themeColor="text1"/>
                <w:sz w:val="24"/>
              </w:rPr>
              <w:t>6,000,000.00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595,738,338.12</w:t>
            </w:r>
          </w:p>
        </w:tc>
        <w:tc>
          <w:tcPr>
            <w:tcW w:w="0" w:type="auto"/>
            <w:vAlign w:val="center"/>
          </w:tcPr>
          <w:p w:rsidR="0086324E" w:rsidRDefault="00F60CAD">
            <w:pPr>
              <w:jc w:val="right"/>
            </w:pPr>
            <w:r>
              <w:rPr>
                <w:rFonts w:asciiTheme="minorEastAsia" w:eastAsiaTheme="minorEastAsia" w:hAnsiTheme="minorEastAsia"/>
                <w:color w:val="000000" w:themeColor="text1"/>
                <w:sz w:val="24"/>
              </w:rPr>
              <w:t>0.92</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3</w:t>
            </w:r>
          </w:p>
        </w:tc>
        <w:tc>
          <w:tcPr>
            <w:tcW w:w="0" w:type="auto"/>
            <w:vAlign w:val="center"/>
          </w:tcPr>
          <w:p w:rsidR="0086324E" w:rsidRDefault="00F60CAD">
            <w:pPr>
              <w:jc w:val="center"/>
            </w:pPr>
            <w:r>
              <w:rPr>
                <w:rFonts w:asciiTheme="minorEastAsia" w:eastAsiaTheme="minorEastAsia" w:hAnsiTheme="minorEastAsia"/>
                <w:color w:val="000000" w:themeColor="text1"/>
                <w:sz w:val="24"/>
              </w:rPr>
              <w:t>112402096</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工商银行</w:t>
            </w:r>
            <w:r>
              <w:rPr>
                <w:rFonts w:asciiTheme="minorEastAsia" w:eastAsiaTheme="minorEastAsia" w:hAnsiTheme="minorEastAsia"/>
                <w:color w:val="000000" w:themeColor="text1"/>
                <w:sz w:val="24"/>
              </w:rPr>
              <w:t>CD096</w:t>
            </w:r>
          </w:p>
        </w:tc>
        <w:tc>
          <w:tcPr>
            <w:tcW w:w="0" w:type="auto"/>
            <w:vAlign w:val="center"/>
          </w:tcPr>
          <w:p w:rsidR="0086324E" w:rsidRDefault="00F60CAD">
            <w:pPr>
              <w:jc w:val="right"/>
            </w:pPr>
            <w:r>
              <w:rPr>
                <w:rFonts w:asciiTheme="minorEastAsia" w:eastAsiaTheme="minorEastAsia" w:hAnsiTheme="minorEastAsia"/>
                <w:color w:val="000000" w:themeColor="text1"/>
                <w:sz w:val="24"/>
              </w:rPr>
              <w:t>6,000,000.00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593,695,175.04</w:t>
            </w:r>
          </w:p>
        </w:tc>
        <w:tc>
          <w:tcPr>
            <w:tcW w:w="0" w:type="auto"/>
            <w:vAlign w:val="center"/>
          </w:tcPr>
          <w:p w:rsidR="0086324E" w:rsidRDefault="00F60CAD">
            <w:pPr>
              <w:jc w:val="right"/>
            </w:pPr>
            <w:r>
              <w:rPr>
                <w:rFonts w:asciiTheme="minorEastAsia" w:eastAsiaTheme="minorEastAsia" w:hAnsiTheme="minorEastAsia"/>
                <w:color w:val="000000" w:themeColor="text1"/>
                <w:sz w:val="24"/>
              </w:rPr>
              <w:t>0.92</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4</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240401</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01</w:t>
            </w:r>
          </w:p>
        </w:tc>
        <w:tc>
          <w:tcPr>
            <w:tcW w:w="0" w:type="auto"/>
            <w:vAlign w:val="center"/>
          </w:tcPr>
          <w:p w:rsidR="0086324E" w:rsidRDefault="00F60CAD">
            <w:pPr>
              <w:jc w:val="right"/>
            </w:pPr>
            <w:r>
              <w:rPr>
                <w:rFonts w:asciiTheme="minorEastAsia" w:eastAsiaTheme="minorEastAsia" w:hAnsiTheme="minorEastAsia"/>
                <w:color w:val="000000" w:themeColor="text1"/>
                <w:sz w:val="24"/>
              </w:rPr>
              <w:t>5,400,000.00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547,966,028.55</w:t>
            </w:r>
          </w:p>
        </w:tc>
        <w:tc>
          <w:tcPr>
            <w:tcW w:w="0" w:type="auto"/>
            <w:vAlign w:val="center"/>
          </w:tcPr>
          <w:p w:rsidR="0086324E" w:rsidRDefault="00F60CAD">
            <w:pPr>
              <w:jc w:val="right"/>
            </w:pPr>
            <w:r>
              <w:rPr>
                <w:rFonts w:asciiTheme="minorEastAsia" w:eastAsiaTheme="minorEastAsia" w:hAnsiTheme="minorEastAsia"/>
                <w:color w:val="000000" w:themeColor="text1"/>
                <w:sz w:val="24"/>
              </w:rPr>
              <w:t>0.84</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5</w:t>
            </w:r>
          </w:p>
        </w:tc>
        <w:tc>
          <w:tcPr>
            <w:tcW w:w="0" w:type="auto"/>
            <w:vAlign w:val="center"/>
          </w:tcPr>
          <w:p w:rsidR="0086324E" w:rsidRDefault="00F60CAD">
            <w:pPr>
              <w:jc w:val="center"/>
            </w:pPr>
            <w:r>
              <w:rPr>
                <w:rFonts w:asciiTheme="minorEastAsia" w:eastAsiaTheme="minorEastAsia" w:hAnsiTheme="minorEastAsia"/>
                <w:color w:val="000000" w:themeColor="text1"/>
                <w:sz w:val="24"/>
              </w:rPr>
              <w:t>042480483</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电网</w:t>
            </w:r>
            <w:r>
              <w:rPr>
                <w:rFonts w:asciiTheme="minorEastAsia" w:eastAsiaTheme="minorEastAsia" w:hAnsiTheme="minorEastAsia"/>
                <w:color w:val="000000" w:themeColor="text1"/>
                <w:sz w:val="24"/>
              </w:rPr>
              <w:t>CP020</w:t>
            </w:r>
          </w:p>
        </w:tc>
        <w:tc>
          <w:tcPr>
            <w:tcW w:w="0" w:type="auto"/>
            <w:vAlign w:val="center"/>
          </w:tcPr>
          <w:p w:rsidR="0086324E" w:rsidRDefault="00F60CAD">
            <w:pPr>
              <w:jc w:val="right"/>
            </w:pPr>
            <w:r>
              <w:rPr>
                <w:rFonts w:asciiTheme="minorEastAsia" w:eastAsiaTheme="minorEastAsia" w:hAnsiTheme="minorEastAsia"/>
                <w:color w:val="000000" w:themeColor="text1"/>
                <w:sz w:val="24"/>
              </w:rPr>
              <w:t>5,000,000.00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502,149,093.22</w:t>
            </w:r>
          </w:p>
        </w:tc>
        <w:tc>
          <w:tcPr>
            <w:tcW w:w="0" w:type="auto"/>
            <w:vAlign w:val="center"/>
          </w:tcPr>
          <w:p w:rsidR="0086324E" w:rsidRDefault="00F60CAD">
            <w:pPr>
              <w:jc w:val="right"/>
            </w:pPr>
            <w:r>
              <w:rPr>
                <w:rFonts w:asciiTheme="minorEastAsia" w:eastAsiaTheme="minorEastAsia" w:hAnsiTheme="minorEastAsia"/>
                <w:color w:val="000000" w:themeColor="text1"/>
                <w:sz w:val="24"/>
              </w:rPr>
              <w:t>0.77</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6</w:t>
            </w:r>
          </w:p>
        </w:tc>
        <w:tc>
          <w:tcPr>
            <w:tcW w:w="0" w:type="auto"/>
            <w:vAlign w:val="center"/>
          </w:tcPr>
          <w:p w:rsidR="0086324E" w:rsidRDefault="00F60CAD">
            <w:pPr>
              <w:jc w:val="center"/>
            </w:pPr>
            <w:r>
              <w:rPr>
                <w:rFonts w:asciiTheme="minorEastAsia" w:eastAsiaTheme="minorEastAsia" w:hAnsiTheme="minorEastAsia"/>
                <w:color w:val="000000" w:themeColor="text1"/>
                <w:sz w:val="24"/>
              </w:rPr>
              <w:t>112402055</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工商银行</w:t>
            </w:r>
            <w:r>
              <w:rPr>
                <w:rFonts w:asciiTheme="minorEastAsia" w:eastAsiaTheme="minorEastAsia" w:hAnsiTheme="minorEastAsia"/>
                <w:color w:val="000000" w:themeColor="text1"/>
                <w:sz w:val="24"/>
              </w:rPr>
              <w:t>CD055</w:t>
            </w:r>
          </w:p>
        </w:tc>
        <w:tc>
          <w:tcPr>
            <w:tcW w:w="0" w:type="auto"/>
            <w:vAlign w:val="center"/>
          </w:tcPr>
          <w:p w:rsidR="0086324E" w:rsidRDefault="00F60CAD">
            <w:pPr>
              <w:jc w:val="right"/>
            </w:pPr>
            <w:r>
              <w:rPr>
                <w:rFonts w:asciiTheme="minorEastAsia" w:eastAsiaTheme="minorEastAsia" w:hAnsiTheme="minorEastAsia"/>
                <w:color w:val="000000" w:themeColor="text1"/>
                <w:sz w:val="24"/>
              </w:rPr>
              <w:t>5,000,000.00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498,580,096.32</w:t>
            </w:r>
          </w:p>
        </w:tc>
        <w:tc>
          <w:tcPr>
            <w:tcW w:w="0" w:type="auto"/>
            <w:vAlign w:val="center"/>
          </w:tcPr>
          <w:p w:rsidR="0086324E" w:rsidRDefault="00F60CAD">
            <w:pPr>
              <w:jc w:val="right"/>
            </w:pPr>
            <w:r>
              <w:rPr>
                <w:rFonts w:asciiTheme="minorEastAsia" w:eastAsiaTheme="minorEastAsia" w:hAnsiTheme="minorEastAsia"/>
                <w:color w:val="000000" w:themeColor="text1"/>
                <w:sz w:val="24"/>
              </w:rPr>
              <w:t>0.77</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7</w:t>
            </w:r>
          </w:p>
        </w:tc>
        <w:tc>
          <w:tcPr>
            <w:tcW w:w="0" w:type="auto"/>
            <w:vAlign w:val="center"/>
          </w:tcPr>
          <w:p w:rsidR="0086324E" w:rsidRDefault="00F60CAD">
            <w:pPr>
              <w:jc w:val="center"/>
            </w:pPr>
            <w:r>
              <w:rPr>
                <w:rFonts w:asciiTheme="minorEastAsia" w:eastAsiaTheme="minorEastAsia" w:hAnsiTheme="minorEastAsia"/>
                <w:color w:val="000000" w:themeColor="text1"/>
                <w:sz w:val="24"/>
              </w:rPr>
              <w:t>112405206</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建设银行</w:t>
            </w:r>
            <w:r>
              <w:rPr>
                <w:rFonts w:asciiTheme="minorEastAsia" w:eastAsiaTheme="minorEastAsia" w:hAnsiTheme="minorEastAsia"/>
                <w:color w:val="000000" w:themeColor="text1"/>
                <w:sz w:val="24"/>
              </w:rPr>
              <w:t>CD206</w:t>
            </w:r>
          </w:p>
        </w:tc>
        <w:tc>
          <w:tcPr>
            <w:tcW w:w="0" w:type="auto"/>
            <w:vAlign w:val="center"/>
          </w:tcPr>
          <w:p w:rsidR="0086324E" w:rsidRDefault="00F60CAD">
            <w:pPr>
              <w:jc w:val="right"/>
            </w:pPr>
            <w:r>
              <w:rPr>
                <w:rFonts w:asciiTheme="minorEastAsia" w:eastAsiaTheme="minorEastAsia" w:hAnsiTheme="minorEastAsia"/>
                <w:color w:val="000000" w:themeColor="text1"/>
                <w:sz w:val="24"/>
              </w:rPr>
              <w:t>5,000,000.00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497,884,816.85</w:t>
            </w:r>
          </w:p>
        </w:tc>
        <w:tc>
          <w:tcPr>
            <w:tcW w:w="0" w:type="auto"/>
            <w:vAlign w:val="center"/>
          </w:tcPr>
          <w:p w:rsidR="0086324E" w:rsidRDefault="00F60CAD">
            <w:pPr>
              <w:jc w:val="right"/>
            </w:pPr>
            <w:r>
              <w:rPr>
                <w:rFonts w:asciiTheme="minorEastAsia" w:eastAsiaTheme="minorEastAsia" w:hAnsiTheme="minorEastAsia"/>
                <w:color w:val="000000" w:themeColor="text1"/>
                <w:sz w:val="24"/>
              </w:rPr>
              <w:t>0.77</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8</w:t>
            </w:r>
          </w:p>
        </w:tc>
        <w:tc>
          <w:tcPr>
            <w:tcW w:w="0" w:type="auto"/>
            <w:vAlign w:val="center"/>
          </w:tcPr>
          <w:p w:rsidR="0086324E" w:rsidRDefault="00F60CAD">
            <w:pPr>
              <w:jc w:val="center"/>
            </w:pPr>
            <w:r>
              <w:rPr>
                <w:rFonts w:asciiTheme="minorEastAsia" w:eastAsiaTheme="minorEastAsia" w:hAnsiTheme="minorEastAsia"/>
                <w:color w:val="000000" w:themeColor="text1"/>
                <w:sz w:val="24"/>
              </w:rPr>
              <w:t>112404039</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中国银行</w:t>
            </w:r>
            <w:r>
              <w:rPr>
                <w:rFonts w:asciiTheme="minorEastAsia" w:eastAsiaTheme="minorEastAsia" w:hAnsiTheme="minorEastAsia"/>
                <w:color w:val="000000" w:themeColor="text1"/>
                <w:sz w:val="24"/>
              </w:rPr>
              <w:t>CD039</w:t>
            </w:r>
          </w:p>
        </w:tc>
        <w:tc>
          <w:tcPr>
            <w:tcW w:w="0" w:type="auto"/>
            <w:vAlign w:val="center"/>
          </w:tcPr>
          <w:p w:rsidR="0086324E" w:rsidRDefault="00F60CAD">
            <w:pPr>
              <w:jc w:val="right"/>
            </w:pPr>
            <w:r>
              <w:rPr>
                <w:rFonts w:asciiTheme="minorEastAsia" w:eastAsiaTheme="minorEastAsia" w:hAnsiTheme="minorEastAsia"/>
                <w:color w:val="000000" w:themeColor="text1"/>
                <w:sz w:val="24"/>
              </w:rPr>
              <w:t>5,000,000.00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497,126,149.89</w:t>
            </w:r>
          </w:p>
        </w:tc>
        <w:tc>
          <w:tcPr>
            <w:tcW w:w="0" w:type="auto"/>
            <w:vAlign w:val="center"/>
          </w:tcPr>
          <w:p w:rsidR="0086324E" w:rsidRDefault="00F60CAD">
            <w:pPr>
              <w:jc w:val="right"/>
            </w:pPr>
            <w:r>
              <w:rPr>
                <w:rFonts w:asciiTheme="minorEastAsia" w:eastAsiaTheme="minorEastAsia" w:hAnsiTheme="minorEastAsia"/>
                <w:color w:val="000000" w:themeColor="text1"/>
                <w:sz w:val="24"/>
              </w:rPr>
              <w:t>0.77</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9</w:t>
            </w:r>
          </w:p>
        </w:tc>
        <w:tc>
          <w:tcPr>
            <w:tcW w:w="0" w:type="auto"/>
            <w:vAlign w:val="center"/>
          </w:tcPr>
          <w:p w:rsidR="0086324E" w:rsidRDefault="00F60CAD">
            <w:pPr>
              <w:jc w:val="center"/>
            </w:pPr>
            <w:r>
              <w:rPr>
                <w:rFonts w:asciiTheme="minorEastAsia" w:eastAsiaTheme="minorEastAsia" w:hAnsiTheme="minorEastAsia"/>
                <w:color w:val="000000" w:themeColor="text1"/>
                <w:sz w:val="24"/>
              </w:rPr>
              <w:t>112402076</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工商银行</w:t>
            </w:r>
            <w:r>
              <w:rPr>
                <w:rFonts w:asciiTheme="minorEastAsia" w:eastAsiaTheme="minorEastAsia" w:hAnsiTheme="minorEastAsia"/>
                <w:color w:val="000000" w:themeColor="text1"/>
                <w:sz w:val="24"/>
              </w:rPr>
              <w:t>CD076</w:t>
            </w:r>
          </w:p>
        </w:tc>
        <w:tc>
          <w:tcPr>
            <w:tcW w:w="0" w:type="auto"/>
            <w:vAlign w:val="center"/>
          </w:tcPr>
          <w:p w:rsidR="0086324E" w:rsidRDefault="00F60CAD">
            <w:pPr>
              <w:jc w:val="right"/>
            </w:pPr>
            <w:r>
              <w:rPr>
                <w:rFonts w:asciiTheme="minorEastAsia" w:eastAsiaTheme="minorEastAsia" w:hAnsiTheme="minorEastAsia"/>
                <w:color w:val="000000" w:themeColor="text1"/>
                <w:sz w:val="24"/>
              </w:rPr>
              <w:t>5,000,000.00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495,395,668.29</w:t>
            </w:r>
          </w:p>
        </w:tc>
        <w:tc>
          <w:tcPr>
            <w:tcW w:w="0" w:type="auto"/>
            <w:vAlign w:val="center"/>
          </w:tcPr>
          <w:p w:rsidR="0086324E" w:rsidRDefault="00F60CAD">
            <w:pPr>
              <w:jc w:val="right"/>
            </w:pPr>
            <w:r>
              <w:rPr>
                <w:rFonts w:asciiTheme="minorEastAsia" w:eastAsiaTheme="minorEastAsia" w:hAnsiTheme="minorEastAsia"/>
                <w:color w:val="000000" w:themeColor="text1"/>
                <w:sz w:val="24"/>
              </w:rPr>
              <w:t>0.76</w:t>
            </w:r>
          </w:p>
        </w:tc>
      </w:tr>
      <w:tr w:rsidR="0086324E">
        <w:tc>
          <w:tcPr>
            <w:tcW w:w="0" w:type="auto"/>
            <w:vAlign w:val="center"/>
          </w:tcPr>
          <w:p w:rsidR="0086324E" w:rsidRDefault="00F60CAD">
            <w:pPr>
              <w:jc w:val="center"/>
            </w:pPr>
            <w:r>
              <w:rPr>
                <w:rFonts w:asciiTheme="minorEastAsia" w:eastAsiaTheme="minorEastAsia" w:hAnsiTheme="minorEastAsia"/>
                <w:color w:val="000000" w:themeColor="text1"/>
                <w:sz w:val="24"/>
              </w:rPr>
              <w:t>10</w:t>
            </w:r>
          </w:p>
        </w:tc>
        <w:tc>
          <w:tcPr>
            <w:tcW w:w="0" w:type="auto"/>
            <w:vAlign w:val="center"/>
          </w:tcPr>
          <w:p w:rsidR="0086324E" w:rsidRDefault="00F60CAD">
            <w:pPr>
              <w:jc w:val="center"/>
            </w:pPr>
            <w:r>
              <w:rPr>
                <w:rFonts w:asciiTheme="minorEastAsia" w:eastAsiaTheme="minorEastAsia" w:hAnsiTheme="minorEastAsia"/>
                <w:color w:val="000000" w:themeColor="text1"/>
                <w:sz w:val="24"/>
              </w:rPr>
              <w:t>112402101</w:t>
            </w:r>
          </w:p>
        </w:tc>
        <w:tc>
          <w:tcPr>
            <w:tcW w:w="0" w:type="auto"/>
            <w:vAlign w:val="center"/>
          </w:tcPr>
          <w:p w:rsidR="0086324E" w:rsidRDefault="00F60CAD">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工商银行</w:t>
            </w:r>
            <w:r>
              <w:rPr>
                <w:rFonts w:asciiTheme="minorEastAsia" w:eastAsiaTheme="minorEastAsia" w:hAnsiTheme="minorEastAsia"/>
                <w:color w:val="000000" w:themeColor="text1"/>
                <w:sz w:val="24"/>
              </w:rPr>
              <w:t>CD101</w:t>
            </w:r>
          </w:p>
        </w:tc>
        <w:tc>
          <w:tcPr>
            <w:tcW w:w="0" w:type="auto"/>
            <w:vAlign w:val="center"/>
          </w:tcPr>
          <w:p w:rsidR="0086324E" w:rsidRDefault="00F60CAD">
            <w:pPr>
              <w:jc w:val="right"/>
            </w:pPr>
            <w:r>
              <w:rPr>
                <w:rFonts w:asciiTheme="minorEastAsia" w:eastAsiaTheme="minorEastAsia" w:hAnsiTheme="minorEastAsia"/>
                <w:color w:val="000000" w:themeColor="text1"/>
                <w:sz w:val="24"/>
              </w:rPr>
              <w:t>5,000,000.00</w:t>
            </w:r>
          </w:p>
        </w:tc>
        <w:tc>
          <w:tcPr>
            <w:tcW w:w="0" w:type="auto"/>
            <w:vAlign w:val="center"/>
          </w:tcPr>
          <w:p w:rsidR="0086324E" w:rsidRDefault="00F60CAD">
            <w:pPr>
              <w:jc w:val="right"/>
            </w:pPr>
            <w:r>
              <w:rPr>
                <w:rFonts w:asciiTheme="minorEastAsia" w:eastAsiaTheme="minorEastAsia" w:hAnsiTheme="minorEastAsia"/>
                <w:color w:val="000000" w:themeColor="text1"/>
                <w:sz w:val="24"/>
              </w:rPr>
              <w:t>494,727,519.44</w:t>
            </w:r>
          </w:p>
        </w:tc>
        <w:tc>
          <w:tcPr>
            <w:tcW w:w="0" w:type="auto"/>
            <w:vAlign w:val="center"/>
          </w:tcPr>
          <w:p w:rsidR="0086324E" w:rsidRDefault="00F60CAD">
            <w:pPr>
              <w:jc w:val="right"/>
            </w:pPr>
            <w:r>
              <w:rPr>
                <w:rFonts w:asciiTheme="minorEastAsia" w:eastAsiaTheme="minorEastAsia" w:hAnsiTheme="minorEastAsia"/>
                <w:color w:val="000000" w:themeColor="text1"/>
                <w:sz w:val="24"/>
              </w:rPr>
              <w:t>0.76</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0.0468%</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0.0024%</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0.0246%</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5.9.2本基金投资的前十名证券的发行主体中，中国银行股份有限公司报告编制日前一年内曾受到国家外汇管理局北京市分局的处罚。</w:t>
      </w:r>
    </w:p>
    <w:p w:rsidR="0086324E" w:rsidRDefault="00F60CAD">
      <w:pPr>
        <w:widowControl/>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 w:val="24"/>
        </w:rPr>
        <w:t>本基金对上述主体发行的相关证券的投资决策程序符合相关法律法规及基金合同的要求。</w:t>
      </w:r>
    </w:p>
    <w:p w:rsidR="0086324E" w:rsidRDefault="00F60CAD">
      <w:pPr>
        <w:widowControl/>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 w:val="24"/>
        </w:rPr>
        <w:t>除上述主体外，本基金投资的其他前十名证券的发行主体本期没有出现被监管部门立案调查，或在报告编制日前一年内受到公开谴责、处罚的情形。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1,716,293,215.34</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114,220.00</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1,716,407,435.34</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因四舍五入原因，投资组合报告中分项之和与合计可能存在尾差。</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摩根货币A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摩根货币B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46,311,758.76</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55,304,376,273.38</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25,908,047,999.49</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94,025,689,516.90</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25,904,619,332.16</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84,526,199,100.09</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49,740,426.09</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64,803,866,690.19</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一</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中国证监会批准本基金募集的文件</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二</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摩根货币市场基金基金合同</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三</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摩根货币市场基金托管协议</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四</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法律意见书</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五</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基金管理人业务资格批件、营业执照</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六</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基金托管人业务资格批件和营业执照</w:t>
      </w:r>
    </w:p>
    <w:p w:rsidR="0086324E" w:rsidRDefault="00F60CAD">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七</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摩根基金管理（中国）有限公司开放式基金业务规则</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(八) 中国证监会要求的其他文件</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摩根基金管理（中国）有限公司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二〇二五年一月二十二日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0E" w:rsidRDefault="00E84C0E">
      <w:r>
        <w:separator/>
      </w:r>
    </w:p>
  </w:endnote>
  <w:endnote w:type="continuationSeparator" w:id="0">
    <w:p w:rsidR="00E84C0E" w:rsidRDefault="00E8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等线"/>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F60CAD">
      <w:rPr>
        <w:noProof/>
        <w:kern w:val="0"/>
        <w:szCs w:val="21"/>
      </w:rPr>
      <w:t>1</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F60CAD">
      <w:rPr>
        <w:noProof/>
        <w:kern w:val="0"/>
        <w:szCs w:val="21"/>
      </w:rPr>
      <w:t>16</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0E" w:rsidRDefault="00E84C0E">
      <w:r>
        <w:separator/>
      </w:r>
    </w:p>
  </w:footnote>
  <w:footnote w:type="continuationSeparator" w:id="0">
    <w:p w:rsidR="00E84C0E" w:rsidRDefault="00E84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摩根货币市场基金</w:t>
    </w:r>
    <w:r w:rsidRPr="000C5A36">
      <w:t>2024</w:t>
    </w:r>
    <w:r w:rsidRPr="000C5A36">
      <w:t>年第</w:t>
    </w:r>
    <w:r w:rsidRPr="000C5A36">
      <w:t>4</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1E74"/>
    <w:rsid w:val="0024424F"/>
    <w:rsid w:val="002507FE"/>
    <w:rsid w:val="002525C7"/>
    <w:rsid w:val="002611C3"/>
    <w:rsid w:val="002622E8"/>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6324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84C0E"/>
    <w:rsid w:val="00E90A9C"/>
    <w:rsid w:val="00E92BEC"/>
    <w:rsid w:val="00E95356"/>
    <w:rsid w:val="00E966E5"/>
    <w:rsid w:val="00EA3D96"/>
    <w:rsid w:val="00EA6B69"/>
    <w:rsid w:val="00EA6B7B"/>
    <w:rsid w:val="00EA6EC8"/>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0CAD"/>
    <w:rsid w:val="00F62DE3"/>
    <w:rsid w:val="00F761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16</Pages>
  <Words>1385</Words>
  <Characters>7895</Characters>
  <Application>Microsoft Office Word</Application>
  <DocSecurity>0</DocSecurity>
  <Lines>65</Lines>
  <Paragraphs>18</Paragraphs>
  <ScaleCrop>false</ScaleCrop>
  <Company>jysld</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217</cp:revision>
  <cp:lastPrinted>2009-01-22T10:11:00Z</cp:lastPrinted>
  <dcterms:created xsi:type="dcterms:W3CDTF">2012-11-21T05:49:00Z</dcterms:created>
  <dcterms:modified xsi:type="dcterms:W3CDTF">2025-01-21T06:15:00Z</dcterms:modified>
</cp:coreProperties>
</file>