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上投摩根核心优选混合型证券投资基金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上投摩根核心优选混合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370024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2012</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182,519,141.12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本基金将充分利用基金管理人研究团队的集体智慧，以内部研究组合作为核心股票，从中优选出具有良好基本面和较高成长性的公司进行投资，力争实现基金资产的长期稳定增值。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F02A0" w:rsidRDefault="009B307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F02A0" w:rsidRDefault="009B307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宏观层面出发，采用定量分析和定性分析相结合的手段，对宏观经济、国家政策、资金面和市场情绪等影响证券市场的重要因素进行综合分析，结合股票、债券等各类资产风险收益特征，确定合适的资产配置比例。</w:t>
            </w:r>
          </w:p>
          <w:p w:rsidR="002F02A0" w:rsidRDefault="009B307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、股票投资策略</w:t>
            </w:r>
          </w:p>
          <w:p w:rsidR="002F02A0" w:rsidRDefault="009B307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本基金将依托本基金管理人的研究平台，采用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w:t>
            </w:r>
            <w:r>
              <w:rPr>
                <w:rFonts w:eastAsiaTheme="minorEastAsia"/>
                <w:color w:val="000000" w:themeColor="text1"/>
                <w:kern w:val="0"/>
                <w:szCs w:val="21"/>
              </w:rPr>
              <w:t xml:space="preserve"> </w:t>
            </w:r>
            <w:r>
              <w:rPr>
                <w:rFonts w:eastAsiaTheme="minorEastAsia"/>
                <w:color w:val="000000" w:themeColor="text1"/>
                <w:kern w:val="0"/>
                <w:szCs w:val="21"/>
              </w:rPr>
              <w:t>基于公司内部研究团队对于个股的基本面的深入研究和细致的实地调研，选择具有良好基本面和成长空间的个股。本基金的股票投资包含核心股票和优选股票两个层面。核心股票由公司内部研究组合构成，主要包含了研究部推荐股票，是研究员在对个股进行深度研究和实地调研基础上提出的投资建议。优选股票是指基金经理基于对宏观经济、政策、行业以及个股的深入研究与把握，从核心股票中优选具有良好投资价值的股票，构建股票投资组合。本基金明确提出将不低于</w:t>
            </w:r>
            <w:r>
              <w:rPr>
                <w:rFonts w:eastAsiaTheme="minorEastAsia"/>
                <w:color w:val="000000" w:themeColor="text1"/>
                <w:kern w:val="0"/>
                <w:szCs w:val="21"/>
              </w:rPr>
              <w:t>80%</w:t>
            </w:r>
            <w:r>
              <w:rPr>
                <w:rFonts w:eastAsiaTheme="minorEastAsia"/>
                <w:color w:val="000000" w:themeColor="text1"/>
                <w:kern w:val="0"/>
                <w:szCs w:val="21"/>
              </w:rPr>
              <w:t>的股票资产投资于公司内部研究组合中的股票。</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、其他投资策略：包括行业配置策略、固定收益类投资策略、可转换债券投资策略、权证投资策略、股指期货投资策略、存托凭证投资策略。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F02A0" w:rsidRDefault="009B307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本基金是一只主动投资的混合型基金，其预期风险和预期收益低于股票型基金，高于债券型基金和货币市场基金，属于较高风险、较高预期收益的基金产品。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370024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182,355,362.06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163,779.06</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-97,911,617.42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-80,144.00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-48,847,801.93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-34,162.22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-0.2654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-0.2293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747,735,113.36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668,051.92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4.0790</w:t>
            </w:r>
          </w:p>
        </w:tc>
      </w:tr>
    </w:tbl>
    <w:p w:rsidR="002F02A0" w:rsidRDefault="009B307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2F02A0" w:rsidRDefault="009B307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8</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F02A0">
        <w:tc>
          <w:tcPr>
            <w:tcW w:w="1290" w:type="dxa"/>
            <w:vAlign w:val="center"/>
          </w:tcPr>
          <w:p w:rsidR="002F02A0" w:rsidRDefault="009B3070">
            <w:pPr>
              <w:jc w:val="left"/>
            </w:pPr>
            <w:r>
              <w:rPr>
                <w:rFonts w:eastAsiaTheme="minorEastAsia"/>
                <w:color w:val="000000" w:themeColor="text1"/>
                <w:szCs w:val="21"/>
              </w:rPr>
              <w:t>过去三个月</w:t>
            </w:r>
          </w:p>
        </w:tc>
        <w:tc>
          <w:tcPr>
            <w:tcW w:w="1291" w:type="dxa"/>
            <w:vAlign w:val="center"/>
          </w:tcPr>
          <w:p w:rsidR="002F02A0" w:rsidRDefault="009B3070">
            <w:pPr>
              <w:jc w:val="right"/>
            </w:pPr>
            <w:r>
              <w:rPr>
                <w:rFonts w:eastAsiaTheme="minorEastAsia"/>
                <w:color w:val="000000" w:themeColor="text1"/>
                <w:szCs w:val="21"/>
              </w:rPr>
              <w:t>-6.12%</w:t>
            </w:r>
          </w:p>
        </w:tc>
        <w:tc>
          <w:tcPr>
            <w:tcW w:w="1291" w:type="dxa"/>
            <w:vAlign w:val="center"/>
          </w:tcPr>
          <w:p w:rsidR="002F02A0" w:rsidRDefault="009B3070">
            <w:pPr>
              <w:jc w:val="right"/>
            </w:pPr>
            <w:r>
              <w:rPr>
                <w:rFonts w:eastAsiaTheme="minorEastAsia"/>
                <w:color w:val="000000" w:themeColor="text1"/>
                <w:szCs w:val="21"/>
              </w:rPr>
              <w:t>1.15%</w:t>
            </w:r>
          </w:p>
        </w:tc>
        <w:tc>
          <w:tcPr>
            <w:tcW w:w="1291" w:type="dxa"/>
            <w:vAlign w:val="center"/>
          </w:tcPr>
          <w:p w:rsidR="002F02A0" w:rsidRDefault="009B3070">
            <w:pPr>
              <w:jc w:val="right"/>
            </w:pPr>
            <w:r>
              <w:rPr>
                <w:rFonts w:eastAsiaTheme="minorEastAsia"/>
                <w:color w:val="000000" w:themeColor="text1"/>
                <w:szCs w:val="21"/>
              </w:rPr>
              <w:t>1.54%</w:t>
            </w:r>
          </w:p>
        </w:tc>
        <w:tc>
          <w:tcPr>
            <w:tcW w:w="1291" w:type="dxa"/>
            <w:vAlign w:val="center"/>
          </w:tcPr>
          <w:p w:rsidR="002F02A0" w:rsidRDefault="009B3070">
            <w:pPr>
              <w:jc w:val="right"/>
            </w:pPr>
            <w:r>
              <w:rPr>
                <w:rFonts w:eastAsiaTheme="minorEastAsia"/>
                <w:color w:val="000000" w:themeColor="text1"/>
                <w:szCs w:val="21"/>
              </w:rPr>
              <w:t>1.10%</w:t>
            </w:r>
          </w:p>
        </w:tc>
        <w:tc>
          <w:tcPr>
            <w:tcW w:w="1291" w:type="dxa"/>
            <w:vAlign w:val="center"/>
          </w:tcPr>
          <w:p w:rsidR="002F02A0" w:rsidRDefault="009B3070">
            <w:pPr>
              <w:jc w:val="right"/>
            </w:pPr>
            <w:r>
              <w:rPr>
                <w:rFonts w:eastAsiaTheme="minorEastAsia"/>
                <w:color w:val="000000" w:themeColor="text1"/>
                <w:szCs w:val="21"/>
              </w:rPr>
              <w:t>-7.66%</w:t>
            </w:r>
          </w:p>
        </w:tc>
        <w:tc>
          <w:tcPr>
            <w:tcW w:w="1291" w:type="dxa"/>
            <w:vAlign w:val="center"/>
          </w:tcPr>
          <w:p w:rsidR="002F02A0" w:rsidRDefault="009B3070">
            <w:pPr>
              <w:jc w:val="right"/>
            </w:pPr>
            <w:r>
              <w:rPr>
                <w:rFonts w:eastAsiaTheme="minorEastAsia"/>
                <w:color w:val="000000" w:themeColor="text1"/>
                <w:szCs w:val="21"/>
              </w:rPr>
              <w:t>0.05%</w:t>
            </w:r>
          </w:p>
        </w:tc>
      </w:tr>
      <w:tr w:rsidR="002F02A0">
        <w:tc>
          <w:tcPr>
            <w:tcW w:w="1290" w:type="dxa"/>
            <w:vAlign w:val="center"/>
          </w:tcPr>
          <w:p w:rsidR="002F02A0" w:rsidRDefault="009B3070">
            <w:pPr>
              <w:jc w:val="left"/>
            </w:pPr>
            <w:r>
              <w:rPr>
                <w:rFonts w:eastAsiaTheme="minorEastAsia"/>
                <w:color w:val="000000" w:themeColor="text1"/>
                <w:szCs w:val="21"/>
              </w:rPr>
              <w:t>过去六个月</w:t>
            </w:r>
          </w:p>
        </w:tc>
        <w:tc>
          <w:tcPr>
            <w:tcW w:w="1291" w:type="dxa"/>
            <w:vAlign w:val="center"/>
          </w:tcPr>
          <w:p w:rsidR="002F02A0" w:rsidRDefault="009B3070">
            <w:pPr>
              <w:jc w:val="right"/>
            </w:pPr>
            <w:r>
              <w:rPr>
                <w:rFonts w:eastAsiaTheme="minorEastAsia"/>
                <w:color w:val="000000" w:themeColor="text1"/>
                <w:szCs w:val="21"/>
              </w:rPr>
              <w:t>-24.36%</w:t>
            </w:r>
          </w:p>
        </w:tc>
        <w:tc>
          <w:tcPr>
            <w:tcW w:w="1291" w:type="dxa"/>
            <w:vAlign w:val="center"/>
          </w:tcPr>
          <w:p w:rsidR="002F02A0" w:rsidRDefault="009B3070">
            <w:pPr>
              <w:jc w:val="right"/>
            </w:pPr>
            <w:r>
              <w:rPr>
                <w:rFonts w:eastAsiaTheme="minorEastAsia"/>
                <w:color w:val="000000" w:themeColor="text1"/>
                <w:szCs w:val="21"/>
              </w:rPr>
              <w:t>1.28%</w:t>
            </w:r>
          </w:p>
        </w:tc>
        <w:tc>
          <w:tcPr>
            <w:tcW w:w="1291" w:type="dxa"/>
            <w:vAlign w:val="center"/>
          </w:tcPr>
          <w:p w:rsidR="002F02A0" w:rsidRDefault="009B3070">
            <w:pPr>
              <w:jc w:val="right"/>
            </w:pPr>
            <w:r>
              <w:rPr>
                <w:rFonts w:eastAsiaTheme="minorEastAsia"/>
                <w:color w:val="000000" w:themeColor="text1"/>
                <w:szCs w:val="21"/>
              </w:rPr>
              <w:t>-11.39%</w:t>
            </w:r>
          </w:p>
        </w:tc>
        <w:tc>
          <w:tcPr>
            <w:tcW w:w="1291" w:type="dxa"/>
            <w:vAlign w:val="center"/>
          </w:tcPr>
          <w:p w:rsidR="002F02A0" w:rsidRDefault="009B3070">
            <w:pPr>
              <w:jc w:val="right"/>
            </w:pPr>
            <w:r>
              <w:rPr>
                <w:rFonts w:eastAsiaTheme="minorEastAsia"/>
                <w:color w:val="000000" w:themeColor="text1"/>
                <w:szCs w:val="21"/>
              </w:rPr>
              <w:t>0.94%</w:t>
            </w:r>
          </w:p>
        </w:tc>
        <w:tc>
          <w:tcPr>
            <w:tcW w:w="1291" w:type="dxa"/>
            <w:vAlign w:val="center"/>
          </w:tcPr>
          <w:p w:rsidR="002F02A0" w:rsidRDefault="009B3070">
            <w:pPr>
              <w:jc w:val="right"/>
            </w:pPr>
            <w:r>
              <w:rPr>
                <w:rFonts w:eastAsiaTheme="minorEastAsia"/>
                <w:color w:val="000000" w:themeColor="text1"/>
                <w:szCs w:val="21"/>
              </w:rPr>
              <w:t>-12.97%</w:t>
            </w:r>
          </w:p>
        </w:tc>
        <w:tc>
          <w:tcPr>
            <w:tcW w:w="1291" w:type="dxa"/>
            <w:vAlign w:val="center"/>
          </w:tcPr>
          <w:p w:rsidR="002F02A0" w:rsidRDefault="009B3070">
            <w:pPr>
              <w:jc w:val="right"/>
            </w:pPr>
            <w:r>
              <w:rPr>
                <w:rFonts w:eastAsiaTheme="minorEastAsia"/>
                <w:color w:val="000000" w:themeColor="text1"/>
                <w:szCs w:val="21"/>
              </w:rPr>
              <w:t>0.34%</w:t>
            </w:r>
          </w:p>
        </w:tc>
      </w:tr>
      <w:tr w:rsidR="002F02A0">
        <w:tc>
          <w:tcPr>
            <w:tcW w:w="1290" w:type="dxa"/>
            <w:vAlign w:val="center"/>
          </w:tcPr>
          <w:p w:rsidR="002F02A0" w:rsidRDefault="009B3070">
            <w:pPr>
              <w:jc w:val="left"/>
            </w:pPr>
            <w:r>
              <w:rPr>
                <w:rFonts w:eastAsiaTheme="minorEastAsia"/>
                <w:color w:val="000000" w:themeColor="text1"/>
                <w:szCs w:val="21"/>
              </w:rPr>
              <w:t>过去一年</w:t>
            </w:r>
          </w:p>
        </w:tc>
        <w:tc>
          <w:tcPr>
            <w:tcW w:w="1291" w:type="dxa"/>
            <w:vAlign w:val="center"/>
          </w:tcPr>
          <w:p w:rsidR="002F02A0" w:rsidRDefault="009B3070">
            <w:pPr>
              <w:jc w:val="right"/>
            </w:pPr>
            <w:r>
              <w:rPr>
                <w:rFonts w:eastAsiaTheme="minorEastAsia"/>
                <w:color w:val="000000" w:themeColor="text1"/>
                <w:szCs w:val="21"/>
              </w:rPr>
              <w:t>-35.09%</w:t>
            </w:r>
          </w:p>
        </w:tc>
        <w:tc>
          <w:tcPr>
            <w:tcW w:w="1291" w:type="dxa"/>
            <w:vAlign w:val="center"/>
          </w:tcPr>
          <w:p w:rsidR="002F02A0" w:rsidRDefault="009B3070">
            <w:pPr>
              <w:jc w:val="right"/>
            </w:pPr>
            <w:r>
              <w:rPr>
                <w:rFonts w:eastAsiaTheme="minorEastAsia"/>
                <w:color w:val="000000" w:themeColor="text1"/>
                <w:szCs w:val="21"/>
              </w:rPr>
              <w:t>1.49%</w:t>
            </w:r>
          </w:p>
        </w:tc>
        <w:tc>
          <w:tcPr>
            <w:tcW w:w="1291" w:type="dxa"/>
            <w:vAlign w:val="center"/>
          </w:tcPr>
          <w:p w:rsidR="002F02A0" w:rsidRDefault="009B3070">
            <w:pPr>
              <w:jc w:val="right"/>
            </w:pPr>
            <w:r>
              <w:rPr>
                <w:rFonts w:eastAsiaTheme="minorEastAsia"/>
                <w:color w:val="000000" w:themeColor="text1"/>
                <w:szCs w:val="21"/>
              </w:rPr>
              <w:t>-17.84%</w:t>
            </w:r>
          </w:p>
        </w:tc>
        <w:tc>
          <w:tcPr>
            <w:tcW w:w="1291" w:type="dxa"/>
            <w:vAlign w:val="center"/>
          </w:tcPr>
          <w:p w:rsidR="002F02A0" w:rsidRDefault="009B3070">
            <w:pPr>
              <w:jc w:val="right"/>
            </w:pPr>
            <w:r>
              <w:rPr>
                <w:rFonts w:eastAsiaTheme="minorEastAsia"/>
                <w:color w:val="000000" w:themeColor="text1"/>
                <w:szCs w:val="21"/>
              </w:rPr>
              <w:t>1.09%</w:t>
            </w:r>
          </w:p>
        </w:tc>
        <w:tc>
          <w:tcPr>
            <w:tcW w:w="1291" w:type="dxa"/>
            <w:vAlign w:val="center"/>
          </w:tcPr>
          <w:p w:rsidR="002F02A0" w:rsidRDefault="009B3070">
            <w:pPr>
              <w:jc w:val="right"/>
            </w:pPr>
            <w:r>
              <w:rPr>
                <w:rFonts w:eastAsiaTheme="minorEastAsia"/>
                <w:color w:val="000000" w:themeColor="text1"/>
                <w:szCs w:val="21"/>
              </w:rPr>
              <w:t>-17.25%</w:t>
            </w:r>
          </w:p>
        </w:tc>
        <w:tc>
          <w:tcPr>
            <w:tcW w:w="1291" w:type="dxa"/>
            <w:vAlign w:val="center"/>
          </w:tcPr>
          <w:p w:rsidR="002F02A0" w:rsidRDefault="009B3070">
            <w:pPr>
              <w:jc w:val="right"/>
            </w:pPr>
            <w:r>
              <w:rPr>
                <w:rFonts w:eastAsiaTheme="minorEastAsia"/>
                <w:color w:val="000000" w:themeColor="text1"/>
                <w:szCs w:val="21"/>
              </w:rPr>
              <w:t>0.40%</w:t>
            </w:r>
          </w:p>
        </w:tc>
      </w:tr>
      <w:tr w:rsidR="002F02A0">
        <w:tc>
          <w:tcPr>
            <w:tcW w:w="1290" w:type="dxa"/>
            <w:vAlign w:val="center"/>
          </w:tcPr>
          <w:p w:rsidR="002F02A0" w:rsidRDefault="009B3070">
            <w:pPr>
              <w:jc w:val="left"/>
            </w:pPr>
            <w:r>
              <w:rPr>
                <w:rFonts w:eastAsiaTheme="minorEastAsia"/>
                <w:color w:val="000000" w:themeColor="text1"/>
                <w:szCs w:val="21"/>
              </w:rPr>
              <w:t>过去三年</w:t>
            </w:r>
          </w:p>
        </w:tc>
        <w:tc>
          <w:tcPr>
            <w:tcW w:w="1291" w:type="dxa"/>
            <w:vAlign w:val="center"/>
          </w:tcPr>
          <w:p w:rsidR="002F02A0" w:rsidRDefault="009B3070">
            <w:pPr>
              <w:jc w:val="right"/>
            </w:pPr>
            <w:r>
              <w:rPr>
                <w:rFonts w:eastAsiaTheme="minorEastAsia"/>
                <w:color w:val="000000" w:themeColor="text1"/>
                <w:szCs w:val="21"/>
              </w:rPr>
              <w:t>39.95%</w:t>
            </w:r>
          </w:p>
        </w:tc>
        <w:tc>
          <w:tcPr>
            <w:tcW w:w="1291" w:type="dxa"/>
            <w:vAlign w:val="center"/>
          </w:tcPr>
          <w:p w:rsidR="002F02A0" w:rsidRDefault="009B3070">
            <w:pPr>
              <w:jc w:val="right"/>
            </w:pPr>
            <w:r>
              <w:rPr>
                <w:rFonts w:eastAsiaTheme="minorEastAsia"/>
                <w:color w:val="000000" w:themeColor="text1"/>
                <w:szCs w:val="21"/>
              </w:rPr>
              <w:t>1.77%</w:t>
            </w:r>
          </w:p>
        </w:tc>
        <w:tc>
          <w:tcPr>
            <w:tcW w:w="1291" w:type="dxa"/>
            <w:vAlign w:val="center"/>
          </w:tcPr>
          <w:p w:rsidR="002F02A0" w:rsidRDefault="009B3070">
            <w:pPr>
              <w:jc w:val="right"/>
            </w:pPr>
            <w:r>
              <w:rPr>
                <w:rFonts w:eastAsiaTheme="minorEastAsia"/>
                <w:color w:val="000000" w:themeColor="text1"/>
                <w:szCs w:val="21"/>
              </w:rPr>
              <w:t>-2.87%</w:t>
            </w:r>
          </w:p>
        </w:tc>
        <w:tc>
          <w:tcPr>
            <w:tcW w:w="1291" w:type="dxa"/>
            <w:vAlign w:val="center"/>
          </w:tcPr>
          <w:p w:rsidR="002F02A0" w:rsidRDefault="009B3070">
            <w:pPr>
              <w:jc w:val="right"/>
            </w:pPr>
            <w:r>
              <w:rPr>
                <w:rFonts w:eastAsiaTheme="minorEastAsia"/>
                <w:color w:val="000000" w:themeColor="text1"/>
                <w:szCs w:val="21"/>
              </w:rPr>
              <w:t>1.11%</w:t>
            </w:r>
          </w:p>
        </w:tc>
        <w:tc>
          <w:tcPr>
            <w:tcW w:w="1291" w:type="dxa"/>
            <w:vAlign w:val="center"/>
          </w:tcPr>
          <w:p w:rsidR="002F02A0" w:rsidRDefault="009B3070">
            <w:pPr>
              <w:jc w:val="right"/>
            </w:pPr>
            <w:r>
              <w:rPr>
                <w:rFonts w:eastAsiaTheme="minorEastAsia"/>
                <w:color w:val="000000" w:themeColor="text1"/>
                <w:szCs w:val="21"/>
              </w:rPr>
              <w:t>42.82%</w:t>
            </w:r>
          </w:p>
        </w:tc>
        <w:tc>
          <w:tcPr>
            <w:tcW w:w="1291" w:type="dxa"/>
            <w:vAlign w:val="center"/>
          </w:tcPr>
          <w:p w:rsidR="002F02A0" w:rsidRDefault="009B3070">
            <w:pPr>
              <w:jc w:val="right"/>
            </w:pPr>
            <w:r>
              <w:rPr>
                <w:rFonts w:eastAsiaTheme="minorEastAsia"/>
                <w:color w:val="000000" w:themeColor="text1"/>
                <w:szCs w:val="21"/>
              </w:rPr>
              <w:t>0.66%</w:t>
            </w:r>
          </w:p>
        </w:tc>
      </w:tr>
      <w:tr w:rsidR="002F02A0">
        <w:tc>
          <w:tcPr>
            <w:tcW w:w="1290" w:type="dxa"/>
            <w:vAlign w:val="center"/>
          </w:tcPr>
          <w:p w:rsidR="002F02A0" w:rsidRDefault="009B3070">
            <w:pPr>
              <w:jc w:val="left"/>
            </w:pPr>
            <w:r>
              <w:rPr>
                <w:rFonts w:eastAsiaTheme="minorEastAsia"/>
                <w:color w:val="000000" w:themeColor="text1"/>
                <w:szCs w:val="21"/>
              </w:rPr>
              <w:t>过去五年</w:t>
            </w:r>
          </w:p>
        </w:tc>
        <w:tc>
          <w:tcPr>
            <w:tcW w:w="1291" w:type="dxa"/>
            <w:vAlign w:val="center"/>
          </w:tcPr>
          <w:p w:rsidR="002F02A0" w:rsidRDefault="009B3070">
            <w:pPr>
              <w:jc w:val="right"/>
            </w:pPr>
            <w:r>
              <w:rPr>
                <w:rFonts w:eastAsiaTheme="minorEastAsia"/>
                <w:color w:val="000000" w:themeColor="text1"/>
                <w:szCs w:val="21"/>
              </w:rPr>
              <w:t>52.83%</w:t>
            </w:r>
          </w:p>
        </w:tc>
        <w:tc>
          <w:tcPr>
            <w:tcW w:w="1291" w:type="dxa"/>
            <w:vAlign w:val="center"/>
          </w:tcPr>
          <w:p w:rsidR="002F02A0" w:rsidRDefault="009B3070">
            <w:pPr>
              <w:jc w:val="right"/>
            </w:pPr>
            <w:r>
              <w:rPr>
                <w:rFonts w:eastAsiaTheme="minorEastAsia"/>
                <w:color w:val="000000" w:themeColor="text1"/>
                <w:szCs w:val="21"/>
              </w:rPr>
              <w:t>1.66%</w:t>
            </w:r>
          </w:p>
        </w:tc>
        <w:tc>
          <w:tcPr>
            <w:tcW w:w="1291" w:type="dxa"/>
            <w:vAlign w:val="center"/>
          </w:tcPr>
          <w:p w:rsidR="002F02A0" w:rsidRDefault="009B3070">
            <w:pPr>
              <w:jc w:val="right"/>
            </w:pPr>
            <w:r>
              <w:rPr>
                <w:rFonts w:eastAsiaTheme="minorEastAsia"/>
                <w:color w:val="000000" w:themeColor="text1"/>
                <w:szCs w:val="21"/>
              </w:rPr>
              <w:t>0.15%</w:t>
            </w:r>
          </w:p>
        </w:tc>
        <w:tc>
          <w:tcPr>
            <w:tcW w:w="1291" w:type="dxa"/>
            <w:vAlign w:val="center"/>
          </w:tcPr>
          <w:p w:rsidR="002F02A0" w:rsidRDefault="009B3070">
            <w:pPr>
              <w:jc w:val="right"/>
            </w:pPr>
            <w:r>
              <w:rPr>
                <w:rFonts w:eastAsiaTheme="minorEastAsia"/>
                <w:color w:val="000000" w:themeColor="text1"/>
                <w:szCs w:val="21"/>
              </w:rPr>
              <w:t>1.10%</w:t>
            </w:r>
          </w:p>
        </w:tc>
        <w:tc>
          <w:tcPr>
            <w:tcW w:w="1291" w:type="dxa"/>
            <w:vAlign w:val="center"/>
          </w:tcPr>
          <w:p w:rsidR="002F02A0" w:rsidRDefault="009B3070">
            <w:pPr>
              <w:jc w:val="right"/>
            </w:pPr>
            <w:r>
              <w:rPr>
                <w:rFonts w:eastAsiaTheme="minorEastAsia"/>
                <w:color w:val="000000" w:themeColor="text1"/>
                <w:szCs w:val="21"/>
              </w:rPr>
              <w:t>52.68%</w:t>
            </w:r>
          </w:p>
        </w:tc>
        <w:tc>
          <w:tcPr>
            <w:tcW w:w="1291" w:type="dxa"/>
            <w:vAlign w:val="center"/>
          </w:tcPr>
          <w:p w:rsidR="002F02A0" w:rsidRDefault="009B3070">
            <w:pPr>
              <w:jc w:val="right"/>
            </w:pPr>
            <w:r>
              <w:rPr>
                <w:rFonts w:eastAsiaTheme="minorEastAsia"/>
                <w:color w:val="000000" w:themeColor="text1"/>
                <w:szCs w:val="21"/>
              </w:rPr>
              <w:t>0.56%</w:t>
            </w:r>
          </w:p>
        </w:tc>
      </w:tr>
      <w:tr w:rsidR="002F02A0">
        <w:tc>
          <w:tcPr>
            <w:tcW w:w="1290" w:type="dxa"/>
            <w:vAlign w:val="center"/>
          </w:tcPr>
          <w:p w:rsidR="002F02A0" w:rsidRDefault="009B3070">
            <w:pPr>
              <w:jc w:val="left"/>
            </w:pPr>
            <w:r>
              <w:rPr>
                <w:rFonts w:eastAsiaTheme="minorEastAsia"/>
                <w:color w:val="000000" w:themeColor="text1"/>
                <w:szCs w:val="21"/>
              </w:rPr>
              <w:t>自基金合同生效起至今</w:t>
            </w:r>
          </w:p>
        </w:tc>
        <w:tc>
          <w:tcPr>
            <w:tcW w:w="1291" w:type="dxa"/>
            <w:vAlign w:val="center"/>
          </w:tcPr>
          <w:p w:rsidR="002F02A0" w:rsidRDefault="009B3070">
            <w:pPr>
              <w:jc w:val="right"/>
            </w:pPr>
            <w:r>
              <w:rPr>
                <w:rFonts w:eastAsiaTheme="minorEastAsia"/>
                <w:color w:val="000000" w:themeColor="text1"/>
                <w:szCs w:val="21"/>
              </w:rPr>
              <w:t>357.87%</w:t>
            </w:r>
          </w:p>
        </w:tc>
        <w:tc>
          <w:tcPr>
            <w:tcW w:w="1291" w:type="dxa"/>
            <w:vAlign w:val="center"/>
          </w:tcPr>
          <w:p w:rsidR="002F02A0" w:rsidRDefault="009B3070">
            <w:pPr>
              <w:jc w:val="right"/>
            </w:pPr>
            <w:r>
              <w:rPr>
                <w:rFonts w:eastAsiaTheme="minorEastAsia"/>
                <w:color w:val="000000" w:themeColor="text1"/>
                <w:szCs w:val="21"/>
              </w:rPr>
              <w:t>1.82%</w:t>
            </w:r>
          </w:p>
        </w:tc>
        <w:tc>
          <w:tcPr>
            <w:tcW w:w="1291" w:type="dxa"/>
            <w:vAlign w:val="center"/>
          </w:tcPr>
          <w:p w:rsidR="002F02A0" w:rsidRDefault="009B3070">
            <w:pPr>
              <w:jc w:val="right"/>
            </w:pPr>
            <w:r>
              <w:rPr>
                <w:rFonts w:eastAsiaTheme="minorEastAsia"/>
                <w:color w:val="000000" w:themeColor="text1"/>
                <w:szCs w:val="21"/>
              </w:rPr>
              <w:t>74.99%</w:t>
            </w:r>
          </w:p>
        </w:tc>
        <w:tc>
          <w:tcPr>
            <w:tcW w:w="1291" w:type="dxa"/>
            <w:vAlign w:val="center"/>
          </w:tcPr>
          <w:p w:rsidR="002F02A0" w:rsidRDefault="009B3070">
            <w:pPr>
              <w:jc w:val="right"/>
            </w:pPr>
            <w:r>
              <w:rPr>
                <w:rFonts w:eastAsiaTheme="minorEastAsia"/>
                <w:color w:val="000000" w:themeColor="text1"/>
                <w:szCs w:val="21"/>
              </w:rPr>
              <w:t>1.21%</w:t>
            </w:r>
          </w:p>
        </w:tc>
        <w:tc>
          <w:tcPr>
            <w:tcW w:w="1291" w:type="dxa"/>
            <w:vAlign w:val="center"/>
          </w:tcPr>
          <w:p w:rsidR="002F02A0" w:rsidRDefault="009B3070">
            <w:pPr>
              <w:jc w:val="right"/>
            </w:pPr>
            <w:r>
              <w:rPr>
                <w:rFonts w:eastAsiaTheme="minorEastAsia"/>
                <w:color w:val="000000" w:themeColor="text1"/>
                <w:szCs w:val="21"/>
              </w:rPr>
              <w:t>282.88%</w:t>
            </w:r>
          </w:p>
        </w:tc>
        <w:tc>
          <w:tcPr>
            <w:tcW w:w="1291" w:type="dxa"/>
            <w:vAlign w:val="center"/>
          </w:tcPr>
          <w:p w:rsidR="002F02A0" w:rsidRDefault="009B3070">
            <w:pPr>
              <w:jc w:val="right"/>
            </w:pPr>
            <w:r>
              <w:rPr>
                <w:rFonts w:eastAsiaTheme="minorEastAsia"/>
                <w:color w:val="000000" w:themeColor="text1"/>
                <w:szCs w:val="21"/>
              </w:rPr>
              <w:t>0.61%</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上投摩根核心优选混合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F02A0">
        <w:tc>
          <w:tcPr>
            <w:tcW w:w="1290" w:type="dxa"/>
            <w:vAlign w:val="center"/>
          </w:tcPr>
          <w:p w:rsidR="002F02A0" w:rsidRDefault="009B3070">
            <w:pPr>
              <w:jc w:val="left"/>
            </w:pPr>
            <w:r>
              <w:rPr>
                <w:rFonts w:eastAsiaTheme="minorEastAsia"/>
                <w:color w:val="000000" w:themeColor="text1"/>
                <w:szCs w:val="21"/>
              </w:rPr>
              <w:t>过去三个月</w:t>
            </w:r>
          </w:p>
        </w:tc>
        <w:tc>
          <w:tcPr>
            <w:tcW w:w="1291" w:type="dxa"/>
            <w:vAlign w:val="center"/>
          </w:tcPr>
          <w:p w:rsidR="002F02A0" w:rsidRDefault="009B3070">
            <w:pPr>
              <w:jc w:val="right"/>
            </w:pPr>
            <w:r>
              <w:rPr>
                <w:rFonts w:eastAsiaTheme="minorEastAsia"/>
                <w:color w:val="000000" w:themeColor="text1"/>
                <w:szCs w:val="21"/>
              </w:rPr>
              <w:t>-6.26%</w:t>
            </w:r>
          </w:p>
        </w:tc>
        <w:tc>
          <w:tcPr>
            <w:tcW w:w="1291" w:type="dxa"/>
            <w:vAlign w:val="center"/>
          </w:tcPr>
          <w:p w:rsidR="002F02A0" w:rsidRDefault="009B3070">
            <w:pPr>
              <w:jc w:val="right"/>
            </w:pPr>
            <w:r>
              <w:rPr>
                <w:rFonts w:eastAsiaTheme="minorEastAsia"/>
                <w:color w:val="000000" w:themeColor="text1"/>
                <w:szCs w:val="21"/>
              </w:rPr>
              <w:t>1.15%</w:t>
            </w:r>
          </w:p>
        </w:tc>
        <w:tc>
          <w:tcPr>
            <w:tcW w:w="1291" w:type="dxa"/>
            <w:vAlign w:val="center"/>
          </w:tcPr>
          <w:p w:rsidR="002F02A0" w:rsidRDefault="009B3070">
            <w:pPr>
              <w:jc w:val="right"/>
            </w:pPr>
            <w:r>
              <w:rPr>
                <w:rFonts w:eastAsiaTheme="minorEastAsia"/>
                <w:color w:val="000000" w:themeColor="text1"/>
                <w:szCs w:val="21"/>
              </w:rPr>
              <w:t>1.54%</w:t>
            </w:r>
          </w:p>
        </w:tc>
        <w:tc>
          <w:tcPr>
            <w:tcW w:w="1291" w:type="dxa"/>
            <w:vAlign w:val="center"/>
          </w:tcPr>
          <w:p w:rsidR="002F02A0" w:rsidRDefault="009B3070">
            <w:pPr>
              <w:jc w:val="right"/>
            </w:pPr>
            <w:r>
              <w:rPr>
                <w:rFonts w:eastAsiaTheme="minorEastAsia"/>
                <w:color w:val="000000" w:themeColor="text1"/>
                <w:szCs w:val="21"/>
              </w:rPr>
              <w:t>1.10%</w:t>
            </w:r>
          </w:p>
        </w:tc>
        <w:tc>
          <w:tcPr>
            <w:tcW w:w="1291" w:type="dxa"/>
            <w:vAlign w:val="center"/>
          </w:tcPr>
          <w:p w:rsidR="002F02A0" w:rsidRDefault="009B3070">
            <w:pPr>
              <w:jc w:val="right"/>
            </w:pPr>
            <w:r>
              <w:rPr>
                <w:rFonts w:eastAsiaTheme="minorEastAsia"/>
                <w:color w:val="000000" w:themeColor="text1"/>
                <w:szCs w:val="21"/>
              </w:rPr>
              <w:t>-7.80%</w:t>
            </w:r>
          </w:p>
        </w:tc>
        <w:tc>
          <w:tcPr>
            <w:tcW w:w="1291" w:type="dxa"/>
            <w:vAlign w:val="center"/>
          </w:tcPr>
          <w:p w:rsidR="002F02A0" w:rsidRDefault="009B3070">
            <w:pPr>
              <w:jc w:val="right"/>
            </w:pPr>
            <w:r>
              <w:rPr>
                <w:rFonts w:eastAsiaTheme="minorEastAsia"/>
                <w:color w:val="000000" w:themeColor="text1"/>
                <w:szCs w:val="21"/>
              </w:rPr>
              <w:t>0.05%</w:t>
            </w:r>
          </w:p>
        </w:tc>
      </w:tr>
      <w:tr w:rsidR="002F02A0">
        <w:tc>
          <w:tcPr>
            <w:tcW w:w="1290" w:type="dxa"/>
            <w:vAlign w:val="center"/>
          </w:tcPr>
          <w:p w:rsidR="002F02A0" w:rsidRDefault="009B3070">
            <w:pPr>
              <w:jc w:val="left"/>
            </w:pPr>
            <w:r>
              <w:rPr>
                <w:rFonts w:eastAsiaTheme="minorEastAsia"/>
                <w:color w:val="000000" w:themeColor="text1"/>
                <w:szCs w:val="21"/>
              </w:rPr>
              <w:t>过去六个月</w:t>
            </w:r>
          </w:p>
        </w:tc>
        <w:tc>
          <w:tcPr>
            <w:tcW w:w="1291" w:type="dxa"/>
            <w:vAlign w:val="center"/>
          </w:tcPr>
          <w:p w:rsidR="002F02A0" w:rsidRDefault="009B3070">
            <w:pPr>
              <w:jc w:val="right"/>
            </w:pPr>
            <w:r>
              <w:rPr>
                <w:rFonts w:eastAsiaTheme="minorEastAsia"/>
                <w:color w:val="000000" w:themeColor="text1"/>
                <w:szCs w:val="21"/>
              </w:rPr>
              <w:t>-24.59%</w:t>
            </w:r>
          </w:p>
        </w:tc>
        <w:tc>
          <w:tcPr>
            <w:tcW w:w="1291" w:type="dxa"/>
            <w:vAlign w:val="center"/>
          </w:tcPr>
          <w:p w:rsidR="002F02A0" w:rsidRDefault="009B3070">
            <w:pPr>
              <w:jc w:val="right"/>
            </w:pPr>
            <w:r>
              <w:rPr>
                <w:rFonts w:eastAsiaTheme="minorEastAsia"/>
                <w:color w:val="000000" w:themeColor="text1"/>
                <w:szCs w:val="21"/>
              </w:rPr>
              <w:t>1.28%</w:t>
            </w:r>
          </w:p>
        </w:tc>
        <w:tc>
          <w:tcPr>
            <w:tcW w:w="1291" w:type="dxa"/>
            <w:vAlign w:val="center"/>
          </w:tcPr>
          <w:p w:rsidR="002F02A0" w:rsidRDefault="009B3070">
            <w:pPr>
              <w:jc w:val="right"/>
            </w:pPr>
            <w:r>
              <w:rPr>
                <w:rFonts w:eastAsiaTheme="minorEastAsia"/>
                <w:color w:val="000000" w:themeColor="text1"/>
                <w:szCs w:val="21"/>
              </w:rPr>
              <w:t>-11.39%</w:t>
            </w:r>
          </w:p>
        </w:tc>
        <w:tc>
          <w:tcPr>
            <w:tcW w:w="1291" w:type="dxa"/>
            <w:vAlign w:val="center"/>
          </w:tcPr>
          <w:p w:rsidR="002F02A0" w:rsidRDefault="009B3070">
            <w:pPr>
              <w:jc w:val="right"/>
            </w:pPr>
            <w:r>
              <w:rPr>
                <w:rFonts w:eastAsiaTheme="minorEastAsia"/>
                <w:color w:val="000000" w:themeColor="text1"/>
                <w:szCs w:val="21"/>
              </w:rPr>
              <w:t>0.94%</w:t>
            </w:r>
          </w:p>
        </w:tc>
        <w:tc>
          <w:tcPr>
            <w:tcW w:w="1291" w:type="dxa"/>
            <w:vAlign w:val="center"/>
          </w:tcPr>
          <w:p w:rsidR="002F02A0" w:rsidRDefault="009B3070">
            <w:pPr>
              <w:jc w:val="right"/>
            </w:pPr>
            <w:r>
              <w:rPr>
                <w:rFonts w:eastAsiaTheme="minorEastAsia"/>
                <w:color w:val="000000" w:themeColor="text1"/>
                <w:szCs w:val="21"/>
              </w:rPr>
              <w:t>-13.20%</w:t>
            </w:r>
          </w:p>
        </w:tc>
        <w:tc>
          <w:tcPr>
            <w:tcW w:w="1291" w:type="dxa"/>
            <w:vAlign w:val="center"/>
          </w:tcPr>
          <w:p w:rsidR="002F02A0" w:rsidRDefault="009B3070">
            <w:pPr>
              <w:jc w:val="right"/>
            </w:pPr>
            <w:r>
              <w:rPr>
                <w:rFonts w:eastAsiaTheme="minorEastAsia"/>
                <w:color w:val="000000" w:themeColor="text1"/>
                <w:szCs w:val="21"/>
              </w:rPr>
              <w:t>0.34%</w:t>
            </w:r>
          </w:p>
        </w:tc>
      </w:tr>
      <w:tr w:rsidR="002F02A0">
        <w:tc>
          <w:tcPr>
            <w:tcW w:w="1290" w:type="dxa"/>
            <w:vAlign w:val="center"/>
          </w:tcPr>
          <w:p w:rsidR="002F02A0" w:rsidRDefault="009B3070">
            <w:pPr>
              <w:jc w:val="left"/>
            </w:pPr>
            <w:r>
              <w:rPr>
                <w:rFonts w:eastAsiaTheme="minorEastAsia"/>
                <w:color w:val="000000" w:themeColor="text1"/>
                <w:szCs w:val="21"/>
              </w:rPr>
              <w:t>过去一年</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r>
      <w:tr w:rsidR="002F02A0">
        <w:tc>
          <w:tcPr>
            <w:tcW w:w="1290" w:type="dxa"/>
            <w:vAlign w:val="center"/>
          </w:tcPr>
          <w:p w:rsidR="002F02A0" w:rsidRDefault="009B3070">
            <w:pPr>
              <w:jc w:val="left"/>
            </w:pPr>
            <w:r>
              <w:rPr>
                <w:rFonts w:eastAsiaTheme="minorEastAsia"/>
                <w:color w:val="000000" w:themeColor="text1"/>
                <w:szCs w:val="21"/>
              </w:rPr>
              <w:t>过去三年</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r>
      <w:tr w:rsidR="002F02A0">
        <w:tc>
          <w:tcPr>
            <w:tcW w:w="1290" w:type="dxa"/>
            <w:vAlign w:val="center"/>
          </w:tcPr>
          <w:p w:rsidR="002F02A0" w:rsidRDefault="009B3070">
            <w:pPr>
              <w:jc w:val="left"/>
            </w:pPr>
            <w:r>
              <w:rPr>
                <w:rFonts w:eastAsiaTheme="minorEastAsia"/>
                <w:color w:val="000000" w:themeColor="text1"/>
                <w:szCs w:val="21"/>
              </w:rPr>
              <w:t>过去五年</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c>
          <w:tcPr>
            <w:tcW w:w="1291" w:type="dxa"/>
            <w:vAlign w:val="center"/>
          </w:tcPr>
          <w:p w:rsidR="002F02A0" w:rsidRDefault="009B3070">
            <w:pPr>
              <w:jc w:val="right"/>
            </w:pPr>
            <w:r>
              <w:rPr>
                <w:rFonts w:eastAsiaTheme="minorEastAsia"/>
                <w:color w:val="000000" w:themeColor="text1"/>
                <w:szCs w:val="21"/>
              </w:rPr>
              <w:t>-</w:t>
            </w:r>
          </w:p>
        </w:tc>
      </w:tr>
      <w:tr w:rsidR="002F02A0">
        <w:tc>
          <w:tcPr>
            <w:tcW w:w="1290" w:type="dxa"/>
            <w:vAlign w:val="center"/>
          </w:tcPr>
          <w:p w:rsidR="002F02A0" w:rsidRDefault="009B3070">
            <w:pPr>
              <w:jc w:val="left"/>
            </w:pPr>
            <w:r>
              <w:rPr>
                <w:rFonts w:eastAsiaTheme="minorEastAsia"/>
                <w:color w:val="000000" w:themeColor="text1"/>
                <w:szCs w:val="21"/>
              </w:rPr>
              <w:t>自基金合同生效起至今</w:t>
            </w:r>
          </w:p>
        </w:tc>
        <w:tc>
          <w:tcPr>
            <w:tcW w:w="1291" w:type="dxa"/>
            <w:vAlign w:val="center"/>
          </w:tcPr>
          <w:p w:rsidR="002F02A0" w:rsidRDefault="009B3070">
            <w:pPr>
              <w:jc w:val="right"/>
            </w:pPr>
            <w:r>
              <w:rPr>
                <w:rFonts w:eastAsiaTheme="minorEastAsia"/>
                <w:color w:val="000000" w:themeColor="text1"/>
                <w:szCs w:val="21"/>
              </w:rPr>
              <w:t>-23.84%</w:t>
            </w:r>
          </w:p>
        </w:tc>
        <w:tc>
          <w:tcPr>
            <w:tcW w:w="1291" w:type="dxa"/>
            <w:vAlign w:val="center"/>
          </w:tcPr>
          <w:p w:rsidR="002F02A0" w:rsidRDefault="009B3070">
            <w:pPr>
              <w:jc w:val="right"/>
            </w:pPr>
            <w:r>
              <w:rPr>
                <w:rFonts w:eastAsiaTheme="minorEastAsia"/>
                <w:color w:val="000000" w:themeColor="text1"/>
                <w:szCs w:val="21"/>
              </w:rPr>
              <w:t>1.48%</w:t>
            </w:r>
          </w:p>
        </w:tc>
        <w:tc>
          <w:tcPr>
            <w:tcW w:w="1291" w:type="dxa"/>
            <w:vAlign w:val="center"/>
          </w:tcPr>
          <w:p w:rsidR="002F02A0" w:rsidRDefault="009B3070">
            <w:pPr>
              <w:jc w:val="right"/>
            </w:pPr>
            <w:r>
              <w:rPr>
                <w:rFonts w:eastAsiaTheme="minorEastAsia"/>
                <w:color w:val="000000" w:themeColor="text1"/>
                <w:szCs w:val="21"/>
              </w:rPr>
              <w:t>-13.64%</w:t>
            </w:r>
          </w:p>
        </w:tc>
        <w:tc>
          <w:tcPr>
            <w:tcW w:w="1291" w:type="dxa"/>
            <w:vAlign w:val="center"/>
          </w:tcPr>
          <w:p w:rsidR="002F02A0" w:rsidRDefault="009B3070">
            <w:pPr>
              <w:jc w:val="right"/>
            </w:pPr>
            <w:r>
              <w:rPr>
                <w:rFonts w:eastAsiaTheme="minorEastAsia"/>
                <w:color w:val="000000" w:themeColor="text1"/>
                <w:szCs w:val="21"/>
              </w:rPr>
              <w:t>1.11%</w:t>
            </w:r>
          </w:p>
        </w:tc>
        <w:tc>
          <w:tcPr>
            <w:tcW w:w="1291" w:type="dxa"/>
            <w:vAlign w:val="center"/>
          </w:tcPr>
          <w:p w:rsidR="002F02A0" w:rsidRDefault="009B3070">
            <w:pPr>
              <w:jc w:val="right"/>
            </w:pPr>
            <w:r>
              <w:rPr>
                <w:rFonts w:eastAsiaTheme="minorEastAsia"/>
                <w:color w:val="000000" w:themeColor="text1"/>
                <w:szCs w:val="21"/>
              </w:rPr>
              <w:t>-10.20%</w:t>
            </w:r>
          </w:p>
        </w:tc>
        <w:tc>
          <w:tcPr>
            <w:tcW w:w="1291" w:type="dxa"/>
            <w:vAlign w:val="center"/>
          </w:tcPr>
          <w:p w:rsidR="002F02A0" w:rsidRDefault="009B3070">
            <w:pPr>
              <w:jc w:val="right"/>
            </w:pPr>
            <w:r>
              <w:rPr>
                <w:rFonts w:eastAsiaTheme="minorEastAsia"/>
                <w:color w:val="000000" w:themeColor="text1"/>
                <w:szCs w:val="21"/>
              </w:rPr>
              <w:t>0.37%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上投摩根核心优选混合型证券投资基金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．上投摩根核心优选混合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．上投摩根核心优选混合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F02A0">
        <w:tc>
          <w:tcPr>
            <w:tcW w:w="952" w:type="dxa"/>
            <w:vAlign w:val="center"/>
          </w:tcPr>
          <w:p w:rsidR="002F02A0" w:rsidRDefault="009B3070">
            <w:pPr>
              <w:jc w:val="center"/>
            </w:pPr>
            <w:r>
              <w:rPr>
                <w:rFonts w:eastAsiaTheme="minorEastAsia"/>
                <w:color w:val="000000" w:themeColor="text1"/>
                <w:szCs w:val="21"/>
              </w:rPr>
              <w:t>倪权生</w:t>
            </w:r>
          </w:p>
        </w:tc>
        <w:tc>
          <w:tcPr>
            <w:tcW w:w="930" w:type="dxa"/>
            <w:vAlign w:val="center"/>
          </w:tcPr>
          <w:p w:rsidR="002F02A0" w:rsidRDefault="009B3070">
            <w:pPr>
              <w:jc w:val="center"/>
            </w:pPr>
            <w:r>
              <w:rPr>
                <w:rFonts w:eastAsiaTheme="minorEastAsia"/>
                <w:color w:val="000000" w:themeColor="text1"/>
                <w:szCs w:val="21"/>
              </w:rPr>
              <w:t>本基金基金经理</w:t>
            </w:r>
          </w:p>
        </w:tc>
        <w:tc>
          <w:tcPr>
            <w:tcW w:w="1210" w:type="dxa"/>
            <w:vAlign w:val="center"/>
          </w:tcPr>
          <w:p w:rsidR="002F02A0" w:rsidRDefault="009B3070">
            <w:pPr>
              <w:jc w:val="center"/>
            </w:pPr>
            <w:r>
              <w:rPr>
                <w:rFonts w:eastAsiaTheme="minorEastAsia"/>
                <w:color w:val="000000" w:themeColor="text1"/>
                <w:szCs w:val="21"/>
              </w:rPr>
              <w:t>2022-08-18</w:t>
            </w:r>
          </w:p>
        </w:tc>
        <w:tc>
          <w:tcPr>
            <w:tcW w:w="1309" w:type="dxa"/>
            <w:vAlign w:val="center"/>
          </w:tcPr>
          <w:p w:rsidR="002F02A0" w:rsidRDefault="009B3070">
            <w:pPr>
              <w:jc w:val="center"/>
            </w:pPr>
            <w:r>
              <w:rPr>
                <w:rFonts w:eastAsiaTheme="minorEastAsia"/>
                <w:color w:val="000000" w:themeColor="text1"/>
                <w:szCs w:val="21"/>
              </w:rPr>
              <w:t>-</w:t>
            </w:r>
          </w:p>
        </w:tc>
        <w:tc>
          <w:tcPr>
            <w:tcW w:w="1254" w:type="dxa"/>
            <w:vAlign w:val="center"/>
          </w:tcPr>
          <w:p w:rsidR="002F02A0" w:rsidRDefault="009B3070">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2F02A0" w:rsidRDefault="009B3070">
            <w:r>
              <w:rPr>
                <w:rFonts w:eastAsiaTheme="minorEastAsia"/>
                <w:color w:val="000000" w:themeColor="text1"/>
                <w:szCs w:val="21"/>
              </w:rPr>
              <w:t>倪权生先生，上海交通大学金融学博士。自</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月，在博时基金管理有限公司任高级研究员；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月，在浙商基金管理有限公司历任投资经理助理、基金经理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月起加入上投摩根基金管理有限公司，现任国内权益投资部均衡组组长兼资深基金经理。自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月起任上投摩根成长先锋混合型证券投资基金基金经理。自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月起同时担任上投摩根均衡优选混合型证券投资基金基金经理，自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月起同时担任上投摩根全景优势股票型证券投资基金基金经理，自</w:t>
            </w:r>
            <w:r>
              <w:rPr>
                <w:rFonts w:eastAsiaTheme="minorEastAsia"/>
                <w:color w:val="000000" w:themeColor="text1"/>
                <w:szCs w:val="21"/>
              </w:rPr>
              <w:t>20</w:t>
            </w:r>
            <w:r>
              <w:rPr>
                <w:rFonts w:eastAsiaTheme="minorEastAsia"/>
                <w:color w:val="000000" w:themeColor="text1"/>
                <w:szCs w:val="21"/>
              </w:rPr>
              <w:t>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月起同时担任上投摩根鑫睿优选一年持有期混合型证券投资基金基金经理，自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月起同时担任上投摩根核心优选混合型证券投资基金基金经理。</w:t>
            </w:r>
          </w:p>
        </w:tc>
      </w:tr>
    </w:tbl>
    <w:p w:rsidR="002F02A0" w:rsidRDefault="009B307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倪权生</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2,811,460,807.65</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2015-03-30</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479,268,062.81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2021-04-12</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3,290,728,870.46</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核心优选混合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在经历三季度的下跌后，四季度主要指数呈区间震荡走势，随着防疫政策的逐步调整，市场对经济活动不确定的担忧相对三季度有所改善。另外，地产等行业政策也有所变化，融资条件得到改善，叠加对疫情影响减弱后经济活动恢复</w:t>
      </w:r>
      <w:r>
        <w:rPr>
          <w:rFonts w:eastAsiaTheme="minorEastAsia"/>
          <w:color w:val="000000" w:themeColor="text1"/>
          <w:szCs w:val="21"/>
        </w:rPr>
        <w:t>的预期，一些疫情修复板块和经济强相关板块开始提前反应重回增长预期。从四季度经济基本面看，由于</w:t>
      </w:r>
      <w:r>
        <w:rPr>
          <w:rFonts w:eastAsiaTheme="minorEastAsia"/>
          <w:color w:val="000000" w:themeColor="text1"/>
          <w:szCs w:val="21"/>
        </w:rPr>
        <w:t>10-11</w:t>
      </w:r>
      <w:r>
        <w:rPr>
          <w:rFonts w:eastAsiaTheme="minorEastAsia"/>
          <w:color w:val="000000" w:themeColor="text1"/>
          <w:szCs w:val="21"/>
        </w:rPr>
        <w:t>月份部分地区经济活动受到疫情影响，整体宏观经济基本面并不乐观，消费、制造、出口等活动受到不同程度影响。但展望</w:t>
      </w:r>
      <w:r>
        <w:rPr>
          <w:rFonts w:eastAsiaTheme="minorEastAsia"/>
          <w:color w:val="000000" w:themeColor="text1"/>
          <w:szCs w:val="21"/>
        </w:rPr>
        <w:t>2023</w:t>
      </w:r>
      <w:r>
        <w:rPr>
          <w:rFonts w:eastAsiaTheme="minorEastAsia"/>
          <w:color w:val="000000" w:themeColor="text1"/>
          <w:szCs w:val="21"/>
        </w:rPr>
        <w:t>年，我们认为受到疫情影响的经济活动有望修复，对于一些上市公司而言，</w:t>
      </w:r>
      <w:r>
        <w:rPr>
          <w:rFonts w:eastAsiaTheme="minorEastAsia"/>
          <w:color w:val="000000" w:themeColor="text1"/>
          <w:szCs w:val="21"/>
        </w:rPr>
        <w:t>2022</w:t>
      </w:r>
      <w:r>
        <w:rPr>
          <w:rFonts w:eastAsiaTheme="minorEastAsia"/>
          <w:color w:val="000000" w:themeColor="text1"/>
          <w:szCs w:val="21"/>
        </w:rPr>
        <w:t>年受影响没有确认的发货、收入，有望在</w:t>
      </w:r>
      <w:r>
        <w:rPr>
          <w:rFonts w:eastAsiaTheme="minorEastAsia"/>
          <w:color w:val="000000" w:themeColor="text1"/>
          <w:szCs w:val="21"/>
        </w:rPr>
        <w:t>2023</w:t>
      </w:r>
      <w:r>
        <w:rPr>
          <w:rFonts w:eastAsiaTheme="minorEastAsia"/>
          <w:color w:val="000000" w:themeColor="text1"/>
          <w:szCs w:val="21"/>
        </w:rPr>
        <w:t>年得到弥补，从上市公司盈利展望来看，我们对</w:t>
      </w:r>
      <w:r>
        <w:rPr>
          <w:rFonts w:eastAsiaTheme="minorEastAsia"/>
          <w:color w:val="000000" w:themeColor="text1"/>
          <w:szCs w:val="21"/>
        </w:rPr>
        <w:t>2023</w:t>
      </w:r>
      <w:r>
        <w:rPr>
          <w:rFonts w:eastAsiaTheme="minorEastAsia"/>
          <w:color w:val="000000" w:themeColor="text1"/>
          <w:szCs w:val="21"/>
        </w:rPr>
        <w:t>年更为乐观。</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从四季度投资角度看，我们仍然关注中长期成长空间较好，业绩增长确定性较高的板块。一方面关注中期受疫情影响小、与经济</w:t>
      </w:r>
      <w:r>
        <w:rPr>
          <w:rFonts w:eastAsiaTheme="minorEastAsia"/>
          <w:color w:val="000000" w:themeColor="text1"/>
          <w:szCs w:val="21"/>
        </w:rPr>
        <w:t>相关性较弱板块，主要为大安全领域，军工板块、信息安全有着内生自主安全的需求，且受宏观经济影响较小。另一方面，随着疫情政策的放开，我们开始关注</w:t>
      </w:r>
      <w:r>
        <w:rPr>
          <w:rFonts w:eastAsiaTheme="minorEastAsia"/>
          <w:color w:val="000000" w:themeColor="text1"/>
          <w:szCs w:val="21"/>
        </w:rPr>
        <w:t>2023</w:t>
      </w:r>
      <w:r>
        <w:rPr>
          <w:rFonts w:eastAsiaTheme="minorEastAsia"/>
          <w:color w:val="000000" w:themeColor="text1"/>
          <w:szCs w:val="21"/>
        </w:rPr>
        <w:t>年随着经济活动正常化之后有望修复的板块，如成本下行后有望加速装机的光伏，</w:t>
      </w:r>
      <w:r>
        <w:rPr>
          <w:rFonts w:eastAsiaTheme="minorEastAsia"/>
          <w:color w:val="000000" w:themeColor="text1"/>
          <w:szCs w:val="21"/>
        </w:rPr>
        <w:t>2022</w:t>
      </w:r>
      <w:r>
        <w:rPr>
          <w:rFonts w:eastAsiaTheme="minorEastAsia"/>
          <w:color w:val="000000" w:themeColor="text1"/>
          <w:szCs w:val="21"/>
        </w:rPr>
        <w:t>年受各方面因素装机延缓的风电等，在制造业，重点关注库存偏低、需求有望恢复的机械板块，其中国产替代正在推进中的刀具、机床、通用自动化等领域，有望穿越行业周期获得持续增长。在居民需求端，我们关注相对可选消费更为刚性的医疗需求，如医疗活动正常化之后有望修复的麻醉药需求、零售端消费属性的辅助</w:t>
      </w:r>
      <w:r>
        <w:rPr>
          <w:rFonts w:eastAsiaTheme="minorEastAsia"/>
          <w:color w:val="000000" w:themeColor="text1"/>
          <w:szCs w:val="21"/>
        </w:rPr>
        <w:t>药物等。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w:t>
      </w:r>
      <w:r w:rsidRPr="00B27A29">
        <w:rPr>
          <w:rFonts w:eastAsiaTheme="minorEastAsia"/>
          <w:color w:val="000000" w:themeColor="text1"/>
          <w:szCs w:val="21"/>
        </w:rPr>
        <w:t>2023</w:t>
      </w:r>
      <w:r w:rsidRPr="00B27A29">
        <w:rPr>
          <w:rFonts w:eastAsiaTheme="minorEastAsia"/>
          <w:color w:val="000000" w:themeColor="text1"/>
          <w:szCs w:val="21"/>
        </w:rPr>
        <w:t>年将会更多关注经济、社会活动修复背景下的投资线索，尽管总需求仍可能有波动，如海外需求还存在不确定性，但国内生产生活的正常化，将会推动产业链条运行更为顺畅，重点关注具有内生经济价值和长期成长空间的行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本报告期上投摩根核心优选混合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:-6.12%</w:t>
      </w:r>
      <w:r>
        <w:rPr>
          <w:rFonts w:eastAsiaTheme="minorEastAsia"/>
          <w:color w:val="000000" w:themeColor="text1"/>
          <w:szCs w:val="21"/>
        </w:rPr>
        <w:t>，同期业绩比较基准收益率为</w:t>
      </w:r>
      <w:r>
        <w:rPr>
          <w:rFonts w:eastAsiaTheme="minorEastAsia"/>
          <w:color w:val="000000" w:themeColor="text1"/>
          <w:szCs w:val="21"/>
        </w:rPr>
        <w:t>:1.54%,</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:-6.26%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:1.54%</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578,044,898.04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578,044,898.04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175,464,654.03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2,618,268.24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756,127,820.31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449,843,156.32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12,972,414.23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100,235,292.49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14,994,035.00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578,044,898.04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77.24</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F02A0">
        <w:tc>
          <w:tcPr>
            <w:tcW w:w="817" w:type="dxa"/>
            <w:vAlign w:val="center"/>
          </w:tcPr>
          <w:p w:rsidR="002F02A0" w:rsidRDefault="009B3070">
            <w:pPr>
              <w:jc w:val="center"/>
            </w:pPr>
            <w:r>
              <w:rPr>
                <w:rFonts w:eastAsiaTheme="minorEastAsia"/>
                <w:kern w:val="0"/>
                <w:szCs w:val="21"/>
              </w:rPr>
              <w:t>1</w:t>
            </w:r>
          </w:p>
        </w:tc>
        <w:tc>
          <w:tcPr>
            <w:tcW w:w="1276" w:type="dxa"/>
            <w:vAlign w:val="center"/>
          </w:tcPr>
          <w:p w:rsidR="002F02A0" w:rsidRDefault="009B3070">
            <w:pPr>
              <w:jc w:val="center"/>
            </w:pPr>
            <w:r>
              <w:rPr>
                <w:rFonts w:eastAsiaTheme="minorEastAsia"/>
                <w:kern w:val="0"/>
                <w:szCs w:val="21"/>
              </w:rPr>
              <w:t>300274</w:t>
            </w:r>
          </w:p>
        </w:tc>
        <w:tc>
          <w:tcPr>
            <w:tcW w:w="1701" w:type="dxa"/>
            <w:vAlign w:val="center"/>
          </w:tcPr>
          <w:p w:rsidR="002F02A0" w:rsidRDefault="009B3070">
            <w:pPr>
              <w:jc w:val="center"/>
            </w:pPr>
            <w:r>
              <w:rPr>
                <w:rFonts w:eastAsiaTheme="minorEastAsia"/>
                <w:kern w:val="0"/>
                <w:szCs w:val="21"/>
              </w:rPr>
              <w:t>阳光电源</w:t>
            </w:r>
          </w:p>
        </w:tc>
        <w:tc>
          <w:tcPr>
            <w:tcW w:w="1276" w:type="dxa"/>
            <w:vAlign w:val="center"/>
          </w:tcPr>
          <w:p w:rsidR="002F02A0" w:rsidRDefault="009B3070">
            <w:pPr>
              <w:jc w:val="right"/>
            </w:pPr>
            <w:r>
              <w:rPr>
                <w:rFonts w:eastAsiaTheme="minorEastAsia"/>
                <w:kern w:val="0"/>
                <w:szCs w:val="21"/>
              </w:rPr>
              <w:t>245,923</w:t>
            </w:r>
          </w:p>
        </w:tc>
        <w:tc>
          <w:tcPr>
            <w:tcW w:w="1842" w:type="dxa"/>
            <w:vAlign w:val="center"/>
          </w:tcPr>
          <w:p w:rsidR="002F02A0" w:rsidRDefault="009B3070">
            <w:pPr>
              <w:jc w:val="right"/>
            </w:pPr>
            <w:r>
              <w:rPr>
                <w:rFonts w:eastAsiaTheme="minorEastAsia"/>
                <w:kern w:val="0"/>
                <w:szCs w:val="21"/>
              </w:rPr>
              <w:t>27,494,191.40</w:t>
            </w:r>
          </w:p>
        </w:tc>
        <w:tc>
          <w:tcPr>
            <w:tcW w:w="1616" w:type="dxa"/>
            <w:vAlign w:val="center"/>
          </w:tcPr>
          <w:p w:rsidR="002F02A0" w:rsidRDefault="009B3070">
            <w:pPr>
              <w:jc w:val="right"/>
            </w:pPr>
            <w:r>
              <w:rPr>
                <w:rFonts w:eastAsiaTheme="minorEastAsia"/>
                <w:kern w:val="0"/>
                <w:szCs w:val="21"/>
              </w:rPr>
              <w:t>3.67</w:t>
            </w:r>
          </w:p>
        </w:tc>
      </w:tr>
      <w:tr w:rsidR="002F02A0">
        <w:tc>
          <w:tcPr>
            <w:tcW w:w="817" w:type="dxa"/>
            <w:vAlign w:val="center"/>
          </w:tcPr>
          <w:p w:rsidR="002F02A0" w:rsidRDefault="009B3070">
            <w:pPr>
              <w:jc w:val="center"/>
            </w:pPr>
            <w:r>
              <w:rPr>
                <w:rFonts w:eastAsiaTheme="minorEastAsia"/>
                <w:kern w:val="0"/>
                <w:szCs w:val="21"/>
              </w:rPr>
              <w:t>2</w:t>
            </w:r>
          </w:p>
        </w:tc>
        <w:tc>
          <w:tcPr>
            <w:tcW w:w="1276" w:type="dxa"/>
            <w:vAlign w:val="center"/>
          </w:tcPr>
          <w:p w:rsidR="002F02A0" w:rsidRDefault="009B3070">
            <w:pPr>
              <w:jc w:val="center"/>
            </w:pPr>
            <w:r>
              <w:rPr>
                <w:rFonts w:eastAsiaTheme="minorEastAsia"/>
                <w:kern w:val="0"/>
                <w:szCs w:val="21"/>
              </w:rPr>
              <w:t>002180</w:t>
            </w:r>
          </w:p>
        </w:tc>
        <w:tc>
          <w:tcPr>
            <w:tcW w:w="1701" w:type="dxa"/>
            <w:vAlign w:val="center"/>
          </w:tcPr>
          <w:p w:rsidR="002F02A0" w:rsidRDefault="009B3070">
            <w:pPr>
              <w:jc w:val="center"/>
            </w:pPr>
            <w:r>
              <w:rPr>
                <w:rFonts w:eastAsiaTheme="minorEastAsia"/>
                <w:kern w:val="0"/>
                <w:szCs w:val="21"/>
              </w:rPr>
              <w:t>纳思达</w:t>
            </w:r>
          </w:p>
        </w:tc>
        <w:tc>
          <w:tcPr>
            <w:tcW w:w="1276" w:type="dxa"/>
            <w:vAlign w:val="center"/>
          </w:tcPr>
          <w:p w:rsidR="002F02A0" w:rsidRDefault="009B3070">
            <w:pPr>
              <w:jc w:val="right"/>
            </w:pPr>
            <w:r>
              <w:rPr>
                <w:rFonts w:eastAsiaTheme="minorEastAsia"/>
                <w:kern w:val="0"/>
                <w:szCs w:val="21"/>
              </w:rPr>
              <w:t>495,628</w:t>
            </w:r>
          </w:p>
        </w:tc>
        <w:tc>
          <w:tcPr>
            <w:tcW w:w="1842" w:type="dxa"/>
            <w:vAlign w:val="center"/>
          </w:tcPr>
          <w:p w:rsidR="002F02A0" w:rsidRDefault="009B3070">
            <w:pPr>
              <w:jc w:val="right"/>
            </w:pPr>
            <w:r>
              <w:rPr>
                <w:rFonts w:eastAsiaTheme="minorEastAsia"/>
                <w:kern w:val="0"/>
                <w:szCs w:val="21"/>
              </w:rPr>
              <w:t>25,718,136.92</w:t>
            </w:r>
          </w:p>
        </w:tc>
        <w:tc>
          <w:tcPr>
            <w:tcW w:w="1616" w:type="dxa"/>
            <w:vAlign w:val="center"/>
          </w:tcPr>
          <w:p w:rsidR="002F02A0" w:rsidRDefault="009B3070">
            <w:pPr>
              <w:jc w:val="right"/>
            </w:pPr>
            <w:r>
              <w:rPr>
                <w:rFonts w:eastAsiaTheme="minorEastAsia"/>
                <w:kern w:val="0"/>
                <w:szCs w:val="21"/>
              </w:rPr>
              <w:t>3.44</w:t>
            </w:r>
          </w:p>
        </w:tc>
      </w:tr>
      <w:tr w:rsidR="002F02A0">
        <w:tc>
          <w:tcPr>
            <w:tcW w:w="817" w:type="dxa"/>
            <w:vAlign w:val="center"/>
          </w:tcPr>
          <w:p w:rsidR="002F02A0" w:rsidRDefault="009B3070">
            <w:pPr>
              <w:jc w:val="center"/>
            </w:pPr>
            <w:r>
              <w:rPr>
                <w:rFonts w:eastAsiaTheme="minorEastAsia"/>
                <w:kern w:val="0"/>
                <w:szCs w:val="21"/>
              </w:rPr>
              <w:t>3</w:t>
            </w:r>
          </w:p>
        </w:tc>
        <w:tc>
          <w:tcPr>
            <w:tcW w:w="1276" w:type="dxa"/>
            <w:vAlign w:val="center"/>
          </w:tcPr>
          <w:p w:rsidR="002F02A0" w:rsidRDefault="009B3070">
            <w:pPr>
              <w:jc w:val="center"/>
            </w:pPr>
            <w:r>
              <w:rPr>
                <w:rFonts w:eastAsiaTheme="minorEastAsia"/>
                <w:kern w:val="0"/>
                <w:szCs w:val="21"/>
              </w:rPr>
              <w:t>600079</w:t>
            </w:r>
          </w:p>
        </w:tc>
        <w:tc>
          <w:tcPr>
            <w:tcW w:w="1701" w:type="dxa"/>
            <w:vAlign w:val="center"/>
          </w:tcPr>
          <w:p w:rsidR="002F02A0" w:rsidRDefault="009B3070">
            <w:pPr>
              <w:jc w:val="center"/>
            </w:pPr>
            <w:r>
              <w:rPr>
                <w:rFonts w:eastAsiaTheme="minorEastAsia"/>
                <w:kern w:val="0"/>
                <w:szCs w:val="21"/>
              </w:rPr>
              <w:t>人福医药</w:t>
            </w:r>
          </w:p>
        </w:tc>
        <w:tc>
          <w:tcPr>
            <w:tcW w:w="1276" w:type="dxa"/>
            <w:vAlign w:val="center"/>
          </w:tcPr>
          <w:p w:rsidR="002F02A0" w:rsidRDefault="009B3070">
            <w:pPr>
              <w:jc w:val="right"/>
            </w:pPr>
            <w:r>
              <w:rPr>
                <w:rFonts w:eastAsiaTheme="minorEastAsia"/>
                <w:kern w:val="0"/>
                <w:szCs w:val="21"/>
              </w:rPr>
              <w:t>1,014,400</w:t>
            </w:r>
          </w:p>
        </w:tc>
        <w:tc>
          <w:tcPr>
            <w:tcW w:w="1842" w:type="dxa"/>
            <w:vAlign w:val="center"/>
          </w:tcPr>
          <w:p w:rsidR="002F02A0" w:rsidRDefault="009B3070">
            <w:pPr>
              <w:jc w:val="right"/>
            </w:pPr>
            <w:r>
              <w:rPr>
                <w:rFonts w:eastAsiaTheme="minorEastAsia"/>
                <w:kern w:val="0"/>
                <w:szCs w:val="21"/>
              </w:rPr>
              <w:t>24,234,016.00</w:t>
            </w:r>
          </w:p>
        </w:tc>
        <w:tc>
          <w:tcPr>
            <w:tcW w:w="1616" w:type="dxa"/>
            <w:vAlign w:val="center"/>
          </w:tcPr>
          <w:p w:rsidR="002F02A0" w:rsidRDefault="009B3070">
            <w:pPr>
              <w:jc w:val="right"/>
            </w:pPr>
            <w:r>
              <w:rPr>
                <w:rFonts w:eastAsiaTheme="minorEastAsia"/>
                <w:kern w:val="0"/>
                <w:szCs w:val="21"/>
              </w:rPr>
              <w:t>3.24</w:t>
            </w:r>
          </w:p>
        </w:tc>
      </w:tr>
      <w:tr w:rsidR="002F02A0">
        <w:tc>
          <w:tcPr>
            <w:tcW w:w="817" w:type="dxa"/>
            <w:vAlign w:val="center"/>
          </w:tcPr>
          <w:p w:rsidR="002F02A0" w:rsidRDefault="009B3070">
            <w:pPr>
              <w:jc w:val="center"/>
            </w:pPr>
            <w:r>
              <w:rPr>
                <w:rFonts w:eastAsiaTheme="minorEastAsia"/>
                <w:kern w:val="0"/>
                <w:szCs w:val="21"/>
              </w:rPr>
              <w:t>4</w:t>
            </w:r>
          </w:p>
        </w:tc>
        <w:tc>
          <w:tcPr>
            <w:tcW w:w="1276" w:type="dxa"/>
            <w:vAlign w:val="center"/>
          </w:tcPr>
          <w:p w:rsidR="002F02A0" w:rsidRDefault="009B3070">
            <w:pPr>
              <w:jc w:val="center"/>
            </w:pPr>
            <w:r>
              <w:rPr>
                <w:rFonts w:eastAsiaTheme="minorEastAsia"/>
                <w:kern w:val="0"/>
                <w:szCs w:val="21"/>
              </w:rPr>
              <w:t>002063</w:t>
            </w:r>
          </w:p>
        </w:tc>
        <w:tc>
          <w:tcPr>
            <w:tcW w:w="1701" w:type="dxa"/>
            <w:vAlign w:val="center"/>
          </w:tcPr>
          <w:p w:rsidR="002F02A0" w:rsidRDefault="009B3070">
            <w:pPr>
              <w:jc w:val="center"/>
            </w:pPr>
            <w:r>
              <w:rPr>
                <w:rFonts w:eastAsiaTheme="minorEastAsia"/>
                <w:kern w:val="0"/>
                <w:szCs w:val="21"/>
              </w:rPr>
              <w:t>远光软件</w:t>
            </w:r>
          </w:p>
        </w:tc>
        <w:tc>
          <w:tcPr>
            <w:tcW w:w="1276" w:type="dxa"/>
            <w:vAlign w:val="center"/>
          </w:tcPr>
          <w:p w:rsidR="002F02A0" w:rsidRDefault="009B3070">
            <w:pPr>
              <w:jc w:val="right"/>
            </w:pPr>
            <w:r>
              <w:rPr>
                <w:rFonts w:eastAsiaTheme="minorEastAsia"/>
                <w:kern w:val="0"/>
                <w:szCs w:val="21"/>
              </w:rPr>
              <w:t>2,751,580</w:t>
            </w:r>
          </w:p>
        </w:tc>
        <w:tc>
          <w:tcPr>
            <w:tcW w:w="1842" w:type="dxa"/>
            <w:vAlign w:val="center"/>
          </w:tcPr>
          <w:p w:rsidR="002F02A0" w:rsidRDefault="009B3070">
            <w:pPr>
              <w:jc w:val="right"/>
            </w:pPr>
            <w:r>
              <w:rPr>
                <w:rFonts w:eastAsiaTheme="minorEastAsia"/>
                <w:kern w:val="0"/>
                <w:szCs w:val="21"/>
              </w:rPr>
              <w:t>20,884,492.20</w:t>
            </w:r>
          </w:p>
        </w:tc>
        <w:tc>
          <w:tcPr>
            <w:tcW w:w="1616" w:type="dxa"/>
            <w:vAlign w:val="center"/>
          </w:tcPr>
          <w:p w:rsidR="002F02A0" w:rsidRDefault="009B3070">
            <w:pPr>
              <w:jc w:val="right"/>
            </w:pPr>
            <w:r>
              <w:rPr>
                <w:rFonts w:eastAsiaTheme="minorEastAsia"/>
                <w:kern w:val="0"/>
                <w:szCs w:val="21"/>
              </w:rPr>
              <w:t>2.79</w:t>
            </w:r>
          </w:p>
        </w:tc>
      </w:tr>
      <w:tr w:rsidR="002F02A0">
        <w:tc>
          <w:tcPr>
            <w:tcW w:w="817" w:type="dxa"/>
            <w:vAlign w:val="center"/>
          </w:tcPr>
          <w:p w:rsidR="002F02A0" w:rsidRDefault="009B3070">
            <w:pPr>
              <w:jc w:val="center"/>
            </w:pPr>
            <w:r>
              <w:rPr>
                <w:rFonts w:eastAsiaTheme="minorEastAsia"/>
                <w:kern w:val="0"/>
                <w:szCs w:val="21"/>
              </w:rPr>
              <w:t>5</w:t>
            </w:r>
          </w:p>
        </w:tc>
        <w:tc>
          <w:tcPr>
            <w:tcW w:w="1276" w:type="dxa"/>
            <w:vAlign w:val="center"/>
          </w:tcPr>
          <w:p w:rsidR="002F02A0" w:rsidRDefault="009B3070">
            <w:pPr>
              <w:jc w:val="center"/>
            </w:pPr>
            <w:r>
              <w:rPr>
                <w:rFonts w:eastAsiaTheme="minorEastAsia"/>
                <w:kern w:val="0"/>
                <w:szCs w:val="21"/>
              </w:rPr>
              <w:t>603345</w:t>
            </w:r>
          </w:p>
        </w:tc>
        <w:tc>
          <w:tcPr>
            <w:tcW w:w="1701" w:type="dxa"/>
            <w:vAlign w:val="center"/>
          </w:tcPr>
          <w:p w:rsidR="002F02A0" w:rsidRDefault="009B3070">
            <w:pPr>
              <w:jc w:val="center"/>
            </w:pPr>
            <w:r>
              <w:rPr>
                <w:rFonts w:eastAsiaTheme="minorEastAsia"/>
                <w:kern w:val="0"/>
                <w:szCs w:val="21"/>
              </w:rPr>
              <w:t>安井食品</w:t>
            </w:r>
          </w:p>
        </w:tc>
        <w:tc>
          <w:tcPr>
            <w:tcW w:w="1276" w:type="dxa"/>
            <w:vAlign w:val="center"/>
          </w:tcPr>
          <w:p w:rsidR="002F02A0" w:rsidRDefault="009B3070">
            <w:pPr>
              <w:jc w:val="right"/>
            </w:pPr>
            <w:r>
              <w:rPr>
                <w:rFonts w:eastAsiaTheme="minorEastAsia"/>
                <w:kern w:val="0"/>
                <w:szCs w:val="21"/>
              </w:rPr>
              <w:t>125,778</w:t>
            </w:r>
          </w:p>
        </w:tc>
        <w:tc>
          <w:tcPr>
            <w:tcW w:w="1842" w:type="dxa"/>
            <w:vAlign w:val="center"/>
          </w:tcPr>
          <w:p w:rsidR="002F02A0" w:rsidRDefault="009B3070">
            <w:pPr>
              <w:jc w:val="right"/>
            </w:pPr>
            <w:r>
              <w:rPr>
                <w:rFonts w:eastAsiaTheme="minorEastAsia"/>
                <w:kern w:val="0"/>
                <w:szCs w:val="21"/>
              </w:rPr>
              <w:t>20,360,942.64</w:t>
            </w:r>
          </w:p>
        </w:tc>
        <w:tc>
          <w:tcPr>
            <w:tcW w:w="1616" w:type="dxa"/>
            <w:vAlign w:val="center"/>
          </w:tcPr>
          <w:p w:rsidR="002F02A0" w:rsidRDefault="009B3070">
            <w:pPr>
              <w:jc w:val="right"/>
            </w:pPr>
            <w:r>
              <w:rPr>
                <w:rFonts w:eastAsiaTheme="minorEastAsia"/>
                <w:kern w:val="0"/>
                <w:szCs w:val="21"/>
              </w:rPr>
              <w:t>2.72</w:t>
            </w:r>
          </w:p>
        </w:tc>
      </w:tr>
      <w:tr w:rsidR="002F02A0">
        <w:tc>
          <w:tcPr>
            <w:tcW w:w="817" w:type="dxa"/>
            <w:vAlign w:val="center"/>
          </w:tcPr>
          <w:p w:rsidR="002F02A0" w:rsidRDefault="009B3070">
            <w:pPr>
              <w:jc w:val="center"/>
            </w:pPr>
            <w:r>
              <w:rPr>
                <w:rFonts w:eastAsiaTheme="minorEastAsia"/>
                <w:kern w:val="0"/>
                <w:szCs w:val="21"/>
              </w:rPr>
              <w:t>6</w:t>
            </w:r>
          </w:p>
        </w:tc>
        <w:tc>
          <w:tcPr>
            <w:tcW w:w="1276" w:type="dxa"/>
            <w:vAlign w:val="center"/>
          </w:tcPr>
          <w:p w:rsidR="002F02A0" w:rsidRDefault="009B3070">
            <w:pPr>
              <w:jc w:val="center"/>
            </w:pPr>
            <w:r>
              <w:rPr>
                <w:rFonts w:eastAsiaTheme="minorEastAsia"/>
                <w:kern w:val="0"/>
                <w:szCs w:val="21"/>
              </w:rPr>
              <w:t>000733</w:t>
            </w:r>
          </w:p>
        </w:tc>
        <w:tc>
          <w:tcPr>
            <w:tcW w:w="1701" w:type="dxa"/>
            <w:vAlign w:val="center"/>
          </w:tcPr>
          <w:p w:rsidR="002F02A0" w:rsidRDefault="009B3070">
            <w:pPr>
              <w:jc w:val="center"/>
            </w:pPr>
            <w:r>
              <w:rPr>
                <w:rFonts w:eastAsiaTheme="minorEastAsia"/>
                <w:kern w:val="0"/>
                <w:szCs w:val="21"/>
              </w:rPr>
              <w:t>振华科技</w:t>
            </w:r>
          </w:p>
        </w:tc>
        <w:tc>
          <w:tcPr>
            <w:tcW w:w="1276" w:type="dxa"/>
            <w:vAlign w:val="center"/>
          </w:tcPr>
          <w:p w:rsidR="002F02A0" w:rsidRDefault="009B3070">
            <w:pPr>
              <w:jc w:val="right"/>
            </w:pPr>
            <w:r>
              <w:rPr>
                <w:rFonts w:eastAsiaTheme="minorEastAsia"/>
                <w:kern w:val="0"/>
                <w:szCs w:val="21"/>
              </w:rPr>
              <w:t>170,833</w:t>
            </w:r>
          </w:p>
        </w:tc>
        <w:tc>
          <w:tcPr>
            <w:tcW w:w="1842" w:type="dxa"/>
            <w:vAlign w:val="center"/>
          </w:tcPr>
          <w:p w:rsidR="002F02A0" w:rsidRDefault="009B3070">
            <w:pPr>
              <w:jc w:val="right"/>
            </w:pPr>
            <w:r>
              <w:rPr>
                <w:rFonts w:eastAsiaTheme="minorEastAsia"/>
                <w:kern w:val="0"/>
                <w:szCs w:val="21"/>
              </w:rPr>
              <w:t>19,514,253.59</w:t>
            </w:r>
          </w:p>
        </w:tc>
        <w:tc>
          <w:tcPr>
            <w:tcW w:w="1616" w:type="dxa"/>
            <w:vAlign w:val="center"/>
          </w:tcPr>
          <w:p w:rsidR="002F02A0" w:rsidRDefault="009B3070">
            <w:pPr>
              <w:jc w:val="right"/>
            </w:pPr>
            <w:r>
              <w:rPr>
                <w:rFonts w:eastAsiaTheme="minorEastAsia"/>
                <w:kern w:val="0"/>
                <w:szCs w:val="21"/>
              </w:rPr>
              <w:t>2.61</w:t>
            </w:r>
          </w:p>
        </w:tc>
      </w:tr>
      <w:tr w:rsidR="002F02A0">
        <w:tc>
          <w:tcPr>
            <w:tcW w:w="817" w:type="dxa"/>
            <w:vAlign w:val="center"/>
          </w:tcPr>
          <w:p w:rsidR="002F02A0" w:rsidRDefault="009B3070">
            <w:pPr>
              <w:jc w:val="center"/>
            </w:pPr>
            <w:r>
              <w:rPr>
                <w:rFonts w:eastAsiaTheme="minorEastAsia"/>
                <w:kern w:val="0"/>
                <w:szCs w:val="21"/>
              </w:rPr>
              <w:t>7</w:t>
            </w:r>
          </w:p>
        </w:tc>
        <w:tc>
          <w:tcPr>
            <w:tcW w:w="1276" w:type="dxa"/>
            <w:vAlign w:val="center"/>
          </w:tcPr>
          <w:p w:rsidR="002F02A0" w:rsidRDefault="009B3070">
            <w:pPr>
              <w:jc w:val="center"/>
            </w:pPr>
            <w:r>
              <w:rPr>
                <w:rFonts w:eastAsiaTheme="minorEastAsia"/>
                <w:kern w:val="0"/>
                <w:szCs w:val="21"/>
              </w:rPr>
              <w:t>600536</w:t>
            </w:r>
          </w:p>
        </w:tc>
        <w:tc>
          <w:tcPr>
            <w:tcW w:w="1701" w:type="dxa"/>
            <w:vAlign w:val="center"/>
          </w:tcPr>
          <w:p w:rsidR="002F02A0" w:rsidRDefault="009B3070">
            <w:pPr>
              <w:jc w:val="center"/>
            </w:pPr>
            <w:r>
              <w:rPr>
                <w:rFonts w:eastAsiaTheme="minorEastAsia"/>
                <w:kern w:val="0"/>
                <w:szCs w:val="21"/>
              </w:rPr>
              <w:t>中国软件</w:t>
            </w:r>
          </w:p>
        </w:tc>
        <w:tc>
          <w:tcPr>
            <w:tcW w:w="1276" w:type="dxa"/>
            <w:vAlign w:val="center"/>
          </w:tcPr>
          <w:p w:rsidR="002F02A0" w:rsidRDefault="009B3070">
            <w:pPr>
              <w:jc w:val="right"/>
            </w:pPr>
            <w:r>
              <w:rPr>
                <w:rFonts w:eastAsiaTheme="minorEastAsia"/>
                <w:kern w:val="0"/>
                <w:szCs w:val="21"/>
              </w:rPr>
              <w:t>323,000</w:t>
            </w:r>
          </w:p>
        </w:tc>
        <w:tc>
          <w:tcPr>
            <w:tcW w:w="1842" w:type="dxa"/>
            <w:vAlign w:val="center"/>
          </w:tcPr>
          <w:p w:rsidR="002F02A0" w:rsidRDefault="009B3070">
            <w:pPr>
              <w:jc w:val="right"/>
            </w:pPr>
            <w:r>
              <w:rPr>
                <w:rFonts w:eastAsiaTheme="minorEastAsia"/>
                <w:kern w:val="0"/>
                <w:szCs w:val="21"/>
              </w:rPr>
              <w:t>18,840,590.00</w:t>
            </w:r>
          </w:p>
        </w:tc>
        <w:tc>
          <w:tcPr>
            <w:tcW w:w="1616" w:type="dxa"/>
            <w:vAlign w:val="center"/>
          </w:tcPr>
          <w:p w:rsidR="002F02A0" w:rsidRDefault="009B3070">
            <w:pPr>
              <w:jc w:val="right"/>
            </w:pPr>
            <w:r>
              <w:rPr>
                <w:rFonts w:eastAsiaTheme="minorEastAsia"/>
                <w:kern w:val="0"/>
                <w:szCs w:val="21"/>
              </w:rPr>
              <w:t>2.52</w:t>
            </w:r>
          </w:p>
        </w:tc>
      </w:tr>
      <w:tr w:rsidR="002F02A0">
        <w:tc>
          <w:tcPr>
            <w:tcW w:w="817" w:type="dxa"/>
            <w:vAlign w:val="center"/>
          </w:tcPr>
          <w:p w:rsidR="002F02A0" w:rsidRDefault="009B3070">
            <w:pPr>
              <w:jc w:val="center"/>
            </w:pPr>
            <w:r>
              <w:rPr>
                <w:rFonts w:eastAsiaTheme="minorEastAsia"/>
                <w:kern w:val="0"/>
                <w:szCs w:val="21"/>
              </w:rPr>
              <w:t>8</w:t>
            </w:r>
          </w:p>
        </w:tc>
        <w:tc>
          <w:tcPr>
            <w:tcW w:w="1276" w:type="dxa"/>
            <w:vAlign w:val="center"/>
          </w:tcPr>
          <w:p w:rsidR="002F02A0" w:rsidRDefault="009B3070">
            <w:pPr>
              <w:jc w:val="center"/>
            </w:pPr>
            <w:r>
              <w:rPr>
                <w:rFonts w:eastAsiaTheme="minorEastAsia"/>
                <w:kern w:val="0"/>
                <w:szCs w:val="21"/>
              </w:rPr>
              <w:t>600765</w:t>
            </w:r>
          </w:p>
        </w:tc>
        <w:tc>
          <w:tcPr>
            <w:tcW w:w="1701" w:type="dxa"/>
            <w:vAlign w:val="center"/>
          </w:tcPr>
          <w:p w:rsidR="002F02A0" w:rsidRDefault="009B3070">
            <w:pPr>
              <w:jc w:val="center"/>
            </w:pPr>
            <w:r>
              <w:rPr>
                <w:rFonts w:eastAsiaTheme="minorEastAsia"/>
                <w:kern w:val="0"/>
                <w:szCs w:val="21"/>
              </w:rPr>
              <w:t>中航重机</w:t>
            </w:r>
          </w:p>
        </w:tc>
        <w:tc>
          <w:tcPr>
            <w:tcW w:w="1276" w:type="dxa"/>
            <w:vAlign w:val="center"/>
          </w:tcPr>
          <w:p w:rsidR="002F02A0" w:rsidRDefault="009B3070">
            <w:pPr>
              <w:jc w:val="right"/>
            </w:pPr>
            <w:r>
              <w:rPr>
                <w:rFonts w:eastAsiaTheme="minorEastAsia"/>
                <w:kern w:val="0"/>
                <w:szCs w:val="21"/>
              </w:rPr>
              <w:t>580,865</w:t>
            </w:r>
          </w:p>
        </w:tc>
        <w:tc>
          <w:tcPr>
            <w:tcW w:w="1842" w:type="dxa"/>
            <w:vAlign w:val="center"/>
          </w:tcPr>
          <w:p w:rsidR="002F02A0" w:rsidRDefault="009B3070">
            <w:pPr>
              <w:jc w:val="right"/>
            </w:pPr>
            <w:r>
              <w:rPr>
                <w:rFonts w:eastAsiaTheme="minorEastAsia"/>
                <w:kern w:val="0"/>
                <w:szCs w:val="21"/>
              </w:rPr>
              <w:t>18,059,092.85</w:t>
            </w:r>
          </w:p>
        </w:tc>
        <w:tc>
          <w:tcPr>
            <w:tcW w:w="1616" w:type="dxa"/>
            <w:vAlign w:val="center"/>
          </w:tcPr>
          <w:p w:rsidR="002F02A0" w:rsidRDefault="009B3070">
            <w:pPr>
              <w:jc w:val="right"/>
            </w:pPr>
            <w:r>
              <w:rPr>
                <w:rFonts w:eastAsiaTheme="minorEastAsia"/>
                <w:kern w:val="0"/>
                <w:szCs w:val="21"/>
              </w:rPr>
              <w:t>2.41</w:t>
            </w:r>
          </w:p>
        </w:tc>
      </w:tr>
      <w:tr w:rsidR="002F02A0">
        <w:tc>
          <w:tcPr>
            <w:tcW w:w="817" w:type="dxa"/>
            <w:vAlign w:val="center"/>
          </w:tcPr>
          <w:p w:rsidR="002F02A0" w:rsidRDefault="009B3070">
            <w:pPr>
              <w:jc w:val="center"/>
            </w:pPr>
            <w:r>
              <w:rPr>
                <w:rFonts w:eastAsiaTheme="minorEastAsia"/>
                <w:kern w:val="0"/>
                <w:szCs w:val="21"/>
              </w:rPr>
              <w:t>9</w:t>
            </w:r>
          </w:p>
        </w:tc>
        <w:tc>
          <w:tcPr>
            <w:tcW w:w="1276" w:type="dxa"/>
            <w:vAlign w:val="center"/>
          </w:tcPr>
          <w:p w:rsidR="002F02A0" w:rsidRDefault="009B3070">
            <w:pPr>
              <w:jc w:val="center"/>
            </w:pPr>
            <w:r>
              <w:rPr>
                <w:rFonts w:eastAsiaTheme="minorEastAsia"/>
                <w:kern w:val="0"/>
                <w:szCs w:val="21"/>
              </w:rPr>
              <w:t>000915</w:t>
            </w:r>
          </w:p>
        </w:tc>
        <w:tc>
          <w:tcPr>
            <w:tcW w:w="1701" w:type="dxa"/>
            <w:vAlign w:val="center"/>
          </w:tcPr>
          <w:p w:rsidR="002F02A0" w:rsidRDefault="009B3070">
            <w:pPr>
              <w:jc w:val="center"/>
            </w:pPr>
            <w:r>
              <w:rPr>
                <w:rFonts w:eastAsiaTheme="minorEastAsia"/>
                <w:kern w:val="0"/>
                <w:szCs w:val="21"/>
              </w:rPr>
              <w:t>华特达因</w:t>
            </w:r>
          </w:p>
        </w:tc>
        <w:tc>
          <w:tcPr>
            <w:tcW w:w="1276" w:type="dxa"/>
            <w:vAlign w:val="center"/>
          </w:tcPr>
          <w:p w:rsidR="002F02A0" w:rsidRDefault="009B3070">
            <w:pPr>
              <w:jc w:val="right"/>
            </w:pPr>
            <w:r>
              <w:rPr>
                <w:rFonts w:eastAsiaTheme="minorEastAsia"/>
                <w:kern w:val="0"/>
                <w:szCs w:val="21"/>
              </w:rPr>
              <w:t>388,759</w:t>
            </w:r>
          </w:p>
        </w:tc>
        <w:tc>
          <w:tcPr>
            <w:tcW w:w="1842" w:type="dxa"/>
            <w:vAlign w:val="center"/>
          </w:tcPr>
          <w:p w:rsidR="002F02A0" w:rsidRDefault="009B3070">
            <w:pPr>
              <w:jc w:val="right"/>
            </w:pPr>
            <w:r>
              <w:rPr>
                <w:rFonts w:eastAsiaTheme="minorEastAsia"/>
                <w:kern w:val="0"/>
                <w:szCs w:val="21"/>
              </w:rPr>
              <w:t>17,688,534.50</w:t>
            </w:r>
          </w:p>
        </w:tc>
        <w:tc>
          <w:tcPr>
            <w:tcW w:w="1616" w:type="dxa"/>
            <w:vAlign w:val="center"/>
          </w:tcPr>
          <w:p w:rsidR="002F02A0" w:rsidRDefault="009B3070">
            <w:pPr>
              <w:jc w:val="right"/>
            </w:pPr>
            <w:r>
              <w:rPr>
                <w:rFonts w:eastAsiaTheme="minorEastAsia"/>
                <w:kern w:val="0"/>
                <w:szCs w:val="21"/>
              </w:rPr>
              <w:t>2.36</w:t>
            </w:r>
          </w:p>
        </w:tc>
      </w:tr>
      <w:tr w:rsidR="002F02A0">
        <w:tc>
          <w:tcPr>
            <w:tcW w:w="817" w:type="dxa"/>
            <w:vAlign w:val="center"/>
          </w:tcPr>
          <w:p w:rsidR="002F02A0" w:rsidRDefault="009B3070">
            <w:pPr>
              <w:jc w:val="center"/>
            </w:pPr>
            <w:r>
              <w:rPr>
                <w:rFonts w:eastAsiaTheme="minorEastAsia"/>
                <w:kern w:val="0"/>
                <w:szCs w:val="21"/>
              </w:rPr>
              <w:t>10</w:t>
            </w:r>
          </w:p>
        </w:tc>
        <w:tc>
          <w:tcPr>
            <w:tcW w:w="1276" w:type="dxa"/>
            <w:vAlign w:val="center"/>
          </w:tcPr>
          <w:p w:rsidR="002F02A0" w:rsidRDefault="009B3070">
            <w:pPr>
              <w:jc w:val="center"/>
            </w:pPr>
            <w:r>
              <w:rPr>
                <w:rFonts w:eastAsiaTheme="minorEastAsia"/>
                <w:kern w:val="0"/>
                <w:szCs w:val="21"/>
              </w:rPr>
              <w:t>601137</w:t>
            </w:r>
          </w:p>
        </w:tc>
        <w:tc>
          <w:tcPr>
            <w:tcW w:w="1701" w:type="dxa"/>
            <w:vAlign w:val="center"/>
          </w:tcPr>
          <w:p w:rsidR="002F02A0" w:rsidRDefault="009B3070">
            <w:pPr>
              <w:jc w:val="center"/>
            </w:pPr>
            <w:r>
              <w:rPr>
                <w:rFonts w:eastAsiaTheme="minorEastAsia"/>
                <w:kern w:val="0"/>
                <w:szCs w:val="21"/>
              </w:rPr>
              <w:t>博威合金</w:t>
            </w:r>
          </w:p>
        </w:tc>
        <w:tc>
          <w:tcPr>
            <w:tcW w:w="1276" w:type="dxa"/>
            <w:vAlign w:val="center"/>
          </w:tcPr>
          <w:p w:rsidR="002F02A0" w:rsidRDefault="009B3070">
            <w:pPr>
              <w:jc w:val="right"/>
            </w:pPr>
            <w:r>
              <w:rPr>
                <w:rFonts w:eastAsiaTheme="minorEastAsia"/>
                <w:kern w:val="0"/>
                <w:szCs w:val="21"/>
              </w:rPr>
              <w:t>1,074,050</w:t>
            </w:r>
          </w:p>
        </w:tc>
        <w:tc>
          <w:tcPr>
            <w:tcW w:w="1842" w:type="dxa"/>
            <w:vAlign w:val="center"/>
          </w:tcPr>
          <w:p w:rsidR="002F02A0" w:rsidRDefault="009B3070">
            <w:pPr>
              <w:jc w:val="right"/>
            </w:pPr>
            <w:r>
              <w:rPr>
                <w:rFonts w:eastAsiaTheme="minorEastAsia"/>
                <w:kern w:val="0"/>
                <w:szCs w:val="21"/>
              </w:rPr>
              <w:t>15,906,680.50</w:t>
            </w:r>
          </w:p>
        </w:tc>
        <w:tc>
          <w:tcPr>
            <w:tcW w:w="1616" w:type="dxa"/>
            <w:vAlign w:val="center"/>
          </w:tcPr>
          <w:p w:rsidR="002F02A0" w:rsidRDefault="009B3070">
            <w:pPr>
              <w:jc w:val="right"/>
            </w:pPr>
            <w:r>
              <w:rPr>
                <w:rFonts w:eastAsiaTheme="minorEastAsia"/>
                <w:kern w:val="0"/>
                <w:szCs w:val="21"/>
              </w:rPr>
              <w:t>2.13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369,380.87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1,837,298.31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411,589.06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2,618,268.24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上投摩根核心优选混合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185,354,455.99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158,011.05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4,481,044.09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58,735.64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7,480,138.02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52,967.63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182,355,362.06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163,779.06</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中国证监会批准上投摩根核心优选混合型证券投资基金设立的文件；</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《上投摩根核心优选混合型证券投资基金基金合同》；</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《上投摩根核心优选混合型证券投资基金托管协议》；</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2F02A0" w:rsidRDefault="009B3070">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307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307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B3070">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上投摩根核心优选混合型证券投资基金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2A0"/>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307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D1272-A4C8-47B5-8D44-173C9335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13</Pages>
  <Words>1179</Words>
  <Characters>6721</Characters>
  <Application>Microsoft Office Word</Application>
  <DocSecurity>0</DocSecurity>
  <Lines>56</Lines>
  <Paragraphs>15</Paragraphs>
  <ScaleCrop>false</ScaleCrop>
  <Company>TRT. Ltd. Co.</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219</cp:revision>
  <cp:lastPrinted>2007-07-19T00:46:00Z</cp:lastPrinted>
  <dcterms:created xsi:type="dcterms:W3CDTF">2013-06-21T06:56:00Z</dcterms:created>
  <dcterms:modified xsi:type="dcterms:W3CDTF">2023-01-19T03:31:00Z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