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11159" w:rsidRDefault="009D3BC4">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E11159" w:rsidRDefault="009D3BC4">
      <w:pPr>
        <w:spacing w:line="360" w:lineRule="auto"/>
        <w:rPr>
          <w:rFonts w:ascii="宋体" w:hAnsi="宋体"/>
          <w:sz w:val="48"/>
        </w:rPr>
      </w:pPr>
      <w:r>
        <w:rPr>
          <w:rFonts w:ascii="宋体" w:hAnsi="宋体" w:hint="eastAsia"/>
          <w:sz w:val="48"/>
        </w:rPr>
        <w:t xml:space="preserve">　 </w:t>
      </w:r>
    </w:p>
    <w:p w:rsidR="00E11159" w:rsidRDefault="009D3BC4">
      <w:pPr>
        <w:spacing w:line="360" w:lineRule="auto"/>
        <w:jc w:val="center"/>
      </w:pPr>
      <w:r>
        <w:rPr>
          <w:rFonts w:ascii="宋体" w:hAnsi="宋体" w:hint="eastAsia"/>
          <w:b/>
          <w:bCs/>
          <w:color w:val="000000" w:themeColor="text1"/>
          <w:sz w:val="48"/>
          <w:szCs w:val="30"/>
        </w:rPr>
        <w:t>摩根智选30混合型证券投资基金</w:t>
      </w:r>
      <w:r>
        <w:rPr>
          <w:rFonts w:ascii="宋体" w:hAnsi="宋体" w:hint="eastAsia"/>
          <w:b/>
          <w:bCs/>
          <w:color w:val="000000" w:themeColor="text1"/>
          <w:sz w:val="48"/>
          <w:szCs w:val="30"/>
        </w:rPr>
        <w:br/>
        <w:t>2025年第1季度报告</w:t>
      </w:r>
    </w:p>
    <w:p w:rsidR="00E11159" w:rsidRDefault="009D3BC4">
      <w:pPr>
        <w:spacing w:line="360" w:lineRule="auto"/>
        <w:jc w:val="center"/>
        <w:rPr>
          <w:rFonts w:ascii="宋体" w:hAnsi="宋体"/>
          <w:sz w:val="28"/>
          <w:szCs w:val="30"/>
        </w:rPr>
      </w:pPr>
      <w:r>
        <w:rPr>
          <w:rFonts w:ascii="宋体" w:hAnsi="宋体" w:hint="eastAsia"/>
          <w:sz w:val="28"/>
          <w:szCs w:val="30"/>
        </w:rPr>
        <w:t xml:space="preserve">　 </w:t>
      </w:r>
    </w:p>
    <w:p w:rsidR="00E11159" w:rsidRDefault="009D3BC4">
      <w:pPr>
        <w:spacing w:line="360" w:lineRule="auto"/>
        <w:jc w:val="center"/>
      </w:pPr>
      <w:r>
        <w:rPr>
          <w:rFonts w:ascii="宋体" w:hAnsi="宋体" w:hint="eastAsia"/>
          <w:b/>
          <w:bCs/>
          <w:sz w:val="28"/>
          <w:szCs w:val="30"/>
        </w:rPr>
        <w:t>2025年3月31日</w:t>
      </w:r>
    </w:p>
    <w:p w:rsidR="00E11159" w:rsidRDefault="009D3BC4">
      <w:pPr>
        <w:spacing w:line="360" w:lineRule="auto"/>
        <w:jc w:val="center"/>
        <w:rPr>
          <w:rFonts w:ascii="宋体" w:hAnsi="宋体"/>
          <w:sz w:val="28"/>
          <w:szCs w:val="30"/>
        </w:rPr>
      </w:pPr>
      <w:r>
        <w:rPr>
          <w:rFonts w:ascii="宋体" w:hAnsi="宋体" w:hint="eastAsia"/>
          <w:sz w:val="28"/>
          <w:szCs w:val="30"/>
        </w:rPr>
        <w:t xml:space="preserve">　 </w:t>
      </w:r>
    </w:p>
    <w:p w:rsidR="00E11159" w:rsidRDefault="009D3BC4">
      <w:pPr>
        <w:spacing w:line="360" w:lineRule="auto"/>
        <w:jc w:val="center"/>
        <w:rPr>
          <w:rFonts w:ascii="宋体" w:hAnsi="宋体"/>
          <w:sz w:val="28"/>
          <w:szCs w:val="30"/>
        </w:rPr>
      </w:pPr>
      <w:r>
        <w:rPr>
          <w:rFonts w:ascii="宋体" w:hAnsi="宋体" w:hint="eastAsia"/>
          <w:sz w:val="28"/>
          <w:szCs w:val="30"/>
        </w:rPr>
        <w:t xml:space="preserve">　 </w:t>
      </w:r>
    </w:p>
    <w:p w:rsidR="00E11159" w:rsidRDefault="009D3BC4">
      <w:pPr>
        <w:spacing w:line="360" w:lineRule="auto"/>
        <w:jc w:val="center"/>
        <w:rPr>
          <w:rFonts w:ascii="宋体" w:hAnsi="宋体"/>
          <w:sz w:val="28"/>
          <w:szCs w:val="30"/>
        </w:rPr>
      </w:pPr>
      <w:r>
        <w:rPr>
          <w:rFonts w:ascii="宋体" w:hAnsi="宋体" w:hint="eastAsia"/>
          <w:sz w:val="28"/>
          <w:szCs w:val="30"/>
        </w:rPr>
        <w:t xml:space="preserve">　 </w:t>
      </w:r>
    </w:p>
    <w:p w:rsidR="00E11159" w:rsidRDefault="009D3BC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E11159" w:rsidRDefault="009D3BC4">
      <w:pPr>
        <w:spacing w:line="360" w:lineRule="auto"/>
        <w:jc w:val="center"/>
        <w:rPr>
          <w:rFonts w:ascii="宋体" w:hAnsi="宋体"/>
          <w:sz w:val="28"/>
          <w:szCs w:val="30"/>
        </w:rPr>
      </w:pPr>
      <w:r>
        <w:rPr>
          <w:rFonts w:ascii="宋体" w:hAnsi="宋体" w:hint="eastAsia"/>
          <w:sz w:val="28"/>
          <w:szCs w:val="30"/>
        </w:rPr>
        <w:t xml:space="preserve">　 </w:t>
      </w:r>
    </w:p>
    <w:p w:rsidR="00E11159" w:rsidRDefault="009D3BC4">
      <w:pPr>
        <w:spacing w:line="360" w:lineRule="auto"/>
        <w:jc w:val="center"/>
        <w:rPr>
          <w:rFonts w:ascii="宋体" w:hAnsi="宋体"/>
          <w:sz w:val="28"/>
          <w:szCs w:val="30"/>
        </w:rPr>
      </w:pPr>
      <w:r>
        <w:rPr>
          <w:rFonts w:ascii="宋体" w:hAnsi="宋体" w:hint="eastAsia"/>
          <w:sz w:val="28"/>
          <w:szCs w:val="30"/>
        </w:rPr>
        <w:t xml:space="preserve">　 </w:t>
      </w:r>
    </w:p>
    <w:p w:rsidR="00E11159" w:rsidRDefault="009D3BC4">
      <w:pPr>
        <w:spacing w:line="360" w:lineRule="auto"/>
        <w:jc w:val="center"/>
        <w:rPr>
          <w:rFonts w:ascii="宋体" w:hAnsi="宋体"/>
          <w:sz w:val="28"/>
          <w:szCs w:val="30"/>
        </w:rPr>
      </w:pPr>
      <w:r>
        <w:rPr>
          <w:rFonts w:ascii="宋体" w:hAnsi="宋体" w:hint="eastAsia"/>
          <w:sz w:val="28"/>
          <w:szCs w:val="30"/>
        </w:rPr>
        <w:t xml:space="preserve">　 </w:t>
      </w:r>
    </w:p>
    <w:p w:rsidR="00E11159" w:rsidRDefault="009D3BC4">
      <w:pPr>
        <w:spacing w:line="360" w:lineRule="auto"/>
        <w:jc w:val="center"/>
        <w:rPr>
          <w:rFonts w:ascii="宋体" w:hAnsi="宋体"/>
          <w:sz w:val="28"/>
          <w:szCs w:val="30"/>
        </w:rPr>
      </w:pPr>
      <w:r>
        <w:rPr>
          <w:rFonts w:ascii="宋体" w:hAnsi="宋体" w:hint="eastAsia"/>
          <w:sz w:val="28"/>
          <w:szCs w:val="30"/>
        </w:rPr>
        <w:t xml:space="preserve">　 </w:t>
      </w:r>
    </w:p>
    <w:p w:rsidR="00E11159" w:rsidRDefault="009D3BC4">
      <w:pPr>
        <w:spacing w:line="360" w:lineRule="auto"/>
        <w:jc w:val="center"/>
        <w:rPr>
          <w:rFonts w:ascii="宋体" w:hAnsi="宋体"/>
          <w:sz w:val="28"/>
          <w:szCs w:val="30"/>
        </w:rPr>
      </w:pPr>
      <w:r>
        <w:rPr>
          <w:rFonts w:ascii="宋体" w:hAnsi="宋体" w:hint="eastAsia"/>
          <w:sz w:val="28"/>
          <w:szCs w:val="30"/>
        </w:rPr>
        <w:t xml:space="preserve">　 </w:t>
      </w:r>
    </w:p>
    <w:p w:rsidR="00E11159" w:rsidRDefault="009D3BC4">
      <w:pPr>
        <w:spacing w:line="360" w:lineRule="auto"/>
        <w:jc w:val="center"/>
        <w:rPr>
          <w:rFonts w:ascii="宋体" w:hAnsi="宋体"/>
          <w:sz w:val="28"/>
          <w:szCs w:val="30"/>
        </w:rPr>
      </w:pPr>
      <w:r>
        <w:rPr>
          <w:rFonts w:ascii="宋体" w:hAnsi="宋体" w:hint="eastAsia"/>
          <w:sz w:val="28"/>
          <w:szCs w:val="30"/>
        </w:rPr>
        <w:t xml:space="preserve">　 </w:t>
      </w:r>
    </w:p>
    <w:p w:rsidR="00E11159" w:rsidRDefault="009D3BC4">
      <w:pPr>
        <w:spacing w:line="360" w:lineRule="auto"/>
        <w:jc w:val="center"/>
        <w:rPr>
          <w:rFonts w:ascii="宋体" w:hAnsi="宋体"/>
          <w:sz w:val="28"/>
          <w:szCs w:val="30"/>
        </w:rPr>
      </w:pPr>
      <w:r>
        <w:rPr>
          <w:rFonts w:ascii="宋体" w:hAnsi="宋体" w:hint="eastAsia"/>
          <w:sz w:val="28"/>
          <w:szCs w:val="30"/>
        </w:rPr>
        <w:t xml:space="preserve">　 </w:t>
      </w:r>
    </w:p>
    <w:p w:rsidR="00E11159" w:rsidRDefault="009D3BC4">
      <w:pPr>
        <w:spacing w:line="360" w:lineRule="auto"/>
        <w:ind w:firstLineChars="800" w:firstLine="2249"/>
        <w:jc w:val="left"/>
      </w:pPr>
      <w:r>
        <w:rPr>
          <w:rFonts w:ascii="宋体" w:hAnsi="宋体" w:hint="eastAsia"/>
          <w:b/>
          <w:bCs/>
          <w:sz w:val="28"/>
          <w:szCs w:val="30"/>
        </w:rPr>
        <w:t>基金管理人：摩根基金管理（中国）有限公司</w:t>
      </w:r>
    </w:p>
    <w:p w:rsidR="00E11159" w:rsidRDefault="009D3BC4">
      <w:pPr>
        <w:spacing w:line="360" w:lineRule="auto"/>
        <w:ind w:firstLineChars="800" w:firstLine="2249"/>
        <w:jc w:val="left"/>
      </w:pPr>
      <w:r>
        <w:rPr>
          <w:rFonts w:ascii="宋体" w:hAnsi="宋体" w:hint="eastAsia"/>
          <w:b/>
          <w:bCs/>
          <w:sz w:val="28"/>
          <w:szCs w:val="30"/>
        </w:rPr>
        <w:t>基金托管人：中国建设银行股份有限公司</w:t>
      </w:r>
    </w:p>
    <w:p w:rsidR="00E11159" w:rsidRDefault="009D3BC4">
      <w:pPr>
        <w:spacing w:line="360" w:lineRule="auto"/>
        <w:ind w:firstLineChars="800" w:firstLine="2249"/>
        <w:jc w:val="left"/>
      </w:pPr>
      <w:r>
        <w:rPr>
          <w:rFonts w:ascii="宋体" w:hAnsi="宋体" w:hint="eastAsia"/>
          <w:b/>
          <w:bCs/>
          <w:sz w:val="28"/>
          <w:szCs w:val="30"/>
        </w:rPr>
        <w:t>报告送出日期：2025年4月22日</w:t>
      </w:r>
    </w:p>
    <w:p w:rsidR="00E11159" w:rsidRDefault="009D3BC4">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rsidR="00E11159" w:rsidRDefault="009D3BC4">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E11159" w:rsidRDefault="009D3BC4">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93"/>
        <w:gridCol w:w="2564"/>
      </w:tblGrid>
      <w:tr w:rsidR="00E11159">
        <w:trPr>
          <w:divId w:val="1458450357"/>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E11159" w:rsidRDefault="009D3BC4">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szCs w:val="24"/>
                <w:lang w:eastAsia="zh-Hans"/>
              </w:rPr>
              <w:t>摩根智选30混合</w:t>
            </w:r>
            <w:r>
              <w:rPr>
                <w:rFonts w:ascii="宋体" w:hAnsi="宋体" w:hint="eastAsia"/>
                <w:lang w:eastAsia="zh-Hans"/>
              </w:rPr>
              <w:t xml:space="preserve"> </w:t>
            </w:r>
          </w:p>
        </w:tc>
      </w:tr>
      <w:tr w:rsidR="00E11159">
        <w:trPr>
          <w:divId w:val="145845035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lang w:eastAsia="zh-Hans"/>
              </w:rPr>
              <w:t>370027</w:t>
            </w:r>
          </w:p>
        </w:tc>
      </w:tr>
      <w:tr w:rsidR="00E11159">
        <w:trPr>
          <w:divId w:val="145845035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lang w:eastAsia="zh-Hans"/>
              </w:rPr>
              <w:t>契约型开放式</w:t>
            </w:r>
          </w:p>
        </w:tc>
      </w:tr>
      <w:tr w:rsidR="00E11159">
        <w:trPr>
          <w:divId w:val="145845035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lang w:eastAsia="zh-Hans"/>
              </w:rPr>
              <w:t>2013年3月6日</w:t>
            </w:r>
          </w:p>
        </w:tc>
      </w:tr>
      <w:tr w:rsidR="00E11159">
        <w:trPr>
          <w:divId w:val="145845035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lang w:eastAsia="zh-Hans"/>
              </w:rPr>
              <w:t>283,432,069.34</w:t>
            </w:r>
            <w:r>
              <w:rPr>
                <w:rFonts w:hint="eastAsia"/>
              </w:rPr>
              <w:t>份</w:t>
            </w:r>
            <w:r>
              <w:rPr>
                <w:rFonts w:ascii="宋体" w:hAnsi="宋体" w:hint="eastAsia"/>
                <w:lang w:eastAsia="zh-Hans"/>
              </w:rPr>
              <w:t xml:space="preserve"> </w:t>
            </w:r>
          </w:p>
        </w:tc>
      </w:tr>
      <w:tr w:rsidR="00E11159">
        <w:trPr>
          <w:divId w:val="145845035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lang w:eastAsia="zh-Hans"/>
              </w:rPr>
              <w:t>本基金主要投资于受益于国家经济转型，具有较高增长潜力的上市公司股票，在有效控制风险的前提下，为基金份额持有人谋求长期、稳定的资本增值。</w:t>
            </w:r>
          </w:p>
        </w:tc>
      </w:tr>
      <w:tr w:rsidR="00E11159">
        <w:trPr>
          <w:divId w:val="145845035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bookmarkStart w:id="33" w:name="_GoBack"/>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lang w:eastAsia="zh-Hans"/>
              </w:rPr>
              <w:t>从长期来看，盈利的增长是推动公司股价上涨的重要因素。本基金将集中投资于具有良好业绩支撑和确定性成长的公司，以分享其股价上涨带来的收益。从具体操作上，本基金将通过严格的个股精选，筛选出具有较高竞争优势和成长能力的上市公司，并从中挑选出基金管理人认定的最具投资价值的30只左右的股票构建投资组合，以实现对优质股票的集中持股。</w:t>
            </w:r>
            <w:r>
              <w:rPr>
                <w:rFonts w:ascii="宋体" w:hAnsi="宋体" w:hint="eastAsia"/>
                <w:lang w:eastAsia="zh-Hans"/>
              </w:rPr>
              <w:br/>
              <w:t>具体策略包括：资产配置策略、股票投资策略、固定收益类投资策略、可转换债券投资策略、权证投资策略、股指期货投资策略、存托凭证投资策略。</w:t>
            </w:r>
          </w:p>
        </w:tc>
      </w:tr>
      <w:bookmarkEnd w:id="33"/>
      <w:tr w:rsidR="00E11159">
        <w:trPr>
          <w:divId w:val="145845035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rPr>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lang w:eastAsia="zh-Hans"/>
              </w:rPr>
              <w:t>沪深300指数收益率×80%+上证国债指数收益率×20%</w:t>
            </w:r>
          </w:p>
        </w:tc>
      </w:tr>
      <w:tr w:rsidR="00E11159">
        <w:trPr>
          <w:divId w:val="145845035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lang w:eastAsia="zh-Hans"/>
              </w:rPr>
              <w:t>本基金是一只混合型基金，其预期风险和预期收益低于股票型基金、高于债券型基金和货币市场基金，属于较高风险、较高预期收益的基金产品。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w:t>
            </w:r>
            <w:r>
              <w:rPr>
                <w:rFonts w:ascii="宋体" w:hAnsi="宋体" w:hint="eastAsia"/>
                <w:lang w:eastAsia="zh-Hans"/>
              </w:rPr>
              <w:lastRenderedPageBreak/>
              <w:t>性风险收益特征，但由于风险等级分类标准的变化，本基金的风险等级表述可能有相应变化，具体风险评级结果应以基金管理人和销售机构提供的评级结果为准。</w:t>
            </w:r>
          </w:p>
        </w:tc>
      </w:tr>
      <w:tr w:rsidR="00E11159">
        <w:trPr>
          <w:divId w:val="145845035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rPr>
              <w:lastRenderedPageBreak/>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lang w:eastAsia="zh-Hans"/>
              </w:rPr>
              <w:t>摩根基金管理（中国）有限公司</w:t>
            </w:r>
          </w:p>
        </w:tc>
      </w:tr>
      <w:tr w:rsidR="00E11159">
        <w:trPr>
          <w:divId w:val="145845035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lang w:eastAsia="zh-Hans"/>
              </w:rPr>
              <w:t>中国建设银行股份有限公司</w:t>
            </w:r>
          </w:p>
        </w:tc>
      </w:tr>
      <w:tr w:rsidR="00E11159">
        <w:trPr>
          <w:divId w:val="145845035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bookmarkStart w:id="34"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pPr>
            <w:r>
              <w:rPr>
                <w:rFonts w:ascii="宋体" w:hAnsi="宋体" w:hint="eastAsia"/>
                <w:lang w:eastAsia="zh-Hans"/>
              </w:rPr>
              <w:t>摩根智选30混合A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pPr>
            <w:r>
              <w:rPr>
                <w:rFonts w:ascii="宋体" w:hAnsi="宋体" w:hint="eastAsia"/>
                <w:lang w:eastAsia="zh-Hans"/>
              </w:rPr>
              <w:t>摩根智选30混合C</w:t>
            </w:r>
            <w:r>
              <w:rPr>
                <w:rFonts w:ascii="宋体" w:hAnsi="宋体" w:hint="eastAsia"/>
                <w:kern w:val="0"/>
                <w:sz w:val="20"/>
                <w:lang w:eastAsia="zh-Hans"/>
              </w:rPr>
              <w:t xml:space="preserve"> </w:t>
            </w:r>
          </w:p>
        </w:tc>
      </w:tr>
      <w:tr w:rsidR="00E11159">
        <w:trPr>
          <w:divId w:val="145845035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pPr>
            <w:r>
              <w:rPr>
                <w:rFonts w:ascii="宋体" w:hAnsi="宋体" w:hint="eastAsia"/>
                <w:lang w:eastAsia="zh-Hans"/>
              </w:rPr>
              <w:t>370027</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pPr>
            <w:r>
              <w:rPr>
                <w:rFonts w:ascii="宋体" w:hAnsi="宋体" w:hint="eastAsia"/>
                <w:lang w:eastAsia="zh-Hans"/>
              </w:rPr>
              <w:t>016400</w:t>
            </w:r>
            <w:r>
              <w:rPr>
                <w:rFonts w:ascii="宋体" w:hAnsi="宋体" w:hint="eastAsia"/>
                <w:kern w:val="0"/>
                <w:sz w:val="20"/>
                <w:lang w:eastAsia="zh-Hans"/>
              </w:rPr>
              <w:t xml:space="preserve"> </w:t>
            </w:r>
          </w:p>
        </w:tc>
      </w:tr>
      <w:bookmarkEnd w:id="34"/>
      <w:bookmarkEnd w:id="32"/>
      <w:tr w:rsidR="00E11159">
        <w:trPr>
          <w:divId w:val="145845035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11159" w:rsidRDefault="009D3BC4">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lang w:eastAsia="zh-Hans"/>
              </w:rPr>
              <w:t>283,370,643.55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lang w:eastAsia="zh-Hans"/>
              </w:rPr>
              <w:t>61,425.79</w:t>
            </w:r>
            <w:r>
              <w:rPr>
                <w:rFonts w:hint="eastAsia"/>
              </w:rPr>
              <w:t>份</w:t>
            </w:r>
            <w:r>
              <w:rPr>
                <w:rFonts w:ascii="宋体" w:hAnsi="宋体" w:hint="eastAsia"/>
                <w:lang w:eastAsia="zh-Hans"/>
              </w:rPr>
              <w:t xml:space="preserve"> </w:t>
            </w:r>
          </w:p>
        </w:tc>
      </w:tr>
    </w:tbl>
    <w:p w:rsidR="00E11159" w:rsidRDefault="009D3BC4">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E11159" w:rsidRDefault="009D3BC4">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E11159" w:rsidRDefault="009D3BC4">
      <w:pPr>
        <w:jc w:val="right"/>
        <w:divId w:val="1113130236"/>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E11159">
        <w:trPr>
          <w:divId w:val="1113130236"/>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E11159" w:rsidRDefault="009D3BC4">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E11159" w:rsidRDefault="009D3BC4">
            <w:pPr>
              <w:pStyle w:val="a5"/>
              <w:jc w:val="center"/>
            </w:pPr>
            <w:r>
              <w:rPr>
                <w:rFonts w:hint="eastAsia"/>
                <w:kern w:val="2"/>
                <w:sz w:val="21"/>
                <w:szCs w:val="24"/>
                <w:lang w:eastAsia="zh-Hans"/>
              </w:rPr>
              <w:t xml:space="preserve">报告期（2025年1月1日-2025年3月31日） </w:t>
            </w:r>
          </w:p>
        </w:tc>
      </w:tr>
      <w:tr w:rsidR="00E11159">
        <w:trPr>
          <w:divId w:val="1113130236"/>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159" w:rsidRDefault="00E11159">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E11159" w:rsidRDefault="009D3BC4">
            <w:pPr>
              <w:jc w:val="center"/>
            </w:pPr>
            <w:r>
              <w:rPr>
                <w:rFonts w:ascii="宋体" w:hAnsi="宋体" w:hint="eastAsia"/>
                <w:szCs w:val="24"/>
                <w:lang w:eastAsia="zh-Hans"/>
              </w:rPr>
              <w:t>摩根智选30混合A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E11159" w:rsidRDefault="009D3BC4">
            <w:pPr>
              <w:jc w:val="center"/>
            </w:pPr>
            <w:r>
              <w:rPr>
                <w:rFonts w:ascii="宋体" w:hAnsi="宋体" w:hint="eastAsia"/>
                <w:szCs w:val="24"/>
                <w:lang w:eastAsia="zh-Hans"/>
              </w:rPr>
              <w:t>摩根智选30混合C</w:t>
            </w:r>
          </w:p>
        </w:tc>
      </w:tr>
      <w:tr w:rsidR="00E11159">
        <w:trPr>
          <w:divId w:val="111313023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11159" w:rsidRDefault="009D3BC4">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11159" w:rsidRDefault="009D3BC4">
            <w:pPr>
              <w:jc w:val="right"/>
            </w:pPr>
            <w:r>
              <w:rPr>
                <w:rFonts w:ascii="宋体" w:hAnsi="宋体" w:hint="eastAsia"/>
                <w:szCs w:val="24"/>
                <w:lang w:eastAsia="zh-Hans"/>
              </w:rPr>
              <w:t>-14,065,183.41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11159" w:rsidRDefault="009D3BC4">
            <w:pPr>
              <w:jc w:val="right"/>
            </w:pPr>
            <w:r>
              <w:rPr>
                <w:rFonts w:ascii="宋体" w:hAnsi="宋体" w:hint="eastAsia"/>
                <w:szCs w:val="24"/>
                <w:lang w:eastAsia="zh-Hans"/>
              </w:rPr>
              <w:t>-2,485.28</w:t>
            </w:r>
          </w:p>
        </w:tc>
      </w:tr>
      <w:tr w:rsidR="00E11159">
        <w:trPr>
          <w:divId w:val="111313023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11159" w:rsidRDefault="009D3BC4">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11159" w:rsidRDefault="009D3BC4">
            <w:pPr>
              <w:jc w:val="right"/>
            </w:pPr>
            <w:r>
              <w:rPr>
                <w:rFonts w:ascii="宋体" w:hAnsi="宋体" w:hint="eastAsia"/>
                <w:szCs w:val="24"/>
                <w:lang w:eastAsia="zh-Hans"/>
              </w:rPr>
              <w:t>21,106,603.37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11159" w:rsidRDefault="009D3BC4">
            <w:pPr>
              <w:jc w:val="right"/>
            </w:pPr>
            <w:r>
              <w:rPr>
                <w:rFonts w:ascii="宋体" w:hAnsi="宋体" w:hint="eastAsia"/>
                <w:szCs w:val="24"/>
                <w:lang w:eastAsia="zh-Hans"/>
              </w:rPr>
              <w:t>2,765.53</w:t>
            </w:r>
          </w:p>
        </w:tc>
      </w:tr>
      <w:tr w:rsidR="00E11159">
        <w:trPr>
          <w:divId w:val="111313023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11159" w:rsidRDefault="009D3BC4">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11159" w:rsidRDefault="009D3BC4">
            <w:pPr>
              <w:jc w:val="right"/>
            </w:pPr>
            <w:r>
              <w:rPr>
                <w:rFonts w:ascii="宋体" w:hAnsi="宋体" w:hint="eastAsia"/>
                <w:szCs w:val="24"/>
                <w:lang w:eastAsia="zh-Hans"/>
              </w:rPr>
              <w:t>0.0730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11159" w:rsidRDefault="009D3BC4">
            <w:pPr>
              <w:jc w:val="right"/>
            </w:pPr>
            <w:r>
              <w:rPr>
                <w:rFonts w:ascii="宋体" w:hAnsi="宋体" w:hint="eastAsia"/>
                <w:szCs w:val="24"/>
                <w:lang w:eastAsia="zh-Hans"/>
              </w:rPr>
              <w:t>0.0526</w:t>
            </w:r>
          </w:p>
        </w:tc>
      </w:tr>
      <w:tr w:rsidR="00E11159">
        <w:trPr>
          <w:divId w:val="111313023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11159" w:rsidRDefault="009D3BC4">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11159" w:rsidRDefault="009D3BC4">
            <w:pPr>
              <w:jc w:val="right"/>
            </w:pPr>
            <w:r>
              <w:rPr>
                <w:rFonts w:ascii="宋体" w:hAnsi="宋体" w:hint="eastAsia"/>
                <w:szCs w:val="24"/>
                <w:lang w:eastAsia="zh-Hans"/>
              </w:rPr>
              <w:t>712,736,292.61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11159" w:rsidRDefault="009D3BC4">
            <w:pPr>
              <w:jc w:val="right"/>
            </w:pPr>
            <w:r>
              <w:rPr>
                <w:rFonts w:ascii="宋体" w:hAnsi="宋体" w:hint="eastAsia"/>
                <w:szCs w:val="24"/>
                <w:lang w:eastAsia="zh-Hans"/>
              </w:rPr>
              <w:t>152,127.48</w:t>
            </w:r>
          </w:p>
        </w:tc>
      </w:tr>
      <w:tr w:rsidR="00E11159">
        <w:trPr>
          <w:divId w:val="111313023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11159" w:rsidRDefault="009D3BC4">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11159" w:rsidRDefault="009D3BC4">
            <w:pPr>
              <w:jc w:val="right"/>
            </w:pPr>
            <w:r>
              <w:rPr>
                <w:rFonts w:ascii="宋体" w:hAnsi="宋体" w:hint="eastAsia"/>
                <w:szCs w:val="24"/>
                <w:lang w:eastAsia="zh-Hans"/>
              </w:rPr>
              <w:t>2.5152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11159" w:rsidRDefault="009D3BC4">
            <w:pPr>
              <w:jc w:val="right"/>
            </w:pPr>
            <w:r>
              <w:rPr>
                <w:rFonts w:ascii="宋体" w:hAnsi="宋体" w:hint="eastAsia"/>
                <w:szCs w:val="24"/>
                <w:lang w:eastAsia="zh-Hans"/>
              </w:rPr>
              <w:t>2.4766</w:t>
            </w:r>
          </w:p>
        </w:tc>
      </w:tr>
    </w:tbl>
    <w:p w:rsidR="00E11159" w:rsidRDefault="009D3BC4">
      <w:pPr>
        <w:wordWrap w:val="0"/>
        <w:spacing w:line="360" w:lineRule="auto"/>
        <w:jc w:val="left"/>
        <w:divId w:val="1075084480"/>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E11159" w:rsidRDefault="009D3BC4">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E11159" w:rsidRDefault="009D3BC4">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E11159" w:rsidRDefault="009D3BC4">
      <w:pPr>
        <w:spacing w:line="360" w:lineRule="auto"/>
        <w:jc w:val="center"/>
        <w:divId w:val="1259363940"/>
      </w:pPr>
      <w:r>
        <w:rPr>
          <w:rFonts w:ascii="宋体" w:hAnsi="宋体" w:hint="eastAsia"/>
        </w:rPr>
        <w:t>摩根智选30混合A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11159">
        <w:trPr>
          <w:divId w:val="125936394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1159" w:rsidRDefault="009D3BC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 xml:space="preserve">②－④ </w:t>
            </w:r>
          </w:p>
        </w:tc>
      </w:tr>
      <w:tr w:rsidR="00E11159">
        <w:trPr>
          <w:divId w:val="12593639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2.97%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rsidR="00E11159" w:rsidRDefault="009D3BC4">
            <w:pPr>
              <w:spacing w:line="360" w:lineRule="auto"/>
              <w:jc w:val="right"/>
            </w:pPr>
            <w:r>
              <w:rPr>
                <w:rFonts w:ascii="宋体" w:hAnsi="宋体" w:hint="eastAsia"/>
              </w:rPr>
              <w:t xml:space="preserve">3.91%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0.43% </w:t>
            </w:r>
          </w:p>
        </w:tc>
      </w:tr>
      <w:tr w:rsidR="00E11159">
        <w:trPr>
          <w:divId w:val="12593639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-2.05%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E11159" w:rsidRDefault="009D3BC4">
            <w:pPr>
              <w:spacing w:line="360" w:lineRule="auto"/>
              <w:jc w:val="right"/>
            </w:pPr>
            <w:r>
              <w:rPr>
                <w:rFonts w:ascii="宋体" w:hAnsi="宋体" w:hint="eastAsia"/>
              </w:rPr>
              <w:t xml:space="preserve">1.28%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0.28% </w:t>
            </w:r>
          </w:p>
        </w:tc>
      </w:tr>
      <w:tr w:rsidR="00E11159">
        <w:trPr>
          <w:divId w:val="12593639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9.42%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9.13%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E11159" w:rsidRDefault="009D3BC4">
            <w:pPr>
              <w:spacing w:line="360" w:lineRule="auto"/>
              <w:jc w:val="right"/>
            </w:pPr>
            <w:r>
              <w:rPr>
                <w:rFonts w:ascii="宋体" w:hAnsi="宋体" w:hint="eastAsia"/>
              </w:rPr>
              <w:t xml:space="preserve">0.29%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0.17% </w:t>
            </w:r>
          </w:p>
        </w:tc>
      </w:tr>
      <w:tr w:rsidR="00E11159">
        <w:trPr>
          <w:divId w:val="12593639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-19.47%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-3.30%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vAlign w:val="center"/>
            <w:hideMark/>
          </w:tcPr>
          <w:p w:rsidR="00E11159" w:rsidRDefault="009D3BC4">
            <w:pPr>
              <w:spacing w:line="360" w:lineRule="auto"/>
              <w:jc w:val="right"/>
            </w:pPr>
            <w:r>
              <w:rPr>
                <w:rFonts w:ascii="宋体" w:hAnsi="宋体" w:hint="eastAsia"/>
              </w:rPr>
              <w:t xml:space="preserve">-16.17%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0.21% </w:t>
            </w:r>
          </w:p>
        </w:tc>
      </w:tr>
      <w:tr w:rsidR="00E11159">
        <w:trPr>
          <w:divId w:val="12593639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lastRenderedPageBreak/>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34.72%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8.95%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rsidR="00E11159" w:rsidRDefault="009D3BC4">
            <w:pPr>
              <w:spacing w:line="360" w:lineRule="auto"/>
              <w:jc w:val="right"/>
            </w:pPr>
            <w:r>
              <w:rPr>
                <w:rFonts w:ascii="宋体" w:hAnsi="宋体" w:hint="eastAsia"/>
              </w:rPr>
              <w:t xml:space="preserve">25.77%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0.39% </w:t>
            </w:r>
          </w:p>
        </w:tc>
      </w:tr>
      <w:tr w:rsidR="00E11159">
        <w:trPr>
          <w:divId w:val="12593639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194.77%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51.19%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rsidR="00E11159" w:rsidRDefault="009D3BC4">
            <w:pPr>
              <w:spacing w:line="360" w:lineRule="auto"/>
              <w:jc w:val="right"/>
            </w:pPr>
            <w:r>
              <w:rPr>
                <w:rFonts w:ascii="宋体" w:hAnsi="宋体" w:hint="eastAsia"/>
              </w:rPr>
              <w:t xml:space="preserve">143.58%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0.55% </w:t>
            </w:r>
          </w:p>
        </w:tc>
      </w:tr>
    </w:tbl>
    <w:p w:rsidR="00E11159" w:rsidRDefault="009D3BC4">
      <w:pPr>
        <w:spacing w:line="360" w:lineRule="auto"/>
        <w:jc w:val="center"/>
        <w:divId w:val="1375695210"/>
      </w:pPr>
      <w:r>
        <w:rPr>
          <w:rFonts w:ascii="宋体" w:hAnsi="宋体" w:hint="eastAsia"/>
        </w:rPr>
        <w:t>摩根智选30混合C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11159">
        <w:trPr>
          <w:divId w:val="137569521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1159" w:rsidRDefault="009D3BC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 xml:space="preserve">②－④ </w:t>
            </w:r>
          </w:p>
        </w:tc>
      </w:tr>
      <w:tr w:rsidR="00E11159">
        <w:trPr>
          <w:divId w:val="137569521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2.81%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rsidR="00E11159" w:rsidRDefault="009D3BC4">
            <w:pPr>
              <w:spacing w:line="360" w:lineRule="auto"/>
              <w:jc w:val="right"/>
            </w:pPr>
            <w:r>
              <w:rPr>
                <w:rFonts w:ascii="宋体" w:hAnsi="宋体" w:hint="eastAsia"/>
              </w:rPr>
              <w:t xml:space="preserve">3.75%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0.43% </w:t>
            </w:r>
          </w:p>
        </w:tc>
      </w:tr>
      <w:tr w:rsidR="00E11159">
        <w:trPr>
          <w:divId w:val="137569521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-1.07%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-2.05%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E11159" w:rsidRDefault="009D3BC4">
            <w:pPr>
              <w:spacing w:line="360" w:lineRule="auto"/>
              <w:jc w:val="right"/>
            </w:pPr>
            <w:r>
              <w:rPr>
                <w:rFonts w:ascii="宋体" w:hAnsi="宋体" w:hint="eastAsia"/>
              </w:rPr>
              <w:t xml:space="preserve">0.98%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0.28% </w:t>
            </w:r>
          </w:p>
        </w:tc>
      </w:tr>
      <w:tr w:rsidR="00E11159">
        <w:trPr>
          <w:divId w:val="137569521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8.77%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9.13%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E11159" w:rsidRDefault="009D3BC4">
            <w:pPr>
              <w:spacing w:line="360" w:lineRule="auto"/>
              <w:jc w:val="right"/>
            </w:pPr>
            <w:r>
              <w:rPr>
                <w:rFonts w:ascii="宋体" w:hAnsi="宋体" w:hint="eastAsia"/>
              </w:rPr>
              <w:t xml:space="preserve">-0.36%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0.17% </w:t>
            </w:r>
          </w:p>
        </w:tc>
      </w:tr>
      <w:tr w:rsidR="00E11159">
        <w:trPr>
          <w:divId w:val="137569521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-20.92%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-3.64%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vAlign w:val="center"/>
            <w:hideMark/>
          </w:tcPr>
          <w:p w:rsidR="00E11159" w:rsidRDefault="009D3BC4">
            <w:pPr>
              <w:spacing w:line="360" w:lineRule="auto"/>
              <w:jc w:val="right"/>
            </w:pPr>
            <w:r>
              <w:rPr>
                <w:rFonts w:ascii="宋体" w:hAnsi="宋体" w:hint="eastAsia"/>
              </w:rPr>
              <w:t xml:space="preserve">-17.28%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spacing w:line="360" w:lineRule="auto"/>
              <w:jc w:val="right"/>
            </w:pPr>
            <w:r>
              <w:rPr>
                <w:rFonts w:ascii="宋体" w:hAnsi="宋体" w:hint="eastAsia"/>
              </w:rPr>
              <w:t xml:space="preserve">0.19% </w:t>
            </w:r>
          </w:p>
        </w:tc>
      </w:tr>
    </w:tbl>
    <w:p w:rsidR="00E11159" w:rsidRDefault="009D3BC4">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t>自基金合同生效以来基金累计净值增长率变动及其与同期业绩比较基准收益率变动的比较</w:t>
      </w:r>
      <w:bookmarkEnd w:id="66"/>
      <w:bookmarkEnd w:id="67"/>
      <w:bookmarkEnd w:id="68"/>
      <w:bookmarkEnd w:id="69"/>
      <w:bookmarkEnd w:id="70"/>
      <w:proofErr w:type="spellEnd"/>
    </w:p>
    <w:p w:rsidR="00E11159" w:rsidRDefault="009D3BC4">
      <w:pPr>
        <w:spacing w:line="360" w:lineRule="auto"/>
        <w:jc w:val="left"/>
        <w:divId w:val="2052340970"/>
      </w:pPr>
      <w:bookmarkStart w:id="71" w:name="m07_04_07_09"/>
      <w:bookmarkStart w:id="72"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E11159" w:rsidRDefault="009D3BC4">
      <w:pPr>
        <w:spacing w:line="360" w:lineRule="auto"/>
        <w:jc w:val="left"/>
        <w:divId w:val="1705053527"/>
      </w:pPr>
      <w:r>
        <w:rPr>
          <w:rFonts w:ascii="宋体" w:hAnsi="宋体"/>
          <w:noProof/>
        </w:rPr>
        <w:lastRenderedPageBreak/>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E11159" w:rsidRDefault="009D3BC4">
      <w:pPr>
        <w:spacing w:line="360" w:lineRule="auto"/>
      </w:pPr>
      <w:r>
        <w:rPr>
          <w:rFonts w:ascii="宋体" w:hAnsi="宋体" w:hint="eastAsia"/>
        </w:rPr>
        <w:t>注：</w:t>
      </w:r>
      <w:r>
        <w:rPr>
          <w:rFonts w:ascii="宋体" w:hAnsi="宋体" w:hint="eastAsia"/>
          <w:lang w:eastAsia="zh-Hans"/>
        </w:rPr>
        <w:t>本基金合同生效日为2013年3月6日，图示的时间段为合同生效日至本报告期末。</w:t>
      </w:r>
      <w:r>
        <w:rPr>
          <w:rFonts w:ascii="宋体" w:hAnsi="宋体" w:hint="eastAsia"/>
          <w:lang w:eastAsia="zh-Hans"/>
        </w:rPr>
        <w:br/>
        <w:t xml:space="preserve">　　本基金自2022年8月10日起增加C类份额，相关数据按实际存续期计算。 </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rsidR="00E11159" w:rsidRDefault="009D3BC4">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E11159" w:rsidRDefault="009D3BC4">
      <w:pPr>
        <w:pStyle w:val="XBRLTitle2"/>
        <w:spacing w:before="156" w:line="360" w:lineRule="auto"/>
        <w:ind w:left="454"/>
      </w:pPr>
      <w:bookmarkStart w:id="81" w:name="_Toc17898187"/>
      <w:bookmarkStart w:id="82" w:name="_Toc17897943"/>
      <w:bookmarkStart w:id="83" w:name="_Toc513295852"/>
      <w:bookmarkStart w:id="84" w:name="_Toc513295900"/>
      <w:bookmarkStart w:id="85" w:name="_Toc512519488"/>
      <w:bookmarkStart w:id="86" w:name="_Toc490050009"/>
      <w:bookmarkStart w:id="87" w:name="_Toc438646459"/>
      <w:bookmarkStart w:id="88" w:name="_Toc481075055"/>
      <w:proofErr w:type="spellStart"/>
      <w:r>
        <w:rPr>
          <w:rFonts w:hAnsi="宋体" w:hint="eastAsia"/>
        </w:rPr>
        <w:t>基金经理（或基金经理小组）简介</w:t>
      </w:r>
      <w:bookmarkEnd w:id="81"/>
      <w:bookmarkEnd w:id="82"/>
      <w:bookmarkEnd w:id="83"/>
      <w:bookmarkEnd w:id="8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E11159">
        <w:trPr>
          <w:divId w:val="10643734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1159" w:rsidRDefault="009D3BC4">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1159" w:rsidRDefault="009D3BC4">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1159" w:rsidRDefault="009D3BC4">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1159" w:rsidRDefault="009D3BC4">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1159" w:rsidRDefault="009D3BC4">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E11159">
        <w:trPr>
          <w:divId w:val="10643734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159" w:rsidRDefault="00E1115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159" w:rsidRDefault="00E11159">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1159" w:rsidRDefault="009D3BC4">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1159" w:rsidRDefault="009D3BC4">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159" w:rsidRDefault="00E1115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159" w:rsidRDefault="00E11159">
            <w:pPr>
              <w:widowControl/>
              <w:jc w:val="left"/>
            </w:pPr>
          </w:p>
        </w:tc>
      </w:tr>
      <w:tr w:rsidR="00E11159">
        <w:trPr>
          <w:divId w:val="10643734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李德辉</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2019年3月29日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left"/>
            </w:pPr>
            <w:r>
              <w:rPr>
                <w:rFonts w:ascii="宋体" w:hAnsi="宋体" w:hint="eastAsia"/>
                <w:szCs w:val="24"/>
                <w:lang w:eastAsia="zh-Hans"/>
              </w:rPr>
              <w:t>李德辉先生曾任农银汇理基金管理有限公司研究员。2014年8月起加入摩根基金管理(中国)有限公司(原上投摩根基金管理有限公司)，历任研究员、行业专家兼基金经理助理、基金经理、高级基金经理，现任资深基金经理。</w:t>
            </w:r>
          </w:p>
        </w:tc>
      </w:tr>
    </w:tbl>
    <w:p w:rsidR="00E11159" w:rsidRDefault="009D3BC4">
      <w:pPr>
        <w:wordWrap w:val="0"/>
        <w:spacing w:line="360" w:lineRule="auto"/>
        <w:jc w:val="left"/>
        <w:divId w:val="638342438"/>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E11159" w:rsidRDefault="009D3BC4">
      <w:pPr>
        <w:pStyle w:val="XBRLTitle3"/>
        <w:spacing w:before="156"/>
        <w:ind w:left="0"/>
        <w:divId w:val="167715728"/>
      </w:pPr>
      <w:bookmarkStart w:id="90" w:name="_Toc5134656621"/>
      <w:proofErr w:type="spellStart"/>
      <w:r>
        <w:rPr>
          <w:rFonts w:hAnsi="宋体" w:hint="eastAsia"/>
        </w:rPr>
        <w:t>期末兼任私募资产管理计划投资经理的基金经理同时管理的产品情况</w:t>
      </w:r>
      <w:bookmarkEnd w:id="85"/>
      <w:bookmarkEnd w:id="86"/>
      <w:bookmarkEnd w:id="87"/>
      <w:bookmarkEnd w:id="88"/>
      <w:bookmarkEnd w:id="90"/>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E11159">
        <w:trPr>
          <w:divId w:val="1684744368"/>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11159" w:rsidRDefault="009D3BC4">
            <w:pPr>
              <w:snapToGrid w:val="0"/>
              <w:jc w:val="center"/>
            </w:pPr>
            <w:bookmarkStart w:id="91"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11159" w:rsidRDefault="009D3BC4">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11159" w:rsidRDefault="009D3BC4">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11159" w:rsidRDefault="009D3BC4">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11159" w:rsidRDefault="009D3BC4">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E11159">
        <w:trPr>
          <w:divId w:val="1684744368"/>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pPr>
              <w:jc w:val="center"/>
            </w:pPr>
            <w:r>
              <w:rPr>
                <w:rFonts w:ascii="宋体" w:hAnsi="宋体" w:hint="eastAsia"/>
                <w:szCs w:val="24"/>
              </w:rPr>
              <w:lastRenderedPageBreak/>
              <w:t>李德辉</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pPr>
              <w:jc w:val="right"/>
            </w:pPr>
            <w:r>
              <w:rPr>
                <w:rFonts w:ascii="宋体" w:hAnsi="宋体" w:hint="eastAsia"/>
                <w:szCs w:val="24"/>
              </w:rPr>
              <w:t>6</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pPr>
              <w:jc w:val="right"/>
            </w:pPr>
            <w:r>
              <w:rPr>
                <w:rFonts w:ascii="宋体" w:hAnsi="宋体" w:hint="eastAsia"/>
                <w:szCs w:val="24"/>
              </w:rPr>
              <w:t>6,714,778,904.72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pPr>
              <w:jc w:val="center"/>
            </w:pPr>
            <w:r>
              <w:rPr>
                <w:rFonts w:ascii="宋体" w:hAnsi="宋体" w:hint="eastAsia"/>
                <w:szCs w:val="24"/>
              </w:rPr>
              <w:t>2016-11-18</w:t>
            </w:r>
          </w:p>
        </w:tc>
      </w:tr>
      <w:tr w:rsidR="00E11159">
        <w:trPr>
          <w:divId w:val="1684744368"/>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1159" w:rsidRDefault="00E11159">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pPr>
              <w:jc w:val="right"/>
            </w:pPr>
            <w:r>
              <w:rPr>
                <w:rFonts w:ascii="宋体" w:hAnsi="宋体" w:hint="eastAsia"/>
                <w:szCs w:val="24"/>
              </w:rPr>
              <w:t>2</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pPr>
              <w:jc w:val="right"/>
            </w:pPr>
            <w:r>
              <w:rPr>
                <w:rFonts w:ascii="宋体" w:hAnsi="宋体" w:hint="eastAsia"/>
                <w:szCs w:val="24"/>
              </w:rPr>
              <w:t>24,635,439.09</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pPr>
              <w:jc w:val="center"/>
            </w:pPr>
            <w:r>
              <w:rPr>
                <w:rFonts w:ascii="宋体" w:hAnsi="宋体" w:hint="eastAsia"/>
                <w:szCs w:val="24"/>
              </w:rPr>
              <w:t>2022-11-22</w:t>
            </w:r>
          </w:p>
        </w:tc>
      </w:tr>
      <w:tr w:rsidR="00E11159">
        <w:trPr>
          <w:divId w:val="1684744368"/>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1159" w:rsidRDefault="00E11159">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pPr>
              <w:jc w:val="center"/>
            </w:pPr>
            <w:r>
              <w:rPr>
                <w:rFonts w:ascii="宋体" w:hAnsi="宋体" w:hint="eastAsia"/>
                <w:szCs w:val="24"/>
              </w:rPr>
              <w:t>-</w:t>
            </w:r>
          </w:p>
        </w:tc>
      </w:tr>
      <w:tr w:rsidR="00E11159">
        <w:trPr>
          <w:divId w:val="1684744368"/>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1159" w:rsidRDefault="00E11159">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pPr>
              <w:jc w:val="right"/>
            </w:pPr>
            <w:r>
              <w:rPr>
                <w:rFonts w:ascii="宋体" w:hAnsi="宋体" w:hint="eastAsia"/>
                <w:szCs w:val="24"/>
              </w:rPr>
              <w:t>8</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pPr>
              <w:jc w:val="right"/>
            </w:pPr>
            <w:r>
              <w:rPr>
                <w:rFonts w:ascii="宋体" w:hAnsi="宋体" w:hint="eastAsia"/>
                <w:szCs w:val="24"/>
              </w:rPr>
              <w:t>6,739,414,343.81</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1159" w:rsidRDefault="009D3BC4">
            <w:pPr>
              <w:jc w:val="center"/>
            </w:pPr>
            <w:r>
              <w:rPr>
                <w:rFonts w:ascii="宋体" w:hAnsi="宋体" w:hint="eastAsia"/>
                <w:szCs w:val="24"/>
              </w:rPr>
              <w:t xml:space="preserve">- </w:t>
            </w:r>
          </w:p>
        </w:tc>
      </w:tr>
    </w:tbl>
    <w:p w:rsidR="00E11159" w:rsidRDefault="009D3BC4">
      <w:pPr>
        <w:pStyle w:val="XBRLTitle2"/>
        <w:spacing w:before="156" w:line="360" w:lineRule="auto"/>
        <w:ind w:left="454"/>
      </w:pPr>
      <w:bookmarkStart w:id="92" w:name="_Toc17898188"/>
      <w:bookmarkStart w:id="93" w:name="_Toc17897944"/>
      <w:bookmarkStart w:id="94" w:name="_Toc481075056"/>
      <w:bookmarkStart w:id="95" w:name="_Toc438646460"/>
      <w:bookmarkStart w:id="96" w:name="_Toc490050010"/>
      <w:bookmarkStart w:id="97" w:name="_Toc512519489"/>
      <w:bookmarkStart w:id="98" w:name="_Toc513295853"/>
      <w:bookmarkStart w:id="99" w:name="_Toc513295901"/>
      <w:bookmarkStart w:id="100" w:name="m402"/>
      <w:bookmarkEnd w:id="91"/>
      <w:proofErr w:type="spellStart"/>
      <w:r>
        <w:rPr>
          <w:rFonts w:hAnsi="宋体" w:hint="eastAsia"/>
        </w:rPr>
        <w:t>管理人对报告期内本基金运作遵规守信情况的说明</w:t>
      </w:r>
      <w:bookmarkEnd w:id="92"/>
      <w:bookmarkEnd w:id="93"/>
      <w:bookmarkEnd w:id="94"/>
      <w:bookmarkEnd w:id="95"/>
      <w:bookmarkEnd w:id="96"/>
      <w:bookmarkEnd w:id="97"/>
      <w:bookmarkEnd w:id="98"/>
      <w:bookmarkEnd w:id="99"/>
      <w:proofErr w:type="spellEnd"/>
      <w:r>
        <w:rPr>
          <w:rFonts w:hAnsi="宋体" w:hint="eastAsia"/>
        </w:rPr>
        <w:t xml:space="preserve"> </w:t>
      </w:r>
    </w:p>
    <w:p w:rsidR="00E11159" w:rsidRDefault="009D3BC4">
      <w:pPr>
        <w:spacing w:line="360" w:lineRule="auto"/>
        <w:ind w:firstLineChars="200" w:firstLine="420"/>
        <w:jc w:val="left"/>
      </w:pPr>
      <w:bookmarkStart w:id="101" w:name="m403"/>
      <w:bookmarkEnd w:id="100"/>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E11159" w:rsidRDefault="009D3BC4">
      <w:pPr>
        <w:pStyle w:val="XBRLTitle2"/>
        <w:spacing w:before="156" w:line="360" w:lineRule="auto"/>
        <w:ind w:left="454"/>
      </w:pPr>
      <w:bookmarkStart w:id="102" w:name="_Toc17898189"/>
      <w:bookmarkStart w:id="103" w:name="_Toc17897945"/>
      <w:bookmarkStart w:id="104" w:name="_Toc481075057"/>
      <w:bookmarkStart w:id="105" w:name="_Toc438646462"/>
      <w:bookmarkStart w:id="106" w:name="_Toc490050011"/>
      <w:bookmarkStart w:id="107" w:name="_Toc512519490"/>
      <w:bookmarkStart w:id="108" w:name="_Toc513295854"/>
      <w:bookmarkStart w:id="109" w:name="_Toc513295902"/>
      <w:bookmarkEnd w:id="101"/>
      <w:proofErr w:type="spellStart"/>
      <w:r>
        <w:rPr>
          <w:rFonts w:hAnsi="宋体" w:hint="eastAsia"/>
        </w:rPr>
        <w:t>公平交易专项说明</w:t>
      </w:r>
      <w:bookmarkEnd w:id="102"/>
      <w:bookmarkEnd w:id="103"/>
      <w:bookmarkEnd w:id="104"/>
      <w:bookmarkEnd w:id="105"/>
      <w:bookmarkEnd w:id="106"/>
      <w:bookmarkEnd w:id="107"/>
      <w:bookmarkEnd w:id="108"/>
      <w:bookmarkEnd w:id="109"/>
      <w:proofErr w:type="spellEnd"/>
      <w:r>
        <w:rPr>
          <w:rFonts w:hAnsi="宋体" w:hint="eastAsia"/>
        </w:rPr>
        <w:t xml:space="preserve"> </w:t>
      </w:r>
    </w:p>
    <w:p w:rsidR="00E11159" w:rsidRDefault="009D3BC4">
      <w:pPr>
        <w:pStyle w:val="XBRLTitle3"/>
        <w:spacing w:before="156"/>
        <w:ind w:left="0"/>
      </w:pPr>
      <w:bookmarkStart w:id="110" w:name="_Toc17898190"/>
      <w:bookmarkStart w:id="111" w:name="_Toc481075058"/>
      <w:bookmarkStart w:id="112" w:name="_Toc490050012"/>
      <w:bookmarkStart w:id="113" w:name="_Toc512519491"/>
      <w:bookmarkStart w:id="114" w:name="_Toc513295903"/>
      <w:bookmarkStart w:id="115" w:name="m404_01_0570"/>
      <w:proofErr w:type="spellStart"/>
      <w:r>
        <w:rPr>
          <w:rFonts w:hint="eastAsia"/>
        </w:rPr>
        <w:t>公平交易制度的执行情况</w:t>
      </w:r>
      <w:bookmarkEnd w:id="110"/>
      <w:bookmarkEnd w:id="111"/>
      <w:bookmarkEnd w:id="112"/>
      <w:bookmarkEnd w:id="113"/>
      <w:bookmarkEnd w:id="114"/>
      <w:proofErr w:type="spellEnd"/>
    </w:p>
    <w:p w:rsidR="00E11159" w:rsidRDefault="009D3BC4">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E11159" w:rsidRDefault="009D3BC4">
      <w:pPr>
        <w:pStyle w:val="XBRLTitle3"/>
        <w:spacing w:before="156"/>
        <w:ind w:left="0"/>
      </w:pPr>
      <w:bookmarkStart w:id="116" w:name="_Toc17898191"/>
      <w:bookmarkStart w:id="117" w:name="_Toc481075059"/>
      <w:bookmarkStart w:id="118" w:name="_Toc490050013"/>
      <w:bookmarkStart w:id="119" w:name="_Toc512519492"/>
      <w:bookmarkStart w:id="120" w:name="_Toc513295904"/>
      <w:bookmarkStart w:id="121" w:name="m404_01_0578"/>
      <w:bookmarkEnd w:id="115"/>
      <w:proofErr w:type="spellStart"/>
      <w:r>
        <w:rPr>
          <w:rFonts w:hint="eastAsia"/>
        </w:rPr>
        <w:t>异常交易行为的专项说明</w:t>
      </w:r>
      <w:bookmarkEnd w:id="116"/>
      <w:bookmarkEnd w:id="117"/>
      <w:bookmarkEnd w:id="118"/>
      <w:bookmarkEnd w:id="119"/>
      <w:bookmarkEnd w:id="120"/>
      <w:proofErr w:type="spellEnd"/>
    </w:p>
    <w:p w:rsidR="00E11159" w:rsidRDefault="009D3BC4">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E11159" w:rsidRDefault="009D3BC4">
      <w:pPr>
        <w:pStyle w:val="XBRLTitle2"/>
        <w:spacing w:before="156" w:line="360" w:lineRule="auto"/>
        <w:ind w:left="454"/>
      </w:pPr>
      <w:bookmarkStart w:id="122" w:name="_Toc17898192"/>
      <w:bookmarkStart w:id="123" w:name="_Toc17897946"/>
      <w:bookmarkStart w:id="124" w:name="_Toc481075061"/>
      <w:bookmarkStart w:id="125" w:name="_Toc490050014"/>
      <w:bookmarkStart w:id="126" w:name="_Toc512519493"/>
      <w:bookmarkStart w:id="127" w:name="_Toc513295855"/>
      <w:bookmarkStart w:id="128" w:name="_Toc513295905"/>
      <w:bookmarkStart w:id="129" w:name="m405_01_2550"/>
      <w:bookmarkEnd w:id="121"/>
      <w:proofErr w:type="spellStart"/>
      <w:r>
        <w:rPr>
          <w:rFonts w:hAnsi="宋体" w:hint="eastAsia"/>
        </w:rPr>
        <w:t>报告期内基金的投资策略和运作分析</w:t>
      </w:r>
      <w:bookmarkEnd w:id="122"/>
      <w:bookmarkEnd w:id="123"/>
      <w:bookmarkEnd w:id="124"/>
      <w:bookmarkEnd w:id="125"/>
      <w:bookmarkEnd w:id="126"/>
      <w:bookmarkEnd w:id="127"/>
      <w:bookmarkEnd w:id="128"/>
      <w:proofErr w:type="spellEnd"/>
      <w:r>
        <w:rPr>
          <w:rFonts w:hAnsi="宋体" w:hint="eastAsia"/>
        </w:rPr>
        <w:t xml:space="preserve"> </w:t>
      </w:r>
    </w:p>
    <w:p w:rsidR="00E11159" w:rsidRDefault="009D3BC4">
      <w:pPr>
        <w:spacing w:line="360" w:lineRule="auto"/>
        <w:ind w:firstLineChars="200" w:firstLine="420"/>
        <w:jc w:val="left"/>
      </w:pPr>
      <w:r>
        <w:rPr>
          <w:rFonts w:ascii="宋体" w:hAnsi="宋体" w:cs="宋体" w:hint="eastAsia"/>
          <w:color w:val="000000"/>
          <w:kern w:val="0"/>
        </w:rPr>
        <w:lastRenderedPageBreak/>
        <w:t>2025年一季度A股市场震荡为主，沪深300指数下跌1.2%，创业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下跌1.77%，市场整体较平淡，只有机器人等主题较强。本基金行业配置较均衡，偏重于锂电池、电子、汽车、家电、机械等行业，由于机器人产业处于较早期阶段，本产品配置不多。本季度电子配置带来一定超额收益，产品业绩表现略好于基准。</w:t>
      </w:r>
      <w:r>
        <w:rPr>
          <w:rFonts w:ascii="宋体" w:hAnsi="宋体" w:cs="宋体" w:hint="eastAsia"/>
          <w:color w:val="000000"/>
          <w:kern w:val="0"/>
        </w:rPr>
        <w:br/>
        <w:t xml:space="preserve">　　年初以来中国宏大叙事发生的最大变化是</w:t>
      </w:r>
      <w:proofErr w:type="spellStart"/>
      <w:r>
        <w:rPr>
          <w:rFonts w:ascii="宋体" w:hAnsi="宋体" w:cs="宋体" w:hint="eastAsia"/>
          <w:color w:val="000000"/>
          <w:kern w:val="0"/>
        </w:rPr>
        <w:t>DeepSeek</w:t>
      </w:r>
      <w:proofErr w:type="spellEnd"/>
      <w:r>
        <w:rPr>
          <w:rFonts w:ascii="宋体" w:hAnsi="宋体" w:cs="宋体" w:hint="eastAsia"/>
          <w:color w:val="000000"/>
          <w:kern w:val="0"/>
        </w:rPr>
        <w:t>的诞生，证明中国AI水平不弱于美国，且成本更低；而中国在汽车、新能源、家电等诸多制造业领域，相对而言领先于美国，所以中国股市以沪深300为例，12倍PE左右是相对低估的，我们看好中国股市估值修复的机会。</w:t>
      </w:r>
      <w:r>
        <w:rPr>
          <w:rFonts w:ascii="宋体" w:hAnsi="宋体" w:cs="宋体" w:hint="eastAsia"/>
          <w:color w:val="000000"/>
          <w:kern w:val="0"/>
        </w:rPr>
        <w:br/>
        <w:t xml:space="preserve">　　自下而上研究，我们认为科技、新能源、制造业、有色等行业景气度较好，估值较低。科技行业：</w:t>
      </w:r>
      <w:proofErr w:type="spellStart"/>
      <w:r>
        <w:rPr>
          <w:rFonts w:ascii="宋体" w:hAnsi="宋体" w:cs="宋体" w:hint="eastAsia"/>
          <w:color w:val="000000"/>
          <w:kern w:val="0"/>
        </w:rPr>
        <w:t>DeepSeek</w:t>
      </w:r>
      <w:proofErr w:type="spellEnd"/>
      <w:r>
        <w:rPr>
          <w:rFonts w:ascii="宋体" w:hAnsi="宋体" w:cs="宋体" w:hint="eastAsia"/>
          <w:color w:val="000000"/>
          <w:kern w:val="0"/>
        </w:rPr>
        <w:t>的诞生有望加速国内AI应用，软件方面关注互联网公司、硬件方面关注智能终端、智能驾驶等行业投资机会，同时关注半导体自主可控领域投资机会。新能源行业：国内新能源车渗透率至50%附近，增速有所放缓，但其他行业</w:t>
      </w:r>
      <w:proofErr w:type="gramStart"/>
      <w:r>
        <w:rPr>
          <w:rFonts w:ascii="宋体" w:hAnsi="宋体" w:cs="宋体" w:hint="eastAsia"/>
          <w:color w:val="000000"/>
          <w:kern w:val="0"/>
        </w:rPr>
        <w:t>锂电化仍</w:t>
      </w:r>
      <w:proofErr w:type="gramEnd"/>
      <w:r>
        <w:rPr>
          <w:rFonts w:ascii="宋体" w:hAnsi="宋体" w:cs="宋体" w:hint="eastAsia"/>
          <w:color w:val="000000"/>
          <w:kern w:val="0"/>
        </w:rPr>
        <w:t>有较大空间，仍关注电池和优秀整车等企业。制造业：家电、机械等行业有不少企业仍在全球化扩张，增速和估值较匹配。有色金属：铜和黄金商品由于供给没有增长，但需求有较低增长，导致企业维持高盈利状态，估值相对较低。</w:t>
      </w:r>
    </w:p>
    <w:p w:rsidR="00E11159" w:rsidRDefault="009D3BC4">
      <w:pPr>
        <w:pStyle w:val="XBRLTitle2"/>
        <w:spacing w:before="156" w:line="360" w:lineRule="auto"/>
        <w:ind w:left="454"/>
      </w:pPr>
      <w:bookmarkStart w:id="130" w:name="_Toc17898193"/>
      <w:bookmarkStart w:id="131" w:name="_Toc17897947"/>
      <w:bookmarkStart w:id="132" w:name="_Toc490050015"/>
      <w:bookmarkStart w:id="133" w:name="_Toc481075062"/>
      <w:bookmarkStart w:id="134" w:name="_Toc512519494"/>
      <w:bookmarkStart w:id="135" w:name="_Toc513295856"/>
      <w:bookmarkStart w:id="136" w:name="_Toc513295906"/>
      <w:bookmarkStart w:id="137" w:name="m405_01_2549"/>
      <w:bookmarkEnd w:id="129"/>
      <w:proofErr w:type="spellStart"/>
      <w:r>
        <w:rPr>
          <w:rFonts w:hAnsi="宋体" w:hint="eastAsia"/>
        </w:rPr>
        <w:t>报告期内基金的业绩表现</w:t>
      </w:r>
      <w:bookmarkEnd w:id="130"/>
      <w:bookmarkEnd w:id="131"/>
      <w:bookmarkEnd w:id="132"/>
      <w:bookmarkEnd w:id="133"/>
      <w:bookmarkEnd w:id="134"/>
      <w:bookmarkEnd w:id="135"/>
      <w:bookmarkEnd w:id="136"/>
      <w:proofErr w:type="spellEnd"/>
      <w:r>
        <w:rPr>
          <w:rFonts w:hAnsi="宋体" w:hint="eastAsia"/>
        </w:rPr>
        <w:t xml:space="preserve"> </w:t>
      </w:r>
      <w:bookmarkEnd w:id="137"/>
    </w:p>
    <w:p w:rsidR="00E11159" w:rsidRDefault="009D3BC4">
      <w:pPr>
        <w:spacing w:line="360" w:lineRule="auto"/>
        <w:ind w:firstLineChars="200" w:firstLine="420"/>
      </w:pPr>
      <w:r>
        <w:rPr>
          <w:rFonts w:ascii="宋体" w:hAnsi="宋体" w:hint="eastAsia"/>
        </w:rPr>
        <w:t>本报告期摩根智选30混合A份额净值增长率为：2.97%，同期业绩比较基准收益率为：-0.94%；</w:t>
      </w:r>
      <w:r>
        <w:rPr>
          <w:rFonts w:ascii="宋体" w:hAnsi="宋体" w:hint="eastAsia"/>
        </w:rPr>
        <w:br/>
        <w:t xml:space="preserve">　　摩根智选30混合C份额净值增长率为：2.81%，同期业绩比较基准收益率为：-0.94%。</w:t>
      </w:r>
    </w:p>
    <w:p w:rsidR="00E11159" w:rsidRDefault="009D3BC4">
      <w:pPr>
        <w:pStyle w:val="XBRLTitle2"/>
        <w:spacing w:before="156" w:line="360" w:lineRule="auto"/>
        <w:ind w:left="454"/>
      </w:pPr>
      <w:bookmarkStart w:id="138" w:name="m406"/>
      <w:bookmarkStart w:id="139" w:name="_Toc17898194"/>
      <w:bookmarkStart w:id="140" w:name="_Toc17897948"/>
      <w:bookmarkStart w:id="141" w:name="_Toc490050016"/>
      <w:bookmarkStart w:id="142" w:name="_Toc481075063"/>
      <w:bookmarkStart w:id="143" w:name="_Toc438646465"/>
      <w:bookmarkStart w:id="144" w:name="_Toc512519495"/>
      <w:bookmarkStart w:id="145" w:name="_Toc513295857"/>
      <w:bookmarkStart w:id="146" w:name="_Toc513295907"/>
      <w:bookmarkStart w:id="147" w:name="m407"/>
      <w:bookmarkEnd w:id="138"/>
      <w:proofErr w:type="spellStart"/>
      <w:r>
        <w:rPr>
          <w:rFonts w:hAnsi="宋体" w:hint="eastAsia"/>
        </w:rPr>
        <w:t>报告期内基金持有人数或基金资产净值预警说明</w:t>
      </w:r>
      <w:bookmarkEnd w:id="139"/>
      <w:bookmarkEnd w:id="140"/>
      <w:bookmarkEnd w:id="141"/>
      <w:bookmarkEnd w:id="142"/>
      <w:bookmarkEnd w:id="143"/>
      <w:bookmarkEnd w:id="144"/>
      <w:bookmarkEnd w:id="145"/>
      <w:bookmarkEnd w:id="146"/>
      <w:proofErr w:type="spellEnd"/>
      <w:r>
        <w:rPr>
          <w:rFonts w:hAnsi="宋体" w:hint="eastAsia"/>
        </w:rPr>
        <w:t xml:space="preserve"> </w:t>
      </w:r>
    </w:p>
    <w:p w:rsidR="00E11159" w:rsidRDefault="009D3BC4">
      <w:pPr>
        <w:spacing w:line="360" w:lineRule="auto"/>
        <w:ind w:firstLineChars="200" w:firstLine="420"/>
        <w:jc w:val="left"/>
      </w:pPr>
      <w:r>
        <w:rPr>
          <w:rFonts w:ascii="宋体" w:hAnsi="宋体" w:hint="eastAsia"/>
        </w:rPr>
        <w:t>无。</w:t>
      </w:r>
    </w:p>
    <w:p w:rsidR="00E11159" w:rsidRDefault="009D3BC4">
      <w:pPr>
        <w:pStyle w:val="XBRLTitle1"/>
        <w:spacing w:before="156" w:line="360" w:lineRule="auto"/>
        <w:ind w:left="425"/>
      </w:pPr>
      <w:bookmarkStart w:id="148" w:name="_Toc17898195"/>
      <w:bookmarkStart w:id="149" w:name="_Toc17897949"/>
      <w:bookmarkStart w:id="150" w:name="_Toc512519496"/>
      <w:bookmarkStart w:id="151" w:name="_Toc481075064"/>
      <w:bookmarkStart w:id="152" w:name="_Toc438646466"/>
      <w:bookmarkStart w:id="153" w:name="_Toc490050017"/>
      <w:bookmarkStart w:id="154" w:name="_Toc513295858"/>
      <w:bookmarkStart w:id="155" w:name="_Toc513295908"/>
      <w:bookmarkEnd w:id="147"/>
      <w:proofErr w:type="spellStart"/>
      <w:r>
        <w:rPr>
          <w:rFonts w:hAnsi="宋体" w:hint="eastAsia"/>
        </w:rPr>
        <w:t>投资组合报告</w:t>
      </w:r>
      <w:bookmarkEnd w:id="148"/>
      <w:bookmarkEnd w:id="149"/>
      <w:bookmarkEnd w:id="150"/>
      <w:bookmarkEnd w:id="151"/>
      <w:bookmarkEnd w:id="152"/>
      <w:bookmarkEnd w:id="153"/>
      <w:bookmarkEnd w:id="154"/>
      <w:bookmarkEnd w:id="155"/>
      <w:proofErr w:type="spellEnd"/>
      <w:r>
        <w:rPr>
          <w:rFonts w:hAnsi="宋体" w:hint="eastAsia"/>
        </w:rPr>
        <w:t xml:space="preserve"> </w:t>
      </w:r>
    </w:p>
    <w:p w:rsidR="00E11159" w:rsidRDefault="009D3BC4">
      <w:pPr>
        <w:pStyle w:val="XBRLTitle2"/>
        <w:spacing w:before="156" w:line="360" w:lineRule="auto"/>
        <w:ind w:left="454"/>
      </w:pPr>
      <w:bookmarkStart w:id="156" w:name="_Toc17898196"/>
      <w:bookmarkStart w:id="157" w:name="_Toc17897950"/>
      <w:bookmarkStart w:id="158" w:name="_Toc481075065"/>
      <w:bookmarkStart w:id="159" w:name="_Toc438646467"/>
      <w:bookmarkStart w:id="160" w:name="_Toc490050018"/>
      <w:bookmarkStart w:id="161" w:name="_Toc512519497"/>
      <w:bookmarkStart w:id="162" w:name="_Toc513295859"/>
      <w:bookmarkStart w:id="163" w:name="_Toc513295909"/>
      <w:bookmarkStart w:id="164" w:name="m501"/>
      <w:proofErr w:type="spellStart"/>
      <w:r>
        <w:rPr>
          <w:rFonts w:hAnsi="宋体" w:hint="eastAsia"/>
        </w:rPr>
        <w:t>报告期末基金资产组合情况</w:t>
      </w:r>
      <w:bookmarkEnd w:id="156"/>
      <w:bookmarkEnd w:id="157"/>
      <w:bookmarkEnd w:id="158"/>
      <w:bookmarkEnd w:id="159"/>
      <w:bookmarkEnd w:id="160"/>
      <w:bookmarkEnd w:id="161"/>
      <w:bookmarkEnd w:id="162"/>
      <w:bookmarkEnd w:id="163"/>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E11159">
        <w:trPr>
          <w:divId w:val="740563955"/>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11159" w:rsidRDefault="009D3BC4">
            <w:pPr>
              <w:jc w:val="center"/>
            </w:pPr>
            <w:bookmarkStart w:id="165" w:name="m08QD_01_tab"/>
            <w:bookmarkEnd w:id="165"/>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E11159" w:rsidRDefault="009D3BC4">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E11159" w:rsidRDefault="009D3BC4">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E11159" w:rsidRDefault="009D3BC4">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E11159">
        <w:trPr>
          <w:divId w:val="7405639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E11159" w:rsidRDefault="009D3BC4">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536,410,713.24</w:t>
            </w:r>
          </w:p>
        </w:tc>
        <w:tc>
          <w:tcPr>
            <w:tcW w:w="1333"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75.05</w:t>
            </w:r>
          </w:p>
        </w:tc>
      </w:tr>
      <w:tr w:rsidR="00E11159">
        <w:trPr>
          <w:divId w:val="7405639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E11159" w:rsidRDefault="009D3BC4">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536,410,713.24</w:t>
            </w:r>
          </w:p>
        </w:tc>
        <w:tc>
          <w:tcPr>
            <w:tcW w:w="1333"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75.05</w:t>
            </w:r>
          </w:p>
        </w:tc>
      </w:tr>
      <w:tr w:rsidR="00E11159">
        <w:trPr>
          <w:divId w:val="7405639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E11159" w:rsidRDefault="009D3BC4">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w:t>
            </w:r>
          </w:p>
        </w:tc>
      </w:tr>
      <w:tr w:rsidR="00E11159">
        <w:trPr>
          <w:divId w:val="7405639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E11159" w:rsidRDefault="009D3BC4">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w:t>
            </w:r>
          </w:p>
        </w:tc>
      </w:tr>
      <w:tr w:rsidR="00E11159">
        <w:trPr>
          <w:divId w:val="7405639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E11159" w:rsidRDefault="009D3BC4">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w:t>
            </w:r>
          </w:p>
        </w:tc>
      </w:tr>
      <w:tr w:rsidR="00E11159">
        <w:trPr>
          <w:divId w:val="7405639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E11159" w:rsidRDefault="009D3BC4">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w:t>
            </w:r>
          </w:p>
        </w:tc>
      </w:tr>
      <w:tr w:rsidR="00E11159">
        <w:trPr>
          <w:divId w:val="7405639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E11159" w:rsidRDefault="009D3BC4">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w:t>
            </w:r>
          </w:p>
        </w:tc>
      </w:tr>
      <w:tr w:rsidR="00E11159">
        <w:trPr>
          <w:divId w:val="7405639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E11159" w:rsidRDefault="009D3BC4">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w:t>
            </w:r>
          </w:p>
        </w:tc>
      </w:tr>
      <w:tr w:rsidR="00E11159">
        <w:trPr>
          <w:divId w:val="7405639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E11159" w:rsidRDefault="009D3BC4">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w:t>
            </w:r>
          </w:p>
        </w:tc>
      </w:tr>
      <w:tr w:rsidR="00E11159">
        <w:trPr>
          <w:divId w:val="7405639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rPr>
                <w:rFonts w:ascii="宋体" w:hAnsi="宋体"/>
                <w:color w:val="000000"/>
                <w:lang w:eastAsia="zh-Hans"/>
              </w:rPr>
            </w:pPr>
            <w:r>
              <w:rPr>
                <w:rFonts w:ascii="宋体" w:hAnsi="宋体" w:hint="eastAsia"/>
                <w:color w:val="000000"/>
                <w:lang w:eastAsia="zh-Hans"/>
              </w:rPr>
              <w:lastRenderedPageBreak/>
              <w:t xml:space="preserve">　 </w:t>
            </w:r>
          </w:p>
        </w:tc>
        <w:tc>
          <w:tcPr>
            <w:tcW w:w="1979" w:type="pct"/>
            <w:tcBorders>
              <w:top w:val="single" w:sz="4" w:space="0" w:color="auto"/>
              <w:left w:val="nil"/>
              <w:bottom w:val="single" w:sz="4" w:space="0" w:color="auto"/>
              <w:right w:val="single" w:sz="4" w:space="0" w:color="auto"/>
            </w:tcBorders>
            <w:vAlign w:val="center"/>
            <w:hideMark/>
          </w:tcPr>
          <w:p w:rsidR="00E11159" w:rsidRDefault="009D3BC4">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w:t>
            </w:r>
          </w:p>
        </w:tc>
      </w:tr>
      <w:tr w:rsidR="00E11159">
        <w:trPr>
          <w:divId w:val="7405639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E11159" w:rsidRDefault="009D3BC4">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171,518,258.87</w:t>
            </w:r>
          </w:p>
        </w:tc>
        <w:tc>
          <w:tcPr>
            <w:tcW w:w="1333"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24.00</w:t>
            </w:r>
          </w:p>
        </w:tc>
      </w:tr>
      <w:tr w:rsidR="00E11159">
        <w:trPr>
          <w:divId w:val="7405639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E11159" w:rsidRDefault="009D3BC4">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6,771,581.64</w:t>
            </w:r>
          </w:p>
        </w:tc>
        <w:tc>
          <w:tcPr>
            <w:tcW w:w="1333"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0.95</w:t>
            </w:r>
          </w:p>
        </w:tc>
      </w:tr>
      <w:tr w:rsidR="00E11159">
        <w:trPr>
          <w:divId w:val="7405639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11159" w:rsidRDefault="009D3BC4">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E11159" w:rsidRDefault="009D3BC4">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714,700,553.75</w:t>
            </w:r>
          </w:p>
        </w:tc>
        <w:tc>
          <w:tcPr>
            <w:tcW w:w="1333" w:type="pct"/>
            <w:tcBorders>
              <w:top w:val="single" w:sz="4" w:space="0" w:color="auto"/>
              <w:left w:val="nil"/>
              <w:bottom w:val="single" w:sz="4" w:space="0" w:color="auto"/>
              <w:right w:val="single" w:sz="4" w:space="0" w:color="auto"/>
            </w:tcBorders>
            <w:vAlign w:val="center"/>
            <w:hideMark/>
          </w:tcPr>
          <w:p w:rsidR="00E11159" w:rsidRDefault="009D3BC4">
            <w:pPr>
              <w:jc w:val="right"/>
            </w:pPr>
            <w:r>
              <w:rPr>
                <w:rFonts w:ascii="宋体" w:hAnsi="宋体" w:hint="eastAsia"/>
                <w:szCs w:val="24"/>
                <w:lang w:eastAsia="zh-Hans"/>
              </w:rPr>
              <w:t>100.00</w:t>
            </w:r>
          </w:p>
        </w:tc>
      </w:tr>
    </w:tbl>
    <w:p w:rsidR="00E11159" w:rsidRDefault="009D3BC4">
      <w:pPr>
        <w:pStyle w:val="XBRLTitle2"/>
        <w:spacing w:before="156" w:line="360" w:lineRule="auto"/>
        <w:ind w:left="454"/>
      </w:pPr>
      <w:bookmarkStart w:id="166" w:name="_Toc17898197"/>
      <w:bookmarkStart w:id="167" w:name="_Toc17897951"/>
      <w:bookmarkStart w:id="168" w:name="_Toc512519498"/>
      <w:bookmarkStart w:id="169" w:name="_Toc481075066"/>
      <w:bookmarkStart w:id="170" w:name="_Toc438646468"/>
      <w:bookmarkStart w:id="171" w:name="_Toc490050019"/>
      <w:bookmarkStart w:id="172" w:name="_Toc513295860"/>
      <w:bookmarkStart w:id="173" w:name="_Toc513295910"/>
      <w:bookmarkEnd w:id="164"/>
      <w:proofErr w:type="spellStart"/>
      <w:r>
        <w:rPr>
          <w:rFonts w:hAnsi="宋体" w:hint="eastAsia"/>
        </w:rPr>
        <w:t>报告期末按行业分类的股票投资组合</w:t>
      </w:r>
      <w:bookmarkEnd w:id="166"/>
      <w:bookmarkEnd w:id="167"/>
      <w:bookmarkEnd w:id="168"/>
      <w:bookmarkEnd w:id="169"/>
      <w:bookmarkEnd w:id="170"/>
      <w:bookmarkEnd w:id="171"/>
      <w:bookmarkEnd w:id="172"/>
      <w:bookmarkEnd w:id="173"/>
      <w:proofErr w:type="spellEnd"/>
      <w:r>
        <w:rPr>
          <w:rFonts w:hAnsi="宋体" w:hint="eastAsia"/>
          <w:lang w:eastAsia="zh-CN"/>
        </w:rPr>
        <w:t xml:space="preserve"> </w:t>
      </w:r>
    </w:p>
    <w:p w:rsidR="00E11159" w:rsidRDefault="009D3BC4">
      <w:pPr>
        <w:pStyle w:val="XBRLTitle3"/>
        <w:spacing w:before="156"/>
        <w:ind w:left="0"/>
      </w:pPr>
      <w:bookmarkStart w:id="174" w:name="_Toc17898198"/>
      <w:bookmarkStart w:id="175" w:name="_Toc481075067"/>
      <w:bookmarkStart w:id="176" w:name="_Toc490050020"/>
      <w:bookmarkStart w:id="177" w:name="_Toc512519499"/>
      <w:bookmarkStart w:id="178" w:name="_Toc513295911"/>
      <w:proofErr w:type="spellStart"/>
      <w:r>
        <w:rPr>
          <w:rFonts w:hint="eastAsia"/>
        </w:rPr>
        <w:t>报告期末按行业分类的境内股票投资组合</w:t>
      </w:r>
      <w:bookmarkEnd w:id="174"/>
      <w:bookmarkEnd w:id="175"/>
      <w:bookmarkEnd w:id="176"/>
      <w:bookmarkEnd w:id="177"/>
      <w:bookmarkEnd w:id="178"/>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E11159">
        <w:trPr>
          <w:divId w:val="669793328"/>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11159" w:rsidRDefault="009D3BC4">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E11159" w:rsidRDefault="009D3BC4">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E11159" w:rsidRDefault="009D3BC4">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E11159" w:rsidRDefault="009D3BC4">
            <w:pPr>
              <w:jc w:val="center"/>
            </w:pPr>
            <w:r>
              <w:rPr>
                <w:rFonts w:ascii="宋体" w:hAnsi="宋体" w:hint="eastAsia"/>
                <w:color w:val="000000"/>
              </w:rPr>
              <w:t xml:space="preserve">占基金资产净值比例（%） </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69,866,577.72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9.80</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443,322,283.63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62.19</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9,333,036.00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1.31</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13,888,815.89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1.95</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w:t>
            </w:r>
          </w:p>
        </w:tc>
      </w:tr>
      <w:tr w:rsidR="00E11159">
        <w:trPr>
          <w:divId w:val="6697933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11159" w:rsidRDefault="009D3BC4">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11159" w:rsidRDefault="009D3BC4">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11159" w:rsidRDefault="009D3BC4">
            <w:pPr>
              <w:jc w:val="right"/>
            </w:pPr>
            <w:r>
              <w:rPr>
                <w:rFonts w:ascii="宋体" w:hAnsi="宋体" w:hint="eastAsia"/>
                <w:szCs w:val="24"/>
                <w:lang w:eastAsia="zh-Hans"/>
              </w:rPr>
              <w:t>536,410,713.24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11159" w:rsidRDefault="009D3BC4">
            <w:pPr>
              <w:jc w:val="right"/>
            </w:pPr>
            <w:r>
              <w:rPr>
                <w:rFonts w:ascii="宋体" w:hAnsi="宋体" w:hint="eastAsia"/>
                <w:szCs w:val="24"/>
                <w:lang w:eastAsia="zh-Hans"/>
              </w:rPr>
              <w:t>75.24</w:t>
            </w:r>
          </w:p>
        </w:tc>
      </w:tr>
    </w:tbl>
    <w:p w:rsidR="00E11159" w:rsidRDefault="009D3BC4">
      <w:pPr>
        <w:pStyle w:val="XBRLTitle3"/>
        <w:spacing w:before="156"/>
        <w:ind w:left="0"/>
      </w:pPr>
      <w:bookmarkStart w:id="179" w:name="_Toc17898199"/>
      <w:bookmarkStart w:id="180" w:name="_Toc481075068"/>
      <w:bookmarkStart w:id="181" w:name="_Toc490050021"/>
      <w:bookmarkStart w:id="182" w:name="_Toc512519500"/>
      <w:bookmarkStart w:id="183" w:name="_Toc513295912"/>
      <w:bookmarkStart w:id="184" w:name="m502_tab"/>
      <w:proofErr w:type="spellStart"/>
      <w:r>
        <w:rPr>
          <w:rFonts w:hint="eastAsia"/>
        </w:rPr>
        <w:t>报告期末按行业分类的港股通投资股票投资组合</w:t>
      </w:r>
      <w:bookmarkEnd w:id="179"/>
      <w:bookmarkEnd w:id="180"/>
      <w:bookmarkEnd w:id="181"/>
      <w:bookmarkEnd w:id="182"/>
      <w:bookmarkEnd w:id="183"/>
      <w:proofErr w:type="spellEnd"/>
      <w:r>
        <w:rPr>
          <w:rFonts w:hint="eastAsia"/>
          <w:szCs w:val="24"/>
        </w:rPr>
        <w:t xml:space="preserve"> </w:t>
      </w:r>
    </w:p>
    <w:p w:rsidR="00E11159" w:rsidRDefault="009D3BC4">
      <w:pPr>
        <w:spacing w:line="360" w:lineRule="auto"/>
        <w:ind w:firstLineChars="200" w:firstLine="420"/>
        <w:divId w:val="838734432"/>
      </w:pPr>
      <w:r>
        <w:rPr>
          <w:rFonts w:ascii="宋体" w:hAnsi="宋体" w:hint="eastAsia"/>
          <w:szCs w:val="21"/>
          <w:lang w:eastAsia="zh-Hans"/>
        </w:rPr>
        <w:t>本基金本报告期末未持有港股通股票 。</w:t>
      </w:r>
    </w:p>
    <w:p w:rsidR="00E11159" w:rsidRDefault="009D3BC4">
      <w:pPr>
        <w:pStyle w:val="XBRLTitle2"/>
        <w:spacing w:before="156"/>
        <w:ind w:left="454"/>
      </w:pPr>
      <w:bookmarkStart w:id="185" w:name="_Toc178982961"/>
      <w:bookmarkStart w:id="186" w:name="_Toc17897958"/>
      <w:bookmarkStart w:id="187" w:name="_Toc485300375"/>
      <w:bookmarkStart w:id="188" w:name="_Toc453852755"/>
      <w:bookmarkStart w:id="189" w:name="_Toc452398761"/>
      <w:bookmarkStart w:id="190" w:name="_Toc454983410"/>
      <w:bookmarkStart w:id="191" w:name="_Toc497398255"/>
      <w:bookmarkStart w:id="192" w:name="_Toc506208451"/>
      <w:bookmarkStart w:id="193" w:name="m08QD_10"/>
      <w:proofErr w:type="spellStart"/>
      <w:r>
        <w:rPr>
          <w:rFonts w:hint="eastAsia"/>
        </w:rPr>
        <w:t>期末按公允价值占基金资产净值比例大小排序的股票投资明细</w:t>
      </w:r>
      <w:bookmarkEnd w:id="185"/>
      <w:proofErr w:type="spellEnd"/>
    </w:p>
    <w:p w:rsidR="00E11159" w:rsidRDefault="009D3BC4">
      <w:pPr>
        <w:pStyle w:val="XBRLTitle3"/>
        <w:spacing w:before="156"/>
        <w:ind w:left="0"/>
      </w:pPr>
      <w:bookmarkStart w:id="194" w:name="_Toc178982962"/>
      <w:bookmarkStart w:id="195" w:name="_Toc485300376"/>
      <w:bookmarkStart w:id="196" w:name="_Toc497398256"/>
      <w:bookmarkStart w:id="197" w:name="_Toc453852756"/>
      <w:bookmarkStart w:id="198" w:name="_Toc454983411"/>
      <w:proofErr w:type="spellStart"/>
      <w:r>
        <w:rPr>
          <w:rFonts w:hAnsi="宋体" w:hint="eastAsia"/>
        </w:rPr>
        <w:t>报告期末按公允价值占基金资产净值比例大小排序的前十名股票投资明细</w:t>
      </w:r>
      <w:bookmarkEnd w:id="194"/>
      <w:bookmarkEnd w:id="195"/>
      <w:bookmarkEnd w:id="196"/>
      <w:bookmarkEnd w:id="197"/>
      <w:bookmarkEnd w:id="19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E11159">
        <w:trPr>
          <w:divId w:val="1024748427"/>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11159" w:rsidRDefault="009D3BC4">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11159" w:rsidRDefault="009D3BC4">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11159" w:rsidRDefault="009D3BC4">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11159" w:rsidRDefault="009D3BC4">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11159" w:rsidRDefault="009D3BC4">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11159" w:rsidRDefault="009D3BC4">
            <w:pPr>
              <w:jc w:val="center"/>
            </w:pPr>
            <w:r>
              <w:rPr>
                <w:rFonts w:ascii="宋体" w:hAnsi="宋体" w:hint="eastAsia"/>
                <w:color w:val="000000"/>
              </w:rPr>
              <w:t xml:space="preserve">占基金资产净值比例（%） </w:t>
            </w:r>
          </w:p>
        </w:tc>
      </w:tr>
      <w:tr w:rsidR="00E11159">
        <w:trPr>
          <w:divId w:val="1024748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260,684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65,937,410.96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9.25</w:t>
            </w:r>
          </w:p>
        </w:tc>
      </w:tr>
      <w:tr w:rsidR="00E11159">
        <w:trPr>
          <w:divId w:val="1024748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576,924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46,736,613.24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6.56</w:t>
            </w:r>
          </w:p>
        </w:tc>
      </w:tr>
      <w:tr w:rsidR="00E11159">
        <w:trPr>
          <w:divId w:val="1024748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lastRenderedPageBreak/>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1,138,363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46,547,663.07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6.53</w:t>
            </w:r>
          </w:p>
        </w:tc>
      </w:tr>
      <w:tr w:rsidR="00E11159">
        <w:trPr>
          <w:divId w:val="1024748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554,573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43,533,980.50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6.11</w:t>
            </w:r>
          </w:p>
        </w:tc>
      </w:tr>
      <w:tr w:rsidR="00E11159">
        <w:trPr>
          <w:divId w:val="1024748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601899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2,317,831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41,999,097.72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5.89</w:t>
            </w:r>
          </w:p>
        </w:tc>
      </w:tr>
      <w:tr w:rsidR="00E11159">
        <w:trPr>
          <w:divId w:val="1024748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92,290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34,599,521.00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4.85</w:t>
            </w:r>
          </w:p>
        </w:tc>
      </w:tr>
      <w:tr w:rsidR="00E11159">
        <w:trPr>
          <w:divId w:val="1024748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838,408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23,332,894.64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3.27</w:t>
            </w:r>
          </w:p>
        </w:tc>
      </w:tr>
      <w:tr w:rsidR="00E11159">
        <w:trPr>
          <w:divId w:val="1024748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675,400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22,112,596.00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3.10</w:t>
            </w:r>
          </w:p>
        </w:tc>
      </w:tr>
      <w:tr w:rsidR="00E11159">
        <w:trPr>
          <w:divId w:val="1024748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600660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福耀玻璃</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364,091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21,324,809.87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2.99</w:t>
            </w:r>
          </w:p>
        </w:tc>
      </w:tr>
      <w:tr w:rsidR="00E11159">
        <w:trPr>
          <w:divId w:val="102474842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000975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szCs w:val="24"/>
                <w:lang w:eastAsia="zh-Hans"/>
              </w:rPr>
              <w:t>山金国际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808,400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15,521,280.00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szCs w:val="24"/>
                <w:lang w:eastAsia="zh-Hans"/>
              </w:rPr>
              <w:t>2.18</w:t>
            </w:r>
          </w:p>
        </w:tc>
      </w:tr>
    </w:tbl>
    <w:p w:rsidR="00E11159" w:rsidRDefault="009D3BC4">
      <w:pPr>
        <w:pStyle w:val="XBRLTitle2"/>
        <w:spacing w:before="156" w:line="360" w:lineRule="auto"/>
        <w:ind w:left="454"/>
      </w:pPr>
      <w:bookmarkStart w:id="199" w:name="_Toc17898201"/>
      <w:bookmarkStart w:id="200" w:name="_Toc17897953"/>
      <w:bookmarkStart w:id="201" w:name="_Toc481075070"/>
      <w:bookmarkStart w:id="202" w:name="_Toc438646471"/>
      <w:bookmarkStart w:id="203" w:name="_Toc490050023"/>
      <w:bookmarkStart w:id="204" w:name="_Toc512519502"/>
      <w:bookmarkStart w:id="205" w:name="_Toc513295862"/>
      <w:bookmarkStart w:id="206" w:name="_Toc513295914"/>
      <w:bookmarkStart w:id="207" w:name="m505"/>
      <w:proofErr w:type="spellStart"/>
      <w:r>
        <w:rPr>
          <w:rFonts w:hAnsi="宋体" w:hint="eastAsia"/>
        </w:rPr>
        <w:t>报告期末按债券品种分类的债券投资组合</w:t>
      </w:r>
      <w:bookmarkEnd w:id="199"/>
      <w:bookmarkEnd w:id="200"/>
      <w:bookmarkEnd w:id="201"/>
      <w:bookmarkEnd w:id="202"/>
      <w:bookmarkEnd w:id="203"/>
      <w:bookmarkEnd w:id="204"/>
      <w:bookmarkEnd w:id="205"/>
      <w:bookmarkEnd w:id="206"/>
      <w:proofErr w:type="spellEnd"/>
      <w:r>
        <w:rPr>
          <w:rFonts w:hAnsi="宋体" w:hint="eastAsia"/>
        </w:rPr>
        <w:t xml:space="preserve"> </w:t>
      </w:r>
    </w:p>
    <w:p w:rsidR="00E11159" w:rsidRDefault="009D3BC4">
      <w:pPr>
        <w:spacing w:line="360" w:lineRule="auto"/>
        <w:ind w:firstLineChars="200" w:firstLine="420"/>
        <w:jc w:val="left"/>
      </w:pPr>
      <w:r>
        <w:rPr>
          <w:rFonts w:ascii="宋体" w:hAnsi="宋体" w:hint="eastAsia"/>
        </w:rPr>
        <w:t>本基金本报告期末未持有债券。</w:t>
      </w:r>
      <w:bookmarkStart w:id="208" w:name="m08QD_06"/>
      <w:bookmarkEnd w:id="208"/>
      <w:r>
        <w:rPr>
          <w:rFonts w:ascii="宋体" w:hAnsi="宋体" w:hint="eastAsia"/>
        </w:rPr>
        <w:t xml:space="preserve"> </w:t>
      </w:r>
    </w:p>
    <w:p w:rsidR="00E11159" w:rsidRDefault="009D3BC4">
      <w:pPr>
        <w:pStyle w:val="XBRLTitle2"/>
        <w:spacing w:before="156" w:line="360" w:lineRule="auto"/>
        <w:ind w:left="454"/>
      </w:pPr>
      <w:bookmarkStart w:id="209" w:name="_Toc17898202"/>
      <w:bookmarkStart w:id="210" w:name="_Toc17897954"/>
      <w:bookmarkStart w:id="211" w:name="_Toc481075071"/>
      <w:bookmarkStart w:id="212" w:name="_Toc438646472"/>
      <w:bookmarkStart w:id="213" w:name="_Toc490050024"/>
      <w:bookmarkStart w:id="214" w:name="_Toc512519503"/>
      <w:bookmarkStart w:id="215" w:name="_Toc513295863"/>
      <w:bookmarkStart w:id="216" w:name="_Toc513295915"/>
      <w:bookmarkStart w:id="217" w:name="m506"/>
      <w:bookmarkEnd w:id="207"/>
      <w:proofErr w:type="spellStart"/>
      <w:r>
        <w:rPr>
          <w:rFonts w:hAnsi="宋体" w:hint="eastAsia"/>
        </w:rPr>
        <w:t>报告期末按公允价值占基金资产净值比例大小排序的前五名债券投资明细</w:t>
      </w:r>
      <w:bookmarkEnd w:id="209"/>
      <w:bookmarkEnd w:id="210"/>
      <w:bookmarkEnd w:id="211"/>
      <w:bookmarkEnd w:id="212"/>
      <w:bookmarkEnd w:id="213"/>
      <w:bookmarkEnd w:id="214"/>
      <w:bookmarkEnd w:id="215"/>
      <w:bookmarkEnd w:id="216"/>
      <w:proofErr w:type="spellEnd"/>
      <w:r>
        <w:rPr>
          <w:rFonts w:hAnsi="宋体" w:hint="eastAsia"/>
        </w:rPr>
        <w:t xml:space="preserve"> </w:t>
      </w:r>
    </w:p>
    <w:p w:rsidR="00E11159" w:rsidRDefault="009D3BC4">
      <w:pPr>
        <w:spacing w:line="360" w:lineRule="auto"/>
        <w:ind w:firstLineChars="200" w:firstLine="420"/>
        <w:jc w:val="left"/>
      </w:pPr>
      <w:r>
        <w:rPr>
          <w:rFonts w:ascii="宋体" w:hAnsi="宋体" w:hint="eastAsia"/>
          <w:color w:val="000000"/>
          <w:szCs w:val="21"/>
          <w:lang w:eastAsia="zh-Hans"/>
        </w:rPr>
        <w:t>本基金本报告期末未持有债券。</w:t>
      </w:r>
    </w:p>
    <w:p w:rsidR="00E11159" w:rsidRDefault="009D3BC4">
      <w:pPr>
        <w:pStyle w:val="XBRLTitle2"/>
        <w:spacing w:before="156" w:line="360" w:lineRule="auto"/>
        <w:ind w:left="454"/>
      </w:pPr>
      <w:bookmarkStart w:id="218" w:name="_Toc17898203"/>
      <w:bookmarkStart w:id="219" w:name="_Toc17897955"/>
      <w:bookmarkStart w:id="220" w:name="_Toc481075072"/>
      <w:bookmarkStart w:id="221" w:name="_Toc438646473"/>
      <w:bookmarkStart w:id="222" w:name="_Toc490050025"/>
      <w:bookmarkStart w:id="223" w:name="_Toc512519504"/>
      <w:bookmarkStart w:id="224" w:name="_Toc513295864"/>
      <w:bookmarkStart w:id="225" w:name="_Toc513295916"/>
      <w:bookmarkStart w:id="226" w:name="m507"/>
      <w:bookmarkEnd w:id="217"/>
      <w:proofErr w:type="spellStart"/>
      <w:r>
        <w:rPr>
          <w:rFonts w:hAnsi="宋体" w:hint="eastAsia"/>
        </w:rPr>
        <w:t>报告期末按公允价值占基金资产净值比例大小排序的前十名资产支持证券投资明细</w:t>
      </w:r>
      <w:bookmarkEnd w:id="218"/>
      <w:bookmarkEnd w:id="219"/>
      <w:bookmarkEnd w:id="220"/>
      <w:bookmarkEnd w:id="221"/>
      <w:bookmarkEnd w:id="222"/>
      <w:bookmarkEnd w:id="223"/>
      <w:bookmarkEnd w:id="224"/>
      <w:bookmarkEnd w:id="225"/>
      <w:proofErr w:type="spellEnd"/>
      <w:r>
        <w:rPr>
          <w:rFonts w:hAnsi="宋体" w:hint="eastAsia"/>
        </w:rPr>
        <w:t xml:space="preserve"> </w:t>
      </w:r>
    </w:p>
    <w:p w:rsidR="00E11159" w:rsidRDefault="009D3BC4">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E11159" w:rsidRDefault="009D3BC4">
      <w:pPr>
        <w:pStyle w:val="XBRLTitle2"/>
        <w:spacing w:before="156" w:line="360" w:lineRule="auto"/>
        <w:ind w:left="454"/>
      </w:pPr>
      <w:bookmarkStart w:id="227" w:name="_Toc17898204"/>
      <w:bookmarkStart w:id="228" w:name="_Toc17897956"/>
      <w:bookmarkStart w:id="229" w:name="_Toc481075073"/>
      <w:bookmarkStart w:id="230" w:name="_Toc438646474"/>
      <w:bookmarkStart w:id="231" w:name="_Toc490050026"/>
      <w:bookmarkStart w:id="232" w:name="_Toc512519505"/>
      <w:bookmarkStart w:id="233" w:name="_Toc513295865"/>
      <w:bookmarkStart w:id="234" w:name="_Toc513295917"/>
      <w:bookmarkStart w:id="235" w:name="m508"/>
      <w:bookmarkEnd w:id="226"/>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7"/>
      <w:bookmarkEnd w:id="228"/>
      <w:bookmarkEnd w:id="229"/>
      <w:bookmarkEnd w:id="230"/>
      <w:bookmarkEnd w:id="231"/>
      <w:bookmarkEnd w:id="232"/>
      <w:bookmarkEnd w:id="233"/>
      <w:bookmarkEnd w:id="234"/>
      <w:proofErr w:type="spellEnd"/>
      <w:r>
        <w:rPr>
          <w:rFonts w:hAnsi="宋体" w:hint="eastAsia"/>
        </w:rPr>
        <w:t xml:space="preserve"> </w:t>
      </w:r>
    </w:p>
    <w:p w:rsidR="00E11159" w:rsidRDefault="009D3BC4">
      <w:pPr>
        <w:spacing w:line="360" w:lineRule="auto"/>
        <w:ind w:firstLineChars="200" w:firstLine="420"/>
        <w:divId w:val="1706566351"/>
      </w:pPr>
      <w:r>
        <w:rPr>
          <w:rFonts w:ascii="宋体" w:hAnsi="宋体" w:hint="eastAsia"/>
          <w:szCs w:val="21"/>
          <w:lang w:eastAsia="zh-Hans"/>
        </w:rPr>
        <w:t>本基金本报告期末未持有贵金属。</w:t>
      </w:r>
    </w:p>
    <w:p w:rsidR="00E11159" w:rsidRDefault="009D3BC4">
      <w:pPr>
        <w:pStyle w:val="XBRLTitle2"/>
        <w:spacing w:before="156" w:line="360" w:lineRule="auto"/>
        <w:ind w:left="454"/>
      </w:pPr>
      <w:bookmarkStart w:id="236" w:name="_Toc17898205"/>
      <w:bookmarkStart w:id="237" w:name="_Toc17897957"/>
      <w:bookmarkStart w:id="238" w:name="_Toc481075074"/>
      <w:bookmarkStart w:id="239" w:name="_Toc438646475"/>
      <w:bookmarkStart w:id="240" w:name="_Toc490050027"/>
      <w:bookmarkStart w:id="241" w:name="_Toc512519506"/>
      <w:bookmarkStart w:id="242" w:name="_Toc513295866"/>
      <w:bookmarkStart w:id="243" w:name="_Toc513295918"/>
      <w:bookmarkStart w:id="244" w:name="m509"/>
      <w:bookmarkEnd w:id="235"/>
      <w:proofErr w:type="spellStart"/>
      <w:r>
        <w:rPr>
          <w:rFonts w:hAnsi="宋体" w:hint="eastAsia"/>
        </w:rPr>
        <w:t>报告期末按公允价值占基金资产净值比例大小排序的前五名权证投资明细</w:t>
      </w:r>
      <w:bookmarkEnd w:id="236"/>
      <w:bookmarkEnd w:id="237"/>
      <w:bookmarkEnd w:id="238"/>
      <w:bookmarkEnd w:id="239"/>
      <w:bookmarkEnd w:id="240"/>
      <w:bookmarkEnd w:id="241"/>
      <w:bookmarkEnd w:id="242"/>
      <w:bookmarkEnd w:id="243"/>
      <w:proofErr w:type="spellEnd"/>
      <w:r>
        <w:rPr>
          <w:rFonts w:hAnsi="宋体" w:hint="eastAsia"/>
        </w:rPr>
        <w:t xml:space="preserve"> </w:t>
      </w:r>
      <w:bookmarkEnd w:id="244"/>
    </w:p>
    <w:p w:rsidR="00E11159" w:rsidRDefault="009D3BC4">
      <w:pPr>
        <w:spacing w:line="360" w:lineRule="auto"/>
        <w:ind w:firstLineChars="200" w:firstLine="420"/>
        <w:divId w:val="2101634940"/>
      </w:pPr>
      <w:r>
        <w:rPr>
          <w:rFonts w:ascii="宋体" w:hAnsi="宋体" w:hint="eastAsia"/>
          <w:szCs w:val="21"/>
          <w:lang w:eastAsia="zh-Hans"/>
        </w:rPr>
        <w:t>本基金本报告期末未持有权证。</w:t>
      </w:r>
    </w:p>
    <w:p w:rsidR="00E11159" w:rsidRDefault="009D3BC4">
      <w:pPr>
        <w:pStyle w:val="XBRLTitle2"/>
        <w:spacing w:before="156"/>
        <w:ind w:left="454"/>
      </w:pPr>
      <w:bookmarkStart w:id="245" w:name="_Toc17898206"/>
      <w:proofErr w:type="spellStart"/>
      <w:r>
        <w:rPr>
          <w:rFonts w:hint="eastAsia"/>
        </w:rPr>
        <w:t>报告期末本基金投资的股指期货交易情况说明</w:t>
      </w:r>
      <w:bookmarkEnd w:id="245"/>
      <w:bookmarkEnd w:id="186"/>
      <w:bookmarkEnd w:id="187"/>
      <w:bookmarkEnd w:id="188"/>
      <w:bookmarkEnd w:id="189"/>
      <w:bookmarkEnd w:id="190"/>
      <w:bookmarkEnd w:id="191"/>
      <w:bookmarkEnd w:id="192"/>
      <w:bookmarkEnd w:id="193"/>
      <w:bookmarkEnd w:id="71"/>
      <w:bookmarkEnd w:id="72"/>
      <w:bookmarkEnd w:id="16"/>
      <w:proofErr w:type="spellEnd"/>
    </w:p>
    <w:p w:rsidR="00E11159" w:rsidRDefault="009D3BC4">
      <w:pPr>
        <w:spacing w:line="360" w:lineRule="auto"/>
        <w:ind w:firstLineChars="200" w:firstLine="420"/>
        <w:divId w:val="768044423"/>
      </w:pPr>
      <w:r>
        <w:rPr>
          <w:rFonts w:ascii="宋体" w:hAnsi="宋体" w:hint="eastAsia"/>
          <w:szCs w:val="21"/>
          <w:lang w:eastAsia="zh-Hans"/>
        </w:rPr>
        <w:t>本基金本报告期末未持有股指期货。</w:t>
      </w:r>
    </w:p>
    <w:p w:rsidR="00E11159" w:rsidRDefault="009D3BC4">
      <w:pPr>
        <w:pStyle w:val="XBRLTitle2"/>
        <w:spacing w:before="156" w:line="360" w:lineRule="auto"/>
        <w:ind w:left="454"/>
      </w:pPr>
      <w:bookmarkStart w:id="246" w:name="_Toc17898209"/>
      <w:bookmarkStart w:id="247" w:name="_Toc17897959"/>
      <w:bookmarkStart w:id="248" w:name="_Toc512519510"/>
      <w:bookmarkStart w:id="249" w:name="_Toc481075078"/>
      <w:bookmarkStart w:id="250" w:name="_Toc490050031"/>
      <w:bookmarkStart w:id="251" w:name="_Toc513295868"/>
      <w:bookmarkStart w:id="252" w:name="_Toc513295922"/>
      <w:bookmarkStart w:id="253" w:name="_Toc438646476"/>
      <w:proofErr w:type="spellStart"/>
      <w:r>
        <w:rPr>
          <w:rFonts w:hAnsi="宋体" w:hint="eastAsia"/>
        </w:rPr>
        <w:t>报告期末本基金投资的国债期货交易情况说明</w:t>
      </w:r>
      <w:bookmarkEnd w:id="246"/>
      <w:bookmarkEnd w:id="247"/>
      <w:bookmarkEnd w:id="248"/>
      <w:bookmarkEnd w:id="249"/>
      <w:bookmarkEnd w:id="250"/>
      <w:bookmarkEnd w:id="251"/>
      <w:bookmarkEnd w:id="252"/>
      <w:proofErr w:type="spellEnd"/>
      <w:r>
        <w:rPr>
          <w:rFonts w:hAnsi="宋体" w:hint="eastAsia"/>
        </w:rPr>
        <w:t xml:space="preserve"> </w:t>
      </w:r>
      <w:bookmarkEnd w:id="253"/>
    </w:p>
    <w:p w:rsidR="00E11159" w:rsidRDefault="009D3BC4">
      <w:pPr>
        <w:spacing w:line="360" w:lineRule="auto"/>
        <w:ind w:firstLineChars="200" w:firstLine="420"/>
        <w:divId w:val="2115009242"/>
      </w:pPr>
      <w:bookmarkStart w:id="254" w:name="m510_01_1597"/>
      <w:bookmarkStart w:id="255" w:name="m510_01_1598"/>
      <w:bookmarkEnd w:id="254"/>
      <w:r>
        <w:rPr>
          <w:rFonts w:ascii="宋体" w:hAnsi="宋体" w:hint="eastAsia"/>
          <w:szCs w:val="21"/>
          <w:lang w:eastAsia="zh-Hans"/>
        </w:rPr>
        <w:t>本基金本报告期末未持有国债期货。</w:t>
      </w:r>
    </w:p>
    <w:p w:rsidR="00E11159" w:rsidRDefault="009D3BC4">
      <w:pPr>
        <w:pStyle w:val="XBRLTitle2"/>
        <w:spacing w:before="156" w:line="360" w:lineRule="auto"/>
        <w:ind w:left="454"/>
      </w:pPr>
      <w:bookmarkStart w:id="256" w:name="_Toc17898213"/>
      <w:bookmarkStart w:id="257" w:name="_Toc17897960"/>
      <w:bookmarkStart w:id="258" w:name="_Toc512519514"/>
      <w:bookmarkStart w:id="259" w:name="_Toc481075082"/>
      <w:bookmarkStart w:id="260" w:name="_Toc490050035"/>
      <w:bookmarkStart w:id="261" w:name="_Toc513295869"/>
      <w:bookmarkStart w:id="262" w:name="_Toc513295926"/>
      <w:proofErr w:type="spellStart"/>
      <w:r>
        <w:rPr>
          <w:rFonts w:hAnsi="宋体" w:hint="eastAsia"/>
        </w:rPr>
        <w:t>投资组合报告附注</w:t>
      </w:r>
      <w:bookmarkEnd w:id="256"/>
      <w:bookmarkEnd w:id="257"/>
      <w:bookmarkEnd w:id="258"/>
      <w:bookmarkEnd w:id="259"/>
      <w:bookmarkEnd w:id="260"/>
      <w:bookmarkEnd w:id="261"/>
      <w:bookmarkEnd w:id="262"/>
      <w:proofErr w:type="spellEnd"/>
      <w:r>
        <w:rPr>
          <w:rFonts w:hAnsi="宋体" w:hint="eastAsia"/>
        </w:rPr>
        <w:t xml:space="preserve"> </w:t>
      </w:r>
    </w:p>
    <w:p w:rsidR="00E11159" w:rsidRDefault="009D3BC4">
      <w:pPr>
        <w:pStyle w:val="XBRLTitle3"/>
        <w:spacing w:before="156"/>
        <w:ind w:left="0"/>
      </w:pPr>
      <w:bookmarkStart w:id="263" w:name="_Toc513295927"/>
      <w:bookmarkStart w:id="264" w:name="_Toc490050036"/>
      <w:bookmarkStart w:id="265" w:name="_Toc481075083"/>
      <w:bookmarkStart w:id="266" w:name="_Toc512519515"/>
      <w:bookmarkStart w:id="267" w:name="_Toc17898214"/>
      <w:bookmarkEnd w:id="263"/>
      <w:bookmarkEnd w:id="264"/>
      <w:bookmarkEnd w:id="265"/>
      <w:bookmarkEnd w:id="266"/>
      <w:r>
        <w:rPr>
          <w:rFonts w:hint="eastAsia"/>
          <w:lang w:eastAsia="zh-CN"/>
        </w:rPr>
        <w:t xml:space="preserve"> </w:t>
      </w:r>
      <w:bookmarkEnd w:id="267"/>
    </w:p>
    <w:p w:rsidR="00E11159" w:rsidRDefault="009D3BC4">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E11159" w:rsidRDefault="009D3BC4">
      <w:pPr>
        <w:pStyle w:val="XBRLTitle3"/>
        <w:spacing w:before="156"/>
        <w:ind w:left="0"/>
      </w:pPr>
      <w:bookmarkStart w:id="268" w:name="_Toc490050037"/>
      <w:bookmarkStart w:id="269" w:name="_Toc481075084"/>
      <w:bookmarkStart w:id="270" w:name="_Toc512519516"/>
      <w:bookmarkStart w:id="271" w:name="_Toc513295928"/>
      <w:bookmarkStart w:id="272" w:name="_Toc17898215"/>
      <w:bookmarkEnd w:id="268"/>
      <w:bookmarkEnd w:id="269"/>
      <w:bookmarkEnd w:id="270"/>
      <w:bookmarkEnd w:id="271"/>
      <w:r>
        <w:rPr>
          <w:rFonts w:hint="eastAsia"/>
          <w:lang w:eastAsia="zh-CN"/>
        </w:rPr>
        <w:t xml:space="preserve"> </w:t>
      </w:r>
      <w:bookmarkEnd w:id="272"/>
    </w:p>
    <w:p w:rsidR="00E11159" w:rsidRDefault="009D3BC4">
      <w:pPr>
        <w:spacing w:line="360" w:lineRule="auto"/>
        <w:ind w:firstLineChars="200" w:firstLine="420"/>
      </w:pPr>
      <w:r>
        <w:rPr>
          <w:rFonts w:ascii="宋体" w:hAnsi="宋体" w:hint="eastAsia"/>
        </w:rPr>
        <w:lastRenderedPageBreak/>
        <w:t>报告期内本基金投资的前十名股票中没有在基金合同规定备选股票库之外的股票。</w:t>
      </w:r>
    </w:p>
    <w:p w:rsidR="00E11159" w:rsidRDefault="009D3BC4">
      <w:pPr>
        <w:pStyle w:val="XBRLTitle3"/>
        <w:spacing w:before="156"/>
        <w:ind w:left="0"/>
      </w:pPr>
      <w:bookmarkStart w:id="273" w:name="_Toc17898216"/>
      <w:bookmarkStart w:id="274" w:name="_Toc481075085"/>
      <w:bookmarkStart w:id="275" w:name="_Toc490050038"/>
      <w:bookmarkStart w:id="276" w:name="_Toc512519517"/>
      <w:bookmarkStart w:id="277" w:name="_Toc513295929"/>
      <w:bookmarkStart w:id="278" w:name="m510_02"/>
      <w:bookmarkEnd w:id="255"/>
      <w:proofErr w:type="spellStart"/>
      <w:r>
        <w:rPr>
          <w:rFonts w:hint="eastAsia"/>
        </w:rPr>
        <w:t>其他资产构成</w:t>
      </w:r>
      <w:bookmarkEnd w:id="273"/>
      <w:bookmarkEnd w:id="274"/>
      <w:bookmarkEnd w:id="275"/>
      <w:bookmarkEnd w:id="276"/>
      <w:bookmarkEnd w:id="27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E11159">
        <w:trPr>
          <w:divId w:val="58984498"/>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1159" w:rsidRDefault="009D3BC4">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1159" w:rsidRDefault="009D3BC4">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1159" w:rsidRDefault="009D3BC4">
            <w:pPr>
              <w:jc w:val="center"/>
            </w:pPr>
            <w:r>
              <w:rPr>
                <w:rFonts w:ascii="宋体" w:hAnsi="宋体" w:hint="eastAsia"/>
              </w:rPr>
              <w:t>金额（元）</w:t>
            </w:r>
            <w:r>
              <w:t xml:space="preserve"> </w:t>
            </w:r>
          </w:p>
        </w:tc>
      </w:tr>
      <w:tr w:rsidR="00E11159">
        <w:trPr>
          <w:divId w:val="5898449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rPr>
              <w:t>310,075.45</w:t>
            </w:r>
          </w:p>
        </w:tc>
      </w:tr>
      <w:tr w:rsidR="00E11159">
        <w:trPr>
          <w:divId w:val="5898449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rPr>
              <w:t>6,361,889.46</w:t>
            </w:r>
          </w:p>
        </w:tc>
      </w:tr>
      <w:tr w:rsidR="00E11159">
        <w:trPr>
          <w:divId w:val="5898449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rPr>
              <w:t>-</w:t>
            </w:r>
          </w:p>
        </w:tc>
      </w:tr>
      <w:tr w:rsidR="00E11159">
        <w:trPr>
          <w:divId w:val="5898449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rPr>
              <w:t>-</w:t>
            </w:r>
          </w:p>
        </w:tc>
      </w:tr>
      <w:tr w:rsidR="00E11159">
        <w:trPr>
          <w:divId w:val="5898449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rPr>
              <w:t>99,616.73</w:t>
            </w:r>
          </w:p>
        </w:tc>
      </w:tr>
      <w:tr w:rsidR="00E11159">
        <w:trPr>
          <w:divId w:val="5898449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rPr>
              <w:t>-</w:t>
            </w:r>
          </w:p>
        </w:tc>
      </w:tr>
      <w:tr w:rsidR="00E11159">
        <w:trPr>
          <w:divId w:val="5898449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rPr>
              <w:t>-</w:t>
            </w:r>
          </w:p>
        </w:tc>
      </w:tr>
      <w:tr w:rsidR="00E11159">
        <w:trPr>
          <w:divId w:val="5898449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11159" w:rsidRDefault="009D3BC4">
            <w:pPr>
              <w:jc w:val="right"/>
            </w:pPr>
            <w:r>
              <w:rPr>
                <w:rFonts w:ascii="宋体" w:hAnsi="宋体" w:hint="eastAsia"/>
              </w:rPr>
              <w:t>6,771,581.64</w:t>
            </w:r>
          </w:p>
        </w:tc>
      </w:tr>
    </w:tbl>
    <w:p w:rsidR="00E11159" w:rsidRDefault="009D3BC4">
      <w:pPr>
        <w:pStyle w:val="XBRLTitle3"/>
        <w:spacing w:before="156"/>
        <w:ind w:left="0"/>
      </w:pPr>
      <w:bookmarkStart w:id="279" w:name="_Toc17898217"/>
      <w:bookmarkStart w:id="280" w:name="_Toc481075086"/>
      <w:bookmarkStart w:id="281" w:name="_Toc490050039"/>
      <w:bookmarkStart w:id="282" w:name="_Toc512519518"/>
      <w:bookmarkStart w:id="283" w:name="_Toc513295930"/>
      <w:bookmarkStart w:id="284" w:name="m510_03"/>
      <w:bookmarkEnd w:id="278"/>
      <w:proofErr w:type="spellStart"/>
      <w:r>
        <w:rPr>
          <w:rFonts w:hint="eastAsia"/>
        </w:rPr>
        <w:t>报告期末持有的处于转股期的可转换债券明细</w:t>
      </w:r>
      <w:bookmarkEnd w:id="279"/>
      <w:bookmarkEnd w:id="280"/>
      <w:bookmarkEnd w:id="281"/>
      <w:bookmarkEnd w:id="282"/>
      <w:bookmarkEnd w:id="283"/>
      <w:proofErr w:type="spellEnd"/>
    </w:p>
    <w:p w:rsidR="00E11159" w:rsidRDefault="009D3BC4">
      <w:pPr>
        <w:spacing w:line="360" w:lineRule="auto"/>
        <w:ind w:firstLineChars="200" w:firstLine="420"/>
        <w:jc w:val="left"/>
      </w:pPr>
      <w:r>
        <w:rPr>
          <w:rFonts w:ascii="宋体" w:hAnsi="宋体" w:hint="eastAsia"/>
        </w:rPr>
        <w:t xml:space="preserve">本基金本报告期末未持有处于转股期的可转换债券。 </w:t>
      </w:r>
    </w:p>
    <w:p w:rsidR="00E11159" w:rsidRDefault="009D3BC4">
      <w:pPr>
        <w:pStyle w:val="XBRLTitle3"/>
        <w:spacing w:before="156"/>
        <w:ind w:left="0"/>
      </w:pPr>
      <w:bookmarkStart w:id="285" w:name="_Toc17898218"/>
      <w:bookmarkStart w:id="286" w:name="_Toc481075087"/>
      <w:bookmarkStart w:id="287" w:name="_Toc490050040"/>
      <w:bookmarkStart w:id="288" w:name="_Toc512519519"/>
      <w:bookmarkStart w:id="289" w:name="_Toc513295931"/>
      <w:bookmarkStart w:id="290" w:name="m510_04"/>
      <w:bookmarkEnd w:id="284"/>
      <w:proofErr w:type="spellStart"/>
      <w:r>
        <w:rPr>
          <w:rFonts w:hint="eastAsia"/>
        </w:rPr>
        <w:t>报告期末前十名股票中存在流通受限情况的说明</w:t>
      </w:r>
      <w:bookmarkEnd w:id="285"/>
      <w:bookmarkEnd w:id="286"/>
      <w:bookmarkEnd w:id="287"/>
      <w:bookmarkEnd w:id="288"/>
      <w:bookmarkEnd w:id="289"/>
      <w:proofErr w:type="spellEnd"/>
    </w:p>
    <w:p w:rsidR="00E11159" w:rsidRDefault="009D3BC4">
      <w:pPr>
        <w:spacing w:line="360" w:lineRule="auto"/>
        <w:ind w:firstLineChars="200" w:firstLine="420"/>
        <w:jc w:val="left"/>
        <w:divId w:val="1315525092"/>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rsidR="00E11159" w:rsidRDefault="009D3BC4">
      <w:pPr>
        <w:pStyle w:val="XBRLTitle3"/>
        <w:spacing w:before="156"/>
        <w:ind w:left="0"/>
      </w:pPr>
      <w:bookmarkStart w:id="291" w:name="_Toc17898219"/>
      <w:bookmarkStart w:id="292" w:name="_Toc512519520"/>
      <w:bookmarkStart w:id="293" w:name="_Toc481075088"/>
      <w:bookmarkStart w:id="294" w:name="_Toc490050041"/>
      <w:bookmarkStart w:id="295" w:name="_Toc513295932"/>
      <w:bookmarkStart w:id="296" w:name="m510_05_1678"/>
      <w:bookmarkEnd w:id="290"/>
      <w:proofErr w:type="spellStart"/>
      <w:r>
        <w:rPr>
          <w:rFonts w:hint="eastAsia"/>
        </w:rPr>
        <w:t>投资组合报告附注的其他文字描述部分</w:t>
      </w:r>
      <w:bookmarkEnd w:id="291"/>
      <w:bookmarkEnd w:id="292"/>
      <w:bookmarkEnd w:id="293"/>
      <w:bookmarkEnd w:id="294"/>
      <w:bookmarkEnd w:id="295"/>
      <w:proofErr w:type="spellEnd"/>
      <w:r>
        <w:rPr>
          <w:rFonts w:hint="eastAsia"/>
          <w:sz w:val="21"/>
        </w:rPr>
        <w:t xml:space="preserve"> </w:t>
      </w:r>
    </w:p>
    <w:p w:rsidR="00E11159" w:rsidRDefault="009D3BC4">
      <w:pPr>
        <w:spacing w:line="360" w:lineRule="auto"/>
        <w:ind w:firstLineChars="200" w:firstLine="420"/>
        <w:jc w:val="left"/>
      </w:pPr>
      <w:r>
        <w:rPr>
          <w:rFonts w:ascii="宋体" w:hAnsi="宋体" w:hint="eastAsia"/>
        </w:rPr>
        <w:t>因四舍五入原因，投资组合报告中分项之和与合计可能存在尾差。</w:t>
      </w:r>
      <w:bookmarkEnd w:id="296"/>
      <w:r>
        <w:rPr>
          <w:rFonts w:ascii="宋体" w:hAnsi="宋体" w:hint="eastAsia"/>
        </w:rPr>
        <w:t xml:space="preserve"> </w:t>
      </w:r>
    </w:p>
    <w:p w:rsidR="00E11159" w:rsidRDefault="009D3BC4">
      <w:pPr>
        <w:pStyle w:val="XBRLTitle1"/>
        <w:spacing w:before="156" w:line="360" w:lineRule="auto"/>
        <w:ind w:left="425"/>
      </w:pPr>
      <w:bookmarkStart w:id="297" w:name="_Toc17898220"/>
      <w:bookmarkStart w:id="298" w:name="_Toc17897961"/>
      <w:bookmarkStart w:id="299" w:name="_Toc512519521"/>
      <w:bookmarkStart w:id="300" w:name="_Toc481075089"/>
      <w:bookmarkStart w:id="301" w:name="_Toc438646477"/>
      <w:bookmarkStart w:id="302" w:name="_Toc490050042"/>
      <w:bookmarkStart w:id="303" w:name="_Toc513295870"/>
      <w:bookmarkStart w:id="304" w:name="_Toc513295933"/>
      <w:bookmarkStart w:id="305" w:name="m601"/>
      <w:bookmarkEnd w:id="184"/>
      <w:proofErr w:type="spellStart"/>
      <w:r>
        <w:rPr>
          <w:rFonts w:hAnsi="宋体" w:hint="eastAsia"/>
        </w:rPr>
        <w:t>开放式基金份额变动</w:t>
      </w:r>
      <w:bookmarkStart w:id="306" w:name="m601_tab"/>
      <w:bookmarkEnd w:id="297"/>
      <w:bookmarkEnd w:id="298"/>
      <w:bookmarkEnd w:id="299"/>
      <w:bookmarkEnd w:id="300"/>
      <w:bookmarkEnd w:id="301"/>
      <w:bookmarkEnd w:id="302"/>
      <w:bookmarkEnd w:id="303"/>
      <w:bookmarkEnd w:id="304"/>
      <w:proofErr w:type="spellEnd"/>
      <w:r>
        <w:rPr>
          <w:rFonts w:hAnsi="宋体" w:hint="eastAsia"/>
        </w:rPr>
        <w:t xml:space="preserve"> </w:t>
      </w:r>
    </w:p>
    <w:p w:rsidR="00E11159" w:rsidRDefault="009D3BC4">
      <w:pPr>
        <w:wordWrap w:val="0"/>
        <w:spacing w:line="360" w:lineRule="auto"/>
        <w:jc w:val="right"/>
        <w:divId w:val="267733587"/>
      </w:pPr>
      <w:bookmarkStart w:id="307"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94"/>
        <w:gridCol w:w="2427"/>
      </w:tblGrid>
      <w:tr w:rsidR="00E11159">
        <w:trPr>
          <w:divId w:val="267733587"/>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E11159" w:rsidRDefault="009D3BC4">
            <w:pPr>
              <w:pStyle w:val="xl33"/>
              <w:widowControl w:val="0"/>
              <w:pBdr>
                <w:left w:val="none" w:sz="0" w:space="0" w:color="auto"/>
                <w:bottom w:val="none" w:sz="0" w:space="0" w:color="auto"/>
                <w:right w:val="none" w:sz="0" w:space="0" w:color="auto"/>
              </w:pBdr>
              <w:spacing w:before="0" w:beforeAutospacing="0" w:after="0" w:afterAutospacing="0"/>
              <w:jc w:val="both"/>
            </w:pPr>
            <w:bookmarkStart w:id="308" w:name="m10_01" w:colFirst="1" w:colLast="2"/>
            <w:bookmarkEnd w:id="307"/>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11159" w:rsidRDefault="009D3BC4">
            <w:pPr>
              <w:ind w:right="3"/>
              <w:jc w:val="center"/>
            </w:pPr>
            <w:r>
              <w:rPr>
                <w:rFonts w:ascii="宋体" w:hAnsi="宋体" w:hint="eastAsia"/>
                <w:lang w:eastAsia="zh-Hans"/>
              </w:rPr>
              <w:t>摩根智选30混合A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11159" w:rsidRDefault="009D3BC4">
            <w:pPr>
              <w:ind w:right="3"/>
              <w:jc w:val="center"/>
            </w:pPr>
            <w:r>
              <w:rPr>
                <w:rFonts w:ascii="宋体" w:hAnsi="宋体" w:hint="eastAsia"/>
                <w:lang w:eastAsia="zh-Hans"/>
              </w:rPr>
              <w:t>摩根智选30混合C</w:t>
            </w:r>
            <w:r>
              <w:rPr>
                <w:rFonts w:ascii="宋体" w:hAnsi="宋体" w:hint="eastAsia"/>
                <w:kern w:val="0"/>
                <w:szCs w:val="24"/>
                <w:lang w:eastAsia="zh-Hans"/>
              </w:rPr>
              <w:t xml:space="preserve"> </w:t>
            </w:r>
          </w:p>
        </w:tc>
      </w:tr>
      <w:tr w:rsidR="00E11159">
        <w:trPr>
          <w:divId w:val="26773358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11159" w:rsidRDefault="009D3BC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11159" w:rsidRDefault="009D3BC4">
            <w:pPr>
              <w:jc w:val="right"/>
            </w:pPr>
            <w:r>
              <w:rPr>
                <w:rFonts w:ascii="宋体" w:hAnsi="宋体" w:hint="eastAsia"/>
              </w:rPr>
              <w:t>293,516,221.49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11159" w:rsidRDefault="009D3BC4">
            <w:pPr>
              <w:jc w:val="right"/>
            </w:pPr>
            <w:r>
              <w:rPr>
                <w:rFonts w:ascii="宋体" w:hAnsi="宋体" w:hint="eastAsia"/>
              </w:rPr>
              <w:t>54,945.99</w:t>
            </w:r>
          </w:p>
        </w:tc>
      </w:tr>
      <w:tr w:rsidR="00E11159">
        <w:trPr>
          <w:divId w:val="26773358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11159" w:rsidRDefault="009D3BC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11159" w:rsidRDefault="009D3BC4">
            <w:pPr>
              <w:jc w:val="right"/>
            </w:pPr>
            <w:r>
              <w:rPr>
                <w:rFonts w:ascii="宋体" w:hAnsi="宋体" w:hint="eastAsia"/>
              </w:rPr>
              <w:t>3,003,698.89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11159" w:rsidRDefault="009D3BC4">
            <w:pPr>
              <w:jc w:val="right"/>
            </w:pPr>
            <w:r>
              <w:rPr>
                <w:rFonts w:ascii="宋体" w:hAnsi="宋体" w:hint="eastAsia"/>
              </w:rPr>
              <w:t>23,497.26</w:t>
            </w:r>
          </w:p>
        </w:tc>
      </w:tr>
      <w:tr w:rsidR="00E11159">
        <w:trPr>
          <w:divId w:val="26773358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11159" w:rsidRDefault="009D3BC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11159" w:rsidRDefault="009D3BC4">
            <w:pPr>
              <w:jc w:val="right"/>
            </w:pPr>
            <w:r>
              <w:rPr>
                <w:rFonts w:ascii="宋体" w:hAnsi="宋体" w:hint="eastAsia"/>
              </w:rPr>
              <w:t>13,149,276.83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11159" w:rsidRDefault="009D3BC4">
            <w:pPr>
              <w:jc w:val="right"/>
            </w:pPr>
            <w:r>
              <w:rPr>
                <w:rFonts w:ascii="宋体" w:hAnsi="宋体" w:hint="eastAsia"/>
              </w:rPr>
              <w:t>17,017.46</w:t>
            </w:r>
          </w:p>
        </w:tc>
      </w:tr>
      <w:tr w:rsidR="00E11159">
        <w:trPr>
          <w:divId w:val="26773358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11159" w:rsidRDefault="009D3BC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11159" w:rsidRDefault="009D3BC4">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11159" w:rsidRDefault="009D3BC4">
            <w:pPr>
              <w:jc w:val="right"/>
            </w:pPr>
            <w:r>
              <w:rPr>
                <w:rFonts w:ascii="宋体" w:hAnsi="宋体" w:hint="eastAsia"/>
              </w:rPr>
              <w:t>-</w:t>
            </w:r>
          </w:p>
        </w:tc>
      </w:tr>
      <w:tr w:rsidR="00E11159">
        <w:trPr>
          <w:divId w:val="26773358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11159" w:rsidRDefault="009D3BC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11159" w:rsidRDefault="009D3BC4">
            <w:pPr>
              <w:jc w:val="right"/>
            </w:pPr>
            <w:r>
              <w:rPr>
                <w:rFonts w:ascii="宋体" w:hAnsi="宋体" w:hint="eastAsia"/>
              </w:rPr>
              <w:t>283,370,643.55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11159" w:rsidRDefault="009D3BC4">
            <w:pPr>
              <w:jc w:val="right"/>
            </w:pPr>
            <w:r>
              <w:rPr>
                <w:rFonts w:ascii="宋体" w:hAnsi="宋体" w:hint="eastAsia"/>
              </w:rPr>
              <w:t>61,425.79</w:t>
            </w:r>
          </w:p>
        </w:tc>
      </w:tr>
    </w:tbl>
    <w:p w:rsidR="00E11159" w:rsidRDefault="009D3BC4">
      <w:pPr>
        <w:spacing w:line="360" w:lineRule="auto"/>
        <w:jc w:val="left"/>
        <w:divId w:val="267733587"/>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8"/>
      <w:r>
        <w:rPr>
          <w:rFonts w:ascii="宋体" w:hAnsi="宋体" w:hint="eastAsia"/>
        </w:rPr>
        <w:t xml:space="preserve"> </w:t>
      </w:r>
    </w:p>
    <w:p w:rsidR="00E11159" w:rsidRDefault="009D3BC4">
      <w:pPr>
        <w:pStyle w:val="XBRLTitle1"/>
        <w:spacing w:before="156" w:line="360" w:lineRule="auto"/>
        <w:ind w:left="425"/>
      </w:pPr>
      <w:bookmarkStart w:id="309" w:name="_Toc17898221"/>
      <w:bookmarkStart w:id="310" w:name="_Toc17897962"/>
      <w:bookmarkStart w:id="311" w:name="m7manage01"/>
      <w:bookmarkStart w:id="312" w:name="_Toc512519522"/>
      <w:bookmarkStart w:id="313" w:name="_Toc481075090"/>
      <w:bookmarkStart w:id="314" w:name="_Toc438646478"/>
      <w:bookmarkStart w:id="315" w:name="_Toc490050043"/>
      <w:bookmarkStart w:id="316" w:name="_Toc513295871"/>
      <w:bookmarkStart w:id="317" w:name="_Toc513295934"/>
      <w:bookmarkEnd w:id="305"/>
      <w:bookmarkEnd w:id="306"/>
      <w:proofErr w:type="spellStart"/>
      <w:r>
        <w:rPr>
          <w:rFonts w:hAnsi="宋体" w:hint="eastAsia"/>
        </w:rPr>
        <w:t>基金管理人运用固有资金投资本基金情况</w:t>
      </w:r>
      <w:bookmarkEnd w:id="309"/>
      <w:bookmarkEnd w:id="310"/>
      <w:bookmarkEnd w:id="311"/>
      <w:bookmarkEnd w:id="312"/>
      <w:bookmarkEnd w:id="313"/>
      <w:bookmarkEnd w:id="314"/>
      <w:bookmarkEnd w:id="315"/>
      <w:bookmarkEnd w:id="316"/>
      <w:bookmarkEnd w:id="317"/>
      <w:proofErr w:type="spellEnd"/>
      <w:r>
        <w:rPr>
          <w:rFonts w:hAnsi="宋体" w:hint="eastAsia"/>
        </w:rPr>
        <w:t xml:space="preserve"> </w:t>
      </w:r>
    </w:p>
    <w:p w:rsidR="00E11159" w:rsidRDefault="009D3BC4">
      <w:pPr>
        <w:pStyle w:val="XBRLTitle2"/>
        <w:spacing w:before="156" w:line="360" w:lineRule="auto"/>
        <w:ind w:left="454"/>
      </w:pPr>
      <w:bookmarkStart w:id="318" w:name="_Toc17898222"/>
      <w:bookmarkStart w:id="319" w:name="_Toc17897963"/>
      <w:bookmarkStart w:id="320" w:name="_Toc512519523"/>
      <w:bookmarkStart w:id="321" w:name="_Toc481075091"/>
      <w:bookmarkStart w:id="322" w:name="_Toc458599606"/>
      <w:bookmarkStart w:id="323" w:name="_Toc490050044"/>
      <w:bookmarkStart w:id="324" w:name="_Toc513295872"/>
      <w:bookmarkStart w:id="325" w:name="_Toc513295935"/>
      <w:proofErr w:type="spellStart"/>
      <w:r>
        <w:rPr>
          <w:rFonts w:hAnsi="宋体" w:hint="eastAsia"/>
        </w:rPr>
        <w:t>基金管理人持有本基金份额变动情况</w:t>
      </w:r>
      <w:bookmarkEnd w:id="318"/>
      <w:bookmarkEnd w:id="319"/>
      <w:bookmarkEnd w:id="320"/>
      <w:bookmarkEnd w:id="321"/>
      <w:bookmarkEnd w:id="322"/>
      <w:bookmarkEnd w:id="323"/>
      <w:bookmarkEnd w:id="324"/>
      <w:bookmarkEnd w:id="325"/>
      <w:proofErr w:type="spellEnd"/>
      <w:r>
        <w:rPr>
          <w:rFonts w:hAnsi="宋体" w:hint="eastAsia"/>
          <w:lang w:eastAsia="zh-CN"/>
        </w:rPr>
        <w:t xml:space="preserve"> </w:t>
      </w:r>
    </w:p>
    <w:p w:rsidR="00E11159" w:rsidRDefault="009D3BC4">
      <w:pPr>
        <w:spacing w:line="360" w:lineRule="auto"/>
        <w:ind w:firstLineChars="200" w:firstLine="420"/>
        <w:jc w:val="left"/>
        <w:divId w:val="1872495596"/>
      </w:pPr>
      <w:r>
        <w:rPr>
          <w:rFonts w:ascii="宋体" w:hAnsi="宋体" w:hint="eastAsia"/>
          <w:szCs w:val="21"/>
          <w:lang w:eastAsia="zh-Hans"/>
        </w:rPr>
        <w:t>无。</w:t>
      </w:r>
      <w:r>
        <w:rPr>
          <w:rFonts w:ascii="宋体" w:hAnsi="宋体" w:hint="eastAsia"/>
          <w:szCs w:val="21"/>
        </w:rPr>
        <w:t xml:space="preserve"> </w:t>
      </w:r>
    </w:p>
    <w:p w:rsidR="00E11159" w:rsidRDefault="009D3BC4">
      <w:pPr>
        <w:pStyle w:val="XBRLTitle2"/>
        <w:spacing w:before="156" w:line="360" w:lineRule="auto"/>
        <w:ind w:left="454"/>
      </w:pPr>
      <w:bookmarkStart w:id="326" w:name="_Toc17898223"/>
      <w:bookmarkStart w:id="327" w:name="_Toc17897964"/>
      <w:bookmarkStart w:id="328" w:name="_Toc512519524"/>
      <w:bookmarkStart w:id="329" w:name="_Toc481075092"/>
      <w:bookmarkStart w:id="330" w:name="_Toc458599607"/>
      <w:bookmarkStart w:id="331" w:name="_Toc490050045"/>
      <w:bookmarkStart w:id="332" w:name="_Toc513295873"/>
      <w:bookmarkStart w:id="333" w:name="_Toc513295936"/>
      <w:proofErr w:type="spellStart"/>
      <w:r>
        <w:rPr>
          <w:rFonts w:hAnsi="宋体" w:hint="eastAsia"/>
        </w:rPr>
        <w:t>基金管理人运用固有资金投资本基金交易明细</w:t>
      </w:r>
      <w:bookmarkEnd w:id="326"/>
      <w:bookmarkEnd w:id="327"/>
      <w:bookmarkEnd w:id="328"/>
      <w:bookmarkEnd w:id="329"/>
      <w:bookmarkEnd w:id="330"/>
      <w:bookmarkEnd w:id="331"/>
      <w:bookmarkEnd w:id="332"/>
      <w:bookmarkEnd w:id="333"/>
      <w:proofErr w:type="spellEnd"/>
      <w:r>
        <w:rPr>
          <w:rFonts w:hAnsi="宋体" w:hint="eastAsia"/>
          <w:lang w:eastAsia="zh-CN"/>
        </w:rPr>
        <w:t xml:space="preserve"> </w:t>
      </w:r>
    </w:p>
    <w:p w:rsidR="00E11159" w:rsidRDefault="009D3BC4">
      <w:pPr>
        <w:spacing w:line="360" w:lineRule="auto"/>
        <w:ind w:firstLineChars="200" w:firstLine="420"/>
        <w:jc w:val="left"/>
        <w:divId w:val="188417075"/>
      </w:pPr>
      <w:r>
        <w:rPr>
          <w:rFonts w:ascii="宋体" w:hAnsi="宋体" w:hint="eastAsia"/>
          <w:lang w:eastAsia="zh-Hans"/>
        </w:rPr>
        <w:lastRenderedPageBreak/>
        <w:t>无。</w:t>
      </w:r>
      <w:r>
        <w:rPr>
          <w:rFonts w:ascii="宋体" w:hAnsi="宋体" w:hint="eastAsia"/>
        </w:rPr>
        <w:t xml:space="preserve"> </w:t>
      </w:r>
    </w:p>
    <w:p w:rsidR="00E11159" w:rsidRDefault="009D3BC4">
      <w:pPr>
        <w:pStyle w:val="XBRLTitle1"/>
        <w:spacing w:before="156" w:line="360" w:lineRule="auto"/>
        <w:ind w:left="425"/>
      </w:pPr>
      <w:bookmarkStart w:id="334" w:name="_Toc17898225"/>
      <w:bookmarkStart w:id="335" w:name="_Toc17897966"/>
      <w:bookmarkStart w:id="336" w:name="_Toc512519526"/>
      <w:bookmarkStart w:id="337" w:name="_Toc490050046"/>
      <w:bookmarkStart w:id="338" w:name="_Toc481075094"/>
      <w:bookmarkStart w:id="339" w:name="_Toc479856294"/>
      <w:bookmarkStart w:id="340" w:name="_Toc513295875"/>
      <w:bookmarkStart w:id="341" w:name="_Toc513295938"/>
      <w:bookmarkStart w:id="342" w:name="m701"/>
      <w:proofErr w:type="spellStart"/>
      <w:r>
        <w:rPr>
          <w:rFonts w:hAnsi="宋体" w:hint="eastAsia"/>
        </w:rPr>
        <w:t>影响投资者决策的其他重要信息</w:t>
      </w:r>
      <w:bookmarkEnd w:id="334"/>
      <w:bookmarkEnd w:id="335"/>
      <w:bookmarkEnd w:id="336"/>
      <w:bookmarkEnd w:id="337"/>
      <w:bookmarkEnd w:id="338"/>
      <w:bookmarkEnd w:id="339"/>
      <w:bookmarkEnd w:id="340"/>
      <w:bookmarkEnd w:id="341"/>
      <w:proofErr w:type="spellEnd"/>
      <w:r>
        <w:rPr>
          <w:rFonts w:hAnsi="宋体" w:hint="eastAsia"/>
          <w:lang w:eastAsia="zh-CN"/>
        </w:rPr>
        <w:t xml:space="preserve"> </w:t>
      </w:r>
    </w:p>
    <w:p w:rsidR="00E11159" w:rsidRDefault="009D3BC4">
      <w:pPr>
        <w:pStyle w:val="XBRLTitle2"/>
        <w:spacing w:before="156" w:line="360" w:lineRule="auto"/>
        <w:ind w:left="454"/>
      </w:pPr>
      <w:bookmarkStart w:id="343" w:name="_Toc17898226"/>
      <w:bookmarkStart w:id="344" w:name="_Toc17897967"/>
      <w:bookmarkStart w:id="345" w:name="_Toc512519527"/>
      <w:bookmarkStart w:id="346" w:name="_Toc481075095"/>
      <w:bookmarkStart w:id="347" w:name="_Toc490050047"/>
      <w:bookmarkStart w:id="348" w:name="_Toc513295876"/>
      <w:bookmarkStart w:id="349" w:name="_Toc513295939"/>
      <w:r>
        <w:rPr>
          <w:rFonts w:hAnsi="宋体" w:hint="eastAsia"/>
          <w:kern w:val="0"/>
        </w:rPr>
        <w:t>报告期内单一投资者持有基金份额比例达到或超过20%的情况</w:t>
      </w:r>
      <w:bookmarkEnd w:id="343"/>
      <w:bookmarkEnd w:id="344"/>
      <w:bookmarkEnd w:id="345"/>
      <w:bookmarkEnd w:id="346"/>
      <w:bookmarkEnd w:id="347"/>
      <w:bookmarkEnd w:id="348"/>
      <w:bookmarkEnd w:id="349"/>
      <w:r>
        <w:rPr>
          <w:rFonts w:hAnsi="宋体" w:hint="eastAsia"/>
          <w:kern w:val="0"/>
          <w:lang w:eastAsia="zh-CN"/>
        </w:rPr>
        <w:t xml:space="preserve"> </w:t>
      </w:r>
    </w:p>
    <w:bookmarkEnd w:id="22"/>
    <w:bookmarkEnd w:id="43"/>
    <w:bookmarkEnd w:id="44"/>
    <w:p w:rsidR="00E11159" w:rsidRDefault="009D3BC4">
      <w:pPr>
        <w:spacing w:line="360" w:lineRule="auto"/>
        <w:ind w:firstLineChars="200" w:firstLine="420"/>
        <w:divId w:val="724644681"/>
        <w:rPr>
          <w:rFonts w:ascii="宋体" w:hAnsi="宋体"/>
          <w:szCs w:val="21"/>
          <w:lang w:eastAsia="zh-Hans"/>
        </w:rPr>
      </w:pPr>
      <w:r>
        <w:rPr>
          <w:rFonts w:ascii="宋体" w:hAnsi="宋体" w:hint="eastAsia"/>
          <w:szCs w:val="21"/>
          <w:lang w:eastAsia="zh-Hans"/>
        </w:rPr>
        <w:t>无。</w:t>
      </w:r>
    </w:p>
    <w:p w:rsidR="00E11159" w:rsidRDefault="009D3BC4">
      <w:pPr>
        <w:pStyle w:val="XBRLTitle1"/>
        <w:spacing w:before="156" w:line="360" w:lineRule="auto"/>
        <w:ind w:left="425"/>
      </w:pPr>
      <w:bookmarkStart w:id="350" w:name="_Toc17898228"/>
      <w:bookmarkStart w:id="351" w:name="_Toc17897969"/>
      <w:bookmarkStart w:id="352" w:name="_Toc512519529"/>
      <w:bookmarkStart w:id="353" w:name="_Toc490050049"/>
      <w:bookmarkStart w:id="354" w:name="_Toc481075097"/>
      <w:bookmarkStart w:id="355" w:name="_Toc438646481"/>
      <w:bookmarkStart w:id="356" w:name="_Toc513295878"/>
      <w:bookmarkStart w:id="357" w:name="_Toc513295941"/>
      <w:bookmarkEnd w:id="342"/>
      <w:proofErr w:type="spellStart"/>
      <w:r>
        <w:rPr>
          <w:rFonts w:hAnsi="宋体" w:hint="eastAsia"/>
        </w:rPr>
        <w:t>备查文件目录</w:t>
      </w:r>
      <w:bookmarkEnd w:id="350"/>
      <w:bookmarkEnd w:id="351"/>
      <w:bookmarkEnd w:id="352"/>
      <w:bookmarkEnd w:id="353"/>
      <w:bookmarkEnd w:id="354"/>
      <w:bookmarkEnd w:id="355"/>
      <w:bookmarkEnd w:id="356"/>
      <w:bookmarkEnd w:id="357"/>
      <w:proofErr w:type="spellEnd"/>
      <w:r>
        <w:rPr>
          <w:rFonts w:hAnsi="宋体" w:hint="eastAsia"/>
        </w:rPr>
        <w:t xml:space="preserve"> </w:t>
      </w:r>
    </w:p>
    <w:p w:rsidR="00E11159" w:rsidRDefault="009D3BC4">
      <w:pPr>
        <w:pStyle w:val="XBRLTitle2"/>
        <w:spacing w:before="156" w:line="360" w:lineRule="auto"/>
        <w:ind w:left="454"/>
      </w:pPr>
      <w:bookmarkStart w:id="358" w:name="_Toc438646482"/>
      <w:bookmarkStart w:id="359" w:name="_Toc17898229"/>
      <w:bookmarkStart w:id="360" w:name="_Toc17897970"/>
      <w:bookmarkStart w:id="361" w:name="_Toc512519530"/>
      <w:bookmarkStart w:id="362" w:name="_Toc481075098"/>
      <w:bookmarkStart w:id="363" w:name="_Toc490050050"/>
      <w:bookmarkStart w:id="364" w:name="_Toc513295879"/>
      <w:bookmarkStart w:id="365" w:name="_Toc513295942"/>
      <w:bookmarkStart w:id="366" w:name="m801_01_1733"/>
      <w:proofErr w:type="spellStart"/>
      <w:r>
        <w:rPr>
          <w:rFonts w:hAnsi="宋体" w:hint="eastAsia"/>
        </w:rPr>
        <w:t>备查文件目录</w:t>
      </w:r>
      <w:bookmarkEnd w:id="358"/>
      <w:bookmarkEnd w:id="359"/>
      <w:bookmarkEnd w:id="360"/>
      <w:bookmarkEnd w:id="361"/>
      <w:bookmarkEnd w:id="362"/>
      <w:bookmarkEnd w:id="363"/>
      <w:bookmarkEnd w:id="364"/>
      <w:bookmarkEnd w:id="365"/>
      <w:proofErr w:type="spellEnd"/>
      <w:r>
        <w:rPr>
          <w:rFonts w:hAnsi="宋体" w:hint="eastAsia"/>
        </w:rPr>
        <w:t xml:space="preserve"> </w:t>
      </w:r>
    </w:p>
    <w:p w:rsidR="00E11159" w:rsidRDefault="009D3BC4">
      <w:pPr>
        <w:spacing w:line="360" w:lineRule="auto"/>
        <w:ind w:firstLineChars="200" w:firstLine="420"/>
        <w:jc w:val="left"/>
      </w:pPr>
      <w:r>
        <w:rPr>
          <w:rFonts w:ascii="宋体" w:hAnsi="宋体" w:cs="宋体" w:hint="eastAsia"/>
          <w:color w:val="000000"/>
          <w:kern w:val="0"/>
        </w:rPr>
        <w:t>1. 中国证监会批准本基金募集的文件</w:t>
      </w:r>
      <w:r>
        <w:rPr>
          <w:rFonts w:ascii="宋体" w:hAnsi="宋体" w:cs="宋体" w:hint="eastAsia"/>
          <w:color w:val="000000"/>
          <w:kern w:val="0"/>
        </w:rPr>
        <w:br/>
        <w:t xml:space="preserve">　　2. 摩根智选30混合型证券投资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3. 摩根智选30混合型证券投资基金托管协议</w:t>
      </w:r>
      <w:r>
        <w:rPr>
          <w:rFonts w:ascii="宋体" w:hAnsi="宋体" w:cs="宋体" w:hint="eastAsia"/>
          <w:color w:val="000000"/>
          <w:kern w:val="0"/>
        </w:rPr>
        <w:br/>
        <w:t xml:space="preserve">　　4. 法律意见书</w:t>
      </w:r>
      <w:r>
        <w:rPr>
          <w:rFonts w:ascii="宋体" w:hAnsi="宋体" w:cs="宋体" w:hint="eastAsia"/>
          <w:color w:val="000000"/>
          <w:kern w:val="0"/>
        </w:rPr>
        <w:br/>
        <w:t xml:space="preserve">　　5. 基金管理人业务资格批件、营业执照</w:t>
      </w:r>
      <w:r>
        <w:rPr>
          <w:rFonts w:ascii="宋体" w:hAnsi="宋体" w:cs="宋体" w:hint="eastAsia"/>
          <w:color w:val="000000"/>
          <w:kern w:val="0"/>
        </w:rPr>
        <w:br/>
        <w:t xml:space="preserve">　　6. 基金托管人业务资格批件、营业执照</w:t>
      </w:r>
      <w:r>
        <w:rPr>
          <w:rFonts w:ascii="宋体" w:hAnsi="宋体" w:cs="宋体" w:hint="eastAsia"/>
          <w:color w:val="000000"/>
          <w:kern w:val="0"/>
        </w:rPr>
        <w:br/>
        <w:t xml:space="preserve">　　7. 摩根基金管理(中国)有限公司开放式基金业务规则</w:t>
      </w:r>
      <w:r>
        <w:rPr>
          <w:rFonts w:ascii="宋体" w:hAnsi="宋体" w:cs="宋体" w:hint="eastAsia"/>
          <w:color w:val="000000"/>
          <w:kern w:val="0"/>
        </w:rPr>
        <w:br/>
        <w:t xml:space="preserve">　　8. 中国证监会要求的其他文件</w:t>
      </w:r>
    </w:p>
    <w:p w:rsidR="00E11159" w:rsidRDefault="009D3BC4">
      <w:pPr>
        <w:pStyle w:val="XBRLTitle2"/>
        <w:spacing w:before="156" w:line="360" w:lineRule="auto"/>
        <w:ind w:left="454"/>
      </w:pPr>
      <w:bookmarkStart w:id="367" w:name="_Toc438646483"/>
      <w:bookmarkStart w:id="368" w:name="_Toc17898230"/>
      <w:bookmarkStart w:id="369" w:name="_Toc17897971"/>
      <w:bookmarkStart w:id="370" w:name="_Toc512519531"/>
      <w:bookmarkStart w:id="371" w:name="_Toc481075099"/>
      <w:bookmarkStart w:id="372" w:name="_Toc490050051"/>
      <w:bookmarkStart w:id="373" w:name="_Toc513295880"/>
      <w:bookmarkStart w:id="374" w:name="_Toc513295943"/>
      <w:bookmarkStart w:id="375" w:name="m801_01_1734"/>
      <w:bookmarkEnd w:id="366"/>
      <w:proofErr w:type="spellStart"/>
      <w:r>
        <w:rPr>
          <w:rFonts w:hAnsi="宋体" w:hint="eastAsia"/>
        </w:rPr>
        <w:t>存放地点</w:t>
      </w:r>
      <w:bookmarkEnd w:id="367"/>
      <w:bookmarkEnd w:id="368"/>
      <w:bookmarkEnd w:id="369"/>
      <w:bookmarkEnd w:id="370"/>
      <w:bookmarkEnd w:id="371"/>
      <w:bookmarkEnd w:id="372"/>
      <w:bookmarkEnd w:id="373"/>
      <w:bookmarkEnd w:id="374"/>
      <w:proofErr w:type="spellEnd"/>
      <w:r>
        <w:rPr>
          <w:rFonts w:hAnsi="宋体" w:hint="eastAsia"/>
        </w:rPr>
        <w:t xml:space="preserve"> </w:t>
      </w:r>
    </w:p>
    <w:p w:rsidR="00E11159" w:rsidRDefault="009D3BC4">
      <w:pPr>
        <w:spacing w:line="360" w:lineRule="auto"/>
        <w:ind w:firstLineChars="200" w:firstLine="420"/>
        <w:jc w:val="left"/>
      </w:pPr>
      <w:r>
        <w:rPr>
          <w:rFonts w:ascii="宋体" w:hAnsi="宋体" w:cs="宋体" w:hint="eastAsia"/>
          <w:color w:val="000000"/>
          <w:kern w:val="0"/>
        </w:rPr>
        <w:t>基金管理人或基金托管人住所。</w:t>
      </w:r>
    </w:p>
    <w:p w:rsidR="00E11159" w:rsidRDefault="009D3BC4">
      <w:pPr>
        <w:pStyle w:val="XBRLTitle2"/>
        <w:spacing w:before="156" w:line="360" w:lineRule="auto"/>
        <w:ind w:left="454"/>
      </w:pPr>
      <w:bookmarkStart w:id="376" w:name="_Toc438646484"/>
      <w:bookmarkStart w:id="377" w:name="_Toc17898231"/>
      <w:bookmarkStart w:id="378" w:name="_Toc17897972"/>
      <w:bookmarkStart w:id="379" w:name="_Toc512519532"/>
      <w:bookmarkStart w:id="380" w:name="_Toc481075100"/>
      <w:bookmarkStart w:id="381" w:name="_Toc490050052"/>
      <w:bookmarkStart w:id="382" w:name="_Toc513295881"/>
      <w:bookmarkStart w:id="383" w:name="_Toc513295944"/>
      <w:bookmarkStart w:id="384" w:name="m801_01_1735"/>
      <w:bookmarkEnd w:id="375"/>
      <w:proofErr w:type="spellStart"/>
      <w:r>
        <w:rPr>
          <w:rFonts w:hAnsi="宋体" w:hint="eastAsia"/>
        </w:rPr>
        <w:t>查阅方式</w:t>
      </w:r>
      <w:bookmarkEnd w:id="376"/>
      <w:bookmarkEnd w:id="377"/>
      <w:bookmarkEnd w:id="378"/>
      <w:bookmarkEnd w:id="379"/>
      <w:bookmarkEnd w:id="380"/>
      <w:bookmarkEnd w:id="381"/>
      <w:bookmarkEnd w:id="382"/>
      <w:bookmarkEnd w:id="383"/>
      <w:proofErr w:type="spellEnd"/>
      <w:r>
        <w:rPr>
          <w:rFonts w:hAnsi="宋体" w:hint="eastAsia"/>
        </w:rPr>
        <w:t xml:space="preserve"> </w:t>
      </w:r>
    </w:p>
    <w:p w:rsidR="00E11159" w:rsidRDefault="009D3BC4">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4"/>
    <w:p w:rsidR="00E11159" w:rsidRDefault="009D3BC4">
      <w:pPr>
        <w:spacing w:line="360" w:lineRule="auto"/>
        <w:ind w:firstLineChars="600" w:firstLine="1687"/>
        <w:jc w:val="left"/>
      </w:pPr>
      <w:r>
        <w:rPr>
          <w:rFonts w:ascii="宋体" w:hAnsi="宋体" w:hint="eastAsia"/>
          <w:b/>
          <w:bCs/>
          <w:sz w:val="28"/>
          <w:szCs w:val="30"/>
        </w:rPr>
        <w:t xml:space="preserve">　 </w:t>
      </w:r>
    </w:p>
    <w:p w:rsidR="00E11159" w:rsidRDefault="009D3BC4">
      <w:pPr>
        <w:spacing w:line="360" w:lineRule="auto"/>
        <w:ind w:firstLineChars="600" w:firstLine="1687"/>
        <w:jc w:val="left"/>
      </w:pPr>
      <w:r>
        <w:rPr>
          <w:rFonts w:ascii="宋体" w:hAnsi="宋体" w:hint="eastAsia"/>
          <w:b/>
          <w:bCs/>
          <w:sz w:val="28"/>
          <w:szCs w:val="30"/>
        </w:rPr>
        <w:t xml:space="preserve">　 </w:t>
      </w:r>
    </w:p>
    <w:p w:rsidR="00E11159" w:rsidRDefault="009D3BC4">
      <w:pPr>
        <w:spacing w:line="360" w:lineRule="auto"/>
        <w:ind w:firstLineChars="600" w:firstLine="1446"/>
        <w:jc w:val="right"/>
      </w:pPr>
      <w:r>
        <w:rPr>
          <w:rFonts w:ascii="宋体" w:hAnsi="宋体" w:hint="eastAsia"/>
          <w:b/>
          <w:bCs/>
          <w:sz w:val="24"/>
          <w:szCs w:val="24"/>
        </w:rPr>
        <w:t>摩根基金管理（中国）有限公司</w:t>
      </w:r>
    </w:p>
    <w:p w:rsidR="00E11159" w:rsidRDefault="009D3BC4">
      <w:pPr>
        <w:spacing w:line="360" w:lineRule="auto"/>
        <w:ind w:firstLineChars="600" w:firstLine="1446"/>
        <w:jc w:val="right"/>
      </w:pPr>
      <w:r>
        <w:rPr>
          <w:rFonts w:ascii="宋体" w:hAnsi="宋体" w:hint="eastAsia"/>
          <w:b/>
          <w:bCs/>
          <w:sz w:val="24"/>
          <w:szCs w:val="24"/>
        </w:rPr>
        <w:t>2025年4月22日</w:t>
      </w:r>
      <w:bookmarkEnd w:id="23"/>
    </w:p>
    <w:sectPr w:rsidR="00E11159">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159" w:rsidRDefault="009D3BC4">
      <w:pPr>
        <w:rPr>
          <w:szCs w:val="21"/>
        </w:rPr>
      </w:pPr>
      <w:r>
        <w:rPr>
          <w:szCs w:val="21"/>
        </w:rPr>
        <w:separator/>
      </w:r>
      <w:r>
        <w:rPr>
          <w:szCs w:val="21"/>
        </w:rPr>
        <w:t xml:space="preserve"> </w:t>
      </w:r>
    </w:p>
  </w:endnote>
  <w:endnote w:type="continuationSeparator" w:id="0">
    <w:p w:rsidR="00E11159" w:rsidRDefault="009D3BC4">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159" w:rsidRDefault="009D3BC4">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186FFA">
      <w:rPr>
        <w:rFonts w:ascii="宋体" w:hAnsi="宋体"/>
        <w:noProof/>
        <w:sz w:val="18"/>
        <w:szCs w:val="18"/>
      </w:rPr>
      <w:t>11</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186FFA">
      <w:rPr>
        <w:rFonts w:ascii="宋体" w:hAnsi="宋体"/>
        <w:noProof/>
        <w:sz w:val="18"/>
        <w:szCs w:val="18"/>
      </w:rPr>
      <w:t>11</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159" w:rsidRDefault="009D3BC4">
      <w:pPr>
        <w:rPr>
          <w:szCs w:val="21"/>
        </w:rPr>
      </w:pPr>
      <w:r>
        <w:rPr>
          <w:szCs w:val="21"/>
        </w:rPr>
        <w:separator/>
      </w:r>
      <w:r>
        <w:rPr>
          <w:szCs w:val="21"/>
        </w:rPr>
        <w:t xml:space="preserve"> </w:t>
      </w:r>
    </w:p>
  </w:footnote>
  <w:footnote w:type="continuationSeparator" w:id="0">
    <w:p w:rsidR="00E11159" w:rsidRDefault="009D3BC4">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159" w:rsidRDefault="009D3BC4">
    <w:pPr>
      <w:pStyle w:val="a8"/>
      <w:jc w:val="right"/>
    </w:pPr>
    <w:r>
      <w:rPr>
        <w:rFonts w:ascii="宋体" w:hAnsi="宋体" w:hint="eastAsia"/>
      </w:rPr>
      <w:t>摩根智选30混合型证券投资基金2025年第1季度报告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C4"/>
    <w:rsid w:val="000004B1"/>
    <w:rsid w:val="00186FFA"/>
    <w:rsid w:val="009D3BC4"/>
    <w:rsid w:val="00E11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AF5109D7-4EF0-4309-9B98-714978CC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15728">
      <w:marLeft w:val="0"/>
      <w:marRight w:val="0"/>
      <w:marTop w:val="0"/>
      <w:marBottom w:val="0"/>
      <w:divBdr>
        <w:top w:val="none" w:sz="0" w:space="0" w:color="auto"/>
        <w:left w:val="none" w:sz="0" w:space="0" w:color="auto"/>
        <w:bottom w:val="none" w:sz="0" w:space="0" w:color="auto"/>
        <w:right w:val="none" w:sz="0" w:space="0" w:color="auto"/>
      </w:divBdr>
      <w:divsChild>
        <w:div w:id="70977366">
          <w:marLeft w:val="0"/>
          <w:marRight w:val="0"/>
          <w:marTop w:val="0"/>
          <w:marBottom w:val="0"/>
          <w:divBdr>
            <w:top w:val="none" w:sz="0" w:space="0" w:color="auto"/>
            <w:left w:val="none" w:sz="0" w:space="0" w:color="auto"/>
            <w:bottom w:val="none" w:sz="0" w:space="0" w:color="auto"/>
            <w:right w:val="none" w:sz="0" w:space="0" w:color="auto"/>
          </w:divBdr>
          <w:divsChild>
            <w:div w:id="16847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75">
      <w:marLeft w:val="0"/>
      <w:marRight w:val="0"/>
      <w:marTop w:val="0"/>
      <w:marBottom w:val="0"/>
      <w:divBdr>
        <w:top w:val="none" w:sz="0" w:space="0" w:color="auto"/>
        <w:left w:val="none" w:sz="0" w:space="0" w:color="auto"/>
        <w:bottom w:val="none" w:sz="0" w:space="0" w:color="auto"/>
        <w:right w:val="none" w:sz="0" w:space="0" w:color="auto"/>
      </w:divBdr>
    </w:div>
    <w:div w:id="267733587">
      <w:marLeft w:val="0"/>
      <w:marRight w:val="0"/>
      <w:marTop w:val="0"/>
      <w:marBottom w:val="0"/>
      <w:divBdr>
        <w:top w:val="none" w:sz="0" w:space="0" w:color="auto"/>
        <w:left w:val="none" w:sz="0" w:space="0" w:color="auto"/>
        <w:bottom w:val="none" w:sz="0" w:space="0" w:color="auto"/>
        <w:right w:val="none" w:sz="0" w:space="0" w:color="auto"/>
      </w:divBdr>
    </w:div>
    <w:div w:id="373890830">
      <w:marLeft w:val="0"/>
      <w:marRight w:val="0"/>
      <w:marTop w:val="0"/>
      <w:marBottom w:val="0"/>
      <w:divBdr>
        <w:top w:val="none" w:sz="0" w:space="0" w:color="auto"/>
        <w:left w:val="none" w:sz="0" w:space="0" w:color="auto"/>
        <w:bottom w:val="none" w:sz="0" w:space="0" w:color="auto"/>
        <w:right w:val="none" w:sz="0" w:space="0" w:color="auto"/>
      </w:divBdr>
      <w:divsChild>
        <w:div w:id="1259363940">
          <w:marLeft w:val="0"/>
          <w:marRight w:val="0"/>
          <w:marTop w:val="0"/>
          <w:marBottom w:val="0"/>
          <w:divBdr>
            <w:top w:val="none" w:sz="0" w:space="0" w:color="auto"/>
            <w:left w:val="none" w:sz="0" w:space="0" w:color="auto"/>
            <w:bottom w:val="none" w:sz="0" w:space="0" w:color="auto"/>
            <w:right w:val="none" w:sz="0" w:space="0" w:color="auto"/>
          </w:divBdr>
        </w:div>
        <w:div w:id="1375695210">
          <w:marLeft w:val="0"/>
          <w:marRight w:val="0"/>
          <w:marTop w:val="0"/>
          <w:marBottom w:val="0"/>
          <w:divBdr>
            <w:top w:val="none" w:sz="0" w:space="0" w:color="auto"/>
            <w:left w:val="none" w:sz="0" w:space="0" w:color="auto"/>
            <w:bottom w:val="none" w:sz="0" w:space="0" w:color="auto"/>
            <w:right w:val="none" w:sz="0" w:space="0" w:color="auto"/>
          </w:divBdr>
        </w:div>
      </w:divsChild>
    </w:div>
    <w:div w:id="381291709">
      <w:marLeft w:val="0"/>
      <w:marRight w:val="0"/>
      <w:marTop w:val="0"/>
      <w:marBottom w:val="0"/>
      <w:divBdr>
        <w:top w:val="none" w:sz="0" w:space="0" w:color="auto"/>
        <w:left w:val="none" w:sz="0" w:space="0" w:color="auto"/>
        <w:bottom w:val="none" w:sz="0" w:space="0" w:color="auto"/>
        <w:right w:val="none" w:sz="0" w:space="0" w:color="auto"/>
      </w:divBdr>
      <w:divsChild>
        <w:div w:id="669793328">
          <w:marLeft w:val="0"/>
          <w:marRight w:val="0"/>
          <w:marTop w:val="0"/>
          <w:marBottom w:val="0"/>
          <w:divBdr>
            <w:top w:val="none" w:sz="0" w:space="0" w:color="auto"/>
            <w:left w:val="none" w:sz="0" w:space="0" w:color="auto"/>
            <w:bottom w:val="none" w:sz="0" w:space="0" w:color="auto"/>
            <w:right w:val="none" w:sz="0" w:space="0" w:color="auto"/>
          </w:divBdr>
        </w:div>
      </w:divsChild>
    </w:div>
    <w:div w:id="638342438">
      <w:marLeft w:val="0"/>
      <w:marRight w:val="0"/>
      <w:marTop w:val="0"/>
      <w:marBottom w:val="0"/>
      <w:divBdr>
        <w:top w:val="none" w:sz="0" w:space="0" w:color="auto"/>
        <w:left w:val="none" w:sz="0" w:space="0" w:color="auto"/>
        <w:bottom w:val="none" w:sz="0" w:space="0" w:color="auto"/>
        <w:right w:val="none" w:sz="0" w:space="0" w:color="auto"/>
      </w:divBdr>
      <w:divsChild>
        <w:div w:id="106437341">
          <w:marLeft w:val="0"/>
          <w:marRight w:val="0"/>
          <w:marTop w:val="0"/>
          <w:marBottom w:val="0"/>
          <w:divBdr>
            <w:top w:val="none" w:sz="0" w:space="0" w:color="auto"/>
            <w:left w:val="none" w:sz="0" w:space="0" w:color="auto"/>
            <w:bottom w:val="none" w:sz="0" w:space="0" w:color="auto"/>
            <w:right w:val="none" w:sz="0" w:space="0" w:color="auto"/>
          </w:divBdr>
        </w:div>
      </w:divsChild>
    </w:div>
    <w:div w:id="724644681">
      <w:marLeft w:val="0"/>
      <w:marRight w:val="0"/>
      <w:marTop w:val="0"/>
      <w:marBottom w:val="0"/>
      <w:divBdr>
        <w:top w:val="none" w:sz="0" w:space="0" w:color="auto"/>
        <w:left w:val="none" w:sz="0" w:space="0" w:color="auto"/>
        <w:bottom w:val="none" w:sz="0" w:space="0" w:color="auto"/>
        <w:right w:val="none" w:sz="0" w:space="0" w:color="auto"/>
      </w:divBdr>
    </w:div>
    <w:div w:id="768044423">
      <w:marLeft w:val="0"/>
      <w:marRight w:val="0"/>
      <w:marTop w:val="0"/>
      <w:marBottom w:val="0"/>
      <w:divBdr>
        <w:top w:val="none" w:sz="0" w:space="0" w:color="auto"/>
        <w:left w:val="none" w:sz="0" w:space="0" w:color="auto"/>
        <w:bottom w:val="none" w:sz="0" w:space="0" w:color="auto"/>
        <w:right w:val="none" w:sz="0" w:space="0" w:color="auto"/>
      </w:divBdr>
    </w:div>
    <w:div w:id="838734432">
      <w:marLeft w:val="0"/>
      <w:marRight w:val="0"/>
      <w:marTop w:val="0"/>
      <w:marBottom w:val="0"/>
      <w:divBdr>
        <w:top w:val="none" w:sz="0" w:space="0" w:color="auto"/>
        <w:left w:val="none" w:sz="0" w:space="0" w:color="auto"/>
        <w:bottom w:val="none" w:sz="0" w:space="0" w:color="auto"/>
        <w:right w:val="none" w:sz="0" w:space="0" w:color="auto"/>
      </w:divBdr>
    </w:div>
    <w:div w:id="1024748427">
      <w:marLeft w:val="0"/>
      <w:marRight w:val="0"/>
      <w:marTop w:val="0"/>
      <w:marBottom w:val="0"/>
      <w:divBdr>
        <w:top w:val="none" w:sz="0" w:space="0" w:color="auto"/>
        <w:left w:val="none" w:sz="0" w:space="0" w:color="auto"/>
        <w:bottom w:val="none" w:sz="0" w:space="0" w:color="auto"/>
        <w:right w:val="none" w:sz="0" w:space="0" w:color="auto"/>
      </w:divBdr>
    </w:div>
    <w:div w:id="1075084480">
      <w:marLeft w:val="0"/>
      <w:marRight w:val="0"/>
      <w:marTop w:val="0"/>
      <w:marBottom w:val="0"/>
      <w:divBdr>
        <w:top w:val="none" w:sz="0" w:space="0" w:color="auto"/>
        <w:left w:val="none" w:sz="0" w:space="0" w:color="auto"/>
        <w:bottom w:val="none" w:sz="0" w:space="0" w:color="auto"/>
        <w:right w:val="none" w:sz="0" w:space="0" w:color="auto"/>
      </w:divBdr>
      <w:divsChild>
        <w:div w:id="1113130236">
          <w:marLeft w:val="0"/>
          <w:marRight w:val="0"/>
          <w:marTop w:val="0"/>
          <w:marBottom w:val="0"/>
          <w:divBdr>
            <w:top w:val="none" w:sz="0" w:space="0" w:color="auto"/>
            <w:left w:val="none" w:sz="0" w:space="0" w:color="auto"/>
            <w:bottom w:val="none" w:sz="0" w:space="0" w:color="auto"/>
            <w:right w:val="none" w:sz="0" w:space="0" w:color="auto"/>
          </w:divBdr>
        </w:div>
      </w:divsChild>
    </w:div>
    <w:div w:id="1315525092">
      <w:marLeft w:val="0"/>
      <w:marRight w:val="0"/>
      <w:marTop w:val="0"/>
      <w:marBottom w:val="0"/>
      <w:divBdr>
        <w:top w:val="none" w:sz="0" w:space="0" w:color="auto"/>
        <w:left w:val="none" w:sz="0" w:space="0" w:color="auto"/>
        <w:bottom w:val="none" w:sz="0" w:space="0" w:color="auto"/>
        <w:right w:val="none" w:sz="0" w:space="0" w:color="auto"/>
      </w:divBdr>
    </w:div>
    <w:div w:id="1422681662">
      <w:marLeft w:val="0"/>
      <w:marRight w:val="0"/>
      <w:marTop w:val="0"/>
      <w:marBottom w:val="0"/>
      <w:divBdr>
        <w:top w:val="none" w:sz="0" w:space="0" w:color="auto"/>
        <w:left w:val="none" w:sz="0" w:space="0" w:color="auto"/>
        <w:bottom w:val="none" w:sz="0" w:space="0" w:color="auto"/>
        <w:right w:val="none" w:sz="0" w:space="0" w:color="auto"/>
      </w:divBdr>
      <w:divsChild>
        <w:div w:id="740563955">
          <w:marLeft w:val="0"/>
          <w:marRight w:val="0"/>
          <w:marTop w:val="0"/>
          <w:marBottom w:val="0"/>
          <w:divBdr>
            <w:top w:val="none" w:sz="0" w:space="0" w:color="auto"/>
            <w:left w:val="none" w:sz="0" w:space="0" w:color="auto"/>
            <w:bottom w:val="none" w:sz="0" w:space="0" w:color="auto"/>
            <w:right w:val="none" w:sz="0" w:space="0" w:color="auto"/>
          </w:divBdr>
        </w:div>
      </w:divsChild>
    </w:div>
    <w:div w:id="1458450357">
      <w:marLeft w:val="0"/>
      <w:marRight w:val="0"/>
      <w:marTop w:val="0"/>
      <w:marBottom w:val="0"/>
      <w:divBdr>
        <w:top w:val="none" w:sz="0" w:space="0" w:color="auto"/>
        <w:left w:val="none" w:sz="0" w:space="0" w:color="auto"/>
        <w:bottom w:val="none" w:sz="0" w:space="0" w:color="auto"/>
        <w:right w:val="none" w:sz="0" w:space="0" w:color="auto"/>
      </w:divBdr>
    </w:div>
    <w:div w:id="1705053527">
      <w:marLeft w:val="0"/>
      <w:marRight w:val="0"/>
      <w:marTop w:val="0"/>
      <w:marBottom w:val="0"/>
      <w:divBdr>
        <w:top w:val="none" w:sz="0" w:space="0" w:color="auto"/>
        <w:left w:val="none" w:sz="0" w:space="0" w:color="auto"/>
        <w:bottom w:val="none" w:sz="0" w:space="0" w:color="auto"/>
        <w:right w:val="none" w:sz="0" w:space="0" w:color="auto"/>
      </w:divBdr>
    </w:div>
    <w:div w:id="1706566351">
      <w:marLeft w:val="0"/>
      <w:marRight w:val="0"/>
      <w:marTop w:val="0"/>
      <w:marBottom w:val="0"/>
      <w:divBdr>
        <w:top w:val="none" w:sz="0" w:space="0" w:color="auto"/>
        <w:left w:val="none" w:sz="0" w:space="0" w:color="auto"/>
        <w:bottom w:val="none" w:sz="0" w:space="0" w:color="auto"/>
        <w:right w:val="none" w:sz="0" w:space="0" w:color="auto"/>
      </w:divBdr>
    </w:div>
    <w:div w:id="1872495596">
      <w:marLeft w:val="0"/>
      <w:marRight w:val="0"/>
      <w:marTop w:val="0"/>
      <w:marBottom w:val="0"/>
      <w:divBdr>
        <w:top w:val="none" w:sz="0" w:space="0" w:color="auto"/>
        <w:left w:val="none" w:sz="0" w:space="0" w:color="auto"/>
        <w:bottom w:val="none" w:sz="0" w:space="0" w:color="auto"/>
        <w:right w:val="none" w:sz="0" w:space="0" w:color="auto"/>
      </w:divBdr>
    </w:div>
    <w:div w:id="2049602146">
      <w:marLeft w:val="0"/>
      <w:marRight w:val="0"/>
      <w:marTop w:val="0"/>
      <w:marBottom w:val="0"/>
      <w:divBdr>
        <w:top w:val="none" w:sz="0" w:space="0" w:color="auto"/>
        <w:left w:val="none" w:sz="0" w:space="0" w:color="auto"/>
        <w:bottom w:val="none" w:sz="0" w:space="0" w:color="auto"/>
        <w:right w:val="none" w:sz="0" w:space="0" w:color="auto"/>
      </w:divBdr>
      <w:divsChild>
        <w:div w:id="58984498">
          <w:marLeft w:val="0"/>
          <w:marRight w:val="0"/>
          <w:marTop w:val="0"/>
          <w:marBottom w:val="0"/>
          <w:divBdr>
            <w:top w:val="none" w:sz="0" w:space="0" w:color="auto"/>
            <w:left w:val="none" w:sz="0" w:space="0" w:color="auto"/>
            <w:bottom w:val="none" w:sz="0" w:space="0" w:color="auto"/>
            <w:right w:val="none" w:sz="0" w:space="0" w:color="auto"/>
          </w:divBdr>
        </w:div>
      </w:divsChild>
    </w:div>
    <w:div w:id="2052340970">
      <w:marLeft w:val="0"/>
      <w:marRight w:val="0"/>
      <w:marTop w:val="0"/>
      <w:marBottom w:val="0"/>
      <w:divBdr>
        <w:top w:val="none" w:sz="0" w:space="0" w:color="auto"/>
        <w:left w:val="none" w:sz="0" w:space="0" w:color="auto"/>
        <w:bottom w:val="none" w:sz="0" w:space="0" w:color="auto"/>
        <w:right w:val="none" w:sz="0" w:space="0" w:color="auto"/>
      </w:divBdr>
    </w:div>
    <w:div w:id="2101634940">
      <w:marLeft w:val="0"/>
      <w:marRight w:val="0"/>
      <w:marTop w:val="0"/>
      <w:marBottom w:val="0"/>
      <w:divBdr>
        <w:top w:val="none" w:sz="0" w:space="0" w:color="auto"/>
        <w:left w:val="none" w:sz="0" w:space="0" w:color="auto"/>
        <w:bottom w:val="none" w:sz="0" w:space="0" w:color="auto"/>
        <w:right w:val="none" w:sz="0" w:space="0" w:color="auto"/>
      </w:divBdr>
    </w:div>
    <w:div w:id="21150092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0371-297C-403E-9C73-41369430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5164</Words>
  <Characters>2126</Characters>
  <Application>Microsoft Office Word</Application>
  <DocSecurity>0</DocSecurity>
  <Lines>17</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Heming.Huang@TA</cp:lastModifiedBy>
  <cp:revision>4</cp:revision>
  <dcterms:created xsi:type="dcterms:W3CDTF">2025-04-15T12:19:00Z</dcterms:created>
  <dcterms:modified xsi:type="dcterms:W3CDTF">2025-04-21T07:32:00Z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